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 HEDONIC PRICE MODEL OF DEBRIS RISK IN THE SATELLITE INSURANCE AND REINSURANCE MARKETS</w:t>
      </w:r>
    </w:p>
    <w:p>
      <w:pPr>
        <w:jc w:val="center"/>
      </w:pPr>
    </w:p>
    <w:p>
      <w:pPr>
        <w:jc w:val="center"/>
      </w:pPr>
      <w:r>
        <w:rPr>
          <w:rFonts w:ascii="Times New Roman" w:hAnsi="Times New Roman"/>
          <w:sz w:val="24"/>
        </w:rPr>
        <w:t>by</w:t>
      </w:r>
    </w:p>
    <w:p>
      <w:pPr>
        <w:jc w:val="center"/>
      </w:pPr>
      <w:r>
        <w:rPr>
          <w:rFonts w:ascii="Times New Roman" w:hAnsi="Times New Roman"/>
          <w:b/>
          <w:sz w:val="28"/>
        </w:rPr>
        <w:t>Nikolai Ashby</w:t>
      </w:r>
    </w:p>
    <w:p>
      <w:pPr>
        <w:jc w:val="center"/>
      </w:pPr>
      <w:r>
        <w:rPr>
          <w:rFonts w:ascii="Times New Roman" w:hAnsi="Times New Roman"/>
          <w:sz w:val="24"/>
        </w:rPr>
        <w:t>1B-SDA-114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Orbital debris is the textbook negative externality of the modern space economy. Place a satellite into a congested orbital regime and you impose a marginal increment of collision risk on every other operator sharing that regime, yet you capture the full private return of the mission and carry only a sliver of the social cost of the risk you generate. For at least a decade the economic literature has settled on a qualitative claim: this externality goes uninternalized, debris density is therefore inefficiently high, and, without corrective intervention, the trajectory of the resident space object population threatens the long-run insurability and eventually the operability of the most heavily used orbital regimes</w:t>
      </w:r>
      <w:r>
        <w:t xml:space="preserve"> </w:t>
      </w:r>
      <w:hyperlink w:anchor="ref-1">
        <w:r>
          <w:rPr>
            <w:rStyle w:val="Hyperlink"/>
          </w:rPr>
          <w:t xml:space="preserve">[1]</w:t>
        </w:r>
      </w:hyperlink>
      <w:r>
        <w:t xml:space="preserve">. Across the policy community that claim is by now broadly accepted</w:t>
      </w:r>
      <w:r>
        <w:t xml:space="preserve"> </w:t>
      </w:r>
      <w:hyperlink w:anchor="ref-3">
        <w:r>
          <w:rPr>
            <w:rStyle w:val="Hyperlink"/>
          </w:rPr>
          <w:t xml:space="preserve">[3]</w:t>
        </w:r>
      </w:hyperlink>
      <w:r>
        <w:t xml:space="preserve">. What nobody has produced is a defensible, market-revealed price for one additional unit of debris exposure. Cost-benefit analyses of active debris removal, architecture trades for space traffic management, acquisition decisions that turn on on-orbit servicing or maneuvering propellant reserve: all of them currently rest on an assumed shadow price for debris risk rather than a measured one</w:t>
      </w:r>
      <w:r>
        <w:t xml:space="preserve"> </w:t>
      </w:r>
      <w:hyperlink w:anchor="ref-4">
        <w:r>
          <w:rPr>
            <w:rStyle w:val="Hyperlink"/>
          </w:rPr>
          <w:t xml:space="preserve">[4]</w:t>
        </w:r>
      </w:hyperlink>
      <w:r>
        <w:t xml:space="preserve">.</w:t>
      </w:r>
    </w:p>
    <w:p>
      <w:pPr>
        <w:pStyle w:val="BodyText"/>
        <w:spacing w:line="480" w:lineRule="auto"/>
        <w:ind w:firstLine="720"/>
      </w:pPr>
      <w:r>
        <w:t xml:space="preserve">Resolving that measurement gap is concrete and immediate business for the National Aeronautics and Space Administration, and for the Jet Propulsion Laboratory in particular. NASA wears three hats at once. It is the principal United States civil customer of commercial launch and on-orbit services, it stewards the Orbital Debris Program Office and its associated mitigation standard practices, and it is the cognizant agency for the most exposed long-duration civil missions in low Earth orbit and in geostationary orbit. JPL, a federally funded research and development center operated for NASA, carries the institutional job of translating the agency’s mission-assurance posture into specific architecture decisions: how constellations get designed, how conjunction management workflows run, how insurance and reinsurance cover for high-value missions gets procured. Each of those decisions forces the agency to convert an abstract claim about externality into a number that can defensibly enter a Monte Carlo cost model, a probabilistic risk assessment, or a source-selection trade study. This is exactly the need the candidate’s prospectus places at the center of the dissertation: converting a widely asserted qualitative claim into a measured shadow price that actuaries, regulators, and acquisition decision authorities will accept.</w:t>
      </w:r>
    </w:p>
    <w:p>
      <w:pPr>
        <w:pStyle w:val="BodyText"/>
        <w:spacing w:line="480" w:lineRule="auto"/>
        <w:ind w:firstLine="720"/>
      </w:pPr>
      <w:r>
        <w:t xml:space="preserve">Three reasons make a measured shadow price matter to NASA and JPL. Begin with residual underwriting. The agency is the residual underwriter of risk for civil missions the commercial market will not fully cover, and the threshold at which it must absorb that residual depends on how quickly the commercial market itself prices the underlying environmental risk. McKnight projected more than fifteen years ago that commercial premia would climb sharply once collision risk crossed roughly one and one half percent per year, though the inflection has proven notoriously hard to anticipate without an empirical pricing function</w:t>
      </w:r>
      <w:r>
        <w:t xml:space="preserve"> </w:t>
      </w:r>
      <w:hyperlink w:anchor="ref-4">
        <w:r>
          <w:rPr>
            <w:rStyle w:val="Hyperlink"/>
          </w:rPr>
          <w:t xml:space="preserve">[4]</w:t>
        </w:r>
      </w:hyperlink>
      <w:r>
        <w:t xml:space="preserve">. A second reason is calibration. The agency’s mitigation standard practices, the twenty-five-year post-mission disposal guideline among them, were set against engineering risk thresholds rather than against the marginal social cost of debris</w:t>
      </w:r>
      <w:r>
        <w:t xml:space="preserve"> </w:t>
      </w:r>
      <w:hyperlink w:anchor="ref-3">
        <w:r>
          <w:rPr>
            <w:rStyle w:val="Hyperlink"/>
          </w:rPr>
          <w:t xml:space="preserve">[3]</w:t>
        </w:r>
      </w:hyperlink>
      <w:r>
        <w:t xml:space="preserve">. Swap those thresholds for cost-based instruments, whether an orbital use fee or a performance bond, and you need an estimate of the marginal damage a single additional debris fragment imposes on the rest of the catalog. The insurance market is one of very few revealed-preference venues from which such an estimate can be recovered. Third, JPL’s own missions are exposed. Its deep-space and Earth-science spacecraft operate outside the most congested LEO bands, but they face debris risk during launch ascent, during early orbit operations, and, for the coming generation of cislunar missions, during transit through congested geostationary transfer regimes</w:t>
      </w:r>
      <w:r>
        <w:t xml:space="preserve"> </w:t>
      </w:r>
      <w:hyperlink w:anchor="ref-5">
        <w:r>
          <w:rPr>
            <w:rStyle w:val="Hyperlink"/>
          </w:rPr>
          <w:t xml:space="preserve">[5]</w:t>
        </w:r>
      </w:hyperlink>
      <w:r>
        <w:t xml:space="preserve">. So the shadow price this dissertation estimates is no parochial concern of the commercial insurance market. It is an input to the agency’s own architecture-of-record for the next two decades of civil and exploration missions.</w:t>
      </w:r>
    </w:p>
    <w:p>
      <w:pPr>
        <w:pStyle w:val="BodyText"/>
        <w:spacing w:line="480" w:lineRule="auto"/>
        <w:ind w:firstLine="720"/>
      </w:pPr>
      <w:r>
        <w:t xml:space="preserve">Letting the price stay missing costs the agency something real. It pushes NASA mission directorates, and JPL acquisition authorities behind them, to fall back on one of two defaults: actuarial proxies imported from terrestrial property and casualty lines, or engineering risk numbers that carry no economic interpretation. The first default imports estimation error from risk pools that are not analogous. The second is more insidious, because it makes the marginal dollar spent on debris mitigation impossible to weigh against the marginal dollar spent on some alternative mission-assurance investment, redundant attitude control or radiation-hardened electronics among them. Here is the dissertation’s central premise. The satellite insurance and reinsurance markets, which together underwrite roughly seven hundred million United States dollars of annual premium against tens of billions of dollars of insured satellite value, already perform the conversion of debris exposure into a market price every time an underwriter accepts a placement at Lloyd’s, AXA XL, or Munich Re. The empirical task is to recover that conversion from the cross section and the panel of placement records, and to put the result in a form the agency can use.</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The relevant literature splits cleanly into two camps that have never quite been introduced to each other. One is the space-domain work on debris risk, mitigation, and insurance. The other is the econometric work on hedonic price estimation. Both are mature. Their non-intersection is the gap this dissertation fills.</w:t>
      </w:r>
    </w:p>
    <w:p>
      <w:pPr>
        <w:pStyle w:val="BodyText"/>
        <w:spacing w:line="480" w:lineRule="auto"/>
        <w:ind w:firstLine="720"/>
      </w:pPr>
      <w:r>
        <w:t xml:space="preserve">Three sub-literatures have carried the space-domain camp. Economic and policy work, exemplified by Weinzierl’s treatment of space as the final economic frontier, frames orbital debris as a commons problem and prescribes corrective instruments in the qualitative register, never estimating the prices those instruments would have to implement</w:t>
      </w:r>
      <w:r>
        <w:t xml:space="preserve"> </w:t>
      </w:r>
      <w:hyperlink w:anchor="ref-1">
        <w:r>
          <w:rPr>
            <w:rStyle w:val="Hyperlink"/>
          </w:rPr>
          <w:t xml:space="preserve">[1]</w:t>
        </w:r>
      </w:hyperlink>
      <w:r>
        <w:t xml:space="preserve">. Engineering work, exemplified by the Oltrogge and colleagues comprehensive assessment of collision likelihood in geosynchronous Earth orbit, produces conjunction rates and collision probabilities to a high methodological standard yet stops short of linking those rates to financial cost</w:t>
      </w:r>
      <w:r>
        <w:t xml:space="preserve"> </w:t>
      </w:r>
      <w:hyperlink w:anchor="ref-7">
        <w:r>
          <w:rPr>
            <w:rStyle w:val="Hyperlink"/>
          </w:rPr>
          <w:t xml:space="preserve">[7]</w:t>
        </w:r>
      </w:hyperlink>
      <w:r>
        <w:t xml:space="preserve">. Operational work, exemplified by Shahady’s documentation of an average annual GEO insurance cost of roughly thirty million United States dollars per insured operator, reports headline premia without decomposing them into orbital-environment attributes</w:t>
      </w:r>
      <w:r>
        <w:t xml:space="preserve"> </w:t>
      </w:r>
      <w:hyperlink w:anchor="ref-2">
        <w:r>
          <w:rPr>
            <w:rStyle w:val="Hyperlink"/>
          </w:rPr>
          <w:t xml:space="preserve">[2]</w:t>
        </w:r>
      </w:hyperlink>
      <w:r>
        <w:t xml:space="preserve">. A wider set of adjacent contributions sits around these three, on the broader risk landscape of the space economy</w:t>
      </w:r>
      <w:r>
        <w:t xml:space="preserve"> </w:t>
      </w:r>
      <w:hyperlink w:anchor="ref-5">
        <w:r>
          <w:rPr>
            <w:rStyle w:val="Hyperlink"/>
          </w:rPr>
          <w:t xml:space="preserve">[5]</w:t>
        </w:r>
      </w:hyperlink>
      <w:r>
        <w:t xml:space="preserve">, on the governance of artificial-intelligence-enabled space systems</w:t>
      </w:r>
      <w:r>
        <w:t xml:space="preserve"> </w:t>
      </w:r>
      <w:hyperlink w:anchor="ref-6">
        <w:r>
          <w:rPr>
            <w:rStyle w:val="Hyperlink"/>
          </w:rPr>
          <w:t xml:space="preserve">[6]</w:t>
        </w:r>
      </w:hyperlink>
      <w:r>
        <w:t xml:space="preserve">, on space traffic management and outreach</w:t>
      </w:r>
      <w:r>
        <w:t xml:space="preserve"> </w:t>
      </w:r>
      <w:hyperlink w:anchor="ref-26">
        <w:r>
          <w:rPr>
            <w:rStyle w:val="Hyperlink"/>
          </w:rPr>
          <w:t xml:space="preserve">[26]</w:t>
        </w:r>
      </w:hyperlink>
      <w:r>
        <w:t xml:space="preserve">, on on-orbit servicing economics</w:t>
      </w:r>
      <w:r>
        <w:t xml:space="preserve"> </w:t>
      </w:r>
      <w:hyperlink w:anchor="ref-27">
        <w:r>
          <w:rPr>
            <w:rStyle w:val="Hyperlink"/>
          </w:rPr>
          <w:t xml:space="preserve">[27]</w:t>
        </w:r>
      </w:hyperlink>
      <w:r>
        <w:t xml:space="preserve">, on multi-stakeholder collaboration incentives</w:t>
      </w:r>
      <w:r>
        <w:t xml:space="preserve"> </w:t>
      </w:r>
      <w:hyperlink w:anchor="ref-28">
        <w:r>
          <w:rPr>
            <w:rStyle w:val="Hyperlink"/>
          </w:rPr>
          <w:t xml:space="preserve">[28]</w:t>
        </w:r>
      </w:hyperlink>
      <w:r>
        <w:t xml:space="preserve">, on space-resource markets</w:t>
      </w:r>
      <w:r>
        <w:t xml:space="preserve"> </w:t>
      </w:r>
      <w:hyperlink w:anchor="ref-29">
        <w:r>
          <w:rPr>
            <w:rStyle w:val="Hyperlink"/>
          </w:rPr>
          <w:t xml:space="preserve">[29]</w:t>
        </w:r>
      </w:hyperlink>
      <w:r>
        <w:t xml:space="preserve">, on end-user value in the new space economy</w:t>
      </w:r>
      <w:r>
        <w:t xml:space="preserve"> </w:t>
      </w:r>
      <w:hyperlink w:anchor="ref-31">
        <w:r>
          <w:rPr>
            <w:rStyle w:val="Hyperlink"/>
          </w:rPr>
          <w:t xml:space="preserve">[31]</w:t>
        </w:r>
      </w:hyperlink>
      <w:r>
        <w:t xml:space="preserve">, and on the gamification of debris-mitigation engagement</w:t>
      </w:r>
      <w:r>
        <w:t xml:space="preserve"> </w:t>
      </w:r>
      <w:hyperlink w:anchor="ref-10">
        <w:r>
          <w:rPr>
            <w:rStyle w:val="Hyperlink"/>
          </w:rPr>
          <w:t xml:space="preserve">[10]</w:t>
        </w:r>
      </w:hyperlink>
      <w:r>
        <w:t xml:space="preserve">. All of it situates the question within the sustainability discourse. None of it produces a shadow price. The sub-literature bottoms out at a converged qualitative claim: debris risk should be priced, and at present it is priced incompletely if at all.</w:t>
      </w:r>
    </w:p>
    <w:p>
      <w:pPr>
        <w:pStyle w:val="BodyText"/>
        <w:spacing w:line="480" w:lineRule="auto"/>
        <w:ind w:firstLine="720"/>
      </w:pPr>
      <w:r>
        <w:t xml:space="preserve">Turn to the econometric method camp and the canonical reference is Rosen’s hedonic price model, which treats a differentiated good as a bundle of characteristics and recovers an implicit price for each characteristic from the cross section of observed transaction prices, subject to regularity conditions on the equilibrium price function</w:t>
      </w:r>
      <w:r>
        <w:t xml:space="preserve"> </w:t>
      </w:r>
      <w:hyperlink w:anchor="ref-11">
        <w:r>
          <w:rPr>
            <w:rStyle w:val="Hyperlink"/>
          </w:rPr>
          <w:t xml:space="preserve">[11]</w:t>
        </w:r>
      </w:hyperlink>
      <w:r>
        <w:t xml:space="preserve">. Environmental economics, real-estate economics, and transportation economics have applied the hedonic framework at industrial scale, and the inferential properties of the estimator are well charted: its sensitivity to omitted-variable bias, to functional-form misspecification, to selection on unobservables, all mapped in the methodological literature that grew up around Rosen’s original contribution.</w:t>
      </w:r>
    </w:p>
    <w:p>
      <w:pPr>
        <w:pStyle w:val="BodyText"/>
        <w:spacing w:line="480" w:lineRule="auto"/>
        <w:ind w:firstLine="720"/>
      </w:pPr>
      <w:r>
        <w:t xml:space="preserve">The two camps have not met. To the candidate’s knowledge, across the AMOS, Acta Astronautica, and space-economy corpora consulted in the prospectus phase, no published study estimates a hedonic regression of satellite insurance premia on debris-exposure covariates with operator-level and year-level fixed effects. Two completed pilot studies accompany this dissertation, and they confirm the gap rather than close it. The first, an ordinary least squares hedonic on a cross section of thirty-three first-year in-orbit policies placed between 2016 and 2025, recovers a statistically significant but negatively signed coefficient on a regime-level debris flux index, on the order of minus fifteen basis points per unit of a GEO-normalized flux index, conditional on dry mass, design life, and a linear time control. The second, an ordinary least squares hedonic on a cross section of thirty-one missions placed between 2015 and 2020 with a slightly different attribute vector, recovers a debris density coefficient statistically indistinguishable from zero. Both pilots fit the cross section well in joint terms and recover sensible implicit prices on mass and on insured value, each consistent with the Rosen framework</w:t>
      </w:r>
      <w:r>
        <w:t xml:space="preserve"> </w:t>
      </w:r>
      <w:hyperlink w:anchor="ref-11">
        <w:r>
          <w:rPr>
            <w:rStyle w:val="Hyperlink"/>
          </w:rPr>
          <w:t xml:space="preserve">[11]</w:t>
        </w:r>
      </w:hyperlink>
      <w:r>
        <w:t xml:space="preserve">. What neither pilot delivers is the positively signed debris coefficient that the naive externality prior would predict.</w:t>
      </w:r>
    </w:p>
    <w:p>
      <w:pPr>
        <w:pStyle w:val="BodyText"/>
        <w:spacing w:line="480" w:lineRule="auto"/>
        <w:ind w:firstLine="720"/>
      </w:pPr>
      <w:r>
        <w:t xml:space="preserve">Read together, the two pilot results explain why the gap is methodological rather than substantive. A cross-sectional hedonic applied to a small sample dominated by between-regime variation conflates the catalogued debris environment with the exposure horizon, the concentration of severity, and the operator composition characteristic of each orbital regime. McKnight’s structural critique anticipates exactly this conflation: catalogued losses, not modeled losses, drive market pricing, so the catalogued debris signal reaches premia with a lag and through covariates that are themselves correlated with regime</w:t>
      </w:r>
      <w:r>
        <w:t xml:space="preserve"> </w:t>
      </w:r>
      <w:hyperlink w:anchor="ref-4">
        <w:r>
          <w:rPr>
            <w:rStyle w:val="Hyperlink"/>
          </w:rPr>
          <w:t xml:space="preserve">[4]</w:t>
        </w:r>
      </w:hyperlink>
      <w:r>
        <w:t xml:space="preserve">. Recovering an unbiased debris shadow price therefore means moving from a cross-sectional specification to a panel specification with within-operator and within-regime variation, and exploiting the discrete, plausibly exogenous shifts in the local debris environment that named fragmentation events produce</w:t>
      </w:r>
      <w:r>
        <w:t xml:space="preserve"> </w:t>
      </w:r>
      <w:hyperlink w:anchor="ref-7">
        <w:r>
          <w:rPr>
            <w:rStyle w:val="Hyperlink"/>
          </w:rPr>
          <w:t xml:space="preserve">[7]</w:t>
        </w:r>
      </w:hyperlink>
      <w:r>
        <w:t xml:space="preserve">. That is the methodological transposition the dissertation undertakes. The domain literature described the externality; the method literature supplied the estimator; what remained was the joint specification.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makes one falsifiable contribution, and it is worth stating precisely.</w:t>
      </w:r>
    </w:p>
    <w:p>
      <w:pPr>
        <w:pStyle w:val="BodyText"/>
        <w:spacing w:line="480" w:lineRule="auto"/>
        <w:ind w:firstLine="720"/>
      </w:pPr>
      <w:r>
        <w:t xml:space="preserve">Let the unit of observation be a satellite-policy-year, indexed by satellite i, by operator o, by orbital regime r, and by year t. Let the dependent variable be the natural logarithm of the annual insurance or reinsurance premium rate per United States dollar of insured value on policy i in year t. The principal regressor is the cumulative conjunction-rate exposure of satellite i over policy year t, constructed from the United States Space Force eighteenth Space Defense Squadron public conjunction data messages, validated against the methodology Oltrogge and colleagues established for geosynchronous Earth orbit</w:t>
      </w:r>
      <w:r>
        <w:t xml:space="preserve"> </w:t>
      </w:r>
      <w:hyperlink w:anchor="ref-7">
        <w:r>
          <w:rPr>
            <w:rStyle w:val="Hyperlink"/>
          </w:rPr>
          <w:t xml:space="preserve">[7]</w:t>
        </w:r>
      </w:hyperlink>
      <w:r>
        <w:t xml:space="preserve"> </w:t>
      </w:r>
      <w:r>
        <w:t xml:space="preserve">and extended to low and medium Earth orbit. Controls comprise dry mass, design life, manufacturer, launch vintage, hull configuration, a contested-environment index of the form used in the international space weapons literature</w:t>
      </w:r>
      <w:r>
        <w:t xml:space="preserve"> </w:t>
      </w:r>
      <w:hyperlink w:anchor="ref-8">
        <w:r>
          <w:rPr>
            <w:rStyle w:val="Hyperlink"/>
          </w:rPr>
          <w:t xml:space="preserve">[8]</w:t>
        </w:r>
      </w:hyperlink>
      <w:r>
        <w:t xml:space="preserve">, and a measurement-error bound derived from the SpaceAble in-orbit inspection literature on catalog completeness [9, 18]. Operator fixed effects absorb time-invariant heterogeneity at the operator level; year fixed effects absorb common market-cycle shocks of the kind the broker reports [14, 15] and the Swiss Re Institute briefing</w:t>
      </w:r>
      <w:r>
        <w:t xml:space="preserve"> </w:t>
      </w:r>
      <w:hyperlink w:anchor="ref-16">
        <w:r>
          <w:rPr>
            <w:rStyle w:val="Hyperlink"/>
          </w:rPr>
          <w:t xml:space="preserve">[16]</w:t>
        </w:r>
      </w:hyperlink>
      <w:r>
        <w:t xml:space="preserve"> </w:t>
      </w:r>
      <w:r>
        <w:t xml:space="preserve">document. Standard errors are clustered at the operator level.</w:t>
      </w:r>
    </w:p>
    <w:p>
      <w:pPr>
        <w:pStyle w:val="BodyText"/>
        <w:spacing w:line="480" w:lineRule="auto"/>
        <w:ind w:firstLine="720"/>
      </w:pPr>
      <w:r>
        <w:t xml:space="preserve">Under the null hypothesis, conditional on the full control vector and the two-way fixed-effects structure, the coefficient on cumulative conjunction-rate exposure is zero. Under the alternative, an increase of one standard deviation in cumulative conjunction-rate exposure produces a strictly positive and statistically significant increase in the log premium rate per insured dollar at the five percent level, using cluster-robust standard errors at the operator level. Fail to reject the null and you falsify the claim that satellite insurance and reinsurance markets price catalogued debris exposure once exposure horizon, concentration of severity, and operator composition are held constant. Reject it in favor of the alternative and you get a point estimate of the hedonic shadow price of debris exposure, denominated in basis points of annual premium rate per standard deviation of cumulative conjunction-rate exposure, that carries directly into the agency’s mitigation cost-benefit analyses and acquisition trade studies.</w:t>
      </w:r>
    </w:p>
    <w:p>
      <w:pPr>
        <w:pStyle w:val="BodyText"/>
        <w:spacing w:line="480" w:lineRule="auto"/>
        <w:ind w:firstLine="720"/>
      </w:pPr>
      <w:r>
        <w:t xml:space="preserve">Why is this falsifiable in the Popperian sense? Three reasons. Data, not assumption, fix the sign and magnitude of the estimated coefficient. The identification strategy, which uses fragmentation events of non-deliberate origin as instruments for the cumulative-conjunction-rate covariate in a two-stage least squares specification reported alongside the ordinary least squares panel results, carries an explicit and testable exclusion restriction: that fragmentation events affect premia only through their effect on the local debris environment, not through correlated shocks to operator demand for coverage or to reinsurer capital constraints</w:t>
      </w:r>
      <w:r>
        <w:t xml:space="preserve"> </w:t>
      </w:r>
      <w:hyperlink w:anchor="ref-8">
        <w:r>
          <w:rPr>
            <w:rStyle w:val="Hyperlink"/>
          </w:rPr>
          <w:t xml:space="preserve">[8]</w:t>
        </w:r>
      </w:hyperlink>
      <w:r>
        <w:t xml:space="preserve">. That exclusion restriction is itself testable, through pre-trend analysis and through placebo tests on regimes the named event left untouched. And the recovered shadow price is reported with cluster-robust confidence intervals at the operator level, so any downstream user can check whether the uncertainty around the point estimate is narrow enough to support the decision in front of them.</w:t>
      </w:r>
    </w:p>
    <w:p>
      <w:pPr>
        <w:pStyle w:val="BodyText"/>
        <w:spacing w:line="480" w:lineRule="auto"/>
        <w:ind w:firstLine="720"/>
      </w:pPr>
      <w:r>
        <w:t xml:space="preserve">The contribution is methodological as well as substantive. It transposes a hedonic estimator standard in environmental and real-estate economics</w:t>
      </w:r>
      <w:r>
        <w:t xml:space="preserve"> </w:t>
      </w:r>
      <w:hyperlink w:anchor="ref-11">
        <w:r>
          <w:rPr>
            <w:rStyle w:val="Hyperlink"/>
          </w:rPr>
          <w:t xml:space="preserve">[11]</w:t>
        </w:r>
      </w:hyperlink>
      <w:r>
        <w:t xml:space="preserve"> </w:t>
      </w:r>
      <w:r>
        <w:t xml:space="preserve">into a domain whose externality has been described qualitatively for at least two decades [1, 4] but never priced from market transactions. The dissertation does not advance the hedonic method itself. It advances the method’s application to a domain whose underlying transaction data were, until very recently, treated as too proprietary to support econometric work, and whose engineering covariates were, until very recently, treated as too operational to enter an economic specification. What makes the contribution possible now is a convergence: public conjunction data messages from the eighteenth Space Defense Squadron, the European Space Agency Database and Information System Characterising Objects in Space, the NASA Orbital Debris Program Office quarterly history of on-orbit breakups</w:t>
      </w:r>
      <w:r>
        <w:t xml:space="preserve"> </w:t>
      </w:r>
      <w:hyperlink w:anchor="ref-12">
        <w:r>
          <w:rPr>
            <w:rStyle w:val="Hyperlink"/>
          </w:rPr>
          <w:t xml:space="preserve">[12]</w:t>
        </w:r>
      </w:hyperlink>
      <w:r>
        <w:t xml:space="preserve">, and the European Space Agency Annual Space Environment Report</w:t>
      </w:r>
      <w:r>
        <w:t xml:space="preserve"> </w:t>
      </w:r>
      <w:hyperlink w:anchor="ref-13">
        <w:r>
          <w:rPr>
            <w:rStyle w:val="Hyperlink"/>
          </w:rPr>
          <w:t xml:space="preserve">[13]</w:t>
        </w:r>
      </w:hyperlink>
      <w:r>
        <w:t xml:space="preserve">, meeting broker placement records made available through a research agreement with a London market broker.</w:t>
      </w:r>
    </w:p>
    <w:bookmarkEnd w:id="63"/>
    <w:bookmarkStart w:id="64" w:name="roadmap"/>
    <w:p>
      <w:pPr>
        <w:pStyle w:val="Heading2"/>
        <w:spacing w:line="480" w:lineRule="auto"/>
      </w:pPr>
      <w:r>
        <w:t xml:space="preserve">1.4 Roadmap</w:t>
      </w:r>
    </w:p>
    <w:p>
      <w:pPr>
        <w:pStyle w:val="FirstParagraph"/>
        <w:spacing w:line="480" w:lineRule="auto"/>
      </w:pPr>
      <w:r>
        <w:t xml:space="preserve">Eight chapters follow.</w:t>
      </w:r>
    </w:p>
    <w:p>
      <w:pPr>
        <w:pStyle w:val="BodyText"/>
        <w:spacing w:line="480" w:lineRule="auto"/>
        <w:ind w:firstLine="720"/>
      </w:pPr>
      <w:r>
        <w:t xml:space="preserve">Chapter 2 reviews the literature in the two camps identified above and documents their non-intersection at more depth than this introduction allows. It synthesizes the policy and economic treatments of debris as a commons problem [1, 3], the engineering treatments of collision likelihood</w:t>
      </w:r>
      <w:r>
        <w:t xml:space="preserve"> </w:t>
      </w:r>
      <w:hyperlink w:anchor="ref-7">
        <w:r>
          <w:rPr>
            <w:rStyle w:val="Hyperlink"/>
          </w:rPr>
          <w:t xml:space="preserve">[7]</w:t>
        </w:r>
      </w:hyperlink>
      <w:r>
        <w:t xml:space="preserve">, the operational treatments of insurance pricing [2, 4, 14, 15, 16], and the adjacent literatures on space traffic management</w:t>
      </w:r>
      <w:r>
        <w:t xml:space="preserve"> </w:t>
      </w:r>
      <w:hyperlink w:anchor="ref-26">
        <w:r>
          <w:rPr>
            <w:rStyle w:val="Hyperlink"/>
          </w:rPr>
          <w:t xml:space="preserve">[26]</w:t>
        </w:r>
      </w:hyperlink>
      <w:r>
        <w:t xml:space="preserve">, on on-orbit servicing economics</w:t>
      </w:r>
      <w:r>
        <w:t xml:space="preserve"> </w:t>
      </w:r>
      <w:hyperlink w:anchor="ref-27">
        <w:r>
          <w:rPr>
            <w:rStyle w:val="Hyperlink"/>
          </w:rPr>
          <w:t xml:space="preserve">[27]</w:t>
        </w:r>
      </w:hyperlink>
      <w:r>
        <w:t xml:space="preserve">, on stakeholder-incentive mechanisms</w:t>
      </w:r>
      <w:r>
        <w:t xml:space="preserve"> </w:t>
      </w:r>
      <w:hyperlink w:anchor="ref-28">
        <w:r>
          <w:rPr>
            <w:rStyle w:val="Hyperlink"/>
          </w:rPr>
          <w:t xml:space="preserve">[28]</w:t>
        </w:r>
      </w:hyperlink>
      <w:r>
        <w:t xml:space="preserve">, on space-resource market evaluation</w:t>
      </w:r>
      <w:r>
        <w:t xml:space="preserve"> </w:t>
      </w:r>
      <w:hyperlink w:anchor="ref-29">
        <w:r>
          <w:rPr>
            <w:rStyle w:val="Hyperlink"/>
          </w:rPr>
          <w:t xml:space="preserve">[29]</w:t>
        </w:r>
      </w:hyperlink>
      <w:r>
        <w:t xml:space="preserve">, and on the legal liability of artificial intelligence in outer space</w:t>
      </w:r>
      <w:r>
        <w:t xml:space="preserve"> </w:t>
      </w:r>
      <w:hyperlink w:anchor="ref-33">
        <w:r>
          <w:rPr>
            <w:rStyle w:val="Hyperlink"/>
          </w:rPr>
          <w:t xml:space="preserve">[33]</w:t>
        </w:r>
      </w:hyperlink>
      <w:r>
        <w:t xml:space="preserve">. It then reviews the hedonic price model and its inferential properties</w:t>
      </w:r>
      <w:r>
        <w:t xml:space="preserve"> </w:t>
      </w:r>
      <w:hyperlink w:anchor="ref-11">
        <w:r>
          <w:rPr>
            <w:rStyle w:val="Hyperlink"/>
          </w:rPr>
          <w:t xml:space="preserve">[11]</w:t>
        </w:r>
      </w:hyperlink>
      <w:r>
        <w:t xml:space="preserve">, and locates the dissertation’s contribution at the intersection.</w:t>
      </w:r>
    </w:p>
    <w:p>
      <w:pPr>
        <w:pStyle w:val="BodyText"/>
        <w:spacing w:line="480" w:lineRule="auto"/>
        <w:ind w:firstLine="720"/>
      </w:pPr>
      <w:r>
        <w:t xml:space="preserve">Chapter 3 develops the theoretical framework. It specifies the equilibrium price function for satellite insurance under a Rosen-type hedonic model, derives the conditions under which the coefficient on cumulative conjunction-rate exposure reads as a compensating variation for marginal debris exposure, and identifies the regularity conditions the panel hedonic estimator needs to recover a structural shadow price.</w:t>
      </w:r>
    </w:p>
    <w:p>
      <w:pPr>
        <w:pStyle w:val="BodyText"/>
        <w:spacing w:line="480" w:lineRule="auto"/>
        <w:ind w:firstLine="720"/>
      </w:pPr>
      <w:r>
        <w:t xml:space="preserve">Chapter 4 presents the data. It documents how the satellite-policy-year panel gets built from the Lloyd’s of London and International Union of Aerospace Insurers historical placement record supplemented by Seradata SpaceTrak aggregates, how the cumulative conjunction-rate exposure variable gets constructed from public conjunction data messages and from the European Space Agency Database and Information System Characterising Objects in Space, how the fragmentation-event instrument gets built from the NASA Orbital Debris Program Office quarterly history of on-orbit breakups</w:t>
      </w:r>
      <w:r>
        <w:t xml:space="preserve"> </w:t>
      </w:r>
      <w:hyperlink w:anchor="ref-12">
        <w:r>
          <w:rPr>
            <w:rStyle w:val="Hyperlink"/>
          </w:rPr>
          <w:t xml:space="preserve">[12]</w:t>
        </w:r>
      </w:hyperlink>
      <w:r>
        <w:t xml:space="preserve">, and how the contested-environment control gets constructed from the Center for Strategic and International Studies index of the form used in</w:t>
      </w:r>
      <w:r>
        <w:t xml:space="preserve"> </w:t>
      </w:r>
      <w:hyperlink w:anchor="ref-8">
        <w:r>
          <w:rPr>
            <w:rStyle w:val="Hyperlink"/>
          </w:rPr>
          <w:t xml:space="preserve">[8]</w:t>
        </w:r>
      </w:hyperlink>
      <w:r>
        <w:t xml:space="preserve">. Provenance and missingness are reported at the level an agency consumer of the estimate would require.</w:t>
      </w:r>
    </w:p>
    <w:p>
      <w:pPr>
        <w:pStyle w:val="BodyText"/>
        <w:spacing w:line="480" w:lineRule="auto"/>
        <w:ind w:firstLine="720"/>
      </w:pPr>
      <w:r>
        <w:t xml:space="preserve">Chapter 5 specifies the empirical model and the identification strategy: the ordinary least squares two-way fixed-effects panel hedonic, the two-stage least squares instrumental-variables specification using non-deliberate fragmentation events, the Heckman selection correction for operators who self-insure or who pool risk through national arrangements, and the heterogeneity specifications by orbital regime, by hull category, and by reinsurance layer.</w:t>
      </w:r>
    </w:p>
    <w:p>
      <w:pPr>
        <w:pStyle w:val="BodyText"/>
        <w:spacing w:line="480" w:lineRule="auto"/>
        <w:ind w:firstLine="720"/>
      </w:pPr>
      <w:r>
        <w:t xml:space="preserve">Chapter 6 reports the main estimation results: the point estimate of the hedonic shadow price of cumulative conjunction-rate exposure, its cluster-robust confidence interval, and the results of the instrumental-variables specification. It sets the recovered estimate against the two pilot studies, explaining why the cross-sectional pilots recovered a negatively signed and a null coefficient respectively, and showing the within-operator within-regime variation the panel specification exploits.</w:t>
      </w:r>
    </w:p>
    <w:p>
      <w:pPr>
        <w:pStyle w:val="BodyText"/>
        <w:spacing w:line="480" w:lineRule="auto"/>
        <w:ind w:firstLine="720"/>
      </w:pPr>
      <w:r>
        <w:t xml:space="preserve">Chapter 7 reports the robustness exercises: the deliberate-origin fragmentation subsample, the post-2014 catalog-completeness restriction, the SpaceAble-bounded measurement-error specification [9, 18], the Heckman selection-corrected estimates, and the placebo tests on regimes the named fragmentation events left unaffected.</w:t>
      </w:r>
    </w:p>
    <w:p>
      <w:pPr>
        <w:pStyle w:val="BodyText"/>
        <w:spacing w:line="480" w:lineRule="auto"/>
        <w:ind w:firstLine="720"/>
      </w:pPr>
      <w:r>
        <w:t xml:space="preserve">Chapter 8 translates the estimate into the agency context. It carries the recovered shadow price into a NASA Orbital Debris Program Office mitigation cost-benefit analysis, a JPL acquisition trade study for a representative high-value mission, and an active-debris-removal investment case along the lines of the McKnight projection</w:t>
      </w:r>
      <w:r>
        <w:t xml:space="preserve"> </w:t>
      </w:r>
      <w:hyperlink w:anchor="ref-4">
        <w:r>
          <w:rPr>
            <w:rStyle w:val="Hyperlink"/>
          </w:rPr>
          <w:t xml:space="preserve">[4]</w:t>
        </w:r>
      </w:hyperlink>
      <w:r>
        <w:t xml:space="preserve">. It also works through what the estimate implies for any future orbital use fee, performance bond, or public reinsurance backstop, in dialogue with the incentive-mechanism literature</w:t>
      </w:r>
      <w:r>
        <w:t xml:space="preserve"> </w:t>
      </w:r>
      <w:hyperlink w:anchor="ref-28">
        <w:r>
          <w:rPr>
            <w:rStyle w:val="Hyperlink"/>
          </w:rPr>
          <w:t xml:space="preserve">[28]</w:t>
        </w:r>
      </w:hyperlink>
      <w:r>
        <w:t xml:space="preserve"> </w:t>
      </w:r>
      <w:r>
        <w:t xml:space="preserve">and the resource-market valuation literature</w:t>
      </w:r>
      <w:r>
        <w:t xml:space="preserve"> </w:t>
      </w:r>
      <w:hyperlink w:anchor="ref-29">
        <w:r>
          <w:rPr>
            <w:rStyle w:val="Hyperlink"/>
          </w:rPr>
          <w:t xml:space="preserve">[29]</w:t>
        </w:r>
      </w:hyperlink>
      <w:r>
        <w:t xml:space="preserve">.</w:t>
      </w:r>
    </w:p>
    <w:p>
      <w:pPr>
        <w:pStyle w:val="BodyText"/>
        <w:spacing w:line="480" w:lineRule="auto"/>
        <w:ind w:firstLine="720"/>
      </w:pPr>
      <w:r>
        <w:t xml:space="preserve">Chapter 9 concludes. It restates the falsifiable contribution and the status of the test against the null, summarizes the methodological transposition the dissertation completes, marks the boundary conditions outside which the estimate should not be extrapolated, and proposes three follow-on research designs: a multi-period panel extension to the cislunar regime, a within-mission rate-change event study around named fragmentation events, and a comparable hedonic specification for the emerging on-orbit servicing insurance segment identified in</w:t>
      </w:r>
      <w:r>
        <w:t xml:space="preserve"> </w:t>
      </w:r>
      <w:hyperlink w:anchor="ref-5">
        <w:r>
          <w:rPr>
            <w:rStyle w:val="Hyperlink"/>
          </w:rPr>
          <w:t xml:space="preserve">[5]</w:t>
        </w:r>
      </w:hyperlink>
      <w:r>
        <w:t xml:space="preserve">. It closes by returning to the stakes for NASA and for JPL with which this chapter opened, and by stating the precise sense in which a measured shadow price for debris risk advances the agency’s ability to make defensible mission-assurance and acquisition decisions.</w:t>
      </w:r>
    </w:p>
    <w:bookmarkEnd w:id="64"/>
    <w:bookmarkEnd w:id="65"/>
    <w:bookmarkStart w:id="80" w:name="chapter-2.-literature-review"/>
    <w:p>
      <w:pPr>
        <w:pStyle w:val="Heading1"/>
        <w:spacing w:line="480" w:lineRule="auto"/>
      </w:pPr>
      <w:r>
        <w:t xml:space="preserve">Chapter 2. Literature Review</w:t>
      </w:r>
    </w:p>
    <w:bookmarkStart w:id="66" w:name="purpose-and-organization-of-the-review"/>
    <w:p>
      <w:pPr>
        <w:pStyle w:val="Heading2"/>
        <w:spacing w:line="480" w:lineRule="auto"/>
      </w:pPr>
      <w:r>
        <w:t xml:space="preserve">2.1 Purpose and Organization of the Review</w:t>
      </w:r>
    </w:p>
    <w:p>
      <w:pPr>
        <w:pStyle w:val="FirstParagraph"/>
        <w:spacing w:line="480" w:lineRule="auto"/>
      </w:pPr>
      <w:r>
        <w:t xml:space="preserve">This chapter lays the intellectual ground the dissertation builds on and shows that the central research problem sits in an unoccupied seam between two mature but unjoined bodies of scholarship. One body is the domain technical and policy literature on orbital debris, the satellite insurance and reinsurance market, on-orbit servicing, active debris removal, and the wider risk landscape of the space economy. The other is the cliometric and econometric methodology of hedonic price modelling, panel identification, and the recovery of implicit shadow prices for environmental and locational disamenities from observed transaction data. These two literatures rarely speak to each other. Domain technical work names insurance as the conduit through which orbital risk is monetised, then declines to estimate the conduit; cliometric work has spent half a century estimating implicit prices for environmental disamenities, yet has not been carried into orbital space.</w:t>
      </w:r>
    </w:p>
    <w:p>
      <w:pPr>
        <w:pStyle w:val="BodyText"/>
        <w:spacing w:line="480" w:lineRule="auto"/>
        <w:ind w:firstLine="720"/>
      </w:pPr>
      <w:r>
        <w:t xml:space="preserve">Five movements organize the review. Section 2.2 surveys the domain technical literature on the orbital debris environment, on the propagation of collision risk into the loss distribution the insurance market underwrites, and on the prescriptive policy work that frames debris as an externality. Section 2.3 reviews the cliometric and econometric literature on hedonic price decomposition, starting from Rosen’s foundational specification</w:t>
      </w:r>
      <w:r>
        <w:t xml:space="preserve"> </w:t>
      </w:r>
      <w:hyperlink w:anchor="ref-11">
        <w:r>
          <w:rPr>
            <w:rStyle w:val="Hyperlink"/>
          </w:rPr>
          <w:t xml:space="preserve">[11]</w:t>
        </w:r>
      </w:hyperlink>
      <w:r>
        <w:t xml:space="preserve"> </w:t>
      </w:r>
      <w:r>
        <w:t xml:space="preserve">and tracing the methodological apparatus that has accumulated around it. Section 2.4 examines the empirical evidence that has begun, fragmentarily, to bring market data to bear on orbital risk, including the two pilot studies that constitute the candidate’s prior work on this question. Section 2.5 synthesises the two bodies and pins down, with precision, the analytic gap the dissertation occupies. Section 2.6 closes with a statement of the methodological transposition the dissertation undertakes and the conditions under which that transposition holds up.</w:t>
      </w:r>
    </w:p>
    <w:bookmarkEnd w:id="66"/>
    <w:bookmarkStart w:id="71" w:name="the-domain-technical-literature"/>
    <w:p>
      <w:pPr>
        <w:pStyle w:val="Heading2"/>
        <w:spacing w:line="480" w:lineRule="auto"/>
      </w:pPr>
      <w:r>
        <w:t xml:space="preserve">2.2 The Domain Technical Literature</w:t>
      </w:r>
    </w:p>
    <w:bookmarkStart w:id="67" w:name="X0ebd32a1dd83c74f60c2dc3f139cba212458a92"/>
    <w:p>
      <w:pPr>
        <w:pStyle w:val="Heading3"/>
        <w:spacing w:line="480" w:lineRule="auto"/>
      </w:pPr>
      <w:r>
        <w:t xml:space="preserve">2.2.1 The orbital debris environment and the resident space object population</w:t>
      </w:r>
    </w:p>
    <w:p>
      <w:pPr>
        <w:pStyle w:val="FirstParagraph"/>
        <w:spacing w:line="480" w:lineRule="auto"/>
      </w:pPr>
      <w:r>
        <w:t xml:space="preserve">By the standards of the space sciences, the technical understanding of the orbital debris environment as a cumulating physical hazard is mature. Catalogue records maintained by the NASA Orbital Debris Program Office and reported in the Orbital Debris Quarterly News</w:t>
      </w:r>
      <w:r>
        <w:t xml:space="preserve"> </w:t>
      </w:r>
      <w:hyperlink w:anchor="ref-12">
        <w:r>
          <w:rPr>
            <w:rStyle w:val="Hyperlink"/>
          </w:rPr>
          <w:t xml:space="preserve">[12]</w:t>
        </w:r>
      </w:hyperlink>
      <w:r>
        <w:t xml:space="preserve"> </w:t>
      </w:r>
      <w:r>
        <w:t xml:space="preserve">document the population of resident space objects above roughly ten centimetres in characteristic dimension, partitioned by altitude band, inclination, and parent provenance. Its European counterpart, the ESA Annual Space Environment Report</w:t>
      </w:r>
      <w:r>
        <w:t xml:space="preserve"> </w:t>
      </w:r>
      <w:hyperlink w:anchor="ref-13">
        <w:r>
          <w:rPr>
            <w:rStyle w:val="Hyperlink"/>
          </w:rPr>
          <w:t xml:space="preserve">[13]</w:t>
        </w:r>
      </w:hyperlink>
      <w:r>
        <w:t xml:space="preserve">, expresses the parallel data product as spatial-density profiles by orbital regime and as fragmentation-event time series. Together these two operational products form the empirical bedrock of any quantitative claim about the debris environment.</w:t>
      </w:r>
    </w:p>
    <w:p>
      <w:pPr>
        <w:pStyle w:val="BodyText"/>
        <w:spacing w:line="480" w:lineRule="auto"/>
        <w:ind w:firstLine="720"/>
      </w:pPr>
      <w:r>
        <w:t xml:space="preserve">What emerges from these sources is consistent across reporting agencies. Catalogued spatial density at low Earth orbit altitudes exceeds geostationary density by more than an order of magnitude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population is non-stationary, and the bulk of recent growth traces to a small number of discrete fragmentation events rather than to incremental shedding from active operations. McKnight’s foundational AMOS contribution argued that inactive resident space objects, not active satellites, generate the bulk of low Earth orbit collision risk, and that the operational implication was a steeply rising remediation cost if active debris removal were deferred</w:t>
      </w:r>
      <w:r>
        <w:t xml:space="preserve"> </w:t>
      </w:r>
      <w:hyperlink w:anchor="ref-4">
        <w:r>
          <w:rPr>
            <w:rStyle w:val="Hyperlink"/>
          </w:rPr>
          <w:t xml:space="preserve">[4]</w:t>
        </w:r>
      </w:hyperlink>
      <w:r>
        <w:t xml:space="preserve">. Subsequent reassessment has not overturned that argument.</w:t>
      </w:r>
    </w:p>
    <w:p>
      <w:pPr>
        <w:pStyle w:val="BodyText"/>
        <w:spacing w:line="480" w:lineRule="auto"/>
        <w:ind w:firstLine="720"/>
      </w:pPr>
      <w:r>
        <w:t xml:space="preserve">The technical literature on collision likelihood proper, as distinct from population accounting, has matured most fully for the geosynchronous regime. Oltrogge and colleagues produced what remains the most comprehensive single assessment of collision likelihood in geosynchronous Earth orbit</w:t>
      </w:r>
      <w:r>
        <w:t xml:space="preserve"> </w:t>
      </w:r>
      <w:hyperlink w:anchor="ref-7">
        <w:r>
          <w:rPr>
            <w:rStyle w:val="Hyperlink"/>
          </w:rPr>
          <w:t xml:space="preserve">[7]</w:t>
        </w:r>
      </w:hyperlink>
      <w:r>
        <w:t xml:space="preserve">, concluding that instantaneous risk at geosynchronous altitudes stays low even as the population grows while the longitudinal trend warrants continuous monitoring. Coupling high-fidelity conjunction screening with statistical aggregation across the operational catalogue, the Oltrogge methodology has since become the de facto reference for any work that needs a defensible per-object conjunction rate at geosynchronous altitudes. Companion work on the operational architecture for sustainable low Earth orbit operations, including the Zamoum and colleagues complete space situational awareness scheme that combines data aggregation, artificial intelligence, and in-orbit inspection</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has begun to articulate the data-pipeline preconditions for extending the Oltrogge approach into low Earth orbit, where catalogue completeness and tasking economics bind more tightly.</w:t>
      </w:r>
    </w:p>
    <w:bookmarkEnd w:id="67"/>
    <w:bookmarkStart w:id="68" w:name="X646fdd295131a21d8de1cec760b61db1351a276"/>
    <w:p>
      <w:pPr>
        <w:pStyle w:val="Heading3"/>
        <w:spacing w:line="480" w:lineRule="auto"/>
      </w:pPr>
      <w:r>
        <w:t xml:space="preserve">2.2.2 The satellite insurance and reinsurance market</w:t>
      </w:r>
    </w:p>
    <w:p>
      <w:pPr>
        <w:pStyle w:val="FirstParagraph"/>
        <w:spacing w:line="480" w:lineRule="auto"/>
      </w:pPr>
      <w:r>
        <w:t xml:space="preserve">Through the satellite insurance and reinsurance market, orbital risk gets converted into a financial price. Annual market-update publications from the major brokers and reinsurers, including the Aon Space Insurance Market Update</w:t>
      </w:r>
      <w:r>
        <w:t xml:space="preserve"> </w:t>
      </w:r>
      <w:hyperlink w:anchor="ref-14">
        <w:r>
          <w:rPr>
            <w:rStyle w:val="Hyperlink"/>
          </w:rPr>
          <w:t xml:space="preserve">[14]</w:t>
        </w:r>
      </w:hyperlink>
      <w:r>
        <w:t xml:space="preserve">, the Marsh Space Insurance Market Report</w:t>
      </w:r>
      <w:r>
        <w:t xml:space="preserve"> </w:t>
      </w:r>
      <w:hyperlink w:anchor="ref-15">
        <w:r>
          <w:rPr>
            <w:rStyle w:val="Hyperlink"/>
          </w:rPr>
          <w:t xml:space="preserve">[15]</w:t>
        </w:r>
      </w:hyperlink>
      <w:r>
        <w:t xml:space="preserve">, and the Swiss Re Institute review of space risks</w:t>
      </w:r>
      <w:r>
        <w:t xml:space="preserve"> </w:t>
      </w:r>
      <w:hyperlink w:anchor="ref-16">
        <w:r>
          <w:rPr>
            <w:rStyle w:val="Hyperlink"/>
          </w:rPr>
          <w:t xml:space="preserve">[16]</w:t>
        </w:r>
      </w:hyperlink>
      <w:r>
        <w:t xml:space="preserve">, amount to the closest thing to a public record of premium movements, capacity, and loss experience. Written for an industry audience, these products report headline figures: aggregate premium, aggregate insured value, sector-average rates by orbital regime, and recurrent qualitative commentary on market conditions. In their public form they do not decompose premium rates into orbital-environment attributes, and they report mission-level rate observations only where individual placements have been disclosed for separate reasons.</w:t>
      </w:r>
    </w:p>
    <w:p>
      <w:pPr>
        <w:pStyle w:val="BodyText"/>
        <w:spacing w:line="480" w:lineRule="auto"/>
        <w:ind w:firstLine="720"/>
      </w:pPr>
      <w:r>
        <w:t xml:space="preserve">By comparison, the academic and conference literature on space insurance is thin. Shahady’s AMOS contribution remains the most cited public quantitative anchor: she documented an average geosynchronous insurance cost of roughly thirty million dollars per insured operator and argued that the joint pressure of debris accumulation and space-weapons contestation is depressing the intrinsic and actual value of geosynchronous slots</w:t>
      </w:r>
      <w:r>
        <w:t xml:space="preserve"> </w:t>
      </w:r>
      <w:hyperlink w:anchor="ref-2">
        <w:r>
          <w:rPr>
            <w:rStyle w:val="Hyperlink"/>
          </w:rPr>
          <w:t xml:space="preserve">[2]</w:t>
        </w:r>
      </w:hyperlink>
      <w:r>
        <w:t xml:space="preserve">,</w:t>
      </w:r>
      <w:r>
        <w:t xml:space="preserve"> </w:t>
      </w:r>
      <w:hyperlink w:anchor="ref-20">
        <w:r>
          <w:rPr>
            <w:rStyle w:val="Hyperlink"/>
          </w:rPr>
          <w:t xml:space="preserve">[20]</w:t>
        </w:r>
      </w:hyperlink>
      <w:r>
        <w:t xml:space="preserve">. Her framing matters because it connects the orbital environment to the financial valuation of the orbital regime itself, not merely to the cost of insuring an individual asset, and because it anchors the policy claim that insurers can reduce premiums when on-orbit servicing or active debris mitigation is in place. Writing on the data-driven governance of artificial-intelligence-enabled space systems, Tricco and colleagues observed in passing that the insurance industry faces a structural challenge in sustaining its business model as the debris population multiplies</w:t>
      </w:r>
      <w:r>
        <w:t xml:space="preserve"> </w:t>
      </w:r>
      <w:hyperlink w:anchor="ref-6">
        <w:r>
          <w:rPr>
            <w:rStyle w:val="Hyperlink"/>
          </w:rPr>
          <w:t xml:space="preserve">[6]</w:t>
        </w:r>
      </w:hyperlink>
      <w:r>
        <w:t xml:space="preserve">,</w:t>
      </w:r>
      <w:r>
        <w:t xml:space="preserve"> </w:t>
      </w:r>
      <w:hyperlink w:anchor="ref-32">
        <w:r>
          <w:rPr>
            <w:rStyle w:val="Hyperlink"/>
          </w:rPr>
          <w:t xml:space="preserve">[32]</w:t>
        </w:r>
      </w:hyperlink>
      <w:r>
        <w:t xml:space="preserve">. Graham and colleagues extended the legal-liability frame to the autonomous-systems case</w:t>
      </w:r>
      <w:r>
        <w:t xml:space="preserve"> </w:t>
      </w:r>
      <w:hyperlink w:anchor="ref-33">
        <w:r>
          <w:rPr>
            <w:rStyle w:val="Hyperlink"/>
          </w:rPr>
          <w:t xml:space="preserve">[33]</w:t>
        </w:r>
      </w:hyperlink>
      <w:r>
        <w:t xml:space="preserve">. None of these contributions produces a price decomposition. They name the price and they argue about it; they leave it unestimated.</w:t>
      </w:r>
    </w:p>
    <w:bookmarkEnd w:id="68"/>
    <w:bookmarkStart w:id="69" w:name="Xae8527df7357e602691116233618a3d54edd06c"/>
    <w:p>
      <w:pPr>
        <w:pStyle w:val="Heading3"/>
        <w:spacing w:line="480" w:lineRule="auto"/>
      </w:pPr>
      <w:r>
        <w:t xml:space="preserve">2.2.3 On-orbit servicing, active debris removal, and remediation economics</w:t>
      </w:r>
    </w:p>
    <w:p>
      <w:pPr>
        <w:pStyle w:val="FirstParagraph"/>
        <w:spacing w:line="480" w:lineRule="auto"/>
      </w:pPr>
      <w:r>
        <w:t xml:space="preserve">A third strand of the domain literature makes the engineering and economic case for on-orbit servicing and active debris removal as a class of remediation interventions. McKnight’s original pay-me-now-or-pay-me-more-later framing</w:t>
      </w:r>
      <w:r>
        <w:t xml:space="preserve"> </w:t>
      </w:r>
      <w:hyperlink w:anchor="ref-4">
        <w:r>
          <w:rPr>
            <w:rStyle w:val="Hyperlink"/>
          </w:rPr>
          <w:t xml:space="preserve">[4]</w:t>
        </w:r>
      </w:hyperlink>
      <w:r>
        <w:t xml:space="preserve">,</w:t>
      </w:r>
      <w:r>
        <w:t xml:space="preserve"> </w:t>
      </w:r>
      <w:hyperlink w:anchor="ref-21">
        <w:r>
          <w:rPr>
            <w:rStyle w:val="Hyperlink"/>
          </w:rPr>
          <w:t xml:space="preserve">[21]</w:t>
        </w:r>
      </w:hyperlink>
      <w:r>
        <w:t xml:space="preserve"> </w:t>
      </w:r>
      <w:r>
        <w:t xml:space="preserve">was an early attempt to sketch the economic geometry: the marginal cost of remediation rises with deferral because the underlying population grows, and the case for early action turns on a credible estimate of the avoided future cost. Later work has sharpened the engineering side of the argument. Pearson and colleagues described the design and operation of an electrodynamic debris eliminator concept</w:t>
      </w:r>
      <w:r>
        <w:t xml:space="preserve"> </w:t>
      </w:r>
      <w:hyperlink w:anchor="ref-23">
        <w:r>
          <w:rPr>
            <w:rStyle w:val="Hyperlink"/>
          </w:rPr>
          <w:t xml:space="preserve">[23]</w:t>
        </w:r>
      </w:hyperlink>
      <w:r>
        <w:t xml:space="preserve">. Shell explored commercially hosted payloads for debris monitoring and mission assurance in the geosynchronous regime</w:t>
      </w:r>
      <w:r>
        <w:t xml:space="preserve"> </w:t>
      </w:r>
      <w:hyperlink w:anchor="ref-24">
        <w:r>
          <w:rPr>
            <w:rStyle w:val="Hyperlink"/>
          </w:rPr>
          <w:t xml:space="preserve">[24]</w:t>
        </w:r>
      </w:hyperlink>
      <w:r>
        <w:t xml:space="preserve">. In a more recent AMOS contribution, Tuttle, McKnight, and Maclay refined active debris removal strategies, addressing target prioritisation and the operational profile of the candidate remover vehicles explicitly</w:t>
      </w:r>
      <w:r>
        <w:t xml:space="preserve"> </w:t>
      </w:r>
      <w:hyperlink w:anchor="ref-25">
        <w:r>
          <w:rPr>
            <w:rStyle w:val="Hyperlink"/>
          </w:rPr>
          <w:t xml:space="preserve">[25]</w:t>
        </w:r>
      </w:hyperlink>
      <w:r>
        <w:t xml:space="preserve">. Liu and colleagues provided an economic value analysis of on-orbit servicing for geosynchronous communication satellites, the closest existing study to an explicit cost-benefit on the servicing side</w:t>
      </w:r>
      <w:r>
        <w:t xml:space="preserve"> </w:t>
      </w:r>
      <w:hyperlink w:anchor="ref-27">
        <w:r>
          <w:rPr>
            <w:rStyle w:val="Hyperlink"/>
          </w:rPr>
          <w:t xml:space="preserve">[27]</w:t>
        </w:r>
      </w:hyperlink>
      <w:r>
        <w:t xml:space="preserve">.</w:t>
      </w:r>
    </w:p>
    <w:p>
      <w:pPr>
        <w:pStyle w:val="BodyText"/>
        <w:spacing w:line="480" w:lineRule="auto"/>
        <w:ind w:firstLine="720"/>
      </w:pPr>
      <w:r>
        <w:t xml:space="preserve">A shared dependence on a price links all of these contributions, and it is that dependence that motivates the present dissertation. Every remediation case study, whether of active debris removal or of on-orbit servicing, needs the avoided cost of a marginal unit of debris exposure as an input. Almost without exception, the technical literature has assumed that price rather than measured it. McKnight stated explicitly that insurance premia would rise once collision risk crossed roughly one and one half percent per year</w:t>
      </w:r>
      <w:r>
        <w:t xml:space="preserve"> </w:t>
      </w:r>
      <w:hyperlink w:anchor="ref-4">
        <w:r>
          <w:rPr>
            <w:rStyle w:val="Hyperlink"/>
          </w:rPr>
          <w:t xml:space="preserve">[4]</w:t>
        </w:r>
      </w:hyperlink>
      <w:r>
        <w:t xml:space="preserve">; the statement was a projection, not an estimate from observed transactions. Liu and colleagues used assumed premium impacts to score servicing return on investment</w:t>
      </w:r>
      <w:r>
        <w:t xml:space="preserve"> </w:t>
      </w:r>
      <w:hyperlink w:anchor="ref-27">
        <w:r>
          <w:rPr>
            <w:rStyle w:val="Hyperlink"/>
          </w:rPr>
          <w:t xml:space="preserve">[27]</w:t>
        </w:r>
      </w:hyperlink>
      <w:r>
        <w:t xml:space="preserve">. Tuttle and colleagues argued for prioritisation rules whose welfare ranking depends on a price the literature has not produced</w:t>
      </w:r>
      <w:r>
        <w:t xml:space="preserve"> </w:t>
      </w:r>
      <w:hyperlink w:anchor="ref-25">
        <w:r>
          <w:rPr>
            <w:rStyle w:val="Hyperlink"/>
          </w:rPr>
          <w:t xml:space="preserve">[25]</w:t>
        </w:r>
      </w:hyperlink>
      <w:r>
        <w:t xml:space="preserve">.</w:t>
      </w:r>
    </w:p>
    <w:bookmarkEnd w:id="69"/>
    <w:bookmarkStart w:id="70" w:name="the-policy-and-governance-literature"/>
    <w:p>
      <w:pPr>
        <w:pStyle w:val="Heading3"/>
        <w:spacing w:line="480" w:lineRule="auto"/>
      </w:pPr>
      <w:r>
        <w:t xml:space="preserve">2.2.4 The policy and governance literature</w:t>
      </w:r>
    </w:p>
    <w:p>
      <w:pPr>
        <w:pStyle w:val="FirstParagraph"/>
        <w:spacing w:line="480" w:lineRule="auto"/>
      </w:pPr>
      <w:r>
        <w:t xml:space="preserve">A parallel policy literature frames orbital debris as an externality in the canonical sense. Weinzierl’s treatment of the economic frontier of space provided the most widely cited general framing, arguing that orbital debris is an archetypal negative externality whose internalisation requires property-rights instruments, Pigouvian fees, or quantity-based mechanisms</w:t>
      </w:r>
      <w:r>
        <w:t xml:space="preserve"> </w:t>
      </w:r>
      <w:hyperlink w:anchor="ref-1">
        <w:r>
          <w:rPr>
            <w:rStyle w:val="Hyperlink"/>
          </w:rPr>
          <w:t xml:space="preserve">[1]</w:t>
        </w:r>
      </w:hyperlink>
      <w:r>
        <w:t xml:space="preserve">. The Space Economy Papers corpus extends this argument across operator economics, sustainability, and integrated security frames</w:t>
      </w:r>
      <w:r>
        <w:t xml:space="preserve"> </w:t>
      </w:r>
      <w:hyperlink w:anchor="ref-3">
        <w:r>
          <w:rPr>
            <w:rStyle w:val="Hyperlink"/>
          </w:rPr>
          <w:t xml:space="preserve">[3]</w:t>
        </w:r>
      </w:hyperlink>
      <w:r>
        <w:t xml:space="preserve">, and the IRD Project research designs document</w:t>
      </w:r>
      <w:r>
        <w:t xml:space="preserve"> </w:t>
      </w:r>
      <w:hyperlink w:anchor="ref-17">
        <w:r>
          <w:rPr>
            <w:rStyle w:val="Hyperlink"/>
          </w:rPr>
          <w:t xml:space="preserve">[17]</w:t>
        </w:r>
      </w:hyperlink>
      <w:r>
        <w:t xml:space="preserve"> </w:t>
      </w:r>
      <w:r>
        <w:t xml:space="preserve">surveys the design space for orbital use fees, mandatory debris cover, and public reinsurance backstops. Hurova examined gamification as a mechanism for inducing voluntary compliance with mitigation guidelines</w:t>
      </w:r>
      <w:r>
        <w:t xml:space="preserve"> </w:t>
      </w:r>
      <w:hyperlink w:anchor="ref-10">
        <w:r>
          <w:rPr>
            <w:rStyle w:val="Hyperlink"/>
          </w:rPr>
          <w:t xml:space="preserve">[10]</w:t>
        </w:r>
      </w:hyperlink>
      <w:r>
        <w:t xml:space="preserve">, a contribution that addresses behavioural rather than financial internalisation. Sanchez-Ortiz and colleagues addressed outreach on space traffic management</w:t>
      </w:r>
      <w:r>
        <w:t xml:space="preserve"> </w:t>
      </w:r>
      <w:hyperlink w:anchor="ref-26">
        <w:r>
          <w:rPr>
            <w:rStyle w:val="Hyperlink"/>
          </w:rPr>
          <w:t xml:space="preserve">[26]</w:t>
        </w:r>
      </w:hyperlink>
      <w:r>
        <w:t xml:space="preserve">, and David and colleagues developed an incentive-based mechanism for fostering multi-stakeholder collaboration on space sustainability</w:t>
      </w:r>
      <w:r>
        <w:t xml:space="preserve"> </w:t>
      </w:r>
      <w:hyperlink w:anchor="ref-28">
        <w:r>
          <w:rPr>
            <w:rStyle w:val="Hyperlink"/>
          </w:rPr>
          <w:t xml:space="preserve">[28]</w:t>
        </w:r>
      </w:hyperlink>
      <w:r>
        <w:t xml:space="preserve">. Paravano, Locatelli, and Trucco situated value in the new space economy from the end-user perspective</w:t>
      </w:r>
      <w:r>
        <w:t xml:space="preserve"> </w:t>
      </w:r>
      <w:hyperlink w:anchor="ref-31">
        <w:r>
          <w:rPr>
            <w:rStyle w:val="Hyperlink"/>
          </w:rPr>
          <w:t xml:space="preserve">[31]</w:t>
        </w:r>
      </w:hyperlink>
      <w:r>
        <w:t xml:space="preserve">; the companion Trucco, Paravano, and Locatelli paper framed the broader dynamics of the risk landscape and identified insurance as one of the principal channels through which orbital risk is monetised</w:t>
      </w:r>
      <w:r>
        <w:t xml:space="preserve"> </w:t>
      </w:r>
      <w:hyperlink w:anchor="ref-5">
        <w:r>
          <w:rPr>
            <w:rStyle w:val="Hyperlink"/>
          </w:rPr>
          <w:t xml:space="preserve">[5]</w:t>
        </w:r>
      </w:hyperlink>
      <w:r>
        <w:t xml:space="preserve">,</w:t>
      </w:r>
      <w:r>
        <w:t xml:space="preserve"> </w:t>
      </w:r>
      <w:hyperlink w:anchor="ref-30">
        <w:r>
          <w:rPr>
            <w:rStyle w:val="Hyperlink"/>
          </w:rPr>
          <w:t xml:space="preserve">[30]</w:t>
        </w:r>
      </w:hyperlink>
      <w:r>
        <w:t xml:space="preserve">. For the contested-environment risk that travels in the same actuarial bundle as the debris risk, Harrison’s analysis of international perspectives on space weapons</w:t>
      </w:r>
      <w:r>
        <w:t xml:space="preserve"> </w:t>
      </w:r>
      <w:hyperlink w:anchor="ref-8">
        <w:r>
          <w:rPr>
            <w:rStyle w:val="Hyperlink"/>
          </w:rPr>
          <w:t xml:space="preserve">[8]</w:t>
        </w:r>
      </w:hyperlink>
      <w:r>
        <w:t xml:space="preserve">,</w:t>
      </w:r>
      <w:r>
        <w:t xml:space="preserve"> </w:t>
      </w:r>
      <w:hyperlink w:anchor="ref-19">
        <w:r>
          <w:rPr>
            <w:rStyle w:val="Hyperlink"/>
          </w:rPr>
          <w:t xml:space="preserve">[19]</w:t>
        </w:r>
      </w:hyperlink>
      <w:r>
        <w:t xml:space="preserve"> </w:t>
      </w:r>
      <w:r>
        <w:t xml:space="preserve">is the standard reference.</w:t>
      </w:r>
    </w:p>
    <w:p>
      <w:pPr>
        <w:pStyle w:val="BodyText"/>
        <w:spacing w:line="480" w:lineRule="auto"/>
        <w:ind w:firstLine="720"/>
      </w:pPr>
      <w:r>
        <w:t xml:space="preserve">What unifies this policy literature is an argument that a price wedge exists between the private cost of operation and the social cost of operation, and that the wedge must be closed by some instrument. It does not estimate the wedge. McKeown and colleagues’ recent treatment of how potential space-resources markets should be evaluated</w:t>
      </w:r>
      <w:r>
        <w:t xml:space="preserve"> </w:t>
      </w:r>
      <w:hyperlink w:anchor="ref-29">
        <w:r>
          <w:rPr>
            <w:rStyle w:val="Hyperlink"/>
          </w:rPr>
          <w:t xml:space="preserve">[29]</w:t>
        </w:r>
      </w:hyperlink>
      <w:r>
        <w:t xml:space="preserve"> </w:t>
      </w:r>
      <w:r>
        <w:t xml:space="preserve">shows the analytic posture: the framework is normative and design-oriented, and the empirical anchor remains an exercise to be performed elsewhere. Work by Latif, Chowdhury, and Bagchi on the on-chain validation of tracking data messages</w:t>
      </w:r>
      <w:r>
        <w:t xml:space="preserve"> </w:t>
      </w:r>
      <w:hyperlink w:anchor="ref-22">
        <w:r>
          <w:rPr>
            <w:rStyle w:val="Hyperlink"/>
          </w:rPr>
          <w:t xml:space="preserve">[22]</w:t>
        </w:r>
      </w:hyperlink>
      <w:r>
        <w:t xml:space="preserve"> </w:t>
      </w:r>
      <w:r>
        <w:t xml:space="preserve">shows the parallel technical movement toward data infrastructures that might, in time, support such estimation. The estimation itself has not been done.</w:t>
      </w:r>
    </w:p>
    <w:bookmarkEnd w:id="70"/>
    <w:bookmarkEnd w:id="71"/>
    <w:bookmarkStart w:id="76" w:name="X07fe73e594277fc276c6392b9242153367417e1"/>
    <w:p>
      <w:pPr>
        <w:pStyle w:val="Heading2"/>
        <w:spacing w:line="480" w:lineRule="auto"/>
      </w:pPr>
      <w:r>
        <w:t xml:space="preserve">2.3 The Cliometric and Econometric Methodology Literature</w:t>
      </w:r>
    </w:p>
    <w:bookmarkStart w:id="72" w:name="the-hedonic-foundation"/>
    <w:p>
      <w:pPr>
        <w:pStyle w:val="Heading3"/>
        <w:spacing w:line="480" w:lineRule="auto"/>
      </w:pPr>
      <w:r>
        <w:t xml:space="preserve">2.3.1 The hedonic foundation</w:t>
      </w:r>
    </w:p>
    <w:p>
      <w:pPr>
        <w:pStyle w:val="FirstParagraph"/>
        <w:spacing w:line="480" w:lineRule="auto"/>
      </w:pPr>
      <w:r>
        <w:t xml:space="preserve">Rosen’s 1974 specification of hedonic prices and implicit markets</w:t>
      </w:r>
      <w:r>
        <w:t xml:space="preserve"> </w:t>
      </w:r>
      <w:hyperlink w:anchor="ref-11">
        <w:r>
          <w:rPr>
            <w:rStyle w:val="Hyperlink"/>
          </w:rPr>
          <w:t xml:space="preserve">[11]</w:t>
        </w:r>
      </w:hyperlink>
      <w:r>
        <w:t xml:space="preserve"> </w:t>
      </w:r>
      <w:r>
        <w:t xml:space="preserve">founds the methodology this dissertation imports into the orbital domain. Rosen treated a differentiated good as a bundle of characteristics, each carrying an implicit price recovered from the cross section of transaction prices, and showed that under pure competition the equilibrium price function is a smooth envelope of the marginal valuations of buyers and the marginal costs of sellers. Under the Rosen conditions, the coefficients of a regression of price on characteristics read as compensating variations for incremental characteristic changes. Half a century of subsequent applied work in real-estate economics, environmental economics, labour economics, and transport economics has both validated the approach and refined its conditions of application.</w:t>
      </w:r>
    </w:p>
    <w:p>
      <w:pPr>
        <w:pStyle w:val="BodyText"/>
        <w:spacing w:line="480" w:lineRule="auto"/>
        <w:ind w:firstLine="720"/>
      </w:pPr>
      <w:r>
        <w:t xml:space="preserve">For a problem of the type considered here, the cliometric attractiveness of the hedonic specification is that it converts a continuous distribution of differentiated transactions into a structured estimate of the marginal valuation of a single attribute. In the satellite insurance market, the differentiated transactions are policies, the price is the premium rate per unit of insured value, and the attribute of interest is exposure to the orbital-debris environment. The hedonic apparatus supplies the analytic device for recovering an implicit price for that exposure from observed premium transactions, on the condition that the other attributes entering the bundle are adequately controlled and that the equilibrium conditions of Rosen’s framework are credibly satisfied.</w:t>
      </w:r>
    </w:p>
    <w:bookmarkEnd w:id="72"/>
    <w:bookmarkStart w:id="73" w:name="X67aff735db7e92bfbf52530b49ca84c19512f5f"/>
    <w:p>
      <w:pPr>
        <w:pStyle w:val="Heading3"/>
        <w:spacing w:line="480" w:lineRule="auto"/>
      </w:pPr>
      <w:r>
        <w:t xml:space="preserve">2.3.2 Panel identification and the threats to a cross-sectional hedonic</w:t>
      </w:r>
    </w:p>
    <w:p>
      <w:pPr>
        <w:pStyle w:val="FirstParagraph"/>
        <w:spacing w:line="480" w:lineRule="auto"/>
      </w:pPr>
      <w:r>
        <w:t xml:space="preserve">A cross-sectional hedonic, estimated by ordinary least squares on a single year of transactions, is the simplest implementation of the Rosen framework, and it is the one both pilot studies that anchor this dissertation pursue. It is also the most vulnerable to omitted-variable bias. If the attribute of interest is correlated with an unobserved characteristic that itself enters the price function, the cross-sectional coefficient on the attribute of interest will absorb a portion of the unobserved characteristic’s implicit price. In the satellite insurance application, the candidate omitted characteristics are dense and analytically inconvenient: operator-level underwriting relationships, vintage effects in launch-vehicle reliability, manufacturer-level platform heritage, and the market-cycle position of the placement year. Each is plausibly correlated with the orbital regime in which the insured satellite operates.</w:t>
      </w:r>
    </w:p>
    <w:p>
      <w:pPr>
        <w:pStyle w:val="BodyText"/>
        <w:spacing w:line="480" w:lineRule="auto"/>
        <w:ind w:firstLine="720"/>
      </w:pPr>
      <w:r>
        <w:t xml:space="preserve">Moving from cross section to panel is the standard methodological response, adding fixed effects that absorb the time-invariant unobserved characteristics at the operator level and the common shocks at the year level. A two-way fixed-effects panel hedonic, estimated on satellite-policy observations over a multi-year window, identifies the coefficient on the debris-exposure attribute from within-operator, within-year variation. That identifying variation is the variation in the debris environment an individual operator faces over the sample period, net of the average difference across operators and the common shock to all operators in a given year. This strategy has become standard in the environmental-hedonic literature, where the attribute of interest is typically a locational disamenity whose realisation varies over time at the household location.</w:t>
      </w:r>
    </w:p>
    <w:p>
      <w:pPr>
        <w:pStyle w:val="BodyText"/>
        <w:spacing w:line="480" w:lineRule="auto"/>
        <w:ind w:firstLine="720"/>
      </w:pPr>
      <w:r>
        <w:t xml:space="preserve">A second response, complementary rather than substitutionary, is to instrument the attribute of interest. Identify a credible source of exogenous variation in debris exposure and an instrumental-variables specification recovers a local average treatment effect robust to the residual endogeneity that fixed effects cannot absorb. Discrete fragmentation events, of the type the NASA Orbital Debris Program Office catalogues</w:t>
      </w:r>
      <w:r>
        <w:t xml:space="preserve"> </w:t>
      </w:r>
      <w:hyperlink w:anchor="ref-12">
        <w:r>
          <w:rPr>
            <w:rStyle w:val="Hyperlink"/>
          </w:rPr>
          <w:t xml:space="preserve">[12]</w:t>
        </w:r>
      </w:hyperlink>
      <w:r>
        <w:t xml:space="preserve"> </w:t>
      </w:r>
      <w:r>
        <w:t xml:space="preserve">and the ESA Annual Space Environment Report reports</w:t>
      </w:r>
      <w:r>
        <w:t xml:space="preserve"> </w:t>
      </w:r>
      <w:hyperlink w:anchor="ref-13">
        <w:r>
          <w:rPr>
            <w:rStyle w:val="Hyperlink"/>
          </w:rPr>
          <w:t xml:space="preserve">[13]</w:t>
        </w:r>
      </w:hyperlink>
      <w:r>
        <w:t xml:space="preserve">, are the candidate source. A fragmentation event shifts the local debris population non-incrementally and, under the maintained assumption that event timing is uncorrelated with the contemporaneous pricing decisions of any single insurer, plausibly exogenously.</w:t>
      </w:r>
    </w:p>
    <w:bookmarkEnd w:id="73"/>
    <w:bookmarkStart w:id="74" w:name="Xe4d41227798775701921f146b8764ca19c4122a"/>
    <w:p>
      <w:pPr>
        <w:pStyle w:val="Heading3"/>
        <w:spacing w:line="480" w:lineRule="auto"/>
      </w:pPr>
      <w:r>
        <w:t xml:space="preserve">2.3.3 The exclusion restriction and its defence</w:t>
      </w:r>
    </w:p>
    <w:p>
      <w:pPr>
        <w:pStyle w:val="FirstParagraph"/>
        <w:spacing w:line="480" w:lineRule="auto"/>
      </w:pPr>
      <w:r>
        <w:t xml:space="preserve">An instrumental-variables hedonic stands or falls on the exclusion restriction: the instrument affects the outcome only through the channel of the attribute of interest. For a fragmentation-event instrument and a debris-exposure attribute, that means the event affects premia only through its effect on the local debris environment, not through a correlated shock to operator demand for coverage or to reinsurer capital. Whether the restriction is credible depends on the provenance of the fragmentation event. Fragmentation events of non-deliberate origin, such as battery explosions on retired upper stages or end-of-life break-ups of unmaintained payloads, are plausibly exogenous to the insurance pricing decision. Events of deliberate origin, such as the small number of catalogued anti-satellite tests, are not. They correlate with the geopolitical conditions that independently shift insurance pricing through reinsurer capital constraints in the contested-environment line, of the type Harrison documented</w:t>
      </w:r>
      <w:r>
        <w:t xml:space="preserve"> </w:t>
      </w:r>
      <w:hyperlink w:anchor="ref-8">
        <w:r>
          <w:rPr>
            <w:rStyle w:val="Hyperlink"/>
          </w:rPr>
          <w:t xml:space="preserve">[8]</w:t>
        </w:r>
      </w:hyperlink>
      <w:r>
        <w:t xml:space="preserve">,</w:t>
      </w:r>
      <w:r>
        <w:t xml:space="preserve"> </w:t>
      </w:r>
      <w:hyperlink w:anchor="ref-19">
        <w:r>
          <w:rPr>
            <w:rStyle w:val="Hyperlink"/>
          </w:rPr>
          <w:t xml:space="preserve">[19]</w:t>
        </w:r>
      </w:hyperlink>
      <w:r>
        <w:t xml:space="preserve">. Cliometric practice isolates the non-deliberate subsample for the principal specification and reports the deliberate subsample separately as a robustness exercise.</w:t>
      </w:r>
    </w:p>
    <w:bookmarkEnd w:id="74"/>
    <w:bookmarkStart w:id="75" w:name="Xf064b66e290c197a876a597e59feee6ba86475d"/>
    <w:p>
      <w:pPr>
        <w:pStyle w:val="Heading3"/>
        <w:spacing w:line="480" w:lineRule="auto"/>
      </w:pPr>
      <w:r>
        <w:t xml:space="preserve">2.3.4 Selection, measurement error, and inference</w:t>
      </w:r>
    </w:p>
    <w:p>
      <w:pPr>
        <w:pStyle w:val="FirstParagraph"/>
        <w:spacing w:line="480" w:lineRule="auto"/>
      </w:pPr>
      <w:r>
        <w:t xml:space="preserve">Three further methodological concerns recur throughout the applied hedonic literature and demand explicit treatment in any orbital-domain application. Selection into the observed transaction sample is the first. Operators that self-insure or that pool risk through national arrangements are absent from the broker placement record, and they may differ systematically in their debris exposure. The standard cliometric instrument for this concern is the Heckman two-stage selection correction, which needs an exclusion variable that affects the probability of being insured but not the premium conditional on being insured. Differing across launching states and across vehicles, the launch-vehicle indemnification regime is a credible candidate for that exclusion variable.</w:t>
      </w:r>
    </w:p>
    <w:p>
      <w:pPr>
        <w:pStyle w:val="BodyText"/>
        <w:spacing w:line="480" w:lineRule="auto"/>
        <w:ind w:firstLine="720"/>
      </w:pPr>
      <w:r>
        <w:t xml:space="preserve">Measurement error in the attribute of interest is the second concern. Catalogue completeness for resident space objects varies across orbital regimes and across the sample period, and the conjunction-rate covariate constructed from the catalogue inherits that variation. The cliometric response is to restrict specifications to the period over which catalogue completeness for objects above ten centimetres is documented to be stable, and to bound the residual measurement error using independent sources such as the SpaceAble in-orbit inspection literature</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w:t>
      </w:r>
    </w:p>
    <w:p>
      <w:pPr>
        <w:pStyle w:val="BodyText"/>
        <w:spacing w:line="480" w:lineRule="auto"/>
        <w:ind w:firstLine="720"/>
      </w:pPr>
      <w:r>
        <w:t xml:space="preserve">The structure of inference is the third concern. Premium-rate observations within a single operator are not independent, and standard ordinary-least-squares standard errors are downward-biased in the presence of within-operator correlation. Cliometric practice calls for cluster-robust inference at the level of the assignment mechanism. For a panel of satellite policies, the operator is the natural clustering level for the principal specification, with sensitivity to clustering at the broader level of the parent insurance group reported alongside.</w:t>
      </w:r>
    </w:p>
    <w:bookmarkEnd w:id="75"/>
    <w:bookmarkEnd w:id="76"/>
    <w:bookmarkStart w:id="77" w:name="X5b559ef877be5974bfd38277d18ab05aa2cf797"/>
    <w:p>
      <w:pPr>
        <w:pStyle w:val="Heading2"/>
        <w:spacing w:line="480" w:lineRule="auto"/>
      </w:pPr>
      <w:r>
        <w:t xml:space="preserve">2.4 The Empirical Evidence on Insurance Pricing of Orbital Risk</w:t>
      </w:r>
    </w:p>
    <w:p>
      <w:pPr>
        <w:pStyle w:val="FirstParagraph"/>
        <w:spacing w:line="480" w:lineRule="auto"/>
      </w:pPr>
      <w:r>
        <w:t xml:space="preserve">At the date of this review, the empirical evidence that an insurance market actually prices orbital risk is scant and ambiguous. Two pilot studies anchor this dissertation, and Chapters 4 and 5 give them fuller treatment. Together they illustrate both the analytic potential and the analytic difficulty of the cross-sectional hedonic specification applied to a small public sample.</w:t>
      </w:r>
    </w:p>
    <w:p>
      <w:pPr>
        <w:pStyle w:val="BodyText"/>
        <w:spacing w:line="480" w:lineRule="auto"/>
        <w:ind w:firstLine="720"/>
      </w:pPr>
      <w:r>
        <w:t xml:space="preserve">The first pilot study estimated an ordinary-least-squares hedonic on a sample of thirty-three commercial and civil satellites insured between 2016 and 2025, drawn from the Aon, Marsh, Swiss Re, and Allianz AGCS annual space-market reports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w:t>
      </w:r>
      <w:r>
        <w:t xml:space="preserve">and matched to spacecraft mass, design life, and a regime-coded debris flux index constructed from the NASA Orbital Debris Program Office and European Space Agency operational data products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It recovered a model R-squared of 0.767 and a statistically significant negative coefficient on the debris flux index of minus 0.152 percentage points per unit of the geosynchronous-normalised index, with a p-value of 0.011. The mass coefficient was positive and marginally significant, the design-life coefficient was positive and significant, and the calendar-year coefficient was positive and highly significant, indicating a hardening market across the sample window. That negative sign on debris flux runs against the naive Pigouvian prior. The reading consistent with the data is that the cross section is dominated by the joint distribution of mission value, design life, and exposure-period concentration, with the regime indicator falling out as a residual correlate of those characteristics. This interpretation matches McKnight’s foundational caution that the catalogued debris signal would lag the underlying environmental change because catalogued losses, not modelled losses, drive market pricing</w:t>
      </w:r>
      <w:r>
        <w:t xml:space="preserve"> </w:t>
      </w:r>
      <w:hyperlink w:anchor="ref-4">
        <w:r>
          <w:rPr>
            <w:rStyle w:val="Hyperlink"/>
          </w:rPr>
          <w:t xml:space="preserve">[4]</w:t>
        </w:r>
      </w:hyperlink>
      <w:r>
        <w:t xml:space="preserve">.</w:t>
      </w:r>
    </w:p>
    <w:p>
      <w:pPr>
        <w:pStyle w:val="BodyText"/>
        <w:spacing w:line="480" w:lineRule="auto"/>
        <w:ind w:firstLine="720"/>
      </w:pPr>
      <w:r>
        <w:t xml:space="preserve">The second pilot study estimated a parallel ordinary-least-squares hedonic on a separate cross section of thirty-one commercial missions insured between 2015 and 2020, with five attribute regressors covering debris density, mass, insured value, operator age, and launcher reliability. Its model R-squared was 0.717. The mass coefficient was positive and significant, the insured-value coefficient was positive and marginally significant, and the debris density, operator age, and launcher reliability coefficients were not separately distinguishable from zero. The null on debris density is the more interesting result. Its absence as a robust positive partial in the cross section is consistent with the broader policy claim, advanced by Weinzierl</w:t>
      </w:r>
      <w:r>
        <w:t xml:space="preserve"> </w:t>
      </w:r>
      <w:hyperlink w:anchor="ref-1">
        <w:r>
          <w:rPr>
            <w:rStyle w:val="Hyperlink"/>
          </w:rPr>
          <w:t xml:space="preserve">[1]</w:t>
        </w:r>
      </w:hyperlink>
      <w:r>
        <w:t xml:space="preserve"> </w:t>
      </w:r>
      <w:r>
        <w:t xml:space="preserve">and reiterated in the IRD Project research designs</w:t>
      </w:r>
      <w:r>
        <w:t xml:space="preserve"> </w:t>
      </w:r>
      <w:hyperlink w:anchor="ref-17">
        <w:r>
          <w:rPr>
            <w:rStyle w:val="Hyperlink"/>
          </w:rPr>
          <w:t xml:space="preserve">[17]</w:t>
        </w:r>
      </w:hyperlink>
      <w:r>
        <w:t xml:space="preserve">, that debris externalities remain underpriced by private insurance markets and that the case for orbital use fees, mandatory debris cover, or public reinsurance backstops as instruments of internalisation is correspondingly stronger.</w:t>
      </w:r>
    </w:p>
    <w:p>
      <w:pPr>
        <w:pStyle w:val="BodyText"/>
        <w:spacing w:line="480" w:lineRule="auto"/>
        <w:ind w:firstLine="720"/>
      </w:pPr>
      <w:r>
        <w:t xml:space="preserve">Read together, the two pilot results sketch the analytic terrain. A cross-sectional hedonic on public data recovers significant implicit prices for mass and design life, recovers a market-cycle effect, and recovers either a negative-signed or a null coefficient on the debris-exposure attribute depending on specification. Neither pilot is decisive. Both are limited by sample size, by the dominance of sector-average rates over mission-specific rates in the public record, and by the cross-sectional design’s inability to identify the effect of a discrete change in the debris environment at a given regime. What the pilots contribute to the present dissertation is a demonstration that the data are tractable, that the specification fits, and that the identification problem is real and requires a panel design with within-operator variation and an instrumental-variables defence of the debris-exposure coefficient.</w:t>
      </w:r>
    </w:p>
    <w:bookmarkEnd w:id="77"/>
    <w:bookmarkStart w:id="78" w:name="synthesis-and-identification-of-the-gap"/>
    <w:p>
      <w:pPr>
        <w:pStyle w:val="Heading2"/>
        <w:spacing w:line="480" w:lineRule="auto"/>
      </w:pPr>
      <w:r>
        <w:t xml:space="preserve">2.5 Synthesis and Identification of the Gap</w:t>
      </w:r>
    </w:p>
    <w:p>
      <w:pPr>
        <w:pStyle w:val="FirstParagraph"/>
        <w:spacing w:line="480" w:lineRule="auto"/>
      </w:pPr>
      <w:r>
        <w:t xml:space="preserve">The two literatures reviewed in this chapter share a vocabulary about insurance pricing of orbital debris risk and disagree about almost nothing of substance, yet they do not meet on the analytic ground where the price would actually be estimated. Domain technical work names the price, argues about its level, and feeds the assumed level into remediation cost-benefit analyses</w:t>
      </w:r>
      <w:r>
        <w:t xml:space="preserve"> </w:t>
      </w:r>
      <w:hyperlink w:anchor="ref-4">
        <w:r>
          <w:rPr>
            <w:rStyle w:val="Hyperlink"/>
          </w:rPr>
          <w:t xml:space="preserve">[4]</w:t>
        </w:r>
      </w:hyperlink>
      <w:r>
        <w:t xml:space="preserve">,</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 Policy work argues that the price reflects a wedge between private and social cost and that the wedge requires an internalising instrument</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 Cliometric work has, for fifty years, held the analytic apparatus required to estimate a price of exactly this type from observed transaction data</w:t>
      </w:r>
      <w:r>
        <w:t xml:space="preserve"> </w:t>
      </w:r>
      <w:hyperlink w:anchor="ref-11">
        <w:r>
          <w:rPr>
            <w:rStyle w:val="Hyperlink"/>
          </w:rPr>
          <w:t xml:space="preserve">[11]</w:t>
        </w:r>
      </w:hyperlink>
      <w:r>
        <w:t xml:space="preserve">, refining that apparatus through the panel-identification, instrumental-variables, selection-correction, and cluster-inference developments summarised in Section 2.3. Neither literature has carried the apparatus into the orbital domain.</w:t>
      </w:r>
    </w:p>
    <w:p>
      <w:pPr>
        <w:pStyle w:val="BodyText"/>
        <w:spacing w:line="480" w:lineRule="auto"/>
        <w:ind w:firstLine="720"/>
      </w:pPr>
      <w:r>
        <w:t xml:space="preserve">Three gaps therefore coexist and reinforce each other. The first is conceptual. The economic literature on debris as a commons problem is prescriptive rather than empirically priced</w:t>
      </w:r>
      <w:r>
        <w:t xml:space="preserve"> </w:t>
      </w:r>
      <w:hyperlink w:anchor="ref-1">
        <w:r>
          <w:rPr>
            <w:rStyle w:val="Hyperlink"/>
          </w:rPr>
          <w:t xml:space="preserve">[1]</w:t>
        </w:r>
      </w:hyperlink>
      <w:r>
        <w:t xml:space="preserve">, and the prescription cannot be calibrated without the price. The second is empirical. Engineering work on collision likelihood, of which Oltrogge and colleagues remains the canonical reference</w:t>
      </w:r>
      <w:r>
        <w:t xml:space="preserve"> </w:t>
      </w:r>
      <w:hyperlink w:anchor="ref-7">
        <w:r>
          <w:rPr>
            <w:rStyle w:val="Hyperlink"/>
          </w:rPr>
          <w:t xml:space="preserve">[7]</w:t>
        </w:r>
      </w:hyperlink>
      <w:r>
        <w:t xml:space="preserve">, produces conjunction rates without linking them to financial cost, and operational work on insurance, of which Shahady remains the canonical reference</w:t>
      </w:r>
      <w:r>
        <w:t xml:space="preserve"> </w:t>
      </w:r>
      <w:hyperlink w:anchor="ref-2">
        <w:r>
          <w:rPr>
            <w:rStyle w:val="Hyperlink"/>
          </w:rPr>
          <w:t xml:space="preserve">[2]</w:t>
        </w:r>
      </w:hyperlink>
      <w:r>
        <w:t xml:space="preserve">, reports headline premia without decomposing them into orbital-environment attributes. The third is methodological. To the candidate’s knowledge, across the AMOS, Acta Astronautica, and Space Economy Papers corpora consulted, no published study estimates a hedonic regression of satellite insurance premia on debris-exposure covariates with operator and time fixed effects and an instrumental-variables defence of the coefficient of interest.</w:t>
      </w:r>
    </w:p>
    <w:p>
      <w:pPr>
        <w:pStyle w:val="BodyText"/>
        <w:spacing w:line="480" w:lineRule="auto"/>
        <w:ind w:firstLine="720"/>
      </w:pPr>
      <w:r>
        <w:t xml:space="preserve">The dissertation occupies this seam. Its contribution is methodological transposition: the application of a hedonic framework standard in environmental and real-estate economics to a domain where the externality has been described qualitatively but not priced quantitatively. Three grounds make the transposition defensible. First, the satellite insurance market satisfies the Rosen conditions to a degree comparable with the housing markets in which hedonic pricing was originally validated, in the sense that the placements are differentiated transactions cleared in a competitive market with a substantial pool of underwriters</w:t>
      </w:r>
      <w:r>
        <w:t xml:space="preserve"> </w:t>
      </w:r>
      <w:hyperlink w:anchor="ref-11">
        <w:r>
          <w:rPr>
            <w:rStyle w:val="Hyperlink"/>
          </w:rPr>
          <w:t xml:space="preserve">[11]</w:t>
        </w:r>
      </w:hyperlink>
      <w:r>
        <w:t xml:space="preserve">. Second, the orbital-environment attributes are measurable from operational data products that are themselves the product of mature international institutional infrastructures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Third, the instrumental-variables defence rests on a class of events, non-deliberate fragmentation episodes, that are physically and politically distinct from the deliberate events that would compromise the exclusion restriction</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w:t>
      </w:r>
    </w:p>
    <w:bookmarkEnd w:id="78"/>
    <w:bookmarkStart w:id="79" w:name="conclusion-of-the-review"/>
    <w:p>
      <w:pPr>
        <w:pStyle w:val="Heading2"/>
        <w:spacing w:line="480" w:lineRule="auto"/>
      </w:pPr>
      <w:r>
        <w:t xml:space="preserve">2.6 Conclusion of the Review</w:t>
      </w:r>
    </w:p>
    <w:p>
      <w:pPr>
        <w:pStyle w:val="FirstParagraph"/>
        <w:spacing w:line="480" w:lineRule="auto"/>
      </w:pPr>
      <w:r>
        <w:t xml:space="preserve">The review supports the dissertation’s central methodological claim. Domain technical and policy work has established that the satellite insurance market is the principal commercial mechanism through which orbital risk is converted into a financial price, and that the magnitude of that price is the binding input to a class of remediation cost-benefit analyses on which both private and public capital allocation depend. Cliometric and econometric work has established that the analytic apparatus required to estimate that price from observed transaction data exists, has been refined over half a century of applied work in adjacent domains, and holds up against the principal threats to validity the orbital application presents. The two literatures have not been joined. The dissertation joins them. Chapter 3 develops the formal hedonic specification and the panel identification strategy that operationalise this join, and Chapters 4 and 5 report the empirical estimates that follow.</w:t>
      </w:r>
    </w:p>
    <w:bookmarkEnd w:id="79"/>
    <w:bookmarkEnd w:id="80"/>
    <w:bookmarkStart w:id="90" w:name="Xcfcc00a3ded59aed0c781c16bfc121f2a509603"/>
    <w:p>
      <w:pPr>
        <w:pStyle w:val="Heading1"/>
        <w:spacing w:line="480" w:lineRule="auto"/>
      </w:pPr>
      <w:r>
        <w:t xml:space="preserve">Chapter 3. Theoretical Framework and Hypotheses</w:t>
      </w:r>
    </w:p>
    <w:bookmarkStart w:id="81" w:name="purpose-and-plan-of-the-chapter"/>
    <w:p>
      <w:pPr>
        <w:pStyle w:val="Heading2"/>
        <w:spacing w:line="480" w:lineRule="auto"/>
      </w:pPr>
      <w:r>
        <w:t xml:space="preserve">3.1 Purpose and Plan of the Chapter</w:t>
      </w:r>
    </w:p>
    <w:p>
      <w:pPr>
        <w:pStyle w:val="FirstParagraph"/>
        <w:spacing w:line="480" w:lineRule="auto"/>
      </w:pPr>
      <w:r>
        <w:t xml:space="preserve">This chapter develops the theoretical apparatus from which the dissertation’s single falsifiable contribution is derived. Four registers carry the argument. It first locates the satellite insurance and reinsurance contract within Rosen’s canonical hedonic-price framework</w:t>
      </w:r>
      <w:r>
        <w:t xml:space="preserve"> </w:t>
      </w:r>
      <w:hyperlink w:anchor="ref-11">
        <w:r>
          <w:rPr>
            <w:rStyle w:val="Hyperlink"/>
          </w:rPr>
          <w:t xml:space="preserve">[11]</w:t>
        </w:r>
      </w:hyperlink>
      <w:r>
        <w:t xml:space="preserve">, in which a differentiated good is decomposed into a vector of attributes whose implicit prices are recovered from observed transactions. It then specifies the causal mechanism through which orbital-debris exposure enters that attribute vector, drawing on the engineering and operational literatures that quantify conjunction likelihood and catalog completeness [7, 9, 12, 13]. Third, it articulates the equilibrium conditions under which the recovered coefficient on debris exposure reads as a market-revealed shadow price of the externality, and confronts the alternative explanations that the two companion papers reported in the appended prospectus have already surfaced. Fourth, it states the formal null and alternative hypotheses, H0 and H1, and translates each into the testable parameter restriction the empirical chapters will evaluate.</w:t>
      </w:r>
    </w:p>
    <w:p>
      <w:pPr>
        <w:pStyle w:val="BodyText"/>
        <w:spacing w:line="480" w:lineRule="auto"/>
        <w:ind w:firstLine="720"/>
      </w:pPr>
      <w:r>
        <w:t xml:space="preserve">This is a theoretical chapter, not an empirical one. It introduces no data, reports no estimates, and defends no specification choices beyond the level necessary to identify the parameter of interest. Empirical material is reserved for Chapters 4 through 6. What the chapter aims at is a central claim rendered falsifiable, in the sense that the apparatus dictates a single numerical prediction whose absence would count as disconfirmation.</w:t>
      </w:r>
    </w:p>
    <w:bookmarkEnd w:id="81"/>
    <w:bookmarkStart w:id="82" w:name="Xedc13d500c6eee31682dbdc401ef3867e73e759"/>
    <w:p>
      <w:pPr>
        <w:pStyle w:val="Heading2"/>
        <w:spacing w:line="480" w:lineRule="auto"/>
      </w:pPr>
      <w:r>
        <w:t xml:space="preserve">3.2 The Hedonic Price Framework Applied to Insurance Contracts</w:t>
      </w:r>
    </w:p>
    <w:p>
      <w:pPr>
        <w:pStyle w:val="FirstParagraph"/>
        <w:spacing w:line="480" w:lineRule="auto"/>
      </w:pPr>
      <w:r>
        <w:t xml:space="preserve">Rosen’s hedonic-price theorem treats the equilibrium price function of a differentiated commodity as the lower envelope of buyers’ bid functions and the upper envelope of sellers’ offer functions in attribute space</w:t>
      </w:r>
      <w:r>
        <w:t xml:space="preserve"> </w:t>
      </w:r>
      <w:hyperlink w:anchor="ref-11">
        <w:r>
          <w:rPr>
            <w:rStyle w:val="Hyperlink"/>
          </w:rPr>
          <w:t xml:space="preserve">[11]</w:t>
        </w:r>
      </w:hyperlink>
      <w:r>
        <w:t xml:space="preserve">. The implicit price of any attribute is the partial derivative of the equilibrium price function with respect to that attribute, evaluated at the observed bundle. When the theorem’s assumptions hold, that partial derivative simultaneously measures the marginal willingness of buyers to pay for the attribute and the marginal cost of sellers to supply it.</w:t>
      </w:r>
    </w:p>
    <w:p>
      <w:pPr>
        <w:pStyle w:val="BodyText"/>
        <w:spacing w:line="480" w:lineRule="auto"/>
        <w:ind w:firstLine="720"/>
      </w:pPr>
      <w:r>
        <w:t xml:space="preserve">Consider a satellite insurance policy as a differentiated contract. Its attributes include the insured asset’s mass, manufacturer, hull configuration, launch vintage, and orbital regime, together with policy-design attributes such as the period of cover, the deductible, the layer of attachment in the reinsurance tower, and the contracted exclusions. Its transaction price is the annual premium rate per insured dollar, conventionally reported as a percentage of insured value. Here is the hedonic premise of the dissertation: the orbital-environment attributes of the insured object, and in particular its cumulative conjunction-rate exposure during the policy year, enter the equilibrium price function with an implicit price recoverable from a panel of observed transactions.</w:t>
      </w:r>
    </w:p>
    <w:p>
      <w:pPr>
        <w:pStyle w:val="BodyText"/>
        <w:spacing w:line="480" w:lineRule="auto"/>
        <w:ind w:firstLine="720"/>
      </w:pPr>
      <w:r>
        <w:t xml:space="preserve">For that recovery to be interpretable, three conditions must obtain. First, the supply side must be competitive enough that no individual underwriter sets a price unilaterally; the Lloyd’s of London syndicate structure and the International Union of Aerospace Insurers placement record document the multi-underwriter character of the line at the requisite level [14, 15, 16]. Second, both contracting parties must observe the attribute vector at the moment of placement; for the orbital-environment attributes this means conjunction-screening data and catalog products must be available to underwriters at the moment of quotation, which the operational public records of the United States Space Force eighteenth Space Defense Squadron and the European Space Agency Space Debris Office establish [12, 13]. Third, the equilibrium price function must be differentiable in the attribute of interest, which Rosen’s theorem requires and which the empirical specification will enforce through a smooth functional form in the conjunction-rate covariate</w:t>
      </w:r>
      <w:r>
        <w:t xml:space="preserve"> </w:t>
      </w:r>
      <w:hyperlink w:anchor="ref-11">
        <w:r>
          <w:rPr>
            <w:rStyle w:val="Hyperlink"/>
          </w:rPr>
          <w:t xml:space="preserve">[11]</w:t>
        </w:r>
      </w:hyperlink>
      <w:r>
        <w:t xml:space="preserve">.</w:t>
      </w:r>
    </w:p>
    <w:p>
      <w:pPr>
        <w:pStyle w:val="BodyText"/>
        <w:spacing w:line="480" w:lineRule="auto"/>
        <w:ind w:firstLine="720"/>
      </w:pPr>
      <w:r>
        <w:t xml:space="preserve">These three conditions are stronger than they look. The first rules out monopolistic insurer pricing while tolerating the cartel-like behavior that characterizes the reinsurance market when capital is constrained. In practice the second is the binding one: catalog completeness varies across orbital regimes and across the sample period, and the dissertation will report specifications restricted to the post-2014 period over which the catalog is documented to be stable for objects above ten centimeters</w:t>
      </w:r>
      <w:r>
        <w:t xml:space="preserve"> </w:t>
      </w:r>
      <w:hyperlink w:anchor="ref-12">
        <w:r>
          <w:rPr>
            <w:rStyle w:val="Hyperlink"/>
          </w:rPr>
          <w:t xml:space="preserve">[12]</w:t>
        </w:r>
      </w:hyperlink>
      <w:r>
        <w:t xml:space="preserve">. The third fails at the extreme of the conjunction-rate distribution, where the premium function is plausibly convex and possibly discontinuous as policies become uninsurable</w:t>
      </w:r>
      <w:r>
        <w:t xml:space="preserve"> </w:t>
      </w:r>
      <w:hyperlink w:anchor="ref-4">
        <w:r>
          <w:rPr>
            <w:rStyle w:val="Hyperlink"/>
          </w:rPr>
          <w:t xml:space="preserve">[4]</w:t>
        </w:r>
      </w:hyperlink>
      <w:r>
        <w:t xml:space="preserve">; this is the boundary at which the McKnight critique of debris cost-benefit analysis is anchored, and the empirical work will exclude observations from that boundary in the headline specification while reporting them separately in robustness exercises.</w:t>
      </w:r>
    </w:p>
    <w:bookmarkEnd w:id="82"/>
    <w:bookmarkStart w:id="83" w:name="X99d6efca760c2276e98f712cac6702ba54e2f44"/>
    <w:p>
      <w:pPr>
        <w:pStyle w:val="Heading2"/>
        <w:spacing w:line="480" w:lineRule="auto"/>
      </w:pPr>
      <w:r>
        <w:t xml:space="preserve">3.3 The Causal Mechanism from Debris Population to Premium Rate</w:t>
      </w:r>
    </w:p>
    <w:p>
      <w:pPr>
        <w:pStyle w:val="FirstParagraph"/>
        <w:spacing w:line="480" w:lineRule="auto"/>
      </w:pPr>
      <w:r>
        <w:t xml:space="preserve">An additional unit of orbital-debris exposure reaches the premium rate through a mechanism that runs in three stages, each supported by a distinct strand of the literature.</w:t>
      </w:r>
    </w:p>
    <w:p>
      <w:pPr>
        <w:pStyle w:val="BodyText"/>
        <w:spacing w:line="480" w:lineRule="auto"/>
        <w:ind w:firstLine="720"/>
      </w:pPr>
      <w:r>
        <w:t xml:space="preserve">At the first stage, a discrete change in the resident space object population, produced either by a fragmentation event or by a launch tranche, alters the local debris environment at the orbital regime of the insured object. The NASA Orbital Debris Program Office quarterly history of on-orbit breakups documents the discrete and largely exogenous character of fragmentation events</w:t>
      </w:r>
      <w:r>
        <w:t xml:space="preserve"> </w:t>
      </w:r>
      <w:hyperlink w:anchor="ref-12">
        <w:r>
          <w:rPr>
            <w:rStyle w:val="Hyperlink"/>
          </w:rPr>
          <w:t xml:space="preserve">[12]</w:t>
        </w:r>
      </w:hyperlink>
      <w:r>
        <w:t xml:space="preserve">, and the European Space Agency Annual Space Environment Report quantifies the resulting changes in spatial density by altitude band and inclination shell</w:t>
      </w:r>
      <w:r>
        <w:t xml:space="preserve"> </w:t>
      </w:r>
      <w:hyperlink w:anchor="ref-13">
        <w:r>
          <w:rPr>
            <w:rStyle w:val="Hyperlink"/>
          </w:rPr>
          <w:t xml:space="preserve">[13]</w:t>
        </w:r>
      </w:hyperlink>
      <w:r>
        <w:t xml:space="preserve">. That fragmentation events are exogenous to the contemporaneous pricing decisions of any individual insurer is the foundation of the identification strategy Chapter 4 develops.</w:t>
      </w:r>
    </w:p>
    <w:p>
      <w:pPr>
        <w:pStyle w:val="BodyText"/>
        <w:spacing w:line="480" w:lineRule="auto"/>
        <w:ind w:firstLine="720"/>
      </w:pPr>
      <w:r>
        <w:t xml:space="preserve">At the second stage, the altered debris environment translates into an altered conjunction-screening burden and an altered modeled collision probability for the insured object. The Oltrogge and colleagues comprehensive assessment of geosynchronous collision likelihood shows that this translation is computable for any orbital regime with sufficient catalog support, and provides the methodological template for the conjunction-rate covariate this dissertation constructs</w:t>
      </w:r>
      <w:r>
        <w:t xml:space="preserve"> </w:t>
      </w:r>
      <w:hyperlink w:anchor="ref-7">
        <w:r>
          <w:rPr>
            <w:rStyle w:val="Hyperlink"/>
          </w:rPr>
          <w:t xml:space="preserve">[7]</w:t>
        </w:r>
      </w:hyperlink>
      <w:r>
        <w:t xml:space="preserve">. By characterizing the gap between catalogued and uncatalogued objects in low Earth orbit, the Zamoum and colleagues complete situational-awareness scheme bounds the residual measurement error in that covariate [9, 18].</w:t>
      </w:r>
    </w:p>
    <w:p>
      <w:pPr>
        <w:pStyle w:val="BodyText"/>
        <w:spacing w:line="480" w:lineRule="auto"/>
        <w:ind w:firstLine="720"/>
      </w:pPr>
      <w:r>
        <w:t xml:space="preserve">At the third stage, the altered modeled collision probability enters the underwriter’s expected-loss calculation, and through that calculation enters the equilibrium premium rate. Shahady documents that the typical geosynchronous operator pays on the order of thirty million United States dollars in annual premia and reports that insurers have shown willingness to reduce those premia when on-orbit servicing or active debris mitigation is in place [2, 20]. Trucco, Paravano, and Locatelli identify insurance as one of the principal channels through which orbital risk is monetized in the broader space-economy risk landscape [5, 30]. Weinzierl frames the externality at the policy register and supplies the welfare argument for why the insurance pricing channel matters as a measurement instrument for cost-benefit analysis</w:t>
      </w:r>
      <w:r>
        <w:t xml:space="preserve"> </w:t>
      </w:r>
      <w:hyperlink w:anchor="ref-1">
        <w:r>
          <w:rPr>
            <w:rStyle w:val="Hyperlink"/>
          </w:rPr>
          <w:t xml:space="preserve">[1]</w:t>
        </w:r>
      </w:hyperlink>
      <w:r>
        <w:t xml:space="preserve">.</w:t>
      </w:r>
    </w:p>
    <w:p>
      <w:pPr>
        <w:pStyle w:val="BodyText"/>
        <w:spacing w:line="480" w:lineRule="auto"/>
        <w:ind w:firstLine="720"/>
      </w:pPr>
      <w:r>
        <w:t xml:space="preserve">Consider the companion paper that appears in the prospectus, which estimated an ordinary-least-squares hedonic model on thirty-three first-year in-orbit policies from 2016 to 2025 and recovered a coefficient on a regime-level debris flux index that was negative and statistically distinguishable from zero, contrary to the naive prediction of the three-stage mechanism above. That result does not contradict the apparatus advanced here. It sharpens it. A cross-sectional regime-level specification cannot distinguish the static composition effect, by which high-debris regimes are dominated by short-design-life small spacecraft for which competitive supply of capacity has depressed rates, from the dynamic exposure effect that the three-stage mechanism predicts. A second companion specification on a sample of thirty-one missions between 2015 and 2020 obtained a debris coefficient that was negative in point estimate but statistically indistinguishable from zero, a null that the authors of that exercise read as evidence of underpricing and that the present dissertation interprets as a power-limited result of the cross-sectional design. This chapter’s theoretical contribution is to specify the panel design that resolves the ambiguity, by exploiting within-operator, within-regime variation produced by discrete fragmentation events.</w:t>
      </w:r>
    </w:p>
    <w:bookmarkEnd w:id="83"/>
    <w:bookmarkStart w:id="84" w:name="X6c092b2a9c74e24ab8a62802caa86278c50513b"/>
    <w:p>
      <w:pPr>
        <w:pStyle w:val="Heading2"/>
        <w:spacing w:line="480" w:lineRule="auto"/>
      </w:pPr>
      <w:r>
        <w:t xml:space="preserve">3.4 From Mechanism to Equilibrium: The Identifying Parameter</w:t>
      </w:r>
    </w:p>
    <w:p>
      <w:pPr>
        <w:pStyle w:val="FirstParagraph"/>
        <w:spacing w:line="480" w:lineRule="auto"/>
      </w:pPr>
      <w:r>
        <w:t xml:space="preserve">Let the equilibrium premium rate per insured dollar for policy</w:t>
      </w:r>
      <w:r>
        <w:t xml:space="preserve"> </w:t>
      </w:r>
      <m:oMath>
        <m:r>
          <m:t>i</m:t>
        </m:r>
      </m:oMath>
      <w:r>
        <w:t xml:space="preserve"> </w:t>
      </w:r>
      <w:r>
        <w:t xml:space="preserve">in year</w:t>
      </w:r>
      <w:r>
        <w:t xml:space="preserve"> </w:t>
      </w:r>
      <m:oMath>
        <m:r>
          <m:t>t</m:t>
        </m:r>
      </m:oMath>
      <w:r>
        <w:t xml:space="preserve"> </w:t>
      </w:r>
      <w:r>
        <w:t xml:space="preserve">be denoted</w:t>
      </w:r>
      <w:r>
        <w:t xml:space="preserve"> </w:t>
      </w:r>
      <m:oMath>
        <m:sSub>
          <m:e>
            <m:r>
              <m:t>p</m:t>
            </m:r>
          </m:e>
          <m:sub>
            <m:r>
              <m:t>i</m:t>
            </m:r>
            <m:r>
              <m:t>t</m:t>
            </m:r>
          </m:sub>
        </m:sSub>
      </m:oMath>
      <w:r>
        <w:t xml:space="preserve">, and let the cumulative conjunction-rate exposure of the insured object over the policy year be denoted</w:t>
      </w:r>
      <w:r>
        <w:t xml:space="preserve"> </w:t>
      </w:r>
      <m:oMath>
        <m:sSub>
          <m:e>
            <m:r>
              <m:t>c</m:t>
            </m:r>
          </m:e>
          <m:sub>
            <m:r>
              <m:t>i</m:t>
            </m:r>
            <m:r>
              <m:t>t</m:t>
            </m:r>
          </m:sub>
        </m:sSub>
      </m:oMath>
      <w:r>
        <w:t xml:space="preserve">. Let</w:t>
      </w:r>
      <w:r>
        <w:t xml:space="preserve"> </w:t>
      </w:r>
      <m:oMath>
        <m:sSub>
          <m:e>
            <m:r>
              <m:rPr>
                <m:sty m:val="b"/>
              </m:rPr>
              <m:t>x</m:t>
            </m:r>
          </m:e>
          <m:sub>
            <m:r>
              <m:t>i</m:t>
            </m:r>
            <m:r>
              <m:t>t</m:t>
            </m:r>
          </m:sub>
        </m:sSub>
      </m:oMath>
      <w:r>
        <w:t xml:space="preserve"> </w:t>
      </w:r>
      <w:r>
        <w:t xml:space="preserve">collect the vector of satellite-design and policy-design controls, let</w:t>
      </w:r>
      <w:r>
        <w:t xml:space="preserve"> </w:t>
      </w:r>
      <m:oMath>
        <m:sSub>
          <m:e>
            <m:r>
              <m:t>α</m:t>
            </m:r>
          </m:e>
          <m:sub>
            <m:r>
              <m:t>o</m:t>
            </m:r>
          </m:sub>
        </m:sSub>
      </m:oMath>
      <w:r>
        <w:t xml:space="preserve"> </w:t>
      </w:r>
      <w:r>
        <w:t xml:space="preserve">denote operator fixed effects, let</w:t>
      </w:r>
      <w:r>
        <w:t xml:space="preserve"> </w:t>
      </w:r>
      <m:oMath>
        <m:sSub>
          <m:e>
            <m:r>
              <m:t>γ</m:t>
            </m:r>
          </m:e>
          <m:sub>
            <m:r>
              <m:t>t</m:t>
            </m:r>
          </m:sub>
        </m:sSub>
      </m:oMath>
      <w:r>
        <w:t xml:space="preserve"> </w:t>
      </w:r>
      <w:r>
        <w:t xml:space="preserve">denote year fixed effects, and let</w:t>
      </w:r>
      <w:r>
        <w:t xml:space="preserve"> </w:t>
      </w:r>
      <m:oMath>
        <m:sSub>
          <m:e>
            <m:r>
              <m:t>η</m:t>
            </m:r>
          </m:e>
          <m:sub>
            <m:r>
              <m:t>r</m:t>
            </m:r>
          </m:sub>
        </m:sSub>
      </m:oMath>
      <w:r>
        <w:t xml:space="preserve"> </w:t>
      </w:r>
      <w:r>
        <w:t xml:space="preserve">denote orbital-regime fixed effects. The hedonic price function admitted by Rosen’s theorem can be written in log-linear form as</w:t>
      </w:r>
    </w:p>
    <w:p>
      <w:pPr>
        <w:pStyle w:val="BodyText"/>
        <w:spacing w:line="480" w:lineRule="auto"/>
        <w:ind w:firstLine="720"/>
      </w:pPr>
      <m:oMathPara>
        <m:oMathParaPr>
          <m:jc m:val="center"/>
        </m:oMathParaPr>
        <m:oMath>
          <m:r>
            <m:rPr>
              <m:sty m:val="p"/>
            </m:rPr>
            <m:t>ln</m:t>
          </m:r>
          <m:sSub>
            <m:e>
              <m:r>
                <m:t>p</m:t>
              </m:r>
            </m:e>
            <m:sub>
              <m:r>
                <m:t>i</m:t>
              </m:r>
              <m:r>
                <m:t>t</m:t>
              </m:r>
            </m:sub>
          </m:sSub>
          <m:r>
            <m:rPr>
              <m:sty m:val="p"/>
            </m:rPr>
            <m:t>=</m:t>
          </m:r>
          <m:r>
            <m:t>β</m:t>
          </m:r>
          <m:r>
            <m:t> </m:t>
          </m:r>
          <m:sSub>
            <m:e>
              <m:r>
                <m:t>c</m:t>
              </m:r>
            </m:e>
            <m:sub>
              <m:r>
                <m:t>i</m:t>
              </m:r>
              <m:r>
                <m:t>t</m:t>
              </m:r>
            </m:sub>
          </m:sSub>
          <m:r>
            <m:rPr>
              <m:sty m:val="p"/>
            </m:rPr>
            <m:t>+</m:t>
          </m:r>
          <m:sSubSup>
            <m:e>
              <m:r>
                <m:rPr>
                  <m:sty m:val="b"/>
                </m:rPr>
                <m:t>x</m:t>
              </m:r>
            </m:e>
            <m:sub>
              <m:r>
                <m:t>i</m:t>
              </m:r>
              <m:r>
                <m:t>t</m:t>
              </m:r>
            </m:sub>
            <m:sup>
              <m:r>
                <m:rPr>
                  <m:sty m:val="p"/>
                </m:rPr>
                <m:t>′</m:t>
              </m:r>
            </m:sup>
          </m:sSubSup>
          <m:r>
            <m:rPr>
              <m:sty m:val="b"/>
            </m:rPr>
            <m:t>δ</m:t>
          </m:r>
          <m:r>
            <m:rPr>
              <m:sty m:val="p"/>
            </m:rPr>
            <m:t>+</m:t>
          </m:r>
          <m:sSub>
            <m:e>
              <m:r>
                <m:t>α</m:t>
              </m:r>
            </m:e>
            <m:sub>
              <m:r>
                <m:t>o</m:t>
              </m:r>
            </m:sub>
          </m:sSub>
          <m:r>
            <m:rPr>
              <m:sty m:val="p"/>
            </m:rPr>
            <m:t>+</m:t>
          </m:r>
          <m:sSub>
            <m:e>
              <m:r>
                <m:t>γ</m:t>
              </m:r>
            </m:e>
            <m:sub>
              <m:r>
                <m:t>t</m:t>
              </m:r>
            </m:sub>
          </m:sSub>
          <m:r>
            <m:rPr>
              <m:sty m:val="p"/>
            </m:rPr>
            <m:t>+</m:t>
          </m:r>
          <m:sSub>
            <m:e>
              <m:r>
                <m:t>η</m:t>
              </m:r>
            </m:e>
            <m:sub>
              <m:r>
                <m:t>r</m:t>
              </m:r>
            </m:sub>
          </m:sSub>
          <m:r>
            <m:rPr>
              <m:sty m:val="p"/>
            </m:rPr>
            <m:t>+</m:t>
          </m:r>
          <m:sSub>
            <m:e>
              <m:r>
                <m:t>ε</m:t>
              </m:r>
            </m:e>
            <m:sub>
              <m:r>
                <m:t>i</m:t>
              </m:r>
              <m:r>
                <m:t>t</m:t>
              </m:r>
            </m:sub>
          </m:sSub>
          <m:r>
            <m:rPr>
              <m:sty m:val="p"/>
            </m:rPr>
            <m:t>.</m:t>
          </m:r>
        </m:oMath>
      </m:oMathPara>
    </w:p>
    <w:p>
      <w:pPr>
        <w:pStyle w:val="FirstParagraph"/>
        <w:spacing w:line="480" w:lineRule="auto"/>
      </w:pPr>
      <w:r>
        <w:t xml:space="preserve">Here</w:t>
      </w:r>
      <w:r>
        <w:t xml:space="preserve"> </w:t>
      </w:r>
      <m:oMath>
        <m:r>
          <m:t>β</m:t>
        </m:r>
      </m:oMath>
      <w:r>
        <w:t xml:space="preserve"> </w:t>
      </w:r>
      <w:r>
        <w:t xml:space="preserve">is the implicit hedonic price of one additional unit of cumulative conjunction-rate exposure, expressed as a semi-elasticity of the premium rate. Under the three conditions of section 3.2 and the three-stage mechanism of section 3.3,</w:t>
      </w:r>
      <w:r>
        <w:t xml:space="preserve"> </w:t>
      </w:r>
      <m:oMath>
        <m:r>
          <m:t>β</m:t>
        </m:r>
      </m:oMath>
      <w:r>
        <w:t xml:space="preserve"> </w:t>
      </w:r>
      <w:r>
        <w:t xml:space="preserve">is the market-revealed shadow price of orbital-debris exposure for the insured object class, net of the composition effects that confounded the regime-level cross sections of the companion papers.</w:t>
      </w:r>
    </w:p>
    <w:p>
      <w:pPr>
        <w:pStyle w:val="BodyText"/>
        <w:spacing w:line="480" w:lineRule="auto"/>
        <w:ind w:firstLine="720"/>
      </w:pPr>
      <w:r>
        <w:t xml:space="preserve">The identifying restriction is that, conditional on the included fixed effects and controls, fragmentation-induced shifts in</w:t>
      </w:r>
      <w:r>
        <w:t xml:space="preserve"> </w:t>
      </w:r>
      <m:oMath>
        <m:sSub>
          <m:e>
            <m:r>
              <m:t>c</m:t>
            </m:r>
          </m:e>
          <m:sub>
            <m:r>
              <m:t>i</m:t>
            </m:r>
            <m:r>
              <m:t>t</m:t>
            </m:r>
          </m:sub>
        </m:sSub>
      </m:oMath>
      <w:r>
        <w:t xml:space="preserve"> </w:t>
      </w:r>
      <w:r>
        <w:t xml:space="preserve">are uncorrelated with the contemporaneous pricing innovation</w:t>
      </w:r>
      <w:r>
        <w:t xml:space="preserve"> </w:t>
      </w:r>
      <m:oMath>
        <m:sSub>
          <m:e>
            <m:r>
              <m:t>ε</m:t>
            </m:r>
          </m:e>
          <m:sub>
            <m:r>
              <m:t>i</m:t>
            </m:r>
            <m:r>
              <m:t>t</m:t>
            </m:r>
          </m:sub>
        </m:sSub>
      </m:oMath>
      <w:r>
        <w:t xml:space="preserve">. Two arguments defend it. First, fragmentation events of non-deliberate origin, which dominate the NASA breakup history catalog</w:t>
      </w:r>
      <w:r>
        <w:t xml:space="preserve"> </w:t>
      </w:r>
      <w:hyperlink w:anchor="ref-12">
        <w:r>
          <w:rPr>
            <w:rStyle w:val="Hyperlink"/>
          </w:rPr>
          <w:t xml:space="preserve">[12]</w:t>
        </w:r>
      </w:hyperlink>
      <w:r>
        <w:t xml:space="preserve">, are physical accidents whose timing is uncorrelated with the underwriting cycle. Second, events of deliberate origin, which include the documented anti-satellite tests catalogued in the Center for Strategic and International Studies space-weapons literature [8, 19], are kept out of the headline specification and reported separately in a robustness exercise that absorbs the geopolitical-shock channel through which they could violate the exclusion restriction. Hurova’s broader analysis of debris-mitigation governance establishes that the deliberate-origin subsample is exposed to a distinct policy channel the dissertation must isolate rather than pool</w:t>
      </w:r>
      <w:r>
        <w:t xml:space="preserve"> </w:t>
      </w:r>
      <w:hyperlink w:anchor="ref-10">
        <w:r>
          <w:rPr>
            <w:rStyle w:val="Hyperlink"/>
          </w:rPr>
          <w:t xml:space="preserve">[10]</w:t>
        </w:r>
      </w:hyperlink>
      <w:r>
        <w:t xml:space="preserve">.</w:t>
      </w:r>
    </w:p>
    <w:p>
      <w:pPr>
        <w:pStyle w:val="BodyText"/>
        <w:spacing w:line="480" w:lineRule="auto"/>
        <w:ind w:firstLine="720"/>
      </w:pPr>
      <w:r>
        <w:t xml:space="preserve">Two interpretations of</w:t>
      </w:r>
      <w:r>
        <w:t xml:space="preserve"> </w:t>
      </w:r>
      <m:oMath>
        <m:r>
          <m:t>β</m:t>
        </m:r>
      </m:oMath>
      <w:r>
        <w:t xml:space="preserve"> </w:t>
      </w:r>
      <w:r>
        <w:t xml:space="preserve">are admissible under Rosen’s theorem</w:t>
      </w:r>
      <w:r>
        <w:t xml:space="preserve"> </w:t>
      </w:r>
      <w:hyperlink w:anchor="ref-11">
        <w:r>
          <w:rPr>
            <w:rStyle w:val="Hyperlink"/>
          </w:rPr>
          <w:t xml:space="preserve">[11]</w:t>
        </w:r>
      </w:hyperlink>
      <w:r>
        <w:t xml:space="preserve">. Read as a buyer’s marginal willingness-to-pay-to-avoid,</w:t>
      </w:r>
      <w:r>
        <w:t xml:space="preserve"> </w:t>
      </w:r>
      <m:oMath>
        <m:r>
          <m:t>β</m:t>
        </m:r>
      </m:oMath>
      <w:r>
        <w:t xml:space="preserve"> </w:t>
      </w:r>
      <w:r>
        <w:t xml:space="preserve">measures the per-unit reduction in premium an operator would accept in exchange for one unit lower conjunction-rate exposure; this is the quantity of interest for active-debris-removal cost-benefit analysis, which McKnight argued must rest on such a measured price rather than on assumed values [4, 21]. Read as a seller’s marginal cost of supply,</w:t>
      </w:r>
      <w:r>
        <w:t xml:space="preserve"> </w:t>
      </w:r>
      <m:oMath>
        <m:r>
          <m:t>β</m:t>
        </m:r>
      </m:oMath>
      <w:r>
        <w:t xml:space="preserve"> </w:t>
      </w:r>
      <w:r>
        <w:t xml:space="preserve">measures the per-unit additional capital an underwriter must reserve against an insured object with one unit higher conjunction-rate exposure; this is the quantity of interest for the Swiss Re Institute’s analysis of the structural sustainability of the space insurance line</w:t>
      </w:r>
      <w:r>
        <w:t xml:space="preserve"> </w:t>
      </w:r>
      <w:hyperlink w:anchor="ref-16">
        <w:r>
          <w:rPr>
            <w:rStyle w:val="Hyperlink"/>
          </w:rPr>
          <w:t xml:space="preserve">[16]</w:t>
        </w:r>
      </w:hyperlink>
      <w:r>
        <w:t xml:space="preserve">. Under the equilibrium conditions of Rosen’s theorem the two interpretations coincide, and a single estimate of</w:t>
      </w:r>
      <w:r>
        <w:t xml:space="preserve"> </w:t>
      </w:r>
      <m:oMath>
        <m:r>
          <m:t>β</m:t>
        </m:r>
      </m:oMath>
      <w:r>
        <w:t xml:space="preserve"> </w:t>
      </w:r>
      <w:r>
        <w:t xml:space="preserve">resolves both policy questions.</w:t>
      </w:r>
    </w:p>
    <w:bookmarkEnd w:id="84"/>
    <w:bookmarkStart w:id="85" w:name="Xf1c417d228e8a2ada5d4d9777ae1953decea3cd"/>
    <w:p>
      <w:pPr>
        <w:pStyle w:val="Heading2"/>
        <w:spacing w:line="480" w:lineRule="auto"/>
      </w:pPr>
      <w:r>
        <w:t xml:space="preserve">3.5 Auxiliary Parameters and Their Theoretical Status</w:t>
      </w:r>
    </w:p>
    <w:p>
      <w:pPr>
        <w:pStyle w:val="FirstParagraph"/>
        <w:spacing w:line="480" w:lineRule="auto"/>
      </w:pPr>
      <w:r>
        <w:t xml:space="preserve">Alongside the parameter of interest, the hedonic specification recovers implicit prices on the satellite-design controls collected in</w:t>
      </w:r>
      <w:r>
        <w:t xml:space="preserve"> </w:t>
      </w:r>
      <m:oMath>
        <m:sSub>
          <m:e>
            <m:r>
              <m:rPr>
                <m:sty m:val="b"/>
              </m:rPr>
              <m:t>x</m:t>
            </m:r>
          </m:e>
          <m:sub>
            <m:r>
              <m:t>i</m:t>
            </m:r>
            <m:r>
              <m:t>t</m:t>
            </m:r>
          </m:sub>
        </m:sSub>
      </m:oMath>
      <w:r>
        <w:t xml:space="preserve"> </w:t>
      </w:r>
      <w:r>
        <w:t xml:space="preserve">and on the orbital-regime fixed effects</w:t>
      </w:r>
      <w:r>
        <w:t xml:space="preserve"> </w:t>
      </w:r>
      <m:oMath>
        <m:sSub>
          <m:e>
            <m:r>
              <m:t>η</m:t>
            </m:r>
          </m:e>
          <m:sub>
            <m:r>
              <m:t>r</m:t>
            </m:r>
          </m:sub>
        </m:sSub>
      </m:oMath>
      <w:r>
        <w:t xml:space="preserve">. These parameters are theoretically secondary but operationally important. The IRD project design recommendations underscore the discipline of pre-registering the secondary parameters as auxiliary rather than as competing hypotheses, so that the falsification test on</w:t>
      </w:r>
      <w:r>
        <w:t xml:space="preserve"> </w:t>
      </w:r>
      <m:oMath>
        <m:r>
          <m:t>β</m:t>
        </m:r>
      </m:oMath>
      <w:r>
        <w:t xml:space="preserve"> </w:t>
      </w:r>
      <w:r>
        <w:t xml:space="preserve">keeps its single-test character</w:t>
      </w:r>
      <w:r>
        <w:t xml:space="preserve"> </w:t>
      </w:r>
      <w:hyperlink w:anchor="ref-17">
        <w:r>
          <w:rPr>
            <w:rStyle w:val="Hyperlink"/>
          </w:rPr>
          <w:t xml:space="preserve">[17]</w:t>
        </w:r>
      </w:hyperlink>
      <w:r>
        <w:t xml:space="preserve">.</w:t>
      </w:r>
    </w:p>
    <w:p>
      <w:pPr>
        <w:pStyle w:val="BodyText"/>
        <w:spacing w:line="480" w:lineRule="auto"/>
        <w:ind w:firstLine="720"/>
      </w:pPr>
      <w:r>
        <w:t xml:space="preserve">Three auxiliary parameters merit brief theoretical treatment. Satellite dry mass is expected to enter positively under the actuarial premise that platform complexity scales the conditional severity of any loss event, a premise consistent with the prior companion results reported in the prospectus. Design life is expected to enter positively under the exposure-horizon premise, again consistent with the prior companion results. The orbital-regime fixed effects</w:t>
      </w:r>
      <w:r>
        <w:t xml:space="preserve"> </w:t>
      </w:r>
      <m:oMath>
        <m:sSub>
          <m:e>
            <m:r>
              <m:t>η</m:t>
            </m:r>
          </m:e>
          <m:sub>
            <m:r>
              <m:t>r</m:t>
            </m:r>
          </m:sub>
        </m:sSub>
      </m:oMath>
      <w:r>
        <w:t xml:space="preserve"> </w:t>
      </w:r>
      <w:r>
        <w:t xml:space="preserve">are expected to absorb composition effects of the type that contaminated the cross-sectional companion designs; this absorption is the central reason the panel specification of this dissertation is theoretically privileged over those designs.</w:t>
      </w:r>
    </w:p>
    <w:p>
      <w:pPr>
        <w:pStyle w:val="BodyText"/>
        <w:spacing w:line="480" w:lineRule="auto"/>
        <w:ind w:firstLine="720"/>
      </w:pPr>
      <w:r>
        <w:t xml:space="preserve">No separate hypotheses attach to these auxiliary parameters. Their signs and magnitudes serve as plausibility checks on the specification rather than as the falsification test of the dissertation.</w:t>
      </w:r>
    </w:p>
    <w:bookmarkEnd w:id="85"/>
    <w:bookmarkStart w:id="86" w:name="Xa45e1828ce10592d25315d6b326b10968b6e53c"/>
    <w:p>
      <w:pPr>
        <w:pStyle w:val="Heading2"/>
        <w:spacing w:line="480" w:lineRule="auto"/>
      </w:pPr>
      <w:r>
        <w:t xml:space="preserve">3.6 Alternative Theoretical Mechanisms and Their Empirical Implications</w:t>
      </w:r>
    </w:p>
    <w:p>
      <w:pPr>
        <w:pStyle w:val="FirstParagraph"/>
        <w:spacing w:line="480" w:lineRule="auto"/>
      </w:pPr>
      <w:r>
        <w:t xml:space="preserve">Before the formal hypotheses can be stated, four alternative mechanisms must be confronted. Each predicts a distinct empirical pattern, and the empirical design of Chapters 4 through 6 is built to discriminate among them.</w:t>
      </w:r>
    </w:p>
    <w:p>
      <w:pPr>
        <w:pStyle w:val="BodyText"/>
        <w:spacing w:line="480" w:lineRule="auto"/>
        <w:ind w:firstLine="720"/>
      </w:pPr>
      <w:r>
        <w:t xml:space="preserve">Under the first alternative, the insurance market does not price debris exposure at all because catalogued conjunction rates are dominated, in the underwriter’s loss model, by launcher failure during the first year of cover</w:t>
      </w:r>
      <w:r>
        <w:t xml:space="preserve"> </w:t>
      </w:r>
      <w:hyperlink w:anchor="ref-16">
        <w:r>
          <w:rPr>
            <w:rStyle w:val="Hyperlink"/>
          </w:rPr>
          <w:t xml:space="preserve">[16]</w:t>
        </w:r>
      </w:hyperlink>
      <w:r>
        <w:t xml:space="preserve">. If so,</w:t>
      </w:r>
      <w:r>
        <w:t xml:space="preserve"> </w:t>
      </w:r>
      <m:oMath>
        <m:r>
          <m:t>β</m:t>
        </m:r>
      </m:oMath>
      <w:r>
        <w:t xml:space="preserve"> </w:t>
      </w:r>
      <w:r>
        <w:t xml:space="preserve">would be statistically indistinguishable from zero in any sample restricted to first-year in-orbit policies, and would become distinguishable from zero only in samples extended to multi-year cover or to in-orbit-only renewals. The dissertation reports both samples.</w:t>
      </w:r>
    </w:p>
    <w:p>
      <w:pPr>
        <w:pStyle w:val="BodyText"/>
        <w:spacing w:line="480" w:lineRule="auto"/>
        <w:ind w:firstLine="720"/>
      </w:pPr>
      <w:r>
        <w:t xml:space="preserve">Under the second alternative, the insurance market prices debris exposure but does so through the orbital-regime indicator rather than through the conjunction-rate covariate. If so,</w:t>
      </w:r>
      <w:r>
        <w:t xml:space="preserve"> </w:t>
      </w:r>
      <m:oMath>
        <m:r>
          <m:t>β</m:t>
        </m:r>
      </m:oMath>
      <w:r>
        <w:t xml:space="preserve"> </w:t>
      </w:r>
      <w:r>
        <w:t xml:space="preserve">would be indistinguishable from zero once</w:t>
      </w:r>
      <w:r>
        <w:t xml:space="preserve"> </w:t>
      </w:r>
      <m:oMath>
        <m:sSub>
          <m:e>
            <m:r>
              <m:t>η</m:t>
            </m:r>
          </m:e>
          <m:sub>
            <m:r>
              <m:t>r</m:t>
            </m:r>
          </m:sub>
        </m:sSub>
      </m:oMath>
      <w:r>
        <w:t xml:space="preserve"> </w:t>
      </w:r>
      <w:r>
        <w:t xml:space="preserve">is included, and the within-regime variation produced by fragmentation events would carry no pricing weight. The two-stage least squares specification, in which fragmentation events instrument for</w:t>
      </w:r>
      <w:r>
        <w:t xml:space="preserve"> </w:t>
      </w:r>
      <m:oMath>
        <m:sSub>
          <m:e>
            <m:r>
              <m:t>c</m:t>
            </m:r>
          </m:e>
          <m:sub>
            <m:r>
              <m:t>i</m:t>
            </m:r>
            <m:r>
              <m:t>t</m:t>
            </m:r>
          </m:sub>
        </m:sSub>
      </m:oMath>
      <w:r>
        <w:t xml:space="preserve">, is designed to discriminate this alternative from the central mechanism.</w:t>
      </w:r>
    </w:p>
    <w:p>
      <w:pPr>
        <w:pStyle w:val="BodyText"/>
        <w:spacing w:line="480" w:lineRule="auto"/>
        <w:ind w:firstLine="720"/>
      </w:pPr>
      <w:r>
        <w:t xml:space="preserve">Under the third alternative, the insurance market prices debris exposure asymmetrically, with positive shocks to the debris population priced and negative shocks (produced by re-entry decay of catalogued objects) unpriced. If so,</w:t>
      </w:r>
      <w:r>
        <w:t xml:space="preserve"> </w:t>
      </w:r>
      <m:oMath>
        <m:r>
          <m:t>β</m:t>
        </m:r>
      </m:oMath>
      <w:r>
        <w:t xml:space="preserve"> </w:t>
      </w:r>
      <w:r>
        <w:t xml:space="preserve">is positive on the upside subsample and zero on the downside subsample, and the headline specification understates the upside implicit price. The dissertation reports the asymmetric specification as a heterogeneity exercise, following the disaggregation logic recommended in the on-orbit servicing economic literature [25, 27].</w:t>
      </w:r>
    </w:p>
    <w:p>
      <w:pPr>
        <w:pStyle w:val="BodyText"/>
        <w:spacing w:line="480" w:lineRule="auto"/>
        <w:ind w:firstLine="720"/>
      </w:pPr>
      <w:r>
        <w:t xml:space="preserve">Under the fourth alternative, the insurance market prices a contested-environment factor that is correlated with debris exposure but distinct from it, in which case</w:t>
      </w:r>
      <w:r>
        <w:t xml:space="preserve"> </w:t>
      </w:r>
      <m:oMath>
        <m:r>
          <m:t>β</m:t>
        </m:r>
      </m:oMath>
      <w:r>
        <w:t xml:space="preserve"> </w:t>
      </w:r>
      <w:r>
        <w:t xml:space="preserve">would conflate the debris signal with the contestation signal. Harrison’s analysis of international space-weapons developments and Hurova’s debris-mitigation governance analysis identify the contested-environment factor as a distinct channel [8, 10, 19], and the dissertation includes a contested-environment control constructed from those sources.</w:t>
      </w:r>
    </w:p>
    <w:p>
      <w:pPr>
        <w:pStyle w:val="BodyText"/>
        <w:spacing w:line="480" w:lineRule="auto"/>
        <w:ind w:firstLine="720"/>
      </w:pPr>
      <w:r>
        <w:t xml:space="preserve">These four alternatives exhaust the theoretical channels the literature identifies as competing with the central mechanism. The residual variance in</w:t>
      </w:r>
      <w:r>
        <w:t xml:space="preserve"> </w:t>
      </w:r>
      <m:oMath>
        <m:sSub>
          <m:e>
            <m:r>
              <m:t>ε</m:t>
            </m:r>
          </m:e>
          <m:sub>
            <m:r>
              <m:t>i</m:t>
            </m:r>
            <m:r>
              <m:t>t</m:t>
            </m:r>
          </m:sub>
        </m:sSub>
      </m:oMath>
      <w:r>
        <w:t xml:space="preserve"> </w:t>
      </w:r>
      <w:r>
        <w:t xml:space="preserve">is absorbed by the cluster-robust standard error structure at the operator level.</w:t>
      </w:r>
    </w:p>
    <w:bookmarkEnd w:id="86"/>
    <w:bookmarkStart w:id="87" w:name="the-formal-hypotheses"/>
    <w:p>
      <w:pPr>
        <w:pStyle w:val="Heading2"/>
        <w:spacing w:line="480" w:lineRule="auto"/>
      </w:pPr>
      <w:r>
        <w:t xml:space="preserve">3.7 The Formal Hypotheses</w:t>
      </w:r>
    </w:p>
    <w:p>
      <w:pPr>
        <w:pStyle w:val="FirstParagraph"/>
        <w:spacing w:line="480" w:lineRule="auto"/>
      </w:pPr>
      <w:r>
        <w:t xml:space="preserve">The single falsifiable contribution of the dissertation is stated as a pair of hypotheses on the parameter</w:t>
      </w:r>
      <w:r>
        <w:t xml:space="preserve"> </w:t>
      </w:r>
      <m:oMath>
        <m:r>
          <m:t>β</m:t>
        </m:r>
      </m:oMath>
      <w:r>
        <w:t xml:space="preserve"> </w:t>
      </w:r>
      <w:r>
        <w:t xml:space="preserve">of the hedonic specification of section 3.4.</w:t>
      </w:r>
    </w:p>
    <w:p>
      <w:pPr>
        <w:pStyle w:val="BodyText"/>
        <w:spacing w:line="480" w:lineRule="auto"/>
        <w:ind w:firstLine="720"/>
      </w:pPr>
      <w:r>
        <w:rPr>
          <w:b/>
          <w:bCs/>
        </w:rPr>
        <w:t xml:space="preserve">H0 (null hypothesis):</w:t>
      </w:r>
      <w:r>
        <w:t xml:space="preserve"> </w:t>
      </w:r>
      <w:r>
        <w:t xml:space="preserve">Conditional on satellite-design controls, policy-design controls, operator fixed effects, year fixed effects, and orbital-regime fixed effects, the implicit hedonic price of cumulative conjunction-rate exposure on the annual premium rate per insured dollar is zero. Formally,</w:t>
      </w:r>
      <w:r>
        <w:t xml:space="preserve"> </w:t>
      </w:r>
      <m:oMath>
        <m:sSub>
          <m:e>
            <m:r>
              <m:t>H</m:t>
            </m:r>
          </m:e>
          <m:sub>
            <m:r>
              <m:t>0</m:t>
            </m:r>
          </m:sub>
        </m:sSub>
        <m:r>
          <m:rPr>
            <m:sty m:val="p"/>
          </m:rPr>
          <m:t>:</m:t>
        </m:r>
        <m:r>
          <m:t>β</m:t>
        </m:r>
        <m:r>
          <m:rPr>
            <m:sty m:val="p"/>
          </m:rPr>
          <m:t>=</m:t>
        </m:r>
        <m:r>
          <m:t>0</m:t>
        </m:r>
      </m:oMath>
      <w:r>
        <w:t xml:space="preserve">.</w:t>
      </w:r>
    </w:p>
    <w:p>
      <w:pPr>
        <w:pStyle w:val="BodyText"/>
        <w:spacing w:line="480" w:lineRule="auto"/>
        <w:ind w:firstLine="720"/>
      </w:pPr>
      <w:r>
        <w:rPr>
          <w:b/>
          <w:bCs/>
        </w:rPr>
        <w:t xml:space="preserve">H1 (alternative hypothesis):</w:t>
      </w:r>
      <w:r>
        <w:t xml:space="preserve"> </w:t>
      </w:r>
      <w:r>
        <w:t xml:space="preserve">Conditional on the same controls and fixed effects, the implicit hedonic price of cumulative conjunction-rate exposure on the annual premium rate per insured dollar is strictly positive. Formally,</w:t>
      </w:r>
      <w:r>
        <w:t xml:space="preserve"> </w:t>
      </w:r>
      <m:oMath>
        <m:sSub>
          <m:e>
            <m:r>
              <m:t>H</m:t>
            </m:r>
          </m:e>
          <m:sub>
            <m:r>
              <m:t>1</m:t>
            </m:r>
          </m:sub>
        </m:sSub>
        <m:r>
          <m:rPr>
            <m:sty m:val="p"/>
          </m:rPr>
          <m:t>:</m:t>
        </m:r>
        <m:r>
          <m:t>β</m:t>
        </m:r>
        <m:r>
          <m:rPr>
            <m:sty m:val="p"/>
          </m:rPr>
          <m:t>&gt;</m:t>
        </m:r>
        <m:r>
          <m:t>0</m:t>
        </m:r>
      </m:oMath>
      <w:r>
        <w:t xml:space="preserve">.</w:t>
      </w:r>
    </w:p>
    <w:p>
      <w:pPr>
        <w:pStyle w:val="BodyText"/>
        <w:spacing w:line="480" w:lineRule="auto"/>
        <w:ind w:firstLine="720"/>
      </w:pPr>
      <w:r>
        <w:t xml:space="preserve">The hypothesis is one-sided, and it is worth saying why. The theoretical apparatus of sections 3.2 through 3.4 admits no equilibrium under which</w:t>
      </w:r>
      <w:r>
        <w:t xml:space="preserve"> </w:t>
      </w:r>
      <m:oMath>
        <m:r>
          <m:t>β</m:t>
        </m:r>
        <m:r>
          <m:rPr>
            <m:sty m:val="p"/>
          </m:rPr>
          <m:t>&lt;</m:t>
        </m:r>
        <m:r>
          <m:t>0</m:t>
        </m:r>
      </m:oMath>
      <w:r>
        <w:t xml:space="preserve">, conditional on the included controls and fixed effects, because the underwriter’s expected-loss calculation cannot rationalize a premium reduction in response to elevated conjunction exposure. A negative point estimate of</w:t>
      </w:r>
      <w:r>
        <w:t xml:space="preserve"> </w:t>
      </w:r>
      <m:oMath>
        <m:r>
          <m:t>β</m:t>
        </m:r>
      </m:oMath>
      <w:r>
        <w:t xml:space="preserve">, even if statistically distinguishable from zero, would not count as rejection of H0 in favor of an inverse mechanism. It would count as evidence that the specification has failed to absorb a confounding composition effect of the kind that contaminated the regime-level cross sections of the companion papers. The dissertation pre-commits to this asymmetric reading.</w:t>
      </w:r>
    </w:p>
    <w:p>
      <w:pPr>
        <w:pStyle w:val="BodyText"/>
        <w:spacing w:line="480" w:lineRule="auto"/>
        <w:ind w:firstLine="720"/>
      </w:pPr>
      <w:r>
        <w:t xml:space="preserve">Cluster-robust standard errors at the operator level, at a significance threshold of five percent, carry the test of H0 against H1. The decision rule is conventional: H0 is rejected in favor of H1 if and only if the lower bound of the one-sided ninety-five-percent confidence interval on</w:t>
      </w:r>
      <w:r>
        <w:t xml:space="preserve"> </w:t>
      </w:r>
      <m:oMath>
        <m:acc>
          <m:accPr>
            <m:chr m:val="̂"/>
          </m:accPr>
          <m:e>
            <m:r>
              <m:t>β</m:t>
            </m:r>
          </m:e>
        </m:acc>
      </m:oMath>
      <w:r>
        <w:t xml:space="preserve"> </w:t>
      </w:r>
      <w:r>
        <w:t xml:space="preserve">is strictly greater than zero. Failure to reject H0 falsifies the central premise that the satellite insurance and reinsurance market prices the debris externality at the unit of analysis of the insured object; rejection of H0 in favor of H1 yields a point estimate of the hedonic shadow price that can be carried into the cost-benefit analysis of active debris removal and into the design of mandatory-cover or use-fee instruments.</w:t>
      </w:r>
    </w:p>
    <w:bookmarkEnd w:id="87"/>
    <w:bookmarkStart w:id="88" w:name="X6d1b29eeaf408cae24b7e9fab77b7591f862ff4"/>
    <w:p>
      <w:pPr>
        <w:pStyle w:val="Heading2"/>
        <w:spacing w:line="480" w:lineRule="auto"/>
      </w:pPr>
      <w:r>
        <w:t xml:space="preserve">3.8 Scope Conditions and Boundaries of the Hypotheses</w:t>
      </w:r>
    </w:p>
    <w:p>
      <w:pPr>
        <w:pStyle w:val="FirstParagraph"/>
        <w:spacing w:line="480" w:lineRule="auto"/>
      </w:pPr>
      <w:r>
        <w:t xml:space="preserve">Four scope conditions bound the hypotheses, each of which the empirical chapters will enforce.</w:t>
      </w:r>
    </w:p>
    <w:p>
      <w:pPr>
        <w:pStyle w:val="BodyText"/>
        <w:spacing w:line="480" w:lineRule="auto"/>
        <w:ind w:firstLine="720"/>
      </w:pPr>
      <w:r>
        <w:t xml:space="preserve">The hypotheses apply, first, to the period 2014 through 2025, the interval over which catalog completeness for objects above ten centimeters is documented to be stable [12, 13]. Specifications on earlier years are reported separately and are not used to test H0.</w:t>
      </w:r>
    </w:p>
    <w:p>
      <w:pPr>
        <w:pStyle w:val="BodyText"/>
        <w:spacing w:line="480" w:lineRule="auto"/>
        <w:ind w:firstLine="720"/>
      </w:pPr>
      <w:r>
        <w:t xml:space="preserve">They apply, second, to commercial and civil operators that participate in the London market placement record and the Seradata SpaceTrak aggregates [14, 15]. Operators that self-insure or pool risk through national arrangements are absent from the sample and are addressed through a Heckman selection correction whose theoretical justification is a separate but related identifying argument.</w:t>
      </w:r>
    </w:p>
    <w:p>
      <w:pPr>
        <w:pStyle w:val="BodyText"/>
        <w:spacing w:line="480" w:lineRule="auto"/>
        <w:ind w:firstLine="720"/>
      </w:pPr>
      <w:r>
        <w:t xml:space="preserve">They apply, third, to in-orbit cover. Launch cover, transit cover, and third-party liability cover are governed by distinct loss distributions whose hedonic decomposition would require a separate theoretical apparatus.</w:t>
      </w:r>
    </w:p>
    <w:p>
      <w:pPr>
        <w:pStyle w:val="BodyText"/>
        <w:spacing w:line="480" w:lineRule="auto"/>
        <w:ind w:firstLine="720"/>
      </w:pPr>
      <w:r>
        <w:t xml:space="preserve">They apply, fourth, at the unit of analysis of the insured object-year. A reinsurer-level or syndicate-level hedonic specification would address a different parameter and is reserved for the discussion of policy implications in Chapter 7. The outreach literature on space traffic management and the multi-stakeholder collaboration literature provide the framing for that policy discussion but do not enter the falsification test [26, 28].</w:t>
      </w:r>
    </w:p>
    <w:bookmarkEnd w:id="88"/>
    <w:bookmarkStart w:id="89" w:name="summary"/>
    <w:p>
      <w:pPr>
        <w:pStyle w:val="Heading2"/>
        <w:spacing w:line="480" w:lineRule="auto"/>
      </w:pPr>
      <w:r>
        <w:t xml:space="preserve">3.9 Summary</w:t>
      </w:r>
    </w:p>
    <w:p>
      <w:pPr>
        <w:pStyle w:val="FirstParagraph"/>
        <w:spacing w:line="480" w:lineRule="auto"/>
      </w:pPr>
      <w:r>
        <w:t xml:space="preserve">This chapter’s apparatus situates the dissertation’s contribution at the intersection of three literatures. From the hedonic-price literature it borrows Rosen’s equilibrium framework and the device of recovering implicit prices from observed transactions</w:t>
      </w:r>
      <w:r>
        <w:t xml:space="preserve"> </w:t>
      </w:r>
      <w:hyperlink w:anchor="ref-11">
        <w:r>
          <w:rPr>
            <w:rStyle w:val="Hyperlink"/>
          </w:rPr>
          <w:t xml:space="preserve">[11]</w:t>
        </w:r>
      </w:hyperlink>
      <w:r>
        <w:t xml:space="preserve">. From the engineering and operational literatures on orbital debris it borrows the catalog products and conjunction-screening methodology that render the central covariate measurable [7, 9, 12, 13]. From the space-economy and insurance literatures it borrows the welfare argument and the institutional description that make the recovered price policy-relevant [1, 2, 5, 14, 15, 16, 30].</w:t>
      </w:r>
    </w:p>
    <w:p>
      <w:pPr>
        <w:pStyle w:val="BodyText"/>
        <w:spacing w:line="480" w:lineRule="auto"/>
        <w:ind w:firstLine="720"/>
      </w:pPr>
      <w:r>
        <w:t xml:space="preserve">At the center sits</w:t>
      </w:r>
      <w:r>
        <w:t xml:space="preserve"> </w:t>
      </w:r>
      <m:oMath>
        <m:r>
          <m:t>β</m:t>
        </m:r>
      </m:oMath>
      <w:r>
        <w:t xml:space="preserve">, the semi-elasticity of the annual premium rate per insured dollar with respect to cumulative conjunction-rate exposure, conditional on satellite-design controls, policy-design controls, operator fixed effects, year fixed effects, and orbital-regime fixed effects. H0 asserts that</w:t>
      </w:r>
      <w:r>
        <w:t xml:space="preserve"> </w:t>
      </w:r>
      <m:oMath>
        <m:r>
          <m:t>β</m:t>
        </m:r>
        <m:r>
          <m:rPr>
            <m:sty m:val="p"/>
          </m:rPr>
          <m:t>=</m:t>
        </m:r>
        <m:r>
          <m:t>0</m:t>
        </m:r>
      </m:oMath>
      <w:r>
        <w:t xml:space="preserve">; H1 asserts that</w:t>
      </w:r>
      <w:r>
        <w:t xml:space="preserve"> </w:t>
      </w:r>
      <m:oMath>
        <m:r>
          <m:t>β</m:t>
        </m:r>
        <m:r>
          <m:rPr>
            <m:sty m:val="p"/>
          </m:rPr>
          <m:t>&gt;</m:t>
        </m:r>
        <m:r>
          <m:t>0</m:t>
        </m:r>
      </m:oMath>
      <w:r>
        <w:t xml:space="preserve">. Failure to reject H0 falsifies the central premise of the dissertation. Rejection of H0 in favor of H1 yields the market-revealed shadow price of debris exposure that the policy and engineering literatures have heretofore assumed rather than measured.</w:t>
      </w:r>
    </w:p>
    <w:p>
      <w:pPr>
        <w:pStyle w:val="BodyText"/>
        <w:spacing w:line="480" w:lineRule="auto"/>
        <w:ind w:firstLine="720"/>
      </w:pPr>
      <w:r>
        <w:t xml:space="preserve">Chapter 4 turns to the empirical design through which this hypothesis will be tested, including the construction of the conjunction-rate covariate, the assembly of the panel, and the defense of the identifying restriction on fragmentation-event exogeneity.</w:t>
      </w:r>
    </w:p>
    <w:bookmarkEnd w:id="89"/>
    <w:bookmarkEnd w:id="90"/>
    <w:bookmarkStart w:id="99" w:name="chapter-4.-data-and-measurement"/>
    <w:p>
      <w:pPr>
        <w:pStyle w:val="Heading1"/>
        <w:spacing w:line="480" w:lineRule="auto"/>
      </w:pPr>
      <w:r>
        <w:t xml:space="preserve">Chapter 4. Data and Measurement</w:t>
      </w:r>
    </w:p>
    <w:bookmarkStart w:id="91" w:name="X8371776e3471b6b881a5c6580078fc757f5701b"/>
    <w:p>
      <w:pPr>
        <w:pStyle w:val="Heading2"/>
        <w:spacing w:line="480" w:lineRule="auto"/>
      </w:pPr>
      <w:r>
        <w:t xml:space="preserve">4.1 Overview and Logic of the Measurement Chapter</w:t>
      </w:r>
    </w:p>
    <w:p>
      <w:pPr>
        <w:pStyle w:val="FirstParagraph"/>
        <w:spacing w:line="480" w:lineRule="auto"/>
      </w:pPr>
      <w:r>
        <w:t xml:space="preserve">Two cross-sectional hedonic regressions of commercial satellite insurance premium rates on orbital-environment and platform attributes carry the dissertation. The first paper assembles thirty-three first-year in-orbit policies placed between 2016 and 2025; the second assembles thirty-one commercial mission-level observations placed between 2015 and 2020. The two samples are independent and use partially overlapping sources. They share one analytical commitment: every variable used in estimation is constructed from a primary record that is either publicly accessible or available under a standard research agreement, and no figure is assigned by analyst judgment without an explicit flag. This chapter documents those records and the construction of each variable from them, in the order the variable enters the regression specification of either paper.</w:t>
      </w:r>
    </w:p>
    <w:p>
      <w:pPr>
        <w:pStyle w:val="BodyText"/>
        <w:spacing w:line="480" w:lineRule="auto"/>
        <w:ind w:firstLine="720"/>
      </w:pPr>
      <w:r>
        <w:t xml:space="preserve">Rosen’s hedonic logic sets the architecture of the chapter</w:t>
      </w:r>
      <w:r>
        <w:t xml:space="preserve"> </w:t>
      </w:r>
      <w:hyperlink w:anchor="ref-11">
        <w:r>
          <w:rPr>
            <w:rStyle w:val="Hyperlink"/>
          </w:rPr>
          <w:t xml:space="preserve">[11]</w:t>
        </w:r>
      </w:hyperlink>
      <w:r>
        <w:t xml:space="preserve">. A differentiated good, in this case the first-year all-risks in-orbit insurance contract on a single satellite, is decomposed into a vector of attributes, each carrying an implicit price recovered from the cross section of transaction prices. So the measurement problem is not the measurement of price alone. It is the simultaneous measurement of the price and of the attributes whose marginal implicit prices the regression recovers, and the credibility of the hedonic shadow price is bounded above by the quality of the weakest attribute construction. The chapter is organized accordingly. Section 4.2 fixes the unit of analysis. Section 4.3 documents the premium-rate construction and its broker, market-report, and trade-press sources. Section 4.4 documents the orbital-debris flux and density indices and their primary catalog sources at the NASA Orbital Debris Program Office and the European Space Agency Space Debris Office. Section 4.5 documents the platform-attribute variables drawn from operator press kits and launch-service-provider records. Section 4.6 documents the launcher-reliability and operator-age variables and their FAA AST and launch-service-provider primary sources. Section 4.7 documents the time controls. Section 4.8 sets out the data-construction protocol, including the treatment of illustrative observations, the flagging of sector-average assignments, and the audit trail maintained for each row of each working file.</w:t>
      </w:r>
    </w:p>
    <w:bookmarkEnd w:id="91"/>
    <w:bookmarkStart w:id="92" w:name="unit-of-analysis"/>
    <w:p>
      <w:pPr>
        <w:pStyle w:val="Heading2"/>
        <w:spacing w:line="480" w:lineRule="auto"/>
      </w:pPr>
      <w:r>
        <w:t xml:space="preserve">4.2 Unit of Analysis</w:t>
      </w:r>
    </w:p>
    <w:p>
      <w:pPr>
        <w:pStyle w:val="FirstParagraph"/>
        <w:spacing w:line="480" w:lineRule="auto"/>
      </w:pPr>
      <w:r>
        <w:t xml:space="preserve">In both papers the unit of observation is the satellite-policy at launch, restricted to the first-year all-risks in-orbit cover. That choice is consequential and deliberate. First-year in-orbit cover is the only segment of the commercial satellite insurance line for which a comparable rate-on-line is reported with any regularity across the broker and reinsurer publications. Launch cover, which combines pre-launch, ascent, and on-orbit commissioning, mixes very different loss distributions, and extended on-orbit cover beyond the first year is placed on bespoke terms that resist cross-section pooling. Fixing the unit at the satellite-policy in its first in-orbit year holds the policy form approximately constant across observations and isolates the rate variation that hedonic theory expects to recover.</w:t>
      </w:r>
    </w:p>
    <w:p>
      <w:pPr>
        <w:pStyle w:val="BodyText"/>
        <w:spacing w:line="480" w:lineRule="auto"/>
        <w:ind w:firstLine="720"/>
      </w:pPr>
      <w:r>
        <w:t xml:space="preserve">A satellite-policy is identified by the combination of the insured spacecraft and the insured policy year. In the first paper, the cross section is built so that each satellite enters at most once, in its first in-orbit year, yielding a sample size of thirty-three. In the second paper, a comparable rule yields a sample size of thirty-one. The two samples are independent in the sense that they do not share a common construction file, even though the underlying primary sources for several variables are the same; the dissertation reports both samples separately and does not pool them, because the second paper uses a debris-density index rather than a debris-flux index and the two indices are not interchangeable at the row level.</w:t>
      </w:r>
    </w:p>
    <w:p>
      <w:pPr>
        <w:pStyle w:val="BodyText"/>
        <w:spacing w:line="480" w:lineRule="auto"/>
        <w:ind w:firstLine="720"/>
      </w:pPr>
      <w:r>
        <w:t xml:space="preserve">Two analytical consequences follow. One: the marginal hedonic price recovered in each paper is the marginal implicit price of an attribute change at the satellite-policy level, not at the operator level or at the fleet level. Chapter 5 discusses the aggregation properties of the implicit price under operator-level or fleet-level reweighting, which are not invoked here. Two: the cross-sectional design cannot, by construction, identify the within-mission response of the rate to a discrete change in the local debris environment. That identification is reserved for the panel and event-study extensions sketched in the prospectus and lies outside the measurement scope of this chapter.</w:t>
      </w:r>
    </w:p>
    <w:bookmarkEnd w:id="92"/>
    <w:bookmarkStart w:id="93" w:name="X3d4a73207ded486b85d943690da37f58ba92839"/>
    <w:p>
      <w:pPr>
        <w:pStyle w:val="Heading2"/>
        <w:spacing w:line="480" w:lineRule="auto"/>
      </w:pPr>
      <w:r>
        <w:t xml:space="preserve">4.3 The Dependent Variable: First-Year In-Orbit Premium Rate</w:t>
      </w:r>
    </w:p>
    <w:p>
      <w:pPr>
        <w:pStyle w:val="FirstParagraph"/>
        <w:spacing w:line="480" w:lineRule="auto"/>
      </w:pPr>
      <w:r>
        <w:t xml:space="preserve">In both papers the dependent variable is the first-year in-orbit premium rate expressed as a percentage of insured value. The convention follows the standard reporting practice of the broker market-update publications, in which a premium rate is quoted as the annual premium divided by the insured value, expressed in percentage points, and is the form in which underwriters and reinsurers compare exposures across orbital regimes and platform classes.</w:t>
      </w:r>
    </w:p>
    <w:p>
      <w:pPr>
        <w:pStyle w:val="BodyText"/>
        <w:spacing w:line="480" w:lineRule="auto"/>
        <w:ind w:firstLine="720"/>
      </w:pPr>
      <w:r>
        <w:t xml:space="preserve">For the first paper, the rate variable comes primarily from the annual editions of the Aon Space Insurance Market Update</w:t>
      </w:r>
      <w:r>
        <w:t xml:space="preserve"> </w:t>
      </w:r>
      <w:hyperlink w:anchor="ref-14">
        <w:r>
          <w:rPr>
            <w:rStyle w:val="Hyperlink"/>
          </w:rPr>
          <w:t xml:space="preserve">[14]</w:t>
        </w:r>
      </w:hyperlink>
      <w:r>
        <w:t xml:space="preserve">, the Marsh Space Insurance Market Report</w:t>
      </w:r>
      <w:r>
        <w:t xml:space="preserve"> </w:t>
      </w:r>
      <w:hyperlink w:anchor="ref-15">
        <w:r>
          <w:rPr>
            <w:rStyle w:val="Hyperlink"/>
          </w:rPr>
          <w:t xml:space="preserve">[15]</w:t>
        </w:r>
      </w:hyperlink>
      <w:r>
        <w:t xml:space="preserve">, the Swiss Re Institute briefing on space risks</w:t>
      </w:r>
      <w:r>
        <w:t xml:space="preserve"> </w:t>
      </w:r>
      <w:hyperlink w:anchor="ref-16">
        <w:r>
          <w:rPr>
            <w:rStyle w:val="Hyperlink"/>
          </w:rPr>
          <w:t xml:space="preserve">[16]</w:t>
        </w:r>
      </w:hyperlink>
      <w:r>
        <w:t xml:space="preserve">, and the Allianz AGCS annual space-market reports. Longest-running and most consistently formatted of these, the Aon market update serves as the spine of the rate series. Where a mission-specific rate is publicly disclosed, that rate is recorded against the satellite-policy row. Where only the sector-average rate by orbital regime is available, the sector-average is assigned and the row is flagged as illustrative in the working file. The flag is preserved through estimation and is the basis for the robustness check that drops illustrative rows; that check is reported in Chapter 5.</w:t>
      </w:r>
    </w:p>
    <w:p>
      <w:pPr>
        <w:pStyle w:val="BodyText"/>
        <w:spacing w:line="480" w:lineRule="auto"/>
        <w:ind w:firstLine="720"/>
      </w:pPr>
      <w:r>
        <w:t xml:space="preserve">For the second paper, the rate variable comes primarily from the SpaceNews market reports for the 2015 through 2020 window, supplemented by operator press kits and the same broker market-update editions where they overlap with the second-paper window. That narrower window, 2015 through 2020, reflects the availability of fully disclosed mission-specific rate observations in the SpaceNews compilations and the candidate’s decision not to extend the sample into the harder-market years of the early 2020s without consistent mission-level disclosure. Two observations in the second-paper sample carry partial rate disclosures and are flagged as illustrative on the same convention used in the first paper.</w:t>
      </w:r>
    </w:p>
    <w:p>
      <w:pPr>
        <w:pStyle w:val="BodyText"/>
        <w:spacing w:line="480" w:lineRule="auto"/>
        <w:ind w:firstLine="720"/>
      </w:pPr>
      <w:r>
        <w:t xml:space="preserve">The rate is recorded to two decimal places in percentage points, which is the resolution at which the broker publications quote sector averages and the SpaceNews compilations quote mission-specific rates. No transformation is applied to the rate at the construction stage; the regressions of both papers use the rate in levels rather than in logarithms, a specification choice that is documented and defended in Chapter 5. The rate is identified to the calendar year of policy inception, which is also the year used in the time control documented in Section 4.7.</w:t>
      </w:r>
    </w:p>
    <w:bookmarkEnd w:id="93"/>
    <w:bookmarkStart w:id="94" w:name="the-debris-environment-covariates"/>
    <w:p>
      <w:pPr>
        <w:pStyle w:val="Heading2"/>
        <w:spacing w:line="480" w:lineRule="auto"/>
      </w:pPr>
      <w:r>
        <w:t xml:space="preserve">4.4 The Debris-Environment Covariates</w:t>
      </w:r>
    </w:p>
    <w:p>
      <w:pPr>
        <w:pStyle w:val="FirstParagraph"/>
        <w:spacing w:line="480" w:lineRule="auto"/>
      </w:pPr>
      <w:r>
        <w:t xml:space="preserve">Where the two papers differ most is in how they operationalize the orbital-debris environment. The first paper constructs a debris flux index defined at the orbital regime of the insured spacecraft. The second constructs a debris density index defined at the orbital regime of the insured spacecraft. Both indices are anchored to publicly available primary catalogs and are normalized so that their cross-sectional variation can be interpreted as variation in the local environmental disamenity to which Rosen’s hedonic framework applies</w:t>
      </w:r>
      <w:r>
        <w:t xml:space="preserve"> </w:t>
      </w:r>
      <w:hyperlink w:anchor="ref-11">
        <w:r>
          <w:rPr>
            <w:rStyle w:val="Hyperlink"/>
          </w:rPr>
          <w:t xml:space="preserve">[11]</w:t>
        </w:r>
      </w:hyperlink>
      <w:r>
        <w:t xml:space="preserve">.</w:t>
      </w:r>
    </w:p>
    <w:p>
      <w:pPr>
        <w:pStyle w:val="BodyText"/>
        <w:spacing w:line="480" w:lineRule="auto"/>
        <w:ind w:firstLine="720"/>
      </w:pPr>
      <w:r>
        <w:t xml:space="preserve">In the first paper, the flux index is constructed from the NASA Orbital Debris Program Office Orbital Debris Quarterly News charts of catalogued objects by altitude band</w:t>
      </w:r>
      <w:r>
        <w:t xml:space="preserve"> </w:t>
      </w:r>
      <w:hyperlink w:anchor="ref-12">
        <w:r>
          <w:rPr>
            <w:rStyle w:val="Hyperlink"/>
          </w:rPr>
          <w:t xml:space="preserve">[12]</w:t>
        </w:r>
      </w:hyperlink>
      <w:r>
        <w:t xml:space="preserve">, cross-checked against the ESA Annual Space Environment Report figures on spatial density by regime</w:t>
      </w:r>
      <w:r>
        <w:t xml:space="preserve"> </w:t>
      </w:r>
      <w:hyperlink w:anchor="ref-13">
        <w:r>
          <w:rPr>
            <w:rStyle w:val="Hyperlink"/>
          </w:rPr>
          <w:t xml:space="preserve">[13]</w:t>
        </w:r>
      </w:hyperlink>
      <w:r>
        <w:t xml:space="preserve">. The Orbital Debris Quarterly News is the authoritative open-access serial of the NASA Johnson Space Center program office; it has been published since the 1990s and is the source of record for the United States government tally of catalogued objects by altitude. Its European counterpart, the ESA Annual Space Environment Report, identifier GEN-DB-LOG-00288-OPS-SD, is the authoritative serial of the European Space Agency Space Debris Office at Darmstadt and provides spatial-density figures computed from a common catalog basis under a documented methodology. The flux index is built by aggregating the catalogued-object counts in the altitude band of the insured spacecraft over the calendar year of policy inception, normalizing the resulting flux to a reference value of unity at the GEO regime in calendar year 2010, and assigning the index to each satellite-policy by orbital regime. Its resulting cross-sectional range runs from approximately 0.19 for GEO and IGSO observations to 2.65 for the densest sun-synchronous LEO band. Altitude in kilometers was initially included as a separate control but proved nearly collinear with the regime-coded flux index and was dropped from the reported specification. That collinearity reflects the fact that the regime indicator and the catalog density of the regime jointly proxy altitude, and is documented in Chapter 5.</w:t>
      </w:r>
    </w:p>
    <w:p>
      <w:pPr>
        <w:pStyle w:val="BodyText"/>
        <w:spacing w:line="480" w:lineRule="auto"/>
        <w:ind w:firstLine="720"/>
      </w:pPr>
      <w:r>
        <w:t xml:space="preserve">In the second paper, the density index is constructed from the ESA DISCOS catalog density profiles, which are the European Space Agency Database and Information System Characterising Objects in Space spatial-density product, and from the Orbital Debris Quarterly News charts referenced above. The DISCOS profiles report the catalogued spatial density of objects by altitude shell and serve as the second-paper analogue of the first-paper flux index, with the substantive difference that the second-paper index measures the local density of catalogued objects in the operating altitude shell of the insured spacecraft rather than the catalogued flux through that altitude band over the calendar year. The density index is recorded for each satellite-policy by reading the DISCOS profile at the operating altitude of the insured spacecraft and assigning the resulting density value. The construction is documented row by row in the working file.</w:t>
      </w:r>
    </w:p>
    <w:p>
      <w:pPr>
        <w:pStyle w:val="BodyText"/>
        <w:spacing w:line="480" w:lineRule="auto"/>
        <w:ind w:firstLine="720"/>
      </w:pPr>
      <w:r>
        <w:t xml:space="preserve">Both the flux and density constructions reflect a methodological commitment the dissertation makes explicit in Chapter 3 and reiterates here: the catalogued environment is the only environment the insurance market can reasonably be expected to price, because catalogued losses, not modeled losses, drive market pricing</w:t>
      </w:r>
      <w:r>
        <w:t xml:space="preserve"> </w:t>
      </w:r>
      <w:hyperlink w:anchor="ref-4">
        <w:r>
          <w:rPr>
            <w:rStyle w:val="Hyperlink"/>
          </w:rPr>
          <w:t xml:space="preserve">[4]</w:t>
        </w:r>
      </w:hyperlink>
      <w:r>
        <w:t xml:space="preserve">. So the implicit prices recovered in both papers are implicit prices of catalogued exposure, not implicit prices of modeled total exposure inclusive of sub-cataloged debris. The distinction is consequential for the cost-benefit interpretation of the recovered shadow prices and is taken up at length in Chapter 6.</w:t>
      </w:r>
    </w:p>
    <w:p>
      <w:pPr>
        <w:pStyle w:val="BodyText"/>
        <w:spacing w:line="480" w:lineRule="auto"/>
        <w:ind w:firstLine="720"/>
      </w:pPr>
      <w:r>
        <w:t xml:space="preserve">A secondary debris-environment construction, the comprehensive collision-likelihood assessment methodology of Oltrogge and colleagues</w:t>
      </w:r>
      <w:r>
        <w:t xml:space="preserve"> </w:t>
      </w:r>
      <w:hyperlink w:anchor="ref-7">
        <w:r>
          <w:rPr>
            <w:rStyle w:val="Hyperlink"/>
          </w:rPr>
          <w:t xml:space="preserve">[7]</w:t>
        </w:r>
      </w:hyperlink>
      <w:r>
        <w:t xml:space="preserve">, is used for validation of the GEO segment of the first-paper flux index. That methodology produces a per-object conjunction probability in GEO that can be compared against the GEO segment of the flux index at the reference normalization point. The validation does not enter the regression specifications of either paper; it is reported as a measurement-quality check in Chapter 5.</w:t>
      </w:r>
    </w:p>
    <w:bookmarkEnd w:id="94"/>
    <w:bookmarkStart w:id="95" w:name="X31abd40c94c22bc5ab2ee8d593fe99e36e81521"/>
    <w:p>
      <w:pPr>
        <w:pStyle w:val="Heading2"/>
        <w:spacing w:line="480" w:lineRule="auto"/>
      </w:pPr>
      <w:r>
        <w:t xml:space="preserve">4.5 Platform Attributes: Mass, Design Life, and Insured Value</w:t>
      </w:r>
    </w:p>
    <w:p>
      <w:pPr>
        <w:pStyle w:val="FirstParagraph"/>
        <w:spacing w:line="480" w:lineRule="auto"/>
      </w:pPr>
      <w:r>
        <w:t xml:space="preserve">Three platform attributes enter the two papers: spacecraft dry mass in kilograms, design life in years, and insured value in millions of United States dollars. Mass and design life enter the first-paper specification. Mass and insured value enter the second-paper specification. Each is documented from the primary record.</w:t>
      </w:r>
    </w:p>
    <w:p>
      <w:pPr>
        <w:pStyle w:val="BodyText"/>
        <w:spacing w:line="480" w:lineRule="auto"/>
        <w:ind w:firstLine="720"/>
      </w:pPr>
      <w:r>
        <w:t xml:space="preserve">Spacecraft dry mass is recorded from operator press releases and Gunter’s Space Page entries, cross-checked against the corresponding Arianespace, SpaceX, and ISRO launch documentation. Operator press releases are the source of record for the as-launched dry mass of commercial satellites and are reproduced in essentially identical form in the launch-service-provider press kits issued at the time of launch. Gunter’s Space Page is the long-running independent compilation of satellite specifications that underwriters cross-reference as a check on operator-disclosed figures, and is used here as the cross-check rather than as the primary record. Where the operator press release and the launch-service-provider press kit disagree, the launch-service-provider press kit is preferred, on the grounds that the launcher provider’s published mass is the figure against which the launch contract is priced.</w:t>
      </w:r>
    </w:p>
    <w:p>
      <w:pPr>
        <w:pStyle w:val="BodyText"/>
        <w:spacing w:line="480" w:lineRule="auto"/>
        <w:ind w:firstLine="720"/>
      </w:pPr>
      <w:r>
        <w:t xml:space="preserve">Design life is recorded in years from the operator press release and the launch-service-provider press kit, with the same cross-check against Gunter’s Space Page. It is the contractual minimum operational lifetime for which the spacecraft bus is qualified at delivery and is the figure underwriters use to bound the maximum exposure period of an extended on-orbit policy. It enters the first-paper specification as a linear regressor.</w:t>
      </w:r>
    </w:p>
    <w:p>
      <w:pPr>
        <w:pStyle w:val="BodyText"/>
        <w:spacing w:line="480" w:lineRule="auto"/>
        <w:ind w:firstLine="720"/>
      </w:pPr>
      <w:r>
        <w:t xml:space="preserve">Insured value is recorded in millions of United States dollars from the broker market-update publications [14, 15] and from the SpaceNews market reports used in the second paper, with the operator press kit as the cross-check. Where the broker market update and the operator press kit disagree, the broker market update is preferred, on the grounds that the broker figure is the value against which the policy was placed. Insured value enters the second-paper specification as a linear regressor and is interpreted as a proxy for platform complexity and the concentration of exposure at risk.</w:t>
      </w:r>
    </w:p>
    <w:bookmarkEnd w:id="95"/>
    <w:bookmarkStart w:id="96" w:name="launcher-reliability-and-operator-age"/>
    <w:p>
      <w:pPr>
        <w:pStyle w:val="Heading2"/>
        <w:spacing w:line="480" w:lineRule="auto"/>
      </w:pPr>
      <w:r>
        <w:t xml:space="preserve">4.6 Launcher Reliability and Operator Age</w:t>
      </w:r>
    </w:p>
    <w:p>
      <w:pPr>
        <w:pStyle w:val="FirstParagraph"/>
        <w:spacing w:line="480" w:lineRule="auto"/>
      </w:pPr>
      <w:r>
        <w:t xml:space="preserve">The launcher-reliability variable in the second paper is constructed from the FAA Office of Commercial Space Transportation launch records and from the launch-service-provider published reliability records. The FAA AST is the United States federal authority that maintains the public record of licensed commercial launches and their outcomes, and is the source of record for the United States segment of the launcher-reliability denominator. Launch-service-provider published reliability records, supplied by Arianespace, SpaceX, ISRO, ULA, Mitsubishi Heavy Industries, and the European Space Agency for the Vega series, provide the operator-specific numerator of successful flights over total flights at the time of the insured launch. The reliability variable is recorded as the cumulative success rate of the launch vehicle at the time of policy inception, expressed as a decimal between zero and one. Its construction is documented row by row in the working file and is cross-checked against the launcher-specific entries in Gunter’s Space Page.</w:t>
      </w:r>
    </w:p>
    <w:p>
      <w:pPr>
        <w:pStyle w:val="BodyText"/>
        <w:spacing w:line="480" w:lineRule="auto"/>
        <w:ind w:firstLine="720"/>
      </w:pPr>
      <w:r>
        <w:t xml:space="preserve">Across modern boosters in the 2015 through 2020 second-paper window, the narrow cross-sectional range of the reliability variable is a measurement reality that constrains the power of the regression. The second paper records and reports this constraint and does not impute reliability values to launchers with fewer than five recorded flights at the time of the insured launch; such launchers are excluded from the sample at construction.</w:t>
      </w:r>
    </w:p>
    <w:p>
      <w:pPr>
        <w:pStyle w:val="BodyText"/>
        <w:spacing w:line="480" w:lineRule="auto"/>
        <w:ind w:firstLine="720"/>
      </w:pPr>
      <w:r>
        <w:t xml:space="preserve">Operator age is recorded in years from the founding date of the satellite operator to the calendar year of policy inception, with the founding date taken from the operator’s official corporate record and cross-checked against the operator press kit and the launch-service-provider press kit. In the second paper it is interpreted as a proxy for institutional learning and underwriter familiarity, on the standard insurance-market reading that a longer operating history at an established operator reduces the underwriter’s uncertainty about the loss distribution.</w:t>
      </w:r>
    </w:p>
    <w:bookmarkEnd w:id="96"/>
    <w:bookmarkStart w:id="97" w:name="time-controls"/>
    <w:p>
      <w:pPr>
        <w:pStyle w:val="Heading2"/>
        <w:spacing w:line="480" w:lineRule="auto"/>
      </w:pPr>
      <w:r>
        <w:t xml:space="preserve">4.7 Time Controls</w:t>
      </w:r>
    </w:p>
    <w:p>
      <w:pPr>
        <w:pStyle w:val="FirstParagraph"/>
        <w:spacing w:line="480" w:lineRule="auto"/>
      </w:pPr>
      <w:r>
        <w:t xml:space="preserve">The first paper enters the calendar year of policy inception as a linear time control to absorb the common market-cycle effects that the broker market-update publications document across the 2016 through 2025 window. Choosing a linear control rather than a vector of year fixed effects is dictated by the sample size of thirty-three observations, which a full set of year indicators would exhaust. The linear control is interpreted as the average annual rate of market hardening or softening across the sample window, and its coefficient is reported in Chapter 5 alongside the substantive coefficients of interest.</w:t>
      </w:r>
    </w:p>
    <w:p>
      <w:pPr>
        <w:pStyle w:val="BodyText"/>
        <w:spacing w:line="480" w:lineRule="auto"/>
        <w:ind w:firstLine="720"/>
      </w:pPr>
      <w:r>
        <w:t xml:space="preserve">The second paper enters no separate time control, because the 2015 through 2020 window is narrower and because the calendar year is largely absorbed by the operator-age regressor and by the launcher-reliability regressor, both of which are weakly increasing across the second-paper window. The construction is documented and the decision is defended in Chapter 5 with reference to the partial correlations of the calendar year with the four substantive regressors.</w:t>
      </w:r>
    </w:p>
    <w:bookmarkEnd w:id="97"/>
    <w:bookmarkStart w:id="98" w:name="X331b25c87af8664375c0ea88a4c4f46029916a7"/>
    <w:p>
      <w:pPr>
        <w:pStyle w:val="Heading2"/>
        <w:spacing w:line="480" w:lineRule="auto"/>
      </w:pPr>
      <w:r>
        <w:t xml:space="preserve">4.8 Data Construction Protocol and Audit Trail</w:t>
      </w:r>
    </w:p>
    <w:p>
      <w:pPr>
        <w:pStyle w:val="FirstParagraph"/>
        <w:spacing w:line="480" w:lineRule="auto"/>
      </w:pPr>
      <w:r>
        <w:t xml:space="preserve">Both samples follow a uniform construction protocol. Each row of the working file records the insured spacecraft, the operator, the calendar year of policy inception, the orbital regime, the operating altitude where applicable, the platform attributes, the launcher-reliability and operator-age figures where applicable, and the premium rate, with an explicit source citation in the final column of the row pointing to the primary record from which the row was constructed. That source citation is the audit trail. Two observations in each sample carry partial disclosures and are flagged as illustrative in a dedicated column; both flags are preserved through estimation and are the basis for the robustness check that drops illustrative rows.</w:t>
      </w:r>
    </w:p>
    <w:p>
      <w:pPr>
        <w:pStyle w:val="BodyText"/>
        <w:spacing w:line="480" w:lineRule="auto"/>
        <w:ind w:firstLine="720"/>
      </w:pPr>
      <w:r>
        <w:t xml:space="preserve">Three explicit construction commitments govern the dissertation. First, no figure used in estimation is assigned by analyst judgment without an explicit flag in the row. Second, where two primary records disagree, the rule of preference documented in the relevant section above is applied and the disagreement is recorded in a note column. Third, where a primary record is unavailable, the row is excluded from the sample rather than imputed.</w:t>
      </w:r>
    </w:p>
    <w:p>
      <w:pPr>
        <w:pStyle w:val="BodyText"/>
        <w:spacing w:line="480" w:lineRule="auto"/>
        <w:ind w:firstLine="720"/>
      </w:pPr>
      <w:r>
        <w:t xml:space="preserve">Two threats to the measurement, both raised in the prospectus, deserve specific notice here because they bear on the construction. Catalog completeness in the debris-environment construction is the first. Completeness for objects above ten centimeters is documented to be stable from 2014 forward in the Orbital Debris Quarterly News and the ESA Annual Space Environment Report [12, 13], and the first-paper sample window of 2016 through 2025 lies entirely within the stable interval. Selection into insurance is the second, which is the absence of self-insured and pooled-risk operators from the broker placement record. The construction does not correct for this selection; the correction is reserved for the Heckman specification documented in Chapter 5, in which the launch-vehicle indemnification regime is used as the exclusion variable.</w:t>
      </w:r>
    </w:p>
    <w:p>
      <w:pPr>
        <w:pStyle w:val="BodyText"/>
        <w:spacing w:line="480" w:lineRule="auto"/>
        <w:ind w:firstLine="720"/>
      </w:pPr>
      <w:r>
        <w:t xml:space="preserve">The broader risk landscape considered by Trucco, Paravano, and Locatelli [5, 30] is acknowledged in the construction in two ways. First, the platform attribute set is restricted to attributes publicly recorded at launch, which leaves the operational-resilience attributes considered in the broader risk-landscape literature outside the measurement scope. Second, the contested-environment exposure considered by Harrison [8, 19] is not entered as a control in either paper because mission-specific contested-environment exposure is not publicly recorded at the satellite-policy level over the sample window. The contested-environment control proposed in the prospectus is therefore reserved for a robustness specification reported in Chapter 5 using the operator-level index documented in</w:t>
      </w:r>
      <w:r>
        <w:t xml:space="preserve"> </w:t>
      </w:r>
      <w:hyperlink w:anchor="ref-8">
        <w:r>
          <w:rPr>
            <w:rStyle w:val="Hyperlink"/>
          </w:rPr>
          <w:t xml:space="preserve">[8]</w:t>
        </w:r>
      </w:hyperlink>
      <w:r>
        <w:t xml:space="preserve">.</w:t>
      </w:r>
    </w:p>
    <w:p>
      <w:pPr>
        <w:pStyle w:val="BodyText"/>
        <w:spacing w:line="480" w:lineRule="auto"/>
        <w:ind w:firstLine="720"/>
      </w:pPr>
      <w:r>
        <w:t xml:space="preserve">The end-user-value framing developed by Paravano, Locatelli, and Trucco</w:t>
      </w:r>
      <w:r>
        <w:t xml:space="preserve"> </w:t>
      </w:r>
      <w:hyperlink w:anchor="ref-31">
        <w:r>
          <w:rPr>
            <w:rStyle w:val="Hyperlink"/>
          </w:rPr>
          <w:t xml:space="preserve">[31]</w:t>
        </w:r>
      </w:hyperlink>
      <w:r>
        <w:t xml:space="preserve"> </w:t>
      </w:r>
      <w:r>
        <w:t xml:space="preserve">and the on-orbit-servicing market analyses of Liu and colleagues</w:t>
      </w:r>
      <w:r>
        <w:t xml:space="preserve"> </w:t>
      </w:r>
      <w:hyperlink w:anchor="ref-27">
        <w:r>
          <w:rPr>
            <w:rStyle w:val="Hyperlink"/>
          </w:rPr>
          <w:t xml:space="preserve">[27]</w:t>
        </w:r>
      </w:hyperlink>
      <w:r>
        <w:t xml:space="preserve"> </w:t>
      </w:r>
      <w:r>
        <w:t xml:space="preserve">and Shahady [2, 20] do not enter the construction at the row level, because neither the end-user value nor the on-orbit-servicing premium reduction is recorded at the insured-satellite level over the sample window. Both are taken up in the discussion of the recovered hedonic prices in Chapter 6.</w:t>
      </w:r>
    </w:p>
    <w:p>
      <w:pPr>
        <w:pStyle w:val="BodyText"/>
        <w:spacing w:line="480" w:lineRule="auto"/>
        <w:ind w:firstLine="720"/>
      </w:pPr>
      <w:r>
        <w:t xml:space="preserve">The protocol produces two working files, one for the first paper and one for the second, with thirty-three and thirty-one rows respectively, each row carrying a primary-source citation in the final column. These files are the input to the estimation procedure documented in Chapter 5 and the basis on which the hedonic shadow prices reported in Chapter 6 are recovered. The measurement scope of the dissertation is bounded by the construction documented in this chapter, and the credibility of the recovered shadow prices is bounded above by the quality of that construction.</w:t>
      </w:r>
    </w:p>
    <w:bookmarkEnd w:id="98"/>
    <w:bookmarkEnd w:id="99"/>
    <w:bookmarkStart w:id="106" w:name="chapter-5.-methods-and-identification"/>
    <w:p>
      <w:pPr>
        <w:pStyle w:val="Heading1"/>
        <w:spacing w:line="480" w:lineRule="auto"/>
      </w:pPr>
      <w:r>
        <w:t xml:space="preserve">Chapter 5. Methods and Identification</w:t>
      </w:r>
    </w:p>
    <w:bookmarkStart w:id="100" w:name="purpose-of-the-chapter"/>
    <w:p>
      <w:pPr>
        <w:pStyle w:val="Heading2"/>
        <w:spacing w:line="480" w:lineRule="auto"/>
      </w:pPr>
      <w:r>
        <w:t xml:space="preserve">5.1 Purpose of the Chapter</w:t>
      </w:r>
    </w:p>
    <w:p>
      <w:pPr>
        <w:pStyle w:val="FirstParagraph"/>
        <w:spacing w:line="480" w:lineRule="auto"/>
      </w:pPr>
      <w:r>
        <w:t xml:space="preserve">Fitted on small cross sections, the two empirical papers of Chapters 3 and 4 turned up, in one instance, a negative and conventionally significant slope on the orbital regime debris flux index, and in the other, a negative point estimate on a regime debris density index that could not be told apart from zero. Neither outcome matches the naive expectation that catalogued debris exposure earns a positive markup in the satellite insurance premium. Yet both sit easily with a different account, one in which mission traits tied to regime, chiefly design life, mass, and the multi-year severity profile of the geostationary fleet, soak up whatever cross sectional movement a regime-coded debris proxy is left free to explain. What this chapter lays out is the estimator, the identification strategy, and the validity threats for the panel hedonic that the dissertation now installs as its primary empirical test of H0 against H1 as the prospectus framed them. It also weighs what the panel gains, and what it costs, set beside the two cross sectional pilots.</w:t>
      </w:r>
    </w:p>
    <w:bookmarkEnd w:id="100"/>
    <w:bookmarkStart w:id="101" w:name="X25378fd88c01295be4697949af5bf1e959cda74"/>
    <w:p>
      <w:pPr>
        <w:pStyle w:val="Heading2"/>
        <w:spacing w:line="480" w:lineRule="auto"/>
      </w:pPr>
      <w:r>
        <w:t xml:space="preserve">5.2 The Outcome Variable and the Unit of Observation</w:t>
      </w:r>
    </w:p>
    <w:p>
      <w:pPr>
        <w:pStyle w:val="FirstParagraph"/>
        <w:spacing w:line="480" w:lineRule="auto"/>
      </w:pPr>
      <w:r>
        <w:t xml:space="preserve">What the model explains is the natural logarithm of the annual premium rate per insured dollar on the first-year in-orbit policy written against a single insured satellite in a given policy year. When confidentiality forces per-policy rates out only at the operator-orbit-year cell, the cell mean becomes the observation, cell size enters as an analytic weight, and the errors are clustered at the operator level. Relative to Paper 1, moving from a level to a log specification answers to two pressures. One is heteroscedasticity: short-design-life small platforms crowd the right tail of the rate distribution, and their level rates generate a variance pattern that the heteroscedasticity-consistent reporting in the cross sectional pilot handles only in part. The other is theory: Rosen’s hedonic theorem</w:t>
      </w:r>
      <w:r>
        <w:t xml:space="preserve"> </w:t>
      </w:r>
      <w:hyperlink w:anchor="ref-11">
        <w:r>
          <w:rPr>
            <w:rStyle w:val="Hyperlink"/>
          </w:rPr>
          <w:t xml:space="preserve">[11]</w:t>
        </w:r>
      </w:hyperlink>
      <w:r>
        <w:t xml:space="preserve"> </w:t>
      </w:r>
      <w:r>
        <w:t xml:space="preserve">casts marginal implicit prices as multiplicative in characteristics wherever the underlying utility and cost surfaces bend away from strict linearity, so a log-rate form yields semi-elasticities that feed straight into mitigation cost-benefit work.</w:t>
      </w:r>
    </w:p>
    <w:bookmarkEnd w:id="101"/>
    <w:bookmarkStart w:id="102" w:name="the-estimators"/>
    <w:p>
      <w:pPr>
        <w:pStyle w:val="Heading2"/>
        <w:spacing w:line="480" w:lineRule="auto"/>
      </w:pPr>
      <w:r>
        <w:t xml:space="preserve">5.3 The Estimators</w:t>
      </w:r>
    </w:p>
    <w:p>
      <w:pPr>
        <w:pStyle w:val="FirstParagraph"/>
        <w:spacing w:line="480" w:lineRule="auto"/>
      </w:pPr>
      <w:r>
        <w:t xml:space="preserve">A stacked ladder of three estimators carries the reporting. Each rung imposes an identifying restriction the rung below left tacit, and each comes with cluster-robust inference at the operator level.</w:t>
      </w:r>
    </w:p>
    <w:p>
      <w:pPr>
        <w:pStyle w:val="BodyText"/>
        <w:spacing w:line="480" w:lineRule="auto"/>
        <w:ind w:firstLine="720"/>
      </w:pPr>
      <w:r>
        <w:t xml:space="preserve">Bottom of the ladder is a pooled ordinary least squares panel hedonic that puts the log annual premium rate on a vector of orbital environment attributes, satellite design attributes, market cycle controls, and year fixed effects. It resembles the cross sectional form of Paper 1 and Paper 2, but the longitudinal dimension lets it see within-orbit time movement the cross sections were blind to. Market cycle controls draw on the broker market updates assembled by Aon</w:t>
      </w:r>
      <w:r>
        <w:t xml:space="preserve"> </w:t>
      </w:r>
      <w:hyperlink w:anchor="ref-14">
        <w:r>
          <w:rPr>
            <w:rStyle w:val="Hyperlink"/>
          </w:rPr>
          <w:t xml:space="preserve">[14]</w:t>
        </w:r>
      </w:hyperlink>
      <w:r>
        <w:t xml:space="preserve"> </w:t>
      </w:r>
      <w:r>
        <w:t xml:space="preserve">and Marsh</w:t>
      </w:r>
      <w:r>
        <w:t xml:space="preserve"> </w:t>
      </w:r>
      <w:hyperlink w:anchor="ref-15">
        <w:r>
          <w:rPr>
            <w:rStyle w:val="Hyperlink"/>
          </w:rPr>
          <w:t xml:space="preserve">[15]</w:t>
        </w:r>
      </w:hyperlink>
      <w:r>
        <w:t xml:space="preserve"> </w:t>
      </w:r>
      <w:r>
        <w:t xml:space="preserve">and on the Swiss Re sectoral commentary</w:t>
      </w:r>
      <w:r>
        <w:t xml:space="preserve"> </w:t>
      </w:r>
      <w:hyperlink w:anchor="ref-16">
        <w:r>
          <w:rPr>
            <w:rStyle w:val="Hyperlink"/>
          </w:rPr>
          <w:t xml:space="preserve">[16]</w:t>
        </w:r>
      </w:hyperlink>
      <w:r>
        <w:t xml:space="preserve">, since the calendar year coefficient in Paper 1 claimed a real slice of the rate variance and any form that leaves the cycle uncontrolled is misspecified for the post-2019 hardening window.</w:t>
      </w:r>
    </w:p>
    <w:p>
      <w:pPr>
        <w:pStyle w:val="BodyText"/>
        <w:spacing w:line="480" w:lineRule="auto"/>
        <w:ind w:firstLine="720"/>
      </w:pPr>
      <w:r>
        <w:t xml:space="preserve">Middle rung is a two-way fixed-effects panel hedonic carrying operator fixed effects and policy year fixed effects, run on the same right-hand-side vector once the fixed effects have swept out the controls they now hold. Operator fixed effects clear away the time-invariant operator traits that the pilot forms could not prise apart from regime coding, above all the concentration-of-severity profile that sets a single-asset geostationary operator apart from a multi-asset low Earth orbit constellation operator. Year fixed effects clear away the shared market cycle without forcing the linearity the pilot calendar-year control took for granted. What the model then chases is the within-operator, within-year semi-elasticity of the log rate against the cumulative-conjunction-rate covariate assembled for each insured object over the policy year, that covariate being drawn from public conjunction data messages under the catalog methodology set out in the geostationary collision likelihood assessment of Oltrogge and colleagues</w:t>
      </w:r>
      <w:r>
        <w:t xml:space="preserve"> </w:t>
      </w:r>
      <w:hyperlink w:anchor="ref-7">
        <w:r>
          <w:rPr>
            <w:rStyle w:val="Hyperlink"/>
          </w:rPr>
          <w:t xml:space="preserve">[7]</w:t>
        </w:r>
      </w:hyperlink>
      <w:r>
        <w:t xml:space="preserve"> </w:t>
      </w:r>
      <w:r>
        <w:t xml:space="preserve">and carried into low Earth orbit with the European Space Agency annual environment report figures</w:t>
      </w:r>
      <w:r>
        <w:t xml:space="preserve"> </w:t>
      </w:r>
      <w:hyperlink w:anchor="ref-13">
        <w:r>
          <w:rPr>
            <w:rStyle w:val="Hyperlink"/>
          </w:rPr>
          <w:t xml:space="preserve">[13]</w:t>
        </w:r>
      </w:hyperlink>
      <w:r>
        <w:t xml:space="preserve"> </w:t>
      </w:r>
      <w:r>
        <w:t xml:space="preserve">and the NASA orbital debris program office quarterly history</w:t>
      </w:r>
      <w:r>
        <w:t xml:space="preserve"> </w:t>
      </w:r>
      <w:hyperlink w:anchor="ref-12">
        <w:r>
          <w:rPr>
            <w:rStyle w:val="Hyperlink"/>
          </w:rPr>
          <w:t xml:space="preserve">[12]</w:t>
        </w:r>
      </w:hyperlink>
      <w:r>
        <w:t xml:space="preserve">.</w:t>
      </w:r>
    </w:p>
    <w:p>
      <w:pPr>
        <w:pStyle w:val="BodyText"/>
        <w:spacing w:line="480" w:lineRule="auto"/>
        <w:ind w:firstLine="720"/>
      </w:pPr>
      <w:r>
        <w:t xml:space="preserve">Top rung is a two-stage least squares panel form that instruments the cumulative-conjunction-rate covariate with the discrete fragmentation events logged in the NASA orbital debris program office quarterly history of on-orbit breakups</w:t>
      </w:r>
      <w:r>
        <w:t xml:space="preserve"> </w:t>
      </w:r>
      <w:hyperlink w:anchor="ref-12">
        <w:r>
          <w:rPr>
            <w:rStyle w:val="Hyperlink"/>
          </w:rPr>
          <w:t xml:space="preserve">[12]</w:t>
        </w:r>
      </w:hyperlink>
      <w:r>
        <w:t xml:space="preserve">. Its first stage projects the conjunction covariate onto the post-event change in catalogued resident space object population at the relevant altitude-inclination bin, operator and year fixed effects partialled out. Its second stage puts the log rate on the projected conjunction covariate. This form travels alongside the within-operator fixed-effects estimator rather than displacing it, so the dissertation can report the distance between the conditional correlation in the panel and the local average treatment effect the fragmentation instrument pins down. Environmental hedonic studies in the Rosen tradition</w:t>
      </w:r>
      <w:r>
        <w:t xml:space="preserve"> </w:t>
      </w:r>
      <w:hyperlink w:anchor="ref-11">
        <w:r>
          <w:rPr>
            <w:rStyle w:val="Hyperlink"/>
          </w:rPr>
          <w:t xml:space="preserve">[11]</w:t>
        </w:r>
      </w:hyperlink>
      <w:r>
        <w:t xml:space="preserve"> </w:t>
      </w:r>
      <w:r>
        <w:t xml:space="preserve">present their work in just this register when an instrument is on hand yet too weak to unseat the panel estimator as the headline.</w:t>
      </w:r>
    </w:p>
    <w:bookmarkEnd w:id="102"/>
    <w:bookmarkStart w:id="103" w:name="the-identification-strategy"/>
    <w:p>
      <w:pPr>
        <w:pStyle w:val="Heading2"/>
        <w:spacing w:line="480" w:lineRule="auto"/>
      </w:pPr>
      <w:r>
        <w:t xml:space="preserve">5.4 The Identification Strategy</w:t>
      </w:r>
    </w:p>
    <w:p>
      <w:pPr>
        <w:pStyle w:val="FirstParagraph"/>
        <w:spacing w:line="480" w:lineRule="auto"/>
      </w:pPr>
      <w:r>
        <w:t xml:space="preserve">For the pooled and two-way fixed-effects forms, the debris exposure coefficient is identified off within-operator, within-year movement in the cumulative conjunction-rate covariate across the satellites of a single operator’s fleet. Operator fixed effects strip out the time-invariant operator traits, the concentration of severity among them that drives the negative slope on the regime debris index in Paper 1, where the geostationary fleet carries the higher level rates on account of a multi-year exposure horizon rather than debris exposure. Year fixed effects strip out the shared cycle the pilot calendar-year control had swept in linearly. What survives to identify the conjunction coefficient is movement in that covariate across satellites of the same operator in the same year, and it sits plausibly nearer the conditional independence the hedonic reading demands than the cross sectional movement the pilot leaned on.</w:t>
      </w:r>
    </w:p>
    <w:p>
      <w:pPr>
        <w:pStyle w:val="BodyText"/>
        <w:spacing w:line="480" w:lineRule="auto"/>
        <w:ind w:firstLine="720"/>
      </w:pPr>
      <w:r>
        <w:t xml:space="preserve">An external source of identifying movement enters through the two-stage least squares form. Discrete fragmentation events jolt the local debris population in one non-incremental step and, for the events of non-deliberate origin, do so plausibly free of the contemporaneous pricing choices of any one insurer. What serves as the instrument is the post-event change in catalogued resident space objects in the altitude-inclination bin of the insured satellite, measured over a window that shuts before the policy renewal date. Its exclusion restriction holds that fragmentation events touch the log rate solely along the conjunction-rate channel, sparing the correlated shocks to reinsurer capital, to operator demand for coverage, or to contemporaneous announcements by space agencies. That exclusion restriction is defended below. Relevance is testable at the first stage and should run strong for events that throw off more than a thousand catalogued fragments in the relevant bin, the events logged in the orbital debris program office quarterly history</w:t>
      </w:r>
      <w:r>
        <w:t xml:space="preserve"> </w:t>
      </w:r>
      <w:hyperlink w:anchor="ref-12">
        <w:r>
          <w:rPr>
            <w:rStyle w:val="Hyperlink"/>
          </w:rPr>
          <w:t xml:space="preserve">[12]</w:t>
        </w:r>
      </w:hyperlink>
      <w:r>
        <w:t xml:space="preserve"> </w:t>
      </w:r>
      <w:r>
        <w:t xml:space="preserve">and mirrored in the European Space Agency environment report</w:t>
      </w:r>
      <w:r>
        <w:t xml:space="preserve"> </w:t>
      </w:r>
      <w:hyperlink w:anchor="ref-13">
        <w:r>
          <w:rPr>
            <w:rStyle w:val="Hyperlink"/>
          </w:rPr>
          <w:t xml:space="preserve">[13]</w:t>
        </w:r>
      </w:hyperlink>
      <w:r>
        <w:t xml:space="preserve"> </w:t>
      </w:r>
      <w:r>
        <w:t xml:space="preserve">among them. The deliberate-origin events, counter-satellite tests of the sort Harrison takes up in the comparative space weapons literature</w:t>
      </w:r>
      <w:r>
        <w:t xml:space="preserve"> </w:t>
      </w:r>
      <w:hyperlink w:anchor="ref-8">
        <w:r>
          <w:rPr>
            <w:rStyle w:val="Hyperlink"/>
          </w:rPr>
          <w:t xml:space="preserve">[8]</w:t>
        </w:r>
      </w:hyperlink>
      <w:r>
        <w:t xml:space="preserve"> </w:t>
      </w:r>
      <w:r>
        <w:t xml:space="preserve">included, travel separately as a robustness check and stay out of the headline instrument, their exclusion restriction being the weaker one.</w:t>
      </w:r>
    </w:p>
    <w:p>
      <w:pPr>
        <w:pStyle w:val="BodyText"/>
        <w:spacing w:line="480" w:lineRule="auto"/>
        <w:ind w:firstLine="720"/>
      </w:pPr>
      <w:r>
        <w:t xml:space="preserve">A second identifying source, run as a placebo, is on-orbit servicing eligibility. Shahady observed that insurers will trim premia once on-orbit servicing or active debris mitigation is in place</w:t>
      </w:r>
      <w:r>
        <w:t xml:space="preserve"> </w:t>
      </w:r>
      <w:hyperlink w:anchor="ref-2">
        <w:r>
          <w:rPr>
            <w:rStyle w:val="Hyperlink"/>
          </w:rPr>
          <w:t xml:space="preserve">[2]</w:t>
        </w:r>
      </w:hyperlink>
      <w:r>
        <w:t xml:space="preserve">. When a servicer contract entering into force makes an insured satellite eligible for on-orbit servicing during the policy year, the dissertation reports a heterogeneity cut setting the post-eligibility year rates against the pre-eligibility year rates for that same satellite. Being a within-satellite contrast, it shrugs off operator-level confounding. Its sign should come out negative; what the test asks is whether the size squares with the conjunction-rate semi-elasticity the two-stage least squares form recovers once on-orbit servicing pares back the marginal conjunction exposure of the asset.</w:t>
      </w:r>
    </w:p>
    <w:bookmarkEnd w:id="103"/>
    <w:bookmarkStart w:id="104"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Six validity threats stand before the dissertation. Three come straight from the prospectus, carried across untouched. The remaining three surfaced more sharply once the cross sectional pilots of Papers 1 and 2 exposed them, and the panel design has to meet them head on.</w:t>
      </w:r>
    </w:p>
    <w:p>
      <w:pPr>
        <w:pStyle w:val="BodyText"/>
        <w:spacing w:line="480" w:lineRule="auto"/>
        <w:ind w:firstLine="720"/>
      </w:pPr>
      <w:r>
        <w:t xml:space="preserve">Selection into insurance leads. Operators who self-insure, who pool risk through national arrangements, or who lean on launcher-supplied indemnification never reach the placement record, and their debris exposure may run systematically apart. A Heckman selection correction meets this, with the launch-vehicle indemnification regime attaching to the operator’s mission as the exclusion variable. The selection equation runs on the merged universe of insured and self-insured satellite missions in the Seradata SpaceTrak catalog, and the inverse Mills ratio travels into the second stage. Whatever bounds the residual selection bias is the explanatory reach of the launch-vehicle indemnification regime at the first stage, read off the standard exclusion diagnostic and taken as adequate once the first stage F statistic clears the conventional threshold.</w:t>
      </w:r>
    </w:p>
    <w:p>
      <w:pPr>
        <w:pStyle w:val="BodyText"/>
        <w:spacing w:line="480" w:lineRule="auto"/>
        <w:ind w:firstLine="720"/>
      </w:pPr>
      <w:r>
        <w:t xml:space="preserve">Next comes the exclusion restriction on fragmentation events. An event of military origin may move with geopolitical shocks that push premia by way of reinsurer capital constraints rather than debris exposure. Harrison’s comparative space weapons treatment scores the point in the policy register</w:t>
      </w:r>
      <w:r>
        <w:t xml:space="preserve"> </w:t>
      </w:r>
      <w:hyperlink w:anchor="ref-8">
        <w:r>
          <w:rPr>
            <w:rStyle w:val="Hyperlink"/>
          </w:rPr>
          <w:t xml:space="preserve">[8]</w:t>
        </w:r>
      </w:hyperlink>
      <w:r>
        <w:t xml:space="preserve">, and the on-orbit servicing literature picks it up in the cost-allocation register</w:t>
      </w:r>
      <w:r>
        <w:t xml:space="preserve"> </w:t>
      </w:r>
      <w:hyperlink w:anchor="ref-25">
        <w:r>
          <w:rPr>
            <w:rStyle w:val="Hyperlink"/>
          </w:rPr>
          <w:t xml:space="preserve">[25]</w:t>
        </w:r>
      </w:hyperlink>
      <w:r>
        <w:t xml:space="preserve">. The dissertation walls off the non-deliberate events as the headline instrument and files the deliberate-origin subsample as a robustness exercise apart from the identifying movement. Bounding the residual exclusion bias means setting the two-stage least squares estimate off non-deliberate events alone against the estimate off the full event set, the difference read as a ceiling on the deliberate-origin contamination.</w:t>
      </w:r>
    </w:p>
    <w:p>
      <w:pPr>
        <w:pStyle w:val="BodyText"/>
        <w:spacing w:line="480" w:lineRule="auto"/>
        <w:ind w:firstLine="720"/>
      </w:pPr>
      <w:r>
        <w:t xml:space="preserve">Third is measurement error in the conjunction-rate covariate. Catalog completeness shifts across orbital regimes and across the sample period, and the cumulative-conjunction-rate covariate takes on the catalog’s classical measurement error structure. The dissertation confines specifications to the post-2014 span over which catalog completeness for objects above ten centimeters holds documented and stable in the European Space Agency annual environment report</w:t>
      </w:r>
      <w:r>
        <w:t xml:space="preserve"> </w:t>
      </w:r>
      <w:hyperlink w:anchor="ref-13">
        <w:r>
          <w:rPr>
            <w:rStyle w:val="Hyperlink"/>
          </w:rPr>
          <w:t xml:space="preserve">[13]</w:t>
        </w:r>
      </w:hyperlink>
      <w:r>
        <w:t xml:space="preserve"> </w:t>
      </w:r>
      <w:r>
        <w:t xml:space="preserve">and the NASA quarterly history</w:t>
      </w:r>
      <w:r>
        <w:t xml:space="preserve"> </w:t>
      </w:r>
      <w:hyperlink w:anchor="ref-12">
        <w:r>
          <w:rPr>
            <w:rStyle w:val="Hyperlink"/>
          </w:rPr>
          <w:t xml:space="preserve">[12]</w:t>
        </w:r>
      </w:hyperlink>
      <w:r>
        <w:t xml:space="preserve">, and it draws on the in-orbit inspection methodology of Zamoum and colleagues</w:t>
      </w:r>
      <w:r>
        <w:t xml:space="preserve"> </w:t>
      </w:r>
      <w:hyperlink w:anchor="ref-9">
        <w:r>
          <w:rPr>
            <w:rStyle w:val="Hyperlink"/>
          </w:rPr>
          <w:t xml:space="preserve">[9]</w:t>
        </w:r>
      </w:hyperlink>
      <w:r>
        <w:t xml:space="preserve"> </w:t>
      </w:r>
      <w:r>
        <w:t xml:space="preserve">to bound the residual error owing to objects beneath the catalog threshold. That bound falls out of simulating, for each policy year, the conjunction-rate contribution of sub-catalog fragments under the size distribution the in-orbit inspection results imply, then folding that contribution in as a sensitivity term on the cumulative-conjunction-rate covariate. Wherever the addition leaves the sign and the order of magnitude of the second-stage coefficient untouched, the residual measurement error counts as bounded.</w:t>
      </w:r>
    </w:p>
    <w:p>
      <w:pPr>
        <w:pStyle w:val="BodyText"/>
        <w:spacing w:line="480" w:lineRule="auto"/>
        <w:ind w:firstLine="720"/>
      </w:pPr>
      <w:r>
        <w:t xml:space="preserve">Fourth are the omitted contemporaneous shocks to the broader risk landscape, shocks year fixed effects miss and that may travel with the conjunction-rate covariate. Trucco, Paravano, and Locatelli sketched the dynamic risk landscape of the space economy and singled out on-orbit servicing insurance as an emergent, thinly instrumented segment whose pricing dynamics can bleed into the conventional in-orbit cover line</w:t>
      </w:r>
      <w:r>
        <w:t xml:space="preserve"> </w:t>
      </w:r>
      <w:hyperlink w:anchor="ref-5">
        <w:r>
          <w:rPr>
            <w:rStyle w:val="Hyperlink"/>
          </w:rPr>
          <w:t xml:space="preserve">[5]</w:t>
        </w:r>
      </w:hyperlink>
      <w:r>
        <w:t xml:space="preserve">. The Paravano end-user perspective on value in the new space economy scores the same point from the demand side</w:t>
      </w:r>
      <w:r>
        <w:t xml:space="preserve"> </w:t>
      </w:r>
      <w:hyperlink w:anchor="ref-31">
        <w:r>
          <w:rPr>
            <w:rStyle w:val="Hyperlink"/>
          </w:rPr>
          <w:t xml:space="preserve">[31]</w:t>
        </w:r>
      </w:hyperlink>
      <w:r>
        <w:t xml:space="preserve">. The dissertation guards against this by folding in a contested-environment index built from the Center for Strategic and International Studies framework that Harrison’s space weapons treatment draws on</w:t>
      </w:r>
      <w:r>
        <w:t xml:space="preserve"> </w:t>
      </w:r>
      <w:hyperlink w:anchor="ref-8">
        <w:r>
          <w:rPr>
            <w:rStyle w:val="Hyperlink"/>
          </w:rPr>
          <w:t xml:space="preserve">[8]</w:t>
        </w:r>
      </w:hyperlink>
      <w:r>
        <w:t xml:space="preserve">, by folding in a Tricco-style governance posture indicator taken from the data-driven governance treatment of AI-based space systems</w:t>
      </w:r>
      <w:r>
        <w:t xml:space="preserve"> </w:t>
      </w:r>
      <w:hyperlink w:anchor="ref-6">
        <w:r>
          <w:rPr>
            <w:rStyle w:val="Hyperlink"/>
          </w:rPr>
          <w:t xml:space="preserve">[6]</w:t>
        </w:r>
      </w:hyperlink>
      <w:r>
        <w:t xml:space="preserve">[32] for the policy years in which an operator’s satellite carries on-board autonomy open to that posture, and by reporting the form with and without these controls so the pull of the contested-environment dimension on the conjunction coefficient shows on the page.</w:t>
      </w:r>
    </w:p>
    <w:p>
      <w:pPr>
        <w:pStyle w:val="BodyText"/>
        <w:spacing w:line="480" w:lineRule="auto"/>
        <w:ind w:firstLine="720"/>
      </w:pPr>
      <w:r>
        <w:t xml:space="preserve">Fifth is the small-sample worry the cross sectional pilots of Papers 1 and 2 left unavoidable. The panel design broadens the sample by pulling in multiple policy years per insured satellite and the operator-orbit-year cells of the broker placement record. Even then the panel runs unbalanced, and the conjunction-rate covariate moves little inside some operator-orbit-year cells. The dissertation posts the within-operator effective sample size for the conjunction coefficient next to the headline N, as the two-way fixed-effects literature has come to do for unbalanced panels. Wherever that within-operator effective sample size drops beneath the point at which cluster-robust inference stays trustworthy, wild bootstrap standard errors become the inferential statistic, the standard heteroscedasticity-consistent reporting left in only as a comparator.</w:t>
      </w:r>
    </w:p>
    <w:p>
      <w:pPr>
        <w:pStyle w:val="BodyText"/>
        <w:spacing w:line="480" w:lineRule="auto"/>
        <w:ind w:firstLine="720"/>
      </w:pPr>
      <w:r>
        <w:t xml:space="preserve">Sixth is the policy-economy feedback by which insurance pricing bends the orbital environment itself, reshaping the incentive to mitigate. Liu and colleagues put a figure on the economic value of on-orbit servicing for geosynchronous communication satellites and noted that insurance pricing dynamics are one route by which servicing demand gets set</w:t>
      </w:r>
      <w:r>
        <w:t xml:space="preserve"> </w:t>
      </w:r>
      <w:hyperlink w:anchor="ref-27">
        <w:r>
          <w:rPr>
            <w:rStyle w:val="Hyperlink"/>
          </w:rPr>
          <w:t xml:space="preserve">[27]</w:t>
        </w:r>
      </w:hyperlink>
      <w:r>
        <w:t xml:space="preserve">. Working on incentive-based mechanisms for space sustainability collaboration, David and colleagues modelled the near neighbour of that feedback, the route by which an incentive shift redraws operator behaviour</w:t>
      </w:r>
      <w:r>
        <w:t xml:space="preserve"> </w:t>
      </w:r>
      <w:hyperlink w:anchor="ref-28">
        <w:r>
          <w:rPr>
            <w:rStyle w:val="Hyperlink"/>
          </w:rPr>
          <w:t xml:space="preserve">[28]</w:t>
        </w:r>
      </w:hyperlink>
      <w:r>
        <w:t xml:space="preserve">. McKeown, Dempster, Saydam, and Coulton catalogued the valuation conventions of adjacent space-resource markets and showed the feedback channel is far from trivial once the market at issue stands in for a public good</w:t>
      </w:r>
      <w:r>
        <w:t xml:space="preserve"> </w:t>
      </w:r>
      <w:hyperlink w:anchor="ref-29">
        <w:r>
          <w:rPr>
            <w:rStyle w:val="Hyperlink"/>
          </w:rPr>
          <w:t xml:space="preserve">[29]</w:t>
        </w:r>
      </w:hyperlink>
      <w:r>
        <w:t xml:space="preserve">. The dissertation meets the feedback threat by pinning the conjunction covariate to lagged exposure ahead of the policy renewal date, so the right-hand-side movement carrying the coefficient sits mechanically prior to the pricing choice, and by reporting the form with and without operators holding on-orbit servicing contracts as a robustness exercise. The on-chain validation literature on tracking data messages hands over a second robustness handle, since the data integrity controls Latif and colleagues lay out let the dissertation flag operators whose conjunction reporting is independently verifiable and post the headline coefficient on that subset too</w:t>
      </w:r>
      <w:r>
        <w:t xml:space="preserve"> </w:t>
      </w:r>
      <w:hyperlink w:anchor="ref-22">
        <w:r>
          <w:rPr>
            <w:rStyle w:val="Hyperlink"/>
          </w:rPr>
          <w:t xml:space="preserve">[22]</w:t>
        </w:r>
      </w:hyperlink>
      <w:r>
        <w:t xml:space="preserve">.</w:t>
      </w:r>
    </w:p>
    <w:p>
      <w:pPr>
        <w:pStyle w:val="BodyText"/>
        <w:spacing w:line="480" w:lineRule="auto"/>
        <w:ind w:firstLine="720"/>
      </w:pPr>
      <w:r>
        <w:t xml:space="preserve">A further pair of threats gets noted and bracketed rather than met in full. One is the regulatory dimension Sanchez-Ortiz and colleagues raised in the space traffic management outreach treatment, where a prospective turn to mandatory mitigation rules can move the level and the slope of the rate function over the sample window</w:t>
      </w:r>
      <w:r>
        <w:t xml:space="preserve"> </w:t>
      </w:r>
      <w:hyperlink w:anchor="ref-26">
        <w:r>
          <w:rPr>
            <w:rStyle w:val="Hyperlink"/>
          </w:rPr>
          <w:t xml:space="preserve">[26]</w:t>
        </w:r>
      </w:hyperlink>
      <w:r>
        <w:t xml:space="preserve">. The dissertation posts the regulatory-policy interaction term yet stops short of claiming to identify its coefficient, the regulatory movement being endogenous to the operators in the sample. The other is the legal-liability dimension Graham, Thangavel, and Martin raised for artificial intelligence in outer space</w:t>
      </w:r>
      <w:r>
        <w:t xml:space="preserve"> </w:t>
      </w:r>
      <w:hyperlink w:anchor="ref-33">
        <w:r>
          <w:rPr>
            <w:rStyle w:val="Hyperlink"/>
          </w:rPr>
          <w:t xml:space="preserve">[33]</w:t>
        </w:r>
      </w:hyperlink>
      <w:r>
        <w:t xml:space="preserve">, which may in time reach the rate but for which the sample window holds no identifying movement yet.</w:t>
      </w:r>
    </w:p>
    <w:bookmarkEnd w:id="104"/>
    <w:bookmarkStart w:id="105" w:name="Xace0e4805348a95b0a83df323ab29035d7101b9"/>
    <w:p>
      <w:pPr>
        <w:pStyle w:val="Heading2"/>
        <w:spacing w:line="480" w:lineRule="auto"/>
      </w:pPr>
      <w:r>
        <w:t xml:space="preserve">5.6 What This Specification Buys, and What It Does Not</w:t>
      </w:r>
    </w:p>
    <w:p>
      <w:pPr>
        <w:pStyle w:val="FirstParagraph"/>
        <w:spacing w:line="480" w:lineRule="auto"/>
      </w:pPr>
      <w:r>
        <w:t xml:space="preserve">Put together, the panel design carrying operator and year fixed effects, the two-stage least squares instrumentation of the conjunction covariate by non-deliberate fragmentation events, and the bounded validity threats let the dissertation lodge a falsifiable claim about the sign and order of magnitude of the hedonic shadow price of debris exposure at the satellite-policy level. What stays out of reach is the long-run equilibrium price of debris exposure under a counterfactual regulatory regime, and the welfare-relevant shadow price a mitigation cost-benefit analysis would rather use as its input. Carrying the recovered semi-elasticity across to a welfare-relevant shadow price leans on one added assumption, that the insurance market clears partially efficiently at the margin the fragmentation instrument pins down, and that assumption is stated outright in Chapter 6. So what the form buys is a market-revealed price that holds up before actuaries, regulators, and acquisition decision authorities at the satellite-policy level. What it withholds is the welfare price the policy literature has taken for granted and that the prospectus has pointedly left unclaimed</w:t>
      </w:r>
      <w:r>
        <w:t xml:space="preserve"> </w:t>
      </w:r>
      <w:hyperlink w:anchor="ref-1">
        <w:r>
          <w:rPr>
            <w:rStyle w:val="Hyperlink"/>
          </w:rPr>
          <w:t xml:space="preserve">[1]</w:t>
        </w:r>
      </w:hyperlink>
      <w:r>
        <w:t xml:space="preserve">[3][4].</w:t>
      </w:r>
    </w:p>
    <w:bookmarkEnd w:id="105"/>
    <w:bookmarkEnd w:id="106"/>
    <w:bookmarkStart w:id="124" w:name="chapter-6.-results"/>
    <w:p>
      <w:pPr>
        <w:pStyle w:val="Heading1"/>
        <w:spacing w:line="480" w:lineRule="auto"/>
      </w:pPr>
      <w:r>
        <w:t xml:space="preserve">Chapter 6. Results</w:t>
      </w:r>
    </w:p>
    <w:p>
      <w:pPr>
        <w:pStyle w:val="FirstParagraph"/>
        <w:spacing w:line="480" w:lineRule="auto"/>
      </w:pPr>
      <w:r>
        <w:t xml:space="preserve">What this chapter sets out is the empirical yield of the two hedonic specifications that form the quantitative core of the dissertation. Paper One, taken up first, estimates the implicit price of orbital-regime debris flux inside first-year all-risks in-orbit premium rates across a cross section of thirty-three commercial and civil satellite policies underwritten between 2016 and 2025. Paper Two estimates the implicit price of orbital-regime debris density inside annual premium rates across a separate cross section of thirty-one commercial satellite missions insured between 2015 and 2020, its attribute vector widened to take in insured value, operator institutional age, and launcher reliability. Ordinary least squares with heteroscedasticity-consistent (HC1) standard errors fits both. Appendix A carries the full estimator output, the working tables, the regression-design matrices, the constructed debris indices, and the supporting figures, none of which is repeated here. What follows fixes instead on the substantive reading of each coefficient, the goodness of fit, the way the two specifications behave together, and the fallout for the central falsifiable hypothesis the prospectus laid down.</w:t>
      </w:r>
    </w:p>
    <w:bookmarkStart w:id="113" w:name="Xaca6006c947e12b36abb76047d4e173294bf458"/>
    <w:p>
      <w:pPr>
        <w:pStyle w:val="Heading2"/>
        <w:spacing w:line="480" w:lineRule="auto"/>
      </w:pPr>
      <w:r>
        <w:t xml:space="preserve">6.1 Paper One: Orbital-Regime Debris Flux and First-Year Premium Rates</w:t>
      </w:r>
    </w:p>
    <w:bookmarkStart w:id="107" w:name="overall-fit"/>
    <w:p>
      <w:pPr>
        <w:pStyle w:val="Heading3"/>
        <w:spacing w:line="480" w:lineRule="auto"/>
      </w:pPr>
      <w:r>
        <w:t xml:space="preserve">6.1.1 Overall Fit</w:t>
      </w:r>
    </w:p>
    <w:p>
      <w:pPr>
        <w:pStyle w:val="FirstParagraph"/>
        <w:spacing w:line="480" w:lineRule="auto"/>
      </w:pPr>
      <w:r>
        <w:t xml:space="preserve">Paper One puts the first-year premium rate, in percentage points of insured value, on four right-hand-side variables: a GEO-normalized debris flux index for the operating orbital regime, the dry mass of the spacecraft in kilograms, the design life of the spacecraft in years, and the calendar year of policy inception. N runs to thirty-three satellite policies. The fit comes back at an R-squared of 0.7665 and an adjusted R-squared of 0.7332, which say together that the four-attribute hedonic vector carries roughly three quarters of the cross-sectional variance in first-year premium rates over the sample window. The overall F statistic reaches 44.54 at a p-value of 9.53 times ten to the minus twelve. Were the null true, with none of the four regressors bearing explanatory weight, an F of this size would be all but unobservable by chance, and the joint test throws the null out decisively.</w:t>
      </w:r>
    </w:p>
    <w:p>
      <w:pPr>
        <w:pStyle w:val="BodyText"/>
        <w:spacing w:line="480" w:lineRule="auto"/>
        <w:ind w:firstLine="720"/>
      </w:pPr>
      <w:r>
        <w:t xml:space="preserve">Those fit figures carry their own substantive message. A four-regressor hedonic on a cross section of thirty-three is a lean thing, and a model this lean that still lights up seventy-six percent of the dependent-variable variance tells us the price function for first-year in-orbit cover behaves smoothly against a handful of physically and temporally readable attributes. Judged on this cross section, the space insurance market prices a recoverable function of mass, design life, regime, and the running market cycle. For the hedonic identification strategy of the dissertation, the upshot is that the Rosen framework</w:t>
      </w:r>
      <w:r>
        <w:t xml:space="preserve"> </w:t>
      </w:r>
      <w:hyperlink w:anchor="ref-11">
        <w:r>
          <w:rPr>
            <w:rStyle w:val="Hyperlink"/>
          </w:rPr>
          <w:t xml:space="preserve">[11]</w:t>
        </w:r>
      </w:hyperlink>
      <w:r>
        <w:t xml:space="preserve"> </w:t>
      </w:r>
      <w:r>
        <w:t xml:space="preserve">is live in this market to the degree needed for partial slopes to read as implicit prices.</w:t>
      </w:r>
    </w:p>
    <w:bookmarkEnd w:id="107"/>
    <w:bookmarkStart w:id="108" w:name="the-coefficient-on-debris-flux"/>
    <w:p>
      <w:pPr>
        <w:pStyle w:val="Heading3"/>
        <w:spacing w:line="480" w:lineRule="auto"/>
      </w:pPr>
      <w:r>
        <w:t xml:space="preserve">6.1.2 The Coefficient on Debris Flux</w:t>
      </w:r>
    </w:p>
    <w:p>
      <w:pPr>
        <w:pStyle w:val="FirstParagraph"/>
        <w:spacing w:line="480" w:lineRule="auto"/>
      </w:pPr>
      <w:r>
        <w:t xml:space="preserve">The slope on the debris flux index is what Paper One turns on. Out of the estimator comes a point estimate of minus 0.1521 percentage points of premium rate per unit of the GEO-normalized flux index, with a heteroscedasticity-consistent standard error of 0.0596 and a p-value of 0.0107. It parts from zero at the five percent level and, by a hair, at the two percent level. Its sign is negative.</w:t>
      </w:r>
    </w:p>
    <w:p>
      <w:pPr>
        <w:pStyle w:val="BodyText"/>
        <w:spacing w:line="480" w:lineRule="auto"/>
        <w:ind w:firstLine="720"/>
      </w:pPr>
      <w:r>
        <w:t xml:space="preserve">Reading the substantive content of this estimate calls for care. The flux index is normalized to set the GEO 2010 value at unity and climbs monotonically with the catalogued spatial density of debris in the operating regime, sun-synchronous LEO bands topping the index. A negative slope then says that, once dry mass, design life, and calendar year are held, satellites in higher-flux regimes draw lower first-year premium rates. A one-unit step along the index, which runs across the observed range from about 0.19 for GEO and IGSO observations to 2.65 for the densest sun-synchronous bands, works out to roughly fifteen basis points off the premium rate. Over the full observed range the implied gap lands on the order of three to four tenths of a percentage point.</w:t>
      </w:r>
    </w:p>
    <w:p>
      <w:pPr>
        <w:pStyle w:val="BodyText"/>
        <w:spacing w:line="480" w:lineRule="auto"/>
        <w:ind w:firstLine="720"/>
      </w:pPr>
      <w:r>
        <w:t xml:space="preserve">This result runs against the naive externality prior. That prior says the catalogued debris environment loads a strictly rising expected loss onto insured spacecraft, so an efficient hedonic decomposition ought to give back a positive coefficient. What the estimator gives back is both significant and negative. Three readings can stand.</w:t>
      </w:r>
    </w:p>
    <w:p>
      <w:pPr>
        <w:pStyle w:val="BodyText"/>
        <w:spacing w:line="480" w:lineRule="auto"/>
        <w:ind w:firstLine="720"/>
      </w:pPr>
      <w:r>
        <w:t xml:space="preserve">The first, in step with the McKnight critique reproduced in the foundational policy literature on debris pricing</w:t>
      </w:r>
      <w:r>
        <w:t xml:space="preserve"> </w:t>
      </w:r>
      <w:hyperlink w:anchor="ref-4">
        <w:r>
          <w:rPr>
            <w:rStyle w:val="Hyperlink"/>
          </w:rPr>
          <w:t xml:space="preserve">[4]</w:t>
        </w:r>
      </w:hyperlink>
      <w:r>
        <w:t xml:space="preserve"> </w:t>
      </w:r>
      <w:hyperlink w:anchor="ref-21">
        <w:r>
          <w:rPr>
            <w:rStyle w:val="Hyperlink"/>
          </w:rPr>
          <w:t xml:space="preserve">[21]</w:t>
        </w:r>
      </w:hyperlink>
      <w:r>
        <w:t xml:space="preserve">, holds that latent regime traits correlated with flux and with price in opposite directions bury the catalogued flux signal in the cross section. High-flux regimes fill with short-design-life LEO missions whose policies have long cleared at squeezed rates, thanks to plentiful LEO capacity and the belief, right or not, that any lone LEO loss is small next to the operator’s constellation value. Low-flux regimes fill with high-value, long-design-life GEO missions whose policies clear dear for reasons anchored in mission value and concentrated loss severity, not in catalogued debris exposure</w:t>
      </w:r>
      <w:r>
        <w:t xml:space="preserve"> </w:t>
      </w:r>
      <w:hyperlink w:anchor="ref-2">
        <w:r>
          <w:rPr>
            <w:rStyle w:val="Hyperlink"/>
          </w:rPr>
          <w:t xml:space="preserve">[2]</w:t>
        </w:r>
      </w:hyperlink>
      <w:r>
        <w:t xml:space="preserve"> </w:t>
      </w:r>
      <w:hyperlink w:anchor="ref-20">
        <w:r>
          <w:rPr>
            <w:rStyle w:val="Hyperlink"/>
          </w:rPr>
          <w:t xml:space="preserve">[20]</w:t>
        </w:r>
      </w:hyperlink>
      <w:r>
        <w:t xml:space="preserve">.</w:t>
      </w:r>
    </w:p>
    <w:p>
      <w:pPr>
        <w:pStyle w:val="BodyText"/>
        <w:spacing w:line="480" w:lineRule="auto"/>
        <w:ind w:firstLine="720"/>
      </w:pPr>
      <w:r>
        <w:t xml:space="preserve">The second, in step with the Oltrogge and colleagues comprehensive GEO collision-likelihood assessment</w:t>
      </w:r>
      <w:r>
        <w:t xml:space="preserve"> </w:t>
      </w:r>
      <w:hyperlink w:anchor="ref-7">
        <w:r>
          <w:rPr>
            <w:rStyle w:val="Hyperlink"/>
          </w:rPr>
          <w:t xml:space="preserve">[7]</w:t>
        </w:r>
      </w:hyperlink>
      <w:r>
        <w:t xml:space="preserve">, holds that the instantaneous collision probability in the regimes the market actually trades stays low enough across the catalog distribution that any positive expected-loss push from incremental flux is small against the regime-correlated mass and design-life effects ruling the cross section. On this reading the coefficient is less perverse than swamped.</w:t>
      </w:r>
    </w:p>
    <w:p>
      <w:pPr>
        <w:pStyle w:val="BodyText"/>
        <w:spacing w:line="480" w:lineRule="auto"/>
        <w:ind w:firstLine="720"/>
      </w:pPr>
      <w:r>
        <w:t xml:space="preserve">The third, in step with the Trucco and colleagues account of risk-landscape dynamics in the space economy</w:t>
      </w:r>
      <w:r>
        <w:t xml:space="preserve"> </w:t>
      </w:r>
      <w:hyperlink w:anchor="ref-5">
        <w:r>
          <w:rPr>
            <w:rStyle w:val="Hyperlink"/>
          </w:rPr>
          <w:t xml:space="preserve">[5]</w:t>
        </w:r>
      </w:hyperlink>
      <w:r>
        <w:t xml:space="preserve"> </w:t>
      </w:r>
      <w:hyperlink w:anchor="ref-30">
        <w:r>
          <w:rPr>
            <w:rStyle w:val="Hyperlink"/>
          </w:rPr>
          <w:t xml:space="preserve">[30]</w:t>
        </w:r>
      </w:hyperlink>
      <w:r>
        <w:t xml:space="preserve">, holds that catalogued spatial density is a noisy stand-in for the true conjunction-burden exposure the underwriter actually prices, so the hedonic coefficient on the index picks up a contaminated blend of the priced and unpriced parts. On this reading the negative sign traces a measurement-error attenuation caught up with regime-correlated omitted attributes.</w:t>
      </w:r>
    </w:p>
    <w:p>
      <w:pPr>
        <w:pStyle w:val="BodyText"/>
        <w:spacing w:line="480" w:lineRule="auto"/>
        <w:ind w:firstLine="720"/>
      </w:pPr>
      <w:r>
        <w:t xml:space="preserve">For the falsifiable hypothesis, all three readings land in the same place. The prospectus hypothesis, that conditional on controls the marginal cumulative-conjunction-rate exposure of an insured satellite drives a strictly positive and significant rise in the premium rate, finds no support in this specification. Paper One turns away the strong externality-pricing hypothesis in its naive form. It sits with a refined hypothesis under which debris is priced, though not by the catalogued-flux channel in a static cross section, and under which event-study or panel identification is needed to recover the policy-relevant elasticity. That is exactly the methodological ground the dissertation was built to hold.</w:t>
      </w:r>
    </w:p>
    <w:bookmarkEnd w:id="108"/>
    <w:bookmarkStart w:id="109" w:name="the-coefficient-on-dry-mass"/>
    <w:p>
      <w:pPr>
        <w:pStyle w:val="Heading3"/>
        <w:spacing w:line="480" w:lineRule="auto"/>
      </w:pPr>
      <w:r>
        <w:t xml:space="preserve">6.1.3 The Coefficient on Dry Mass</w:t>
      </w:r>
    </w:p>
    <w:p>
      <w:pPr>
        <w:pStyle w:val="FirstParagraph"/>
        <w:spacing w:line="480" w:lineRule="auto"/>
      </w:pPr>
      <w:r>
        <w:t xml:space="preserve">Dry mass in kilograms comes in positive and quantitatively slight. Its point estimate rounds to zero at four decimal places, and the standard error does likewise. Read finer, and as the supporting prose of Paper One discusses, the slope sits on the order of four and a half times ten to the minus fifth percentage points per kilogram, with a heteroscedasticity-consistent standard error of like order and a p-value of 0.0666. It reaches the ten percent level and misses the five.</w:t>
      </w:r>
    </w:p>
    <w:p>
      <w:pPr>
        <w:pStyle w:val="BodyText"/>
        <w:spacing w:line="480" w:lineRule="auto"/>
        <w:ind w:firstLine="720"/>
      </w:pPr>
      <w:r>
        <w:t xml:space="preserve">The reading is that platform mass enters the hedonic price function with the sign expected of it, positive. Heavier platforms, holding regime and design life and calendar year, draw higher first-year premium rates. The size is slight against the variance of the dependent variable, yet it lands at the right order to fit underwriter accounts of platform-complexity pricing. The marginal significance most likely owes to the slim sample of thirty-three and to the tight cross-regime correlation of mass with debris flux and with design life, which between them swell the standard error on the mass slope through partial collinearity.</w:t>
      </w:r>
    </w:p>
    <w:bookmarkEnd w:id="109"/>
    <w:bookmarkStart w:id="110" w:name="the-coefficient-on-design-life"/>
    <w:p>
      <w:pPr>
        <w:pStyle w:val="Heading3"/>
        <w:spacing w:line="480" w:lineRule="auto"/>
      </w:pPr>
      <w:r>
        <w:t xml:space="preserve">6.1.4 The Coefficient on Design Life</w:t>
      </w:r>
    </w:p>
    <w:p>
      <w:pPr>
        <w:pStyle w:val="FirstParagraph"/>
        <w:spacing w:line="480" w:lineRule="auto"/>
      </w:pPr>
      <w:r>
        <w:t xml:space="preserve">Design life enters positive at 0.0323 percentage points of premium rate per year of design life, with a heteroscedasticity-consistent standard error of 0.0136 and a p-value of 0.0173. It clears the five percent level. Stepping from a five-year LEO platform to a fifteen-year GEO platform, regime flux and mass and calendar year held, goes with a first-year premium rate higher by roughly one third of a percentage point.</w:t>
      </w:r>
    </w:p>
    <w:p>
      <w:pPr>
        <w:pStyle w:val="BodyText"/>
        <w:spacing w:line="480" w:lineRule="auto"/>
        <w:ind w:firstLine="720"/>
      </w:pPr>
      <w:r>
        <w:t xml:space="preserve">Set the calendar-year control aside and this is the biggest positive structural slope in the specification. It fits the hedonic-theoretic case Paper One presses, that the multi-year exposure horizon of long-life platforms is a first-order driver of the underwriter’s expected loss and of the equilibrium premium rate. It fits too the broader space-economy risk-landscape literature, where the length of in-orbit exposure counts as a principal channel by which orbital risk gets monetized</w:t>
      </w:r>
      <w:r>
        <w:t xml:space="preserve"> </w:t>
      </w:r>
      <w:hyperlink w:anchor="ref-5">
        <w:r>
          <w:rPr>
            <w:rStyle w:val="Hyperlink"/>
          </w:rPr>
          <w:t xml:space="preserve">[5]</w:t>
        </w:r>
      </w:hyperlink>
      <w:r>
        <w:t xml:space="preserve"> </w:t>
      </w:r>
      <w:hyperlink w:anchor="ref-30">
        <w:r>
          <w:rPr>
            <w:rStyle w:val="Hyperlink"/>
          </w:rPr>
          <w:t xml:space="preserve">[30]</w:t>
        </w:r>
      </w:hyperlink>
      <w:r>
        <w:t xml:space="preserve">. Inside the dissertation argument the design-life coefficient earns its methodological keep by soaking up a large share of the variance a naive specification would pin on regime, which makes it one of the near causes of the debris flux coefficient’s negative sign.</w:t>
      </w:r>
    </w:p>
    <w:bookmarkEnd w:id="110"/>
    <w:bookmarkStart w:id="111" w:name="the-coefficient-on-calendar-year"/>
    <w:p>
      <w:pPr>
        <w:pStyle w:val="Heading3"/>
        <w:spacing w:line="480" w:lineRule="auto"/>
      </w:pPr>
      <w:r>
        <w:t xml:space="preserve">6.1.5 The Coefficient on Calendar Year</w:t>
      </w:r>
    </w:p>
    <w:p>
      <w:pPr>
        <w:pStyle w:val="FirstParagraph"/>
        <w:spacing w:line="480" w:lineRule="auto"/>
      </w:pPr>
      <w:r>
        <w:t xml:space="preserve">Calendar year enters positive at 0.0481 percentage points of premium rate per year, with a heteroscedasticity-consistent standard error of 0.0158 and a p-value of 0.0023. It clears the one percent level and stands as the most precisely pinned structural slope in the specification. Read against the data, the space insurance market firmed across the sample window at roughly five basis points a calendar year, which totals a hardening of about forty-five basis points across the 2016 to 2025 window once the year fixed-effect block is read against the intercept.</w:t>
      </w:r>
    </w:p>
    <w:p>
      <w:pPr>
        <w:pStyle w:val="BodyText"/>
        <w:spacing w:line="480" w:lineRule="auto"/>
        <w:ind w:firstLine="720"/>
      </w:pPr>
      <w:r>
        <w:t xml:space="preserve">That firming fits the running market commentary in the Aon, Marsh, and Swiss Re annual market updates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which chronicle a steady recovery of rates out of the soft-market trough of the mid-2010s. For the dissertation the calendar-year slope matters chiefly on method. It is big enough against the cross-sectional variance of the dependent variable that any longitudinal test of debris pricing has to control the market cycle outright. A naive panel form dropping the calendar year would hand hardening-cycle movement to debris exposure to the degree the rising flux index tracks the calendar year, and the bias would carry the same sign and order as the very hedonic effect the analyst set out to recover. This finding rides forward into the panel and event-study specifications of later chapters as a binding identification constraint.</w:t>
      </w:r>
    </w:p>
    <w:bookmarkEnd w:id="111"/>
    <w:bookmarkStart w:id="112" w:name="the-intercept-and-its-reading"/>
    <w:p>
      <w:pPr>
        <w:pStyle w:val="Heading3"/>
        <w:spacing w:line="480" w:lineRule="auto"/>
      </w:pPr>
      <w:r>
        <w:t xml:space="preserve">6.1.6 The Intercept and Its Reading</w:t>
      </w:r>
    </w:p>
    <w:p>
      <w:pPr>
        <w:pStyle w:val="FirstParagraph"/>
        <w:spacing w:line="480" w:lineRule="auto"/>
      </w:pPr>
      <w:r>
        <w:t xml:space="preserve">The intercept comes in at minus 96.4095 percentage points, with a heteroscedasticity-consistent standard error of 31.8654 and a p-value of 0.0025. Its numerical size carries no economic reading, standing as it does for the linear year control soaking up the level of the calendar variable across the 2016 to 2025 window. The statistical significance of the intercept is posted for completeness, not as a substantive finding. The chapter flags the intercept value only to head off any attempt to read it as a measured level of the premium rate.</w:t>
      </w:r>
    </w:p>
    <w:bookmarkEnd w:id="112"/>
    <w:bookmarkEnd w:id="113"/>
    <w:bookmarkStart w:id="121" w:name="Xd878ce637d86fc7bb7116f86ffcdbddf57c00f6"/>
    <w:p>
      <w:pPr>
        <w:pStyle w:val="Heading2"/>
        <w:spacing w:line="480" w:lineRule="auto"/>
      </w:pPr>
      <w:r>
        <w:t xml:space="preserve">6.2 Paper Two: Orbital-Regime Debris Density and Annual Premium Rates</w:t>
      </w:r>
    </w:p>
    <w:bookmarkStart w:id="114" w:name="overall-fit-1"/>
    <w:p>
      <w:pPr>
        <w:pStyle w:val="Heading3"/>
        <w:spacing w:line="480" w:lineRule="auto"/>
      </w:pPr>
      <w:r>
        <w:t xml:space="preserve">6.2.1 Overall Fit</w:t>
      </w:r>
    </w:p>
    <w:p>
      <w:pPr>
        <w:pStyle w:val="FirstParagraph"/>
        <w:spacing w:line="480" w:lineRule="auto"/>
      </w:pPr>
      <w:r>
        <w:t xml:space="preserve">Paper Two puts the annual premium rate, in percentage points of insured value, on five right-hand-side variables: a debris density index for the orbital regime, spacecraft mass in kilograms, the insured value of the policy in millions of United States dollars, the institutional age of the operator in years, and a launcher reliability index. N runs to thirty-one commercial satellite missions insured between 2015 and 2020. Out come an R-squared of 0.7169 and an adjusted R-squared of 0.6603. The overall F statistic reaches 21.22 at a p-value of 2.90 times ten to the minus eight.</w:t>
      </w:r>
    </w:p>
    <w:p>
      <w:pPr>
        <w:pStyle w:val="BodyText"/>
        <w:spacing w:line="480" w:lineRule="auto"/>
        <w:ind w:firstLine="720"/>
      </w:pPr>
      <w:r>
        <w:t xml:space="preserve">So Paper Two carries roughly seventy-two percent of the variance in annual premium rates. The fit clears any conventional threshold, though the adjusted R-squared sits about seven percentage points under Paper One’s, owing both to the extra regressor and to the dropped calendar-year time control. The overall F, smaller than Paper One’s, still runs big enough to throw out the null of joint coefficient irrelevance with overwhelming confidence. So on the broad proposition that the cross section of satellite insurance premia yields to a hedonic decomposition over a lean attribute vector, the two specifications back each other. On the finer proposition about which attributes carry statistically distinguishable implicit prices, they split.</w:t>
      </w:r>
    </w:p>
    <w:bookmarkEnd w:id="114"/>
    <w:bookmarkStart w:id="115" w:name="the-coefficient-on-debris-density"/>
    <w:p>
      <w:pPr>
        <w:pStyle w:val="Heading3"/>
        <w:spacing w:line="480" w:lineRule="auto"/>
      </w:pPr>
      <w:r>
        <w:t xml:space="preserve">6.2.2 The Coefficient on Debris Density</w:t>
      </w:r>
    </w:p>
    <w:p>
      <w:pPr>
        <w:pStyle w:val="FirstParagraph"/>
        <w:spacing w:line="480" w:lineRule="auto"/>
      </w:pPr>
      <w:r>
        <w:t xml:space="preserve">The coefficient on the debris density index is where inference in Paper Two centers. Out of the estimator comes a point estimate of minus 1.1759 with a heteroscedasticity-consistent standard error of 1.6688 and a p-value of 0.4810. It runs against the naive externality prior and cannot be told apart from zero. So the hypothesized positive partial of premium rate on regime debris density does not come back in this specification, and the data fit a true zero coefficient as readily as a small negative one.</w:t>
      </w:r>
    </w:p>
    <w:p>
      <w:pPr>
        <w:pStyle w:val="BodyText"/>
        <w:spacing w:line="480" w:lineRule="auto"/>
        <w:ind w:firstLine="720"/>
      </w:pPr>
      <w:r>
        <w:t xml:space="preserve">The reading breaks in two. First, the Paper Two null on debris density earns policy weight on its own. Were orbital debris risk fully internalized in the cross section of commercial premium rates, a coefficient of this size and this standard error would not be the expected outcome. That a model otherwise fitting the premium-rate cross section well shows no robust positive partial reads as direct evidence the catalogued density signal is not the channel by which insurers price debris exposure. This reading fits the broader policy case that debris externalities stay underpriced by private insurance markets and that public instruments, orbital use fees, mandatory debris cover, or public reinsurance backstops among them, would be needed to close the residual gap</w:t>
      </w:r>
      <w:r>
        <w:t xml:space="preserve"> </w:t>
      </w:r>
      <w:hyperlink w:anchor="ref-17">
        <w:r>
          <w:rPr>
            <w:rStyle w:val="Hyperlink"/>
          </w:rPr>
          <w:t xml:space="preserve">[17]</w:t>
        </w:r>
      </w:hyperlink>
      <w:r>
        <w:t xml:space="preserve">.</w:t>
      </w:r>
    </w:p>
    <w:p>
      <w:pPr>
        <w:pStyle w:val="BodyText"/>
        <w:spacing w:line="480" w:lineRule="auto"/>
        <w:ind w:firstLine="720"/>
      </w:pPr>
      <w:r>
        <w:t xml:space="preserve">Second, the negative point estimate, statistically indistinct from zero though it is, carries the same sign as the Paper One result on the flux index. The two specifications lean on different debris constructs, different sample windows, and different attribute vectors, and still they yield point estimates that agree in sign. That agreement of sign across specifications is itself a piece of evidence. It is not the evidence the naive externality hypothesis would foretell, and it fits the McKnight critique</w:t>
      </w:r>
      <w:r>
        <w:t xml:space="preserve"> </w:t>
      </w:r>
      <w:hyperlink w:anchor="ref-4">
        <w:r>
          <w:rPr>
            <w:rStyle w:val="Hyperlink"/>
          </w:rPr>
          <w:t xml:space="preserve">[4]</w:t>
        </w:r>
      </w:hyperlink>
      <w:r>
        <w:t xml:space="preserve"> </w:t>
      </w:r>
      <w:hyperlink w:anchor="ref-21">
        <w:r>
          <w:rPr>
            <w:rStyle w:val="Hyperlink"/>
          </w:rPr>
          <w:t xml:space="preserve">[21]</w:t>
        </w:r>
      </w:hyperlink>
      <w:r>
        <w:t xml:space="preserve"> </w:t>
      </w:r>
      <w:r>
        <w:t xml:space="preserve">that the catalogued debris signal trails the underlying environmental change because catalogued losses, not modeled losses, drive market pricing.</w:t>
      </w:r>
    </w:p>
    <w:bookmarkEnd w:id="115"/>
    <w:bookmarkStart w:id="116" w:name="the-coefficient-on-spacecraft-mass"/>
    <w:p>
      <w:pPr>
        <w:pStyle w:val="Heading3"/>
        <w:spacing w:line="480" w:lineRule="auto"/>
      </w:pPr>
      <w:r>
        <w:t xml:space="preserve">6.2.3 The Coefficient on Spacecraft Mass</w:t>
      </w:r>
    </w:p>
    <w:p>
      <w:pPr>
        <w:pStyle w:val="FirstParagraph"/>
        <w:spacing w:line="480" w:lineRule="auto"/>
      </w:pPr>
      <w:r>
        <w:t xml:space="preserve">Mass in Paper Two comes in positive and significant. Its point estimate is 0.0004 percentage points of premium rate per kilogram of platform mass, with a heteroscedasticity-consistent standard error of 0.0001 and a p-value of 0.0163. It clears the five percent level. A one-thousand-kilogram step in platform mass, regime density, insured value, operator age, and launcher reliability held, goes with an annual premium rate higher by roughly 0.4 percentage points.</w:t>
      </w:r>
    </w:p>
    <w:p>
      <w:pPr>
        <w:pStyle w:val="BodyText"/>
        <w:spacing w:line="480" w:lineRule="auto"/>
        <w:ind w:firstLine="720"/>
      </w:pPr>
      <w:r>
        <w:t xml:space="preserve">This result carries substantive weight on two fronts. First, sign and order of magnitude hold steady across the two papers. Paper One returned a positive but marginally significant mass coefficient near four and a half times ten to the minus fifth in a form whose dependent variable was the first-year rate. Paper Two returns a positive and significant mass coefficient near four times ten to the minus fourth in a form whose dependent variable is the annual rate, the order-of-magnitude gap owing to the different scaling of the two dependent-variable definitions and the different control vectors. The qualitative verdict, that platform mass carries a positive implicit price in the hedonic decomposition, holds firm across the two specifications. Second, recovering a positive mass slope in Paper Two says the underwriter response to platform complexity is well-identified in the sample, which firms up confidence in the null result on the debris density coefficient.</w:t>
      </w:r>
    </w:p>
    <w:bookmarkEnd w:id="116"/>
    <w:bookmarkStart w:id="117" w:name="the-coefficient-on-insured-value"/>
    <w:p>
      <w:pPr>
        <w:pStyle w:val="Heading3"/>
        <w:spacing w:line="480" w:lineRule="auto"/>
      </w:pPr>
      <w:r>
        <w:t xml:space="preserve">6.2.4 The Coefficient on Insured Value</w:t>
      </w:r>
    </w:p>
    <w:p>
      <w:pPr>
        <w:pStyle w:val="FirstParagraph"/>
        <w:spacing w:line="480" w:lineRule="auto"/>
      </w:pPr>
      <w:r>
        <w:t xml:space="preserve">Insured value enters positive at 0.0042 percentage points of premium rate per million dollars of insured value, with a heteroscedasticity-consistent standard error of 0.0024 and a p-value of 0.0869. It clears the ten percent level and misses the five. Substantively, the underwriter response to exposure concentration comes back positive and convex over the observed range of insured values, each further one hundred million dollars of insured value going with roughly forty basis points more premium rate.</w:t>
      </w:r>
    </w:p>
    <w:p>
      <w:pPr>
        <w:pStyle w:val="BodyText"/>
        <w:spacing w:line="480" w:lineRule="auto"/>
        <w:ind w:firstLine="720"/>
      </w:pPr>
      <w:r>
        <w:t xml:space="preserve">Two features of the sample most plausibly account for the marginal significance. One is the slim cross-sectional dimension of N equal to thirty-one. The other is the partial collinearity of insured value with mass and with regime, both of which draw off correlated variance through their own coefficients. The sign points the way hedonic theory would forecast for a convex underwriter response to concentrated exposure</w:t>
      </w:r>
      <w:r>
        <w:t xml:space="preserve"> </w:t>
      </w:r>
      <w:hyperlink w:anchor="ref-11">
        <w:r>
          <w:rPr>
            <w:rStyle w:val="Hyperlink"/>
          </w:rPr>
          <w:t xml:space="preserve">[11]</w:t>
        </w:r>
      </w:hyperlink>
      <w:r>
        <w:t xml:space="preserve">, and the size lands at the order the running market reports describe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17"/>
    <w:bookmarkStart w:id="118" w:name="X8e73f54da19a35f449ec4c301506582be90f9b8"/>
    <w:p>
      <w:pPr>
        <w:pStyle w:val="Heading3"/>
        <w:spacing w:line="480" w:lineRule="auto"/>
      </w:pPr>
      <w:r>
        <w:t xml:space="preserve">6.2.5 The Coefficient on Operator Institutional Age</w:t>
      </w:r>
    </w:p>
    <w:p>
      <w:pPr>
        <w:pStyle w:val="FirstParagraph"/>
        <w:spacing w:line="480" w:lineRule="auto"/>
      </w:pPr>
      <w:r>
        <w:t xml:space="preserve">Operator age enters positive at 0.0291 percentage points of premium rate per year of operator institutional age, with a heteroscedasticity-consistent standard error of 0.0222 and a p-value of 0.1892. It cannot be told apart from zero at conventional thresholds. Substantively, institutional learning and underwriter familiarity, as stood in for by the institutional age of the operator, do not enter the hedonic price function with a significant implicit price in this sample. The point estimate carries the wrong sign to read as a learning-curve discount, though the standard error runs wide enough that no substantive verdict lands either way.</w:t>
      </w:r>
    </w:p>
    <w:p>
      <w:pPr>
        <w:pStyle w:val="BodyText"/>
        <w:spacing w:line="480" w:lineRule="auto"/>
        <w:ind w:firstLine="720"/>
      </w:pPr>
      <w:r>
        <w:t xml:space="preserve">Two readings sit with the null on operator age. Under the first, institutional age stands in poorly for the underlying construct of underwriter familiarity, several mature operators in the sample having gone through substantial generational technology transitions across the sample window that would reset the familiarity clock. Under the second, the underwriter familiarity channel, if it runs at all, is drawn off by the mass and insured value channels, both themselves correlated with operator scale. So Paper Two neither refutes the institutional-learning channel nor lends it affirmative evidence.</w:t>
      </w:r>
    </w:p>
    <w:bookmarkEnd w:id="118"/>
    <w:bookmarkStart w:id="119" w:name="the-coefficient-on-launcher-reliability"/>
    <w:p>
      <w:pPr>
        <w:pStyle w:val="Heading3"/>
        <w:spacing w:line="480" w:lineRule="auto"/>
      </w:pPr>
      <w:r>
        <w:t xml:space="preserve">6.2.6 The Coefficient on Launcher Reliability</w:t>
      </w:r>
    </w:p>
    <w:p>
      <w:pPr>
        <w:pStyle w:val="FirstParagraph"/>
        <w:spacing w:line="480" w:lineRule="auto"/>
      </w:pPr>
      <w:r>
        <w:t xml:space="preserve">Launcher reliability enters large in absolute size, negative in sign, and statistically indistinct from zero. Its point estimate is minus 7.7944 with a heteroscedasticity-consistent standard error of 16.4169 and a p-value of 0.6349. The standard error runs more than twice the absolute point estimate, and the resulting confidence interval covers a span with no policy bearing.</w:t>
      </w:r>
    </w:p>
    <w:p>
      <w:pPr>
        <w:pStyle w:val="BodyText"/>
        <w:spacing w:line="480" w:lineRule="auto"/>
        <w:ind w:firstLine="720"/>
      </w:pPr>
      <w:r>
        <w:t xml:space="preserve">The reading is plain. A narrow set of modern boosters whose reliability records bunch tightly across the 2015 to 2020 window dominates the Paper Two sample. So the reliability index carries next to no usable movement in the cross section, and the estimator cannot part the launcher reliability channel from the residual. The point estimate carries the expected negative sign, which fits underwriters charging less on missions flown by more reliable boosters, but no substantive weight can ride on the size. This identification limit is foreseen in the prospectus discussion of measurement error in the conjunction-rate covariate and fits the broader point that narrow contemporaneous reliability ranges across modern launch vehicles compress whatever hedonic content the reliability attribute might carry.</w:t>
      </w:r>
    </w:p>
    <w:bookmarkEnd w:id="119"/>
    <w:bookmarkStart w:id="120" w:name="the-intercept"/>
    <w:p>
      <w:pPr>
        <w:pStyle w:val="Heading3"/>
        <w:spacing w:line="480" w:lineRule="auto"/>
      </w:pPr>
      <w:r>
        <w:t xml:space="preserve">6.2.7 The Intercept</w:t>
      </w:r>
    </w:p>
    <w:p>
      <w:pPr>
        <w:pStyle w:val="FirstParagraph"/>
        <w:spacing w:line="480" w:lineRule="auto"/>
      </w:pPr>
      <w:r>
        <w:t xml:space="preserve">The intercept comes in at 15.4162 percentage points, with a heteroscedasticity-consistent standard error of 16.1616 and a p-value of 0.3401. Its standard error runs roughly level with the point estimate, and the coefficient cannot be told apart from zero. As with Paper One, no substantive reading attaches to the intercept.</w:t>
      </w:r>
    </w:p>
    <w:bookmarkEnd w:id="120"/>
    <w:bookmarkEnd w:id="121"/>
    <w:bookmarkStart w:id="122" w:name="joint-reading-of-the-two-specifications"/>
    <w:p>
      <w:pPr>
        <w:pStyle w:val="Heading2"/>
        <w:spacing w:line="480" w:lineRule="auto"/>
      </w:pPr>
      <w:r>
        <w:t xml:space="preserve">6.3 Joint Reading of the Two Specifications</w:t>
      </w:r>
    </w:p>
    <w:p>
      <w:pPr>
        <w:pStyle w:val="FirstParagraph"/>
        <w:spacing w:line="480" w:lineRule="auto"/>
      </w:pPr>
      <w:r>
        <w:t xml:space="preserve">On three substantive points the two specifications line up, and on a fourth they part. They line up, first, on the cross section of satellite insurance premium rates yielding to a hedonic decomposition over a lean attribute vector, with R-squared values between 0.72 and 0.77 and joint F tests throwing out the null of coefficient irrelevance at vanishing p-values. They line up, second, on spacecraft mass carrying a positive implicit price, significant in Paper Two and marginally so in Paper One, sign and order of magnitude agreeing across the two once the dependent-variable scalings are squared. They line up, third, on the orbital-regime debris construct, built as a flux index or as a density index, failing to carry the positive implicit price the naive externality hypothesis would foretell. Paper One returns a negative, significant slope; Paper Two returns a negative, insignificant slope; both run against the prior.</w:t>
      </w:r>
    </w:p>
    <w:p>
      <w:pPr>
        <w:pStyle w:val="BodyText"/>
        <w:spacing w:line="480" w:lineRule="auto"/>
        <w:ind w:firstLine="720"/>
      </w:pPr>
      <w:r>
        <w:t xml:space="preserve">Where they part is on the role of design life and the calendar year. Paper One pins a significant positive implicit price for design life and a significant positive market-cycle slope, both of which draw off large variance a naive specification would hand to regime. Paper Two drops design life and the calendar year and swaps in operator age, insured value, and launcher reliability. It recovers the mass channel and a marginally significant insured value channel yet cannot pull out either the design-life channel or the institutional-learning channel from its sample. The dissertation reads that split as evidence design life and the calendar year are first-order hedonic attributes, and that any form dropping them leaks variance into the surviving slopes in patterns hinging on the regime composition of the sample</w:t>
      </w:r>
      <w:r>
        <w:t xml:space="preserve"> </w:t>
      </w:r>
      <w:hyperlink w:anchor="ref-11">
        <w:r>
          <w:rPr>
            <w:rStyle w:val="Hyperlink"/>
          </w:rPr>
          <w:t xml:space="preserve">[11]</w:t>
        </w:r>
      </w:hyperlink>
      <w:r>
        <w:t xml:space="preserve"> </w:t>
      </w:r>
      <w:hyperlink w:anchor="ref-5">
        <w:r>
          <w:rPr>
            <w:rStyle w:val="Hyperlink"/>
          </w:rPr>
          <w:t xml:space="preserve">[5]</w:t>
        </w:r>
      </w:hyperlink>
      <w:r>
        <w:t xml:space="preserve">.</w:t>
      </w:r>
    </w:p>
    <w:bookmarkEnd w:id="122"/>
    <w:bookmarkStart w:id="123" w:name="Xbe1072a11c95d8524aaab8f911c4c5f55589391"/>
    <w:p>
      <w:pPr>
        <w:pStyle w:val="Heading2"/>
        <w:spacing w:line="480" w:lineRule="auto"/>
      </w:pPr>
      <w:r>
        <w:t xml:space="preserve">6.4 Consequences for the Falsifiable Hypothesis</w:t>
      </w:r>
    </w:p>
    <w:p>
      <w:pPr>
        <w:pStyle w:val="FirstParagraph"/>
        <w:spacing w:line="480" w:lineRule="auto"/>
      </w:pPr>
      <w:r>
        <w:t xml:space="preserve">The falsifiable hypothesis the prospectus advanced is that conditional on orbital regime, satellite mass, manufacturer, launch vintage, operator fixed effects, and year fixed effects, a one-standard-deviation rise in the cumulative-conjunction-rate exposure of an insured satellite drives a strictly positive and significant rise in the annual premium rate per insured dollar. The two specifications of this chapter test the static cross-sectional counterpart of that hypothesis, regime-level catalogued constructs standing in for the cumulative-conjunction-rate covariate. Neither backs the strong form. Paper One returns a significant slope of the wrong sign; Paper Two returns a slope of the wrong sign that cannot be told apart from zero.</w:t>
      </w:r>
    </w:p>
    <w:p>
      <w:pPr>
        <w:pStyle w:val="BodyText"/>
        <w:spacing w:line="480" w:lineRule="auto"/>
        <w:ind w:firstLine="720"/>
      </w:pPr>
      <w:r>
        <w:t xml:space="preserve">The chapter stops short, though, of ruling debris exposure unpriced by the satellite insurance market. What the joint evidence supports is narrower and more methodological. In a static cross section, the mass, design life, exposure concentration, and market-cycle channels correlated with the catalogued spatial-density signal swamp it. So the dissertation has to pull the debris-exposure coefficient out of within-mission and within-regime movement thrown off by discrete fragmentation events, in the panel and event-study specifications of later chapters, rather than out of cross-regime movement in catalogued flux or density. That methodological verdict is itself the principal substantive contribution of the chapter, and it fits the McKnight critique driving the broader policy literature on debris pricing</w:t>
      </w:r>
      <w:r>
        <w:t xml:space="preserve"> </w:t>
      </w:r>
      <w:hyperlink w:anchor="ref-4">
        <w:r>
          <w:rPr>
            <w:rStyle w:val="Hyperlink"/>
          </w:rPr>
          <w:t xml:space="preserve">[4]</w:t>
        </w:r>
      </w:hyperlink>
      <w:r>
        <w:t xml:space="preserve"> </w:t>
      </w:r>
      <w:hyperlink w:anchor="ref-21">
        <w:r>
          <w:rPr>
            <w:rStyle w:val="Hyperlink"/>
          </w:rPr>
          <w:t xml:space="preserve">[21]</w:t>
        </w:r>
      </w:hyperlink>
      <w:r>
        <w:t xml:space="preserve">. The Oltrogge and colleagues collision-likelihood assessment</w:t>
      </w:r>
      <w:r>
        <w:t xml:space="preserve"> </w:t>
      </w:r>
      <w:hyperlink w:anchor="ref-7">
        <w:r>
          <w:rPr>
            <w:rStyle w:val="Hyperlink"/>
          </w:rPr>
          <w:t xml:space="preserve">[7]</w:t>
        </w:r>
      </w:hyperlink>
      <w:r>
        <w:t xml:space="preserve">, the Shahady framing of GEO contestation</w:t>
      </w:r>
      <w:r>
        <w:t xml:space="preserve"> </w:t>
      </w:r>
      <w:hyperlink w:anchor="ref-2">
        <w:r>
          <w:rPr>
            <w:rStyle w:val="Hyperlink"/>
          </w:rPr>
          <w:t xml:space="preserve">[2]</w:t>
        </w:r>
      </w:hyperlink>
      <w:r>
        <w:t xml:space="preserve"> </w:t>
      </w:r>
      <w:hyperlink w:anchor="ref-20">
        <w:r>
          <w:rPr>
            <w:rStyle w:val="Hyperlink"/>
          </w:rPr>
          <w:t xml:space="preserve">[20]</w:t>
        </w:r>
      </w:hyperlink>
      <w:r>
        <w:t xml:space="preserve">, and the Trucco and colleagues account of risk-landscape dynamics</w:t>
      </w:r>
      <w:r>
        <w:t xml:space="preserve"> </w:t>
      </w:r>
      <w:hyperlink w:anchor="ref-5">
        <w:r>
          <w:rPr>
            <w:rStyle w:val="Hyperlink"/>
          </w:rPr>
          <w:t xml:space="preserve">[5]</w:t>
        </w:r>
      </w:hyperlink>
      <w:r>
        <w:t xml:space="preserve"> </w:t>
      </w:r>
      <w:hyperlink w:anchor="ref-30">
        <w:r>
          <w:rPr>
            <w:rStyle w:val="Hyperlink"/>
          </w:rPr>
          <w:t xml:space="preserve">[30]</w:t>
        </w:r>
      </w:hyperlink>
      <w:r>
        <w:t xml:space="preserve"> </w:t>
      </w:r>
      <w:r>
        <w:t xml:space="preserve">each hand over pieces of the interpretation, and each squares with the result that the catalogued signal is not the channel by which the market prices debris in the static cross section.</w:t>
      </w:r>
    </w:p>
    <w:p>
      <w:pPr>
        <w:pStyle w:val="BodyText"/>
        <w:spacing w:line="480" w:lineRule="auto"/>
        <w:ind w:firstLine="720"/>
      </w:pPr>
      <w:r>
        <w:t xml:space="preserve">Around this finding the remaining chapters take shape. The panel specification to come widens the Paper One control vector with operator and year fixed effects and leans on the within-operator residual movement in catalogued flux to pin a refined debris-exposure coefficient. The event-study specification treats the discrete fragmentation events logged by the NASA Orbital Debris Program Office quarterly history</w:t>
      </w:r>
      <w:r>
        <w:t xml:space="preserve"> </w:t>
      </w:r>
      <w:hyperlink w:anchor="ref-12">
        <w:r>
          <w:rPr>
            <w:rStyle w:val="Hyperlink"/>
          </w:rPr>
          <w:t xml:space="preserve">[12]</w:t>
        </w:r>
      </w:hyperlink>
      <w:r>
        <w:t xml:space="preserve"> </w:t>
      </w:r>
      <w:r>
        <w:t xml:space="preserve">and the European Space Agency space-environment record</w:t>
      </w:r>
      <w:r>
        <w:t xml:space="preserve"> </w:t>
      </w:r>
      <w:hyperlink w:anchor="ref-13">
        <w:r>
          <w:rPr>
            <w:rStyle w:val="Hyperlink"/>
          </w:rPr>
          <w:t xml:space="preserve">[13]</w:t>
        </w:r>
      </w:hyperlink>
      <w:r>
        <w:t xml:space="preserve"> </w:t>
      </w:r>
      <w:r>
        <w:t xml:space="preserve">as exogenous shocks to the local debris population and tests whether the post-event renewal cycle of the affected operator and regime cells shows the rate response the cross-sectional specifications could not draw out. The robustness exercises held for the concluding chapter probe how far the joint reading bends under the deliberate-origin fragmentation subsample</w:t>
      </w:r>
      <w:r>
        <w:t xml:space="preserve"> </w:t>
      </w:r>
      <w:hyperlink w:anchor="ref-8">
        <w:r>
          <w:rPr>
            <w:rStyle w:val="Hyperlink"/>
          </w:rPr>
          <w:t xml:space="preserve">[8]</w:t>
        </w:r>
      </w:hyperlink>
      <w:r>
        <w:t xml:space="preserve"> </w:t>
      </w:r>
      <w:hyperlink w:anchor="ref-19">
        <w:r>
          <w:rPr>
            <w:rStyle w:val="Hyperlink"/>
          </w:rPr>
          <w:t xml:space="preserve">[19]</w:t>
        </w:r>
      </w:hyperlink>
      <w:r>
        <w:t xml:space="preserve"> </w:t>
      </w:r>
      <w:r>
        <w:t xml:space="preserve">and under the in-orbit inspection bounds on catalog completeness</w:t>
      </w:r>
      <w:r>
        <w:t xml:space="preserve"> </w:t>
      </w:r>
      <w:hyperlink w:anchor="ref-9">
        <w:r>
          <w:rPr>
            <w:rStyle w:val="Hyperlink"/>
          </w:rPr>
          <w:t xml:space="preserve">[9]</w:t>
        </w:r>
      </w:hyperlink>
      <w:r>
        <w:t xml:space="preserve"> </w:t>
      </w:r>
      <w:hyperlink w:anchor="ref-18">
        <w:r>
          <w:rPr>
            <w:rStyle w:val="Hyperlink"/>
          </w:rPr>
          <w:t xml:space="preserve">[18]</w:t>
        </w:r>
      </w:hyperlink>
      <w:r>
        <w:t xml:space="preserve">. What this chapter reports stands as the empirical foundation against which the panel and event-study extensions are to be weighed.</w:t>
      </w:r>
    </w:p>
    <w:bookmarkEnd w:id="123"/>
    <w:bookmarkEnd w:id="124"/>
    <w:bookmarkStart w:id="132" w:name="X21322cb5e29cbf4eb576afddcad42f86ace4e0d"/>
    <w:p>
      <w:pPr>
        <w:pStyle w:val="Heading1"/>
        <w:spacing w:line="480" w:lineRule="auto"/>
      </w:pPr>
      <w:r>
        <w:t xml:space="preserve">Chapter 7. Discussion and Governance Implications</w:t>
      </w:r>
    </w:p>
    <w:bookmarkStart w:id="125" w:name="restatement-of-the-empirical-result"/>
    <w:p>
      <w:pPr>
        <w:pStyle w:val="Heading2"/>
        <w:spacing w:line="480" w:lineRule="auto"/>
      </w:pPr>
      <w:r>
        <w:t xml:space="preserve">7.1 Restatement of the Empirical Result</w:t>
      </w:r>
    </w:p>
    <w:p>
      <w:pPr>
        <w:pStyle w:val="FirstParagraph"/>
        <w:spacing w:line="480" w:lineRule="auto"/>
      </w:pPr>
      <w:r>
        <w:t xml:space="preserve">Together, the two hedonic estimations of Chapters 5 and 6 arrive at a finding that is narrow and, for a policy literature that has assumed its opposite, unsettling. Across the cross section of thirty-three commercial and civil satellite policies placed between 2016 and 2025, the slope on the orbital-regime debris flux index comes back negative, parts from zero at conventional levels, and measures roughly fifteen basis points of first-year premium rate per unit of the geostationary-normalized flux index. Across the companion cross section of thirty-one commercial missions placed between 2015 and 2020, the slope on a near-kin debris-density construct comes back negative in point estimate too, though it cannot be told apart from zero. Mass and design life draw their expected positive implicit prices, and the calendar-year control takes up a hardening market over the sample window. So the message is not that the insurance market keeps quiet about the orbital environment. It is that the signal the market throws off, once spacecraft attributes and the market cycle are held, points the reverse of the externality-pricing claim that has served the debris cost-benefit literature as a working assumption for more than a decade</w:t>
      </w:r>
      <w:r>
        <w:t xml:space="preserve"> </w:t>
      </w:r>
      <w:hyperlink w:anchor="ref-4">
        <w:r>
          <w:rPr>
            <w:rStyle w:val="Hyperlink"/>
          </w:rPr>
          <w:t xml:space="preserve">[4]</w:t>
        </w:r>
      </w:hyperlink>
      <w:r>
        <w:t xml:space="preserve">.</w:t>
      </w:r>
    </w:p>
    <w:p>
      <w:pPr>
        <w:pStyle w:val="BodyText"/>
        <w:spacing w:line="480" w:lineRule="auto"/>
        <w:ind w:firstLine="720"/>
      </w:pPr>
      <w:r>
        <w:t xml:space="preserve">This chapter takes that message at its word and runs it through three registers. Program management comes first, where National Aeronautics and Space Administration and Jet Propulsion Laboratory acquisition authorities feed insurance-derived shadow prices into debris-mitigation business cases. Governance follows, where the missing market-revealed positive shadow price reshapes the menu of defensible policy instruments. Method comes last, where the limits of the present design and the next-generation identification strategies built to clear them get laid out. All the way through, the discussion keeps the rule the prospectus set: a measured hedonic shadow price, not a posited one, is the unit of evidence that downstream policy claims may lean on.</w:t>
      </w:r>
    </w:p>
    <w:bookmarkEnd w:id="125"/>
    <w:bookmarkStart w:id="126" w:name="implications-for-nasa-program-management"/>
    <w:p>
      <w:pPr>
        <w:pStyle w:val="Heading2"/>
        <w:spacing w:line="480" w:lineRule="auto"/>
      </w:pPr>
      <w:r>
        <w:t xml:space="preserve">7.2 Implications for NASA Program Management</w:t>
      </w:r>
    </w:p>
    <w:p>
      <w:pPr>
        <w:pStyle w:val="FirstParagraph"/>
        <w:spacing w:line="480" w:lineRule="auto"/>
      </w:pPr>
      <w:r>
        <w:t xml:space="preserve">First to hear these results is the program-management community at NASA centers and at the Jet Propulsion Laboratory, who meet acquisition decisions whose justification hangs on an internal price for debris exposure. Three classes of decision take the brunt.</w:t>
      </w:r>
    </w:p>
    <w:p>
      <w:pPr>
        <w:pStyle w:val="BodyText"/>
        <w:spacing w:line="480" w:lineRule="auto"/>
        <w:ind w:firstLine="720"/>
      </w:pPr>
      <w:r>
        <w:t xml:space="preserve">The active-debris-removal business case is one. McKnight’s seminal cost-benefit framing of active debris removal, given at the AMOS conference, forecast that insurance premia would climb sharply once collision risk passed an annual threshold near one and one half percent, and rode that forecast premium response as the principal monetized benefit of preemptive removal investment</w:t>
      </w:r>
      <w:r>
        <w:t xml:space="preserve"> </w:t>
      </w:r>
      <w:hyperlink w:anchor="ref-4">
        <w:r>
          <w:rPr>
            <w:rStyle w:val="Hyperlink"/>
          </w:rPr>
          <w:t xml:space="preserve">[4]</w:t>
        </w:r>
      </w:hyperlink>
      <w:r>
        <w:t xml:space="preserve">. The Chapter 5 and Chapter 6 findings do not sit with the premium-response premise holding that case up. The hedonic decomposition draws out a negative regime coefficient once mass and design life are partialled off, and the cross-sectional design used here would have thrown off a positive coefficient had the market already sat in the regime McKnight foresaw. For NASA program managers reviewing internal active-debris-removal cost-benefit packages, the upshot is plain: the avoided-premium term in those packages finds no externally validated, market-revealed elasticity to stand on at present and belongs either out of the headline benefit-cost ratio or set apart as a hypothesis-dependent sensitivity. None of this argues against active debris removal as a mission. It argues against wielding a particular monetization channel as though it were already calibrated.</w:t>
      </w:r>
    </w:p>
    <w:p>
      <w:pPr>
        <w:pStyle w:val="BodyText"/>
        <w:spacing w:line="480" w:lineRule="auto"/>
        <w:ind w:firstLine="720"/>
      </w:pPr>
      <w:r>
        <w:t xml:space="preserve">The orbital-debris-mitigation standard practice flow-down at the mission acquisition stage is a second. NASA program offices work Orbital Debris Program Office requirements through mission-level orbital debris assessment reports whose internal trade studies lean often on premium-pricing arguments to defend incremental design choices, longer post-mission disposal margins or higher-reliability passivation hardware among them. The Orbital Debris Quarterly News record</w:t>
      </w:r>
      <w:r>
        <w:t xml:space="preserve"> </w:t>
      </w:r>
      <w:hyperlink w:anchor="ref-12">
        <w:r>
          <w:rPr>
            <w:rStyle w:val="Hyperlink"/>
          </w:rPr>
          <w:t xml:space="preserve">[12]</w:t>
        </w:r>
      </w:hyperlink>
      <w:r>
        <w:t xml:space="preserve"> </w:t>
      </w:r>
      <w:r>
        <w:t xml:space="preserve">and the European Space Agency Annual Space Environment Report</w:t>
      </w:r>
      <w:r>
        <w:t xml:space="preserve"> </w:t>
      </w:r>
      <w:hyperlink w:anchor="ref-13">
        <w:r>
          <w:rPr>
            <w:rStyle w:val="Hyperlink"/>
          </w:rPr>
          <w:t xml:space="preserve">[13]</w:t>
        </w:r>
      </w:hyperlink>
      <w:r>
        <w:t xml:space="preserve"> </w:t>
      </w:r>
      <w:r>
        <w:t xml:space="preserve">furnish the environmental statistics such trade studies rest on, yet the monetization step has run on the assumption, traceable to the policy register</w:t>
      </w:r>
      <w:r>
        <w:t xml:space="preserve"> </w:t>
      </w:r>
      <w:hyperlink w:anchor="ref-1">
        <w:r>
          <w:rPr>
            <w:rStyle w:val="Hyperlink"/>
          </w:rPr>
          <w:t xml:space="preserve">[1]</w:t>
        </w:r>
      </w:hyperlink>
      <w:r>
        <w:t xml:space="preserve">, that insurance is the channel capitalizing environmental quality into mission economics. The Chapter 5 and Chapter 6 results say that capitalization is, at the least, invisible in the first-year cross section. Program offices keeping a monetization step in mission-level orbital debris assessments should therefore either (a) swap in a direct expected-loss term reckoned from conjunction rates and insured value, skirting the premium intermediary entirely, or (b) carry the monetization inside a wide confidence band with an explicit note that the underlying elasticity stays unidentified in the public data.</w:t>
      </w:r>
    </w:p>
    <w:p>
      <w:pPr>
        <w:pStyle w:val="BodyText"/>
        <w:spacing w:line="480" w:lineRule="auto"/>
        <w:ind w:firstLine="720"/>
      </w:pPr>
      <w:r>
        <w:t xml:space="preserve">The JPL recompete environment specifically is a third. The JPL Chief Strategist function and the laboratory’s institutional business-development analysts reach for shadow prices on orbital-environment exposure when scoping partnership architectures, running set-cover analyses across competing partner capability bundles, and framing decision-authority briefings for NASA Headquarters. There the program-management upshot is that a JPL-led partnership out to monetize an orbital-environment improvement, by way of a hosted payload</w:t>
      </w:r>
      <w:r>
        <w:t xml:space="preserve"> </w:t>
      </w:r>
      <w:hyperlink w:anchor="ref-24">
        <w:r>
          <w:rPr>
            <w:rStyle w:val="Hyperlink"/>
          </w:rPr>
          <w:t xml:space="preserve">[24]</w:t>
        </w:r>
      </w:hyperlink>
      <w:r>
        <w:t xml:space="preserve"> </w:t>
      </w:r>
      <w:r>
        <w:t xml:space="preserve">or a refueling-and-servicing concept</w:t>
      </w:r>
      <w:r>
        <w:t xml:space="preserve"> </w:t>
      </w:r>
      <w:hyperlink w:anchor="ref-27">
        <w:r>
          <w:rPr>
            <w:rStyle w:val="Hyperlink"/>
          </w:rPr>
          <w:t xml:space="preserve">[27]</w:t>
        </w:r>
      </w:hyperlink>
      <w:r>
        <w:t xml:space="preserve"> </w:t>
      </w:r>
      <w:r>
        <w:t xml:space="preserve">say, cannot rest on insurance-premium reduction as the primary financial case. Liu and colleagues put a number on the economic value of on-orbit servicing for geostationary communication satellites and named extended revenue capture, not premium reduction, the dominant value channel</w:t>
      </w:r>
      <w:r>
        <w:t xml:space="preserve"> </w:t>
      </w:r>
      <w:hyperlink w:anchor="ref-27">
        <w:r>
          <w:rPr>
            <w:rStyle w:val="Hyperlink"/>
          </w:rPr>
          <w:t xml:space="preserve">[27]</w:t>
        </w:r>
      </w:hyperlink>
      <w:r>
        <w:t xml:space="preserve">. The hedonic findings reinforce that: in the regime where on-orbit servicing clusters, high-value long-design-life geostationary platforms, the implicit hedonic prices the cross section draws out land on mass and design life, not on the regime-debris attribute. JPL business cases should mirror that allocation of evidence. The point is not that orbital-environment improvement fails to pay; it is that the channel by which the improvement pays is the productive life of the asset, not the policy contract written against it.</w:t>
      </w:r>
    </w:p>
    <w:bookmarkEnd w:id="126"/>
    <w:bookmarkStart w:id="127" w:name="X00dfc91f0bdd52297d0693b43666678a6a97b8c"/>
    <w:p>
      <w:pPr>
        <w:pStyle w:val="Heading2"/>
        <w:spacing w:line="480" w:lineRule="auto"/>
      </w:pPr>
      <w:r>
        <w:t xml:space="preserve">7.3 Implications for Governance and Acquisition Policy</w:t>
      </w:r>
    </w:p>
    <w:p>
      <w:pPr>
        <w:pStyle w:val="FirstParagraph"/>
        <w:spacing w:line="480" w:lineRule="auto"/>
      </w:pPr>
      <w:r>
        <w:t xml:space="preserve">Weightier than the program-management implications are the governance implications of the cross-sectional null on insurance pricing, since they touch the choice among instruments that international and federal authorities hold for the orbital-debris commons.</w:t>
      </w:r>
    </w:p>
    <w:p>
      <w:pPr>
        <w:pStyle w:val="BodyText"/>
        <w:spacing w:line="480" w:lineRule="auto"/>
        <w:ind w:firstLine="720"/>
      </w:pPr>
      <w:r>
        <w:t xml:space="preserve">That the externality, as it now stands, goes unabsorbed by the private insurance market in any way visible in publicly placed policies is the first of them. Weinzierl’s framing of the space economy as a commons problem</w:t>
      </w:r>
      <w:r>
        <w:t xml:space="preserve"> </w:t>
      </w:r>
      <w:hyperlink w:anchor="ref-1">
        <w:r>
          <w:rPr>
            <w:rStyle w:val="Hyperlink"/>
          </w:rPr>
          <w:t xml:space="preserve">[1]</w:t>
        </w:r>
      </w:hyperlink>
      <w:r>
        <w:t xml:space="preserve"> </w:t>
      </w:r>
      <w:r>
        <w:t xml:space="preserve">and the kindred literature on sustainability, security, and development</w:t>
      </w:r>
      <w:r>
        <w:t xml:space="preserve"> </w:t>
      </w:r>
      <w:hyperlink w:anchor="ref-3">
        <w:r>
          <w:rPr>
            <w:rStyle w:val="Hyperlink"/>
          </w:rPr>
          <w:t xml:space="preserve">[3]</w:t>
        </w:r>
      </w:hyperlink>
      <w:r>
        <w:t xml:space="preserve"> </w:t>
      </w:r>
      <w:r>
        <w:t xml:space="preserve">foresee two equilibrium configurations: one internalizing the externality through private contract, insurance pricing included, and another leaving it uninternalized and calling for public action. The empirical finding here leans toward the second, and that carries straight into the policy menu. Instruments hinging on private price discovery for their calibration, voluntary mitigation incentives keyed to market signals among them, make weaker candidates than instruments working on quantities outright, orbital-use fees calibrated to engineering models of collision likelihood and active-debris-removal scheduling driven by debris-source ranking rather than by market response. Tuttle, McKnight, and Maclay have pressed in the AMOS literature for aiming active debris removal at the highest-risk parent objects</w:t>
      </w:r>
      <w:r>
        <w:t xml:space="preserve"> </w:t>
      </w:r>
      <w:hyperlink w:anchor="ref-25">
        <w:r>
          <w:rPr>
            <w:rStyle w:val="Hyperlink"/>
          </w:rPr>
          <w:t xml:space="preserve">[25]</w:t>
        </w:r>
      </w:hyperlink>
      <w:r>
        <w:t xml:space="preserve">; the empirical absence of a positive insurance signal firms up that case by stripping away the rival justification that private capital, watching premia rise, will act unbidden.</w:t>
      </w:r>
    </w:p>
    <w:p>
      <w:pPr>
        <w:pStyle w:val="BodyText"/>
        <w:spacing w:line="480" w:lineRule="auto"/>
        <w:ind w:firstLine="720"/>
      </w:pPr>
      <w:r>
        <w:t xml:space="preserve">That the case for a public reinsurance backstop or a mandatory cover instrument, raised in the IRD Project research design corpus</w:t>
      </w:r>
      <w:r>
        <w:t xml:space="preserve"> </w:t>
      </w:r>
      <w:hyperlink w:anchor="ref-17">
        <w:r>
          <w:rPr>
            <w:rStyle w:val="Hyperlink"/>
          </w:rPr>
          <w:t xml:space="preserve">[17]</w:t>
        </w:r>
      </w:hyperlink>
      <w:r>
        <w:t xml:space="preserve"> </w:t>
      </w:r>
      <w:r>
        <w:t xml:space="preserve">and in line with the broader risk-landscape framing of Trucco, Paravano, and Locatelli</w:t>
      </w:r>
      <w:r>
        <w:t xml:space="preserve"> </w:t>
      </w:r>
      <w:hyperlink w:anchor="ref-5">
        <w:r>
          <w:rPr>
            <w:rStyle w:val="Hyperlink"/>
          </w:rPr>
          <w:t xml:space="preserve">[5]</w:t>
        </w:r>
      </w:hyperlink>
      <w:r>
        <w:t xml:space="preserve">, gains some ground is the second. The cross-sectional finding does not show underwriters mistaken; it shows the publicly observable premium structure ruled by mission-design and market-cycle effects rather than by an attribute an externality-internalization argument would foretell. A mandatory-cover regime keyed to a measured conjunction-rate burden rather than to disclosed premium would, on the evidence gathered here, catch the externality more surely than waiting on private cross-sectional pricing to reveal it. The Shahady observation that premium falls once on-orbit servicing or active mitigation is in place</w:t>
      </w:r>
      <w:r>
        <w:t xml:space="preserve"> </w:t>
      </w:r>
      <w:hyperlink w:anchor="ref-2">
        <w:r>
          <w:rPr>
            <w:rStyle w:val="Hyperlink"/>
          </w:rPr>
          <w:t xml:space="preserve">[2]</w:t>
        </w:r>
      </w:hyperlink>
      <w:r>
        <w:t xml:space="preserve"> </w:t>
      </w:r>
      <w:r>
        <w:t xml:space="preserve">points the same way, marking the channel from mitigation to price as intervention-conditional rather than environment-conditional.</w:t>
      </w:r>
    </w:p>
    <w:p>
      <w:pPr>
        <w:pStyle w:val="BodyText"/>
        <w:spacing w:line="480" w:lineRule="auto"/>
        <w:ind w:firstLine="720"/>
      </w:pPr>
      <w:r>
        <w:t xml:space="preserve">Traffic-management governance specifically is the third. Sánchez-Ortíz and colleagues set out the case for sustained outreach on space traffic management as a precondition of normative convergence</w:t>
      </w:r>
      <w:r>
        <w:t xml:space="preserve"> </w:t>
      </w:r>
      <w:hyperlink w:anchor="ref-26">
        <w:r>
          <w:rPr>
            <w:rStyle w:val="Hyperlink"/>
          </w:rPr>
          <w:t xml:space="preserve">[26]</w:t>
        </w:r>
      </w:hyperlink>
      <w:r>
        <w:t xml:space="preserve">, and David and colleagues built the case for incentive-based multi-stakeholder collaboration on sustainability</w:t>
      </w:r>
      <w:r>
        <w:t xml:space="preserve"> </w:t>
      </w:r>
      <w:hyperlink w:anchor="ref-28">
        <w:r>
          <w:rPr>
            <w:rStyle w:val="Hyperlink"/>
          </w:rPr>
          <w:t xml:space="preserve">[28]</w:t>
        </w:r>
      </w:hyperlink>
      <w:r>
        <w:t xml:space="preserve">. The hedonic findings shore up the empirical footing of both by knocking out a counterargument: it no longer holds to claim a price-based market mechanism for traffic-management compliance can be calibrated against observed premium movement, that movement being ruled by other attributes. So traffic-management incentive design rightly proceeds off a direct engineering metric, the cumulative conjunction-rate exposure construct the prospectus proposed and the comprehensive Oltrogge and colleagues collision-likelihood assessment informed</w:t>
      </w:r>
      <w:r>
        <w:t xml:space="preserve"> </w:t>
      </w:r>
      <w:hyperlink w:anchor="ref-7">
        <w:r>
          <w:rPr>
            <w:rStyle w:val="Hyperlink"/>
          </w:rPr>
          <w:t xml:space="preserve">[7]</w:t>
        </w:r>
      </w:hyperlink>
      <w:r>
        <w:t xml:space="preserve">, rather than off a market-derived shadow price. Hurova’s gamification proposal for debris mitigation</w:t>
      </w:r>
      <w:r>
        <w:t xml:space="preserve"> </w:t>
      </w:r>
      <w:hyperlink w:anchor="ref-10">
        <w:r>
          <w:rPr>
            <w:rStyle w:val="Hyperlink"/>
          </w:rPr>
          <w:t xml:space="preserve">[10]</w:t>
        </w:r>
      </w:hyperlink>
      <w:r>
        <w:t xml:space="preserve"> </w:t>
      </w:r>
      <w:r>
        <w:t xml:space="preserve">fits easily beside such a design, working as it does on participant behavior rather than on price discovery.</w:t>
      </w:r>
    </w:p>
    <w:p>
      <w:pPr>
        <w:pStyle w:val="BodyText"/>
        <w:spacing w:line="480" w:lineRule="auto"/>
        <w:ind w:firstLine="720"/>
      </w:pPr>
      <w:r>
        <w:t xml:space="preserve">A fourth runs subtler. The contested-environment dimension Harrison documented in the AMOS literature [8, 19] tangles with the orbital-debris dimension, since deliberate fragmentation events shift the debris population in one step and the same geopolitical setting squeezes reinsurance capital. By drawing out a calendar-year hardening coefficient large against the regime coefficient, the hedonic findings mark market-cycle effects, those plausibly driven by reinsurance capital constraints included, as ruling the cross section. Governance instruments reaching for debris externalities through the insurance channel must therefore carry an explicit contested-environment control or risk laying at debris’s door what belongs at capital availability’s. The Center for Strategic and International Studies contested-environment index Harrison’s work uses</w:t>
      </w:r>
      <w:r>
        <w:t xml:space="preserve"> </w:t>
      </w:r>
      <w:hyperlink w:anchor="ref-8">
        <w:r>
          <w:rPr>
            <w:rStyle w:val="Hyperlink"/>
          </w:rPr>
          <w:t xml:space="preserve">[8]</w:t>
        </w:r>
      </w:hyperlink>
      <w:r>
        <w:t xml:space="preserve"> </w:t>
      </w:r>
      <w:r>
        <w:t xml:space="preserve">offers one defensible candidate for that control.</w:t>
      </w:r>
    </w:p>
    <w:bookmarkEnd w:id="127"/>
    <w:bookmarkStart w:id="128" w:name="limitations-of-the-present-study"/>
    <w:p>
      <w:pPr>
        <w:pStyle w:val="Heading2"/>
        <w:spacing w:line="480" w:lineRule="auto"/>
      </w:pPr>
      <w:r>
        <w:t xml:space="preserve">7.4 Limitations of the Present Study</w:t>
      </w:r>
    </w:p>
    <w:p>
      <w:pPr>
        <w:pStyle w:val="FirstParagraph"/>
        <w:spacing w:line="480" w:lineRule="auto"/>
      </w:pPr>
      <w:r>
        <w:t xml:space="preserve">Real limitations attach to the empirical work behind these implications, and they bear on how forcefully the implications may travel.</w:t>
      </w:r>
    </w:p>
    <w:p>
      <w:pPr>
        <w:pStyle w:val="BodyText"/>
        <w:spacing w:line="480" w:lineRule="auto"/>
        <w:ind w:firstLine="720"/>
      </w:pPr>
      <w:r>
        <w:t xml:space="preserve">Sample size leads. Thirty-three policy observations in Chapter 5 and thirty-one in Chapter 6 yield hedonic regressions whose coefficient estimates hold credible at the magnitudes reported yet whose confidence intervals run wider than ideal for monetary policy claims. The negative sign on the regime debris index parts from zero at the conventional five percent threshold in the Chapter 5 specification and comes back signed but insignificant in the Chapter 6 specification. Taking the central result as a directionally robust null on the externality-pricing hypothesis holds up. Taking the point estimate as an actuarial input for monetization in the inverse direction does not hold up yet.</w:t>
      </w:r>
    </w:p>
    <w:p>
      <w:pPr>
        <w:pStyle w:val="BodyText"/>
        <w:spacing w:line="480" w:lineRule="auto"/>
        <w:ind w:firstLine="720"/>
      </w:pPr>
      <w:r>
        <w:t xml:space="preserve">Observation provenance follows. Where mission-specific premium rates went undisclosed publicly, sector-average rates by orbital regime stood in and carried an illustrative flag. That procedure keeps the hedonic identification at the cost of squeezing within-regime movement. A follow-on study with confidential per-policy rates reached through the candidate’s research agreement with a London market broker, as the prospectus anticipated, would loosen that squeeze and stands as the principal extension scheduled for the dissertation phase.</w:t>
      </w:r>
    </w:p>
    <w:p>
      <w:pPr>
        <w:pStyle w:val="BodyText"/>
        <w:spacing w:line="480" w:lineRule="auto"/>
        <w:ind w:firstLine="720"/>
      </w:pPr>
      <w:r>
        <w:t xml:space="preserve">The construct of the debris-exposure variable itself comes third. The Chapter 5 specification leans on a regime-level catalogued-flux index built from the Orbital Debris Quarterly News</w:t>
      </w:r>
      <w:r>
        <w:t xml:space="preserve"> </w:t>
      </w:r>
      <w:hyperlink w:anchor="ref-12">
        <w:r>
          <w:rPr>
            <w:rStyle w:val="Hyperlink"/>
          </w:rPr>
          <w:t xml:space="preserve">[12]</w:t>
        </w:r>
      </w:hyperlink>
      <w:r>
        <w:t xml:space="preserve"> </w:t>
      </w:r>
      <w:r>
        <w:t xml:space="preserve">and the European Space Agency report</w:t>
      </w:r>
      <w:r>
        <w:t xml:space="preserve"> </w:t>
      </w:r>
      <w:hyperlink w:anchor="ref-13">
        <w:r>
          <w:rPr>
            <w:rStyle w:val="Hyperlink"/>
          </w:rPr>
          <w:t xml:space="preserve">[13]</w:t>
        </w:r>
      </w:hyperlink>
      <w:r>
        <w:t xml:space="preserve">, normalized to geostationary 2010. The Chapter 6 specification leans on a near-kin density construct. Neither measures the per-mission conjunction-rate burden the Oltrogge and colleagues methodology can carry</w:t>
      </w:r>
      <w:r>
        <w:t xml:space="preserve"> </w:t>
      </w:r>
      <w:hyperlink w:anchor="ref-7">
        <w:r>
          <w:rPr>
            <w:rStyle w:val="Hyperlink"/>
          </w:rPr>
          <w:t xml:space="preserve">[7]</w:t>
        </w:r>
      </w:hyperlink>
      <w:r>
        <w:t xml:space="preserve">. A per-mission cumulative-conjunction-rate covariate, built from the eighteenth Space Defense Squadron public conjunction data messages and validated against the geostationary likelihood literature, is the construct the prospectus identification strategy foresaw and remains the construct against which the externality-pricing hypothesis gets its fairest test. So the negative cross-sectional finding falsifies the strongest form of the externality-pricing claim, that even at the coarse regime level the catalogued environment earns a positive price, without by itself falsifying a finer-grained mission-level pricing hypothesis. Both points are honest, and both have to travel together in the dissertation.</w:t>
      </w:r>
    </w:p>
    <w:p>
      <w:pPr>
        <w:pStyle w:val="BodyText"/>
        <w:spacing w:line="480" w:lineRule="auto"/>
        <w:ind w:firstLine="720"/>
      </w:pPr>
      <w:r>
        <w:t xml:space="preserve">Identification comes fourth. The Chapter 5 and Chapter 6 designs run cross-sectional and leave untouched the discrete fragmentation events the prospectus named the principal exogenous source of movement in the local debris environment. A within-mission panel design exploiting fragmentation events as instruments for the conjunction-rate covariate, its exclusion restriction defended against the contested-environment confound, is the design the dissertation carries forward in its principal empirical chapter. So the cross-sectional findings here read rightly as informative priors for that design, not as a stand-in for it.</w:t>
      </w:r>
    </w:p>
    <w:p>
      <w:pPr>
        <w:pStyle w:val="BodyText"/>
        <w:spacing w:line="480" w:lineRule="auto"/>
        <w:ind w:firstLine="720"/>
      </w:pPr>
      <w:r>
        <w:t xml:space="preserve">The absence of a Heckman selection correction in the present specifications comes fifth. Operators who self-insure or who pool risk through national arrangements stay off the publicly observed placement record, and their debris exposure may run systematically apart. The prospectus foresaw a Heckman correction with launch-vehicle indemnification regime as the exclusion variable, and the dissertation will post estimates with and without it.</w:t>
      </w:r>
    </w:p>
    <w:p>
      <w:pPr>
        <w:pStyle w:val="BodyText"/>
        <w:spacing w:line="480" w:lineRule="auto"/>
        <w:ind w:firstLine="720"/>
      </w:pPr>
      <w:r>
        <w:t xml:space="preserve">The catalogue itself comes sixth. Catalog completeness shifts across orbital regimes and across the sample period; the post-2014 stability of completeness for objects above ten centimeters is the footing for a planned restricted-sample robustness specification. The SpaceAble in-orbit inspection literature [9, 18] bounds the residual measurement error without erasing it. The Latif, Chowdhury, and Bagchi work on the on-chain validation of tracking data messages</w:t>
      </w:r>
      <w:r>
        <w:t xml:space="preserve"> </w:t>
      </w:r>
      <w:hyperlink w:anchor="ref-22">
        <w:r>
          <w:rPr>
            <w:rStyle w:val="Hyperlink"/>
          </w:rPr>
          <w:t xml:space="preserve">[22]</w:t>
        </w:r>
      </w:hyperlink>
      <w:r>
        <w:t xml:space="preserve"> </w:t>
      </w:r>
      <w:r>
        <w:t xml:space="preserve">earns mention because it gestures at a future provenance layer that would clamp measurement error tighter, though that infrastructure is not yet running at the scale the present panel needs.</w:t>
      </w:r>
    </w:p>
    <w:bookmarkEnd w:id="128"/>
    <w:bookmarkStart w:id="129" w:name="X31cf5169a44ca585940389a2bf6ce10002ddc30"/>
    <w:p>
      <w:pPr>
        <w:pStyle w:val="Heading2"/>
        <w:spacing w:line="480" w:lineRule="auto"/>
      </w:pPr>
      <w:r>
        <w:t xml:space="preserve">7.5 Threats to External Validity and the Boundary of Generalization</w:t>
      </w:r>
    </w:p>
    <w:p>
      <w:pPr>
        <w:pStyle w:val="FirstParagraph"/>
        <w:spacing w:line="480" w:lineRule="auto"/>
      </w:pPr>
      <w:r>
        <w:t xml:space="preserve">External validity is bounded in three respects that program managers and governance authorities should treat as binding.</w:t>
      </w:r>
    </w:p>
    <w:p>
      <w:pPr>
        <w:pStyle w:val="BodyText"/>
        <w:spacing w:line="480" w:lineRule="auto"/>
        <w:ind w:firstLine="720"/>
      </w:pPr>
      <w:r>
        <w:t xml:space="preserve">The sample window is one. Premium-rate observations between 2015 and 2025 span a stretch of heavy constellation growth, two large-scale fragmentation events of mixed origin, and a hardening reinsurance market in the window’s closing years. Inference past the window earns no warrant without rerunning the specification on the extended sample.</w:t>
      </w:r>
    </w:p>
    <w:p>
      <w:pPr>
        <w:pStyle w:val="BodyText"/>
        <w:spacing w:line="480" w:lineRule="auto"/>
        <w:ind w:firstLine="720"/>
      </w:pPr>
      <w:r>
        <w:t xml:space="preserve">The orbital regime distribution is a second. Geostationary observations rule the high-value, long-design-life subsample; low-Earth-orbit observations rule the high-flux subsample. The regime indicator moves with attributes the model controls, so conclusions about regime-specific pricing should read as joint statements about regime, mass, and design life rather than as anything decomposable into the regime attribute alone.</w:t>
      </w:r>
    </w:p>
    <w:p>
      <w:pPr>
        <w:pStyle w:val="BodyText"/>
        <w:spacing w:line="480" w:lineRule="auto"/>
        <w:ind w:firstLine="720"/>
      </w:pPr>
      <w:r>
        <w:t xml:space="preserve">Operator composition is a third. The publicly placed market tilts toward operators that forgo self-insurance and toward missions whose insured value runs high enough to warrant market placement. Conclusions about pricing in that subsample do not reach the self-insured and government-indemnified subsample, the very population dominating several civil and national-security missions of interest to NASA program offices.</w:t>
      </w:r>
    </w:p>
    <w:bookmarkEnd w:id="129"/>
    <w:bookmarkStart w:id="130" w:name="future-research"/>
    <w:p>
      <w:pPr>
        <w:pStyle w:val="Heading2"/>
        <w:spacing w:line="480" w:lineRule="auto"/>
      </w:pPr>
      <w:r>
        <w:t xml:space="preserve">7.6 Future Research</w:t>
      </w:r>
    </w:p>
    <w:p>
      <w:pPr>
        <w:pStyle w:val="FirstParagraph"/>
        <w:spacing w:line="480" w:lineRule="auto"/>
      </w:pPr>
      <w:r>
        <w:t xml:space="preserve">The next steps of the research program fall straight out of the limitations.</w:t>
      </w:r>
    </w:p>
    <w:p>
      <w:pPr>
        <w:pStyle w:val="BodyText"/>
        <w:spacing w:line="480" w:lineRule="auto"/>
        <w:ind w:firstLine="720"/>
      </w:pPr>
      <w:r>
        <w:t xml:space="preserve">Step one is the principal panel design the prospectus described, its unit of observation the satellite-policy-year and its identification strategy leaning on fragmentation events as instruments for the cumulative-conjunction-rate covariate. This is the test the dissertation owes the literature and the test against which the prospectus H0 gets its fairest hearing.</w:t>
      </w:r>
    </w:p>
    <w:p>
      <w:pPr>
        <w:pStyle w:val="BodyText"/>
        <w:spacing w:line="480" w:lineRule="auto"/>
        <w:ind w:firstLine="720"/>
      </w:pPr>
      <w:r>
        <w:t xml:space="preserve">Step two swaps a per-mission cumulative-conjunction-rate variable in for the regime-flux index. The eighteenth Space Defense Squadron public conjunction data messages, the European Space Agency Database and Information System Characterising Objects in Space catalogue, and the NASA Orbital Debris Program Office breakup history all stand operationally reachable. The Oltrogge and colleagues geostationary collision-likelihood methodology</w:t>
      </w:r>
      <w:r>
        <w:t xml:space="preserve"> </w:t>
      </w:r>
      <w:hyperlink w:anchor="ref-7">
        <w:r>
          <w:rPr>
            <w:rStyle w:val="Hyperlink"/>
          </w:rPr>
          <w:t xml:space="preserve">[7]</w:t>
        </w:r>
      </w:hyperlink>
      <w:r>
        <w:t xml:space="preserve"> </w:t>
      </w:r>
      <w:r>
        <w:t xml:space="preserve">hands over a validated benchmark the constructed covariate can be calibrated against.</w:t>
      </w:r>
    </w:p>
    <w:p>
      <w:pPr>
        <w:pStyle w:val="BodyText"/>
        <w:spacing w:line="480" w:lineRule="auto"/>
        <w:ind w:firstLine="720"/>
      </w:pPr>
      <w:r>
        <w:t xml:space="preserve">Step three is the contested-environment robustness exercise. The deliberate-origin fragmentation subsample should be reported apart, with the Harrison contested-environment index [8, 19] entered as an explicit control. That parts the channel by which the externality is priced from the channel by which geopolitical capital constraint is priced.</w:t>
      </w:r>
    </w:p>
    <w:p>
      <w:pPr>
        <w:pStyle w:val="BodyText"/>
        <w:spacing w:line="480" w:lineRule="auto"/>
        <w:ind w:firstLine="720"/>
      </w:pPr>
      <w:r>
        <w:t xml:space="preserve">Step four is heterogeneity. The prospectus foresaw heterogeneity by orbital regime, by hull category, and by reinsurance layer. The cross-sectional results mark the live heterogeneity dimension as design life and concentration of severity rather than catalogued flux; the heterogeneity exercise in the principal panel design should accordingly carry both decompositions and report results for each.</w:t>
      </w:r>
    </w:p>
    <w:p>
      <w:pPr>
        <w:pStyle w:val="BodyText"/>
        <w:spacing w:line="480" w:lineRule="auto"/>
        <w:ind w:firstLine="720"/>
      </w:pPr>
      <w:r>
        <w:t xml:space="preserve">Step five reaches the work toward the new-space-economy value framing of Paravano, Locatelli, and Trucco</w:t>
      </w:r>
      <w:r>
        <w:t xml:space="preserve"> </w:t>
      </w:r>
      <w:hyperlink w:anchor="ref-31">
        <w:r>
          <w:rPr>
            <w:rStyle w:val="Hyperlink"/>
          </w:rPr>
          <w:t xml:space="preserve">[31]</w:t>
        </w:r>
      </w:hyperlink>
      <w:r>
        <w:t xml:space="preserve"> </w:t>
      </w:r>
      <w:r>
        <w:t xml:space="preserve">and the space-resources-market evaluation framework of McKeown, Dempster, Saydam, and Coulton</w:t>
      </w:r>
      <w:r>
        <w:t xml:space="preserve"> </w:t>
      </w:r>
      <w:hyperlink w:anchor="ref-29">
        <w:r>
          <w:rPr>
            <w:rStyle w:val="Hyperlink"/>
          </w:rPr>
          <w:t xml:space="preserve">[29]</w:t>
        </w:r>
      </w:hyperlink>
      <w:r>
        <w:t xml:space="preserve">. If the insurance channel does not now capitalize orbital-environment quality, which channel does becomes empirically pressing. The end-user value framing in</w:t>
      </w:r>
      <w:r>
        <w:t xml:space="preserve"> </w:t>
      </w:r>
      <w:hyperlink w:anchor="ref-31">
        <w:r>
          <w:rPr>
            <w:rStyle w:val="Hyperlink"/>
          </w:rPr>
          <w:t xml:space="preserve">[31]</w:t>
        </w:r>
      </w:hyperlink>
      <w:r>
        <w:t xml:space="preserve"> </w:t>
      </w:r>
      <w:r>
        <w:t xml:space="preserve">points toward downstream service-revenue effects, and the resources-market framing in</w:t>
      </w:r>
      <w:r>
        <w:t xml:space="preserve"> </w:t>
      </w:r>
      <w:hyperlink w:anchor="ref-29">
        <w:r>
          <w:rPr>
            <w:rStyle w:val="Hyperlink"/>
          </w:rPr>
          <w:t xml:space="preserve">[29]</w:t>
        </w:r>
      </w:hyperlink>
      <w:r>
        <w:t xml:space="preserve"> </w:t>
      </w:r>
      <w:r>
        <w:t xml:space="preserve">points toward an evaluative framework asking for no insurance intermediary at all. Both make productive complements to the present hedonic program.</w:t>
      </w:r>
    </w:p>
    <w:p>
      <w:pPr>
        <w:pStyle w:val="BodyText"/>
        <w:spacing w:line="480" w:lineRule="auto"/>
        <w:ind w:firstLine="720"/>
      </w:pPr>
      <w:r>
        <w:t xml:space="preserve">Step six touches governance of the data infrastructure on which all of this rests. Tricco and colleagues [6, 32] and Graham, Thangavel, and Martin</w:t>
      </w:r>
      <w:r>
        <w:t xml:space="preserve"> </w:t>
      </w:r>
      <w:hyperlink w:anchor="ref-33">
        <w:r>
          <w:rPr>
            <w:rStyle w:val="Hyperlink"/>
          </w:rPr>
          <w:t xml:space="preserve">[33]</w:t>
        </w:r>
      </w:hyperlink>
      <w:r>
        <w:t xml:space="preserve"> </w:t>
      </w:r>
      <w:r>
        <w:t xml:space="preserve">have set out the data-driven governance and legal-liability questions that artificial-intelligence-enabled space systems raise; the conjunction-rate covariate the dissertation rests on is itself an artificial-intelligence-mediated estimate. So the integrity of the underlying tracking data is a precondition of the hedonic program, and the Latif, Chowdhury, and Bagchi proposal</w:t>
      </w:r>
      <w:r>
        <w:t xml:space="preserve"> </w:t>
      </w:r>
      <w:hyperlink w:anchor="ref-22">
        <w:r>
          <w:rPr>
            <w:rStyle w:val="Hyperlink"/>
          </w:rPr>
          <w:t xml:space="preserve">[22]</w:t>
        </w:r>
      </w:hyperlink>
      <w:r>
        <w:t xml:space="preserve"> </w:t>
      </w:r>
      <w:r>
        <w:t xml:space="preserve">for on-chain validation of tracking data messages stands as one candidate infrastructure for meeting it. The Pearson and colleagues ElectroDynamic Debris Eliminator concept</w:t>
      </w:r>
      <w:r>
        <w:t xml:space="preserve"> </w:t>
      </w:r>
      <w:hyperlink w:anchor="ref-23">
        <w:r>
          <w:rPr>
            <w:rStyle w:val="Hyperlink"/>
          </w:rPr>
          <w:t xml:space="preserve">[23]</w:t>
        </w:r>
      </w:hyperlink>
      <w:r>
        <w:t xml:space="preserve"> </w:t>
      </w:r>
      <w:r>
        <w:t xml:space="preserve">and the Shell commercially hosted-payload concept for debris monitoring</w:t>
      </w:r>
      <w:r>
        <w:t xml:space="preserve"> </w:t>
      </w:r>
      <w:hyperlink w:anchor="ref-24">
        <w:r>
          <w:rPr>
            <w:rStyle w:val="Hyperlink"/>
          </w:rPr>
          <w:t xml:space="preserve">[24]</w:t>
        </w:r>
      </w:hyperlink>
      <w:r>
        <w:t xml:space="preserve"> </w:t>
      </w:r>
      <w:r>
        <w:t xml:space="preserve">supply complementary infrastructure on the environment-shaping and environment-observing sides respectively.</w:t>
      </w:r>
    </w:p>
    <w:bookmarkEnd w:id="130"/>
    <w:bookmarkStart w:id="131" w:name="synthesis"/>
    <w:p>
      <w:pPr>
        <w:pStyle w:val="Heading2"/>
        <w:spacing w:line="480" w:lineRule="auto"/>
      </w:pPr>
      <w:r>
        <w:t xml:space="preserve">7.7 Synthesis</w:t>
      </w:r>
    </w:p>
    <w:p>
      <w:pPr>
        <w:pStyle w:val="FirstParagraph"/>
        <w:spacing w:line="480" w:lineRule="auto"/>
      </w:pPr>
      <w:r>
        <w:t xml:space="preserve">The findings of Chapters 5 and 6 do not bear out the assumption, common in the policy literature, that satellite insurance premia already price against the orbital-debris environment tightly enough to carry an avoided-premium business case for active debris removal or for traffic-management incentive design. Held to mass, design life, and the calendar-year market cycle, the cross section of premia runs at best uninformative about the catalogued debris environment and at worst negatively signed against the externality-pricing hypothesis. Read with care, that result builds rather than tears down. It lifts a poorly grounded element out of existing business cases, names the channels by which orbital-environment quality does pay in publicly placed policies, and clarifies the governance burden public instruments will shoulder until private price discovery catches up. It sharpens too the test the dissertation carries forward into its principal empirical chapter: a within-mission panel design instrumented by fragmentation events, set against a per-mission cumulative-conjunction-rate covariate built from operationally reachable catalogue data, with explicit corrections for selection and for contested-environment confounds. The shadow price of debris exposure that comes out of that design, if any, will be a quantity NASA program managers, JPL acquisition authorities, and international traffic-management bodies can defensibly carry into their own analyses. This chapter’s work has been to draw the line between what the cross section has already settled and what the panel design still owes.</w:t>
      </w:r>
    </w:p>
    <w:bookmarkEnd w:id="131"/>
    <w:bookmarkEnd w:id="132"/>
    <w:bookmarkStart w:id="185" w:name="chapter-8.-conclusion"/>
    <w:p>
      <w:pPr>
        <w:pStyle w:val="Heading1"/>
        <w:spacing w:line="480" w:lineRule="auto"/>
      </w:pPr>
      <w:r>
        <w:t xml:space="preserve">Chapter 8. Conclusion</w:t>
      </w:r>
    </w:p>
    <w:bookmarkStart w:id="133" w:name="Xa693de8fd525954e5b82ddf83a0f36b500a7fbf"/>
    <w:p>
      <w:pPr>
        <w:pStyle w:val="Heading2"/>
        <w:spacing w:line="480" w:lineRule="auto"/>
      </w:pPr>
      <w:r>
        <w:t xml:space="preserve">8.1 Restatement of the Problem and the Argument</w:t>
      </w:r>
    </w:p>
    <w:p>
      <w:pPr>
        <w:pStyle w:val="FirstParagraph"/>
        <w:spacing w:line="480" w:lineRule="auto"/>
      </w:pPr>
      <w:r>
        <w:t xml:space="preserve">What this dissertation set out to do was turn a qualitative claim, one circulating in the space-economy literature for over a decade, into a measured quantity. The claim runs that the orbital-debris environment amounts to a negative externality of mounting financial weight, one the commercial satellite insurance and reinsurance markets stand positioned, in principle, to price</w:t>
      </w:r>
      <w:r>
        <w:t xml:space="preserve"> </w:t>
      </w:r>
      <w:hyperlink w:anchor="ref-1">
        <w:r>
          <w:rPr>
            <w:rStyle w:val="Hyperlink"/>
          </w:rPr>
          <w:t xml:space="preserve">[1]</w:t>
        </w:r>
      </w:hyperlink>
      <w:r>
        <w:t xml:space="preserve">. Pressed most sharply by McKnight in his pay-now-or-pay-later argument for active debris removal, the corollary runs that the market signal either trails the underlying physical change or gets masked by other drivers of the rate-on-line</w:t>
      </w:r>
      <w:r>
        <w:t xml:space="preserve"> </w:t>
      </w:r>
      <w:hyperlink w:anchor="ref-4">
        <w:r>
          <w:rPr>
            <w:rStyle w:val="Hyperlink"/>
          </w:rPr>
          <w:t xml:space="preserve">[4]</w:t>
        </w:r>
      </w:hyperlink>
      <w:r>
        <w:t xml:space="preserve">. The motivating policy question asks whether the insurance market, the most natural private institution for putting a price on on-orbit risk, works today as a credible source of a shadow price for one more unit of debris exposure, a price mitigation cost-benefit analysis, active-debris-removal investment cases, and traffic-management cost-allocation schemes all call for as an input</w:t>
      </w:r>
      <w:r>
        <w:t xml:space="preserve"> </w:t>
      </w:r>
      <w:hyperlink w:anchor="ref-2">
        <w:r>
          <w:rPr>
            <w:rStyle w:val="Hyperlink"/>
          </w:rPr>
          <w:t xml:space="preserve">[2]</w:t>
        </w:r>
      </w:hyperlink>
      <w:r>
        <w:t xml:space="preserve">.</w:t>
      </w:r>
    </w:p>
    <w:p>
      <w:pPr>
        <w:pStyle w:val="BodyText"/>
        <w:spacing w:line="480" w:lineRule="auto"/>
        <w:ind w:firstLine="720"/>
      </w:pPr>
      <w:r>
        <w:t xml:space="preserve">Across the chapters before this one, the argument moves in three beats. The conceptual chapters showed, first, that the externality framing handed down from environmental economics is necessary yet falls short. Weinzierl’s commons framing names the structural pathology rightly while yielding no operational price</w:t>
      </w:r>
      <w:r>
        <w:t xml:space="preserve"> </w:t>
      </w:r>
      <w:hyperlink w:anchor="ref-1">
        <w:r>
          <w:rPr>
            <w:rStyle w:val="Hyperlink"/>
          </w:rPr>
          <w:t xml:space="preserve">[1]</w:t>
        </w:r>
      </w:hyperlink>
      <w:r>
        <w:t xml:space="preserve">. Shahady’s qualitative observations about the contested character of GEO slots and the drag of debris on intrinsic slot value run directional too, and unpriced</w:t>
      </w:r>
      <w:r>
        <w:t xml:space="preserve"> </w:t>
      </w:r>
      <w:hyperlink w:anchor="ref-2">
        <w:r>
          <w:rPr>
            <w:rStyle w:val="Hyperlink"/>
          </w:rPr>
          <w:t xml:space="preserve">[2]</w:t>
        </w:r>
      </w:hyperlink>
      <w:r>
        <w:t xml:space="preserve">. The collision-likelihood literature, at its most rigorous the Oltrogge and colleagues comprehensive GEO assessment, throws off engineering hazard rates without carrying them into premium-rate space</w:t>
      </w:r>
      <w:r>
        <w:t xml:space="preserve"> </w:t>
      </w:r>
      <w:hyperlink w:anchor="ref-7">
        <w:r>
          <w:rPr>
            <w:rStyle w:val="Hyperlink"/>
          </w:rPr>
          <w:t xml:space="preserve">[7]</w:t>
        </w:r>
      </w:hyperlink>
      <w:r>
        <w:t xml:space="preserve">. So the dissertation sets Rosen’s hedonic-price framework as the analytic device that can span the engineering hazard rate and the actuarial transaction price</w:t>
      </w:r>
      <w:r>
        <w:t xml:space="preserve"> </w:t>
      </w:r>
      <w:hyperlink w:anchor="ref-11">
        <w:r>
          <w:rPr>
            <w:rStyle w:val="Hyperlink"/>
          </w:rPr>
          <w:t xml:space="preserve">[11]</w:t>
        </w:r>
      </w:hyperlink>
      <w:r>
        <w:t xml:space="preserve">, and that spanning is the methodological contribution of the work.</w:t>
      </w:r>
    </w:p>
    <w:p>
      <w:pPr>
        <w:pStyle w:val="BodyText"/>
        <w:spacing w:line="480" w:lineRule="auto"/>
        <w:ind w:firstLine="720"/>
      </w:pPr>
      <w:r>
        <w:t xml:space="preserve">The two empirical papers of Chapters 5 and 6 put, second, the hedonic specification to work on two separate cross-sectional samples. The first, on thirty-three commercial and civil satellites insured between 2016 and 2025, drew a model fit of R-squared 0.767 with significant coefficients on mass, design life, and calendar year, and a coefficient on the orbital-regime debris flux index significant at the five percent level yet signed negative. The second, on thirty-one commercial missions insured between 2015 and 2020 under a five-regressor form adding launcher reliability and operator age, drew a model fit of R-squared 0.717 with significant coefficients on mass and exposure value and a coefficient on the debris density index that could not be told apart from zero and again carried a negative point estimate. The agreement instructs. Over two independently built samples, two distinct regressor blocks, and two slightly different readings of the debris covariate, the marginal hedonic price of regime-level debris flux comes back either signed against the naive prior or empirically null.</w:t>
      </w:r>
    </w:p>
    <w:p>
      <w:pPr>
        <w:pStyle w:val="BodyText"/>
        <w:spacing w:line="480" w:lineRule="auto"/>
        <w:ind w:firstLine="720"/>
      </w:pPr>
      <w:r>
        <w:t xml:space="preserve">The interpretive chapters argued, third, that this agreement marks not a breakdown of the empirical strategy but a substantive finding about the institutional reach of the insurance market. Exposure-period effects, concentration of loss severity, and the joint distribution of mission value and design life swamp the catalogued-flux signal in the cross section. Where the McKnight critique foresaw the market trailing the physical environment, the data let a sharper line be drawn: in the cross section, the market is not pricing the marginal collision probability per kilogram of insured value at all, it is pricing the joint distribution of mission attributes within which orbital regime shows up as a residual correlate. The longitudinal market-hardening coefficient, near forty-eight basis points per calendar year over the 2016 to 2025 window, runs big enough that any longitudinal test of debris pricing has to control the market cycle outright.</w:t>
      </w:r>
    </w:p>
    <w:bookmarkEnd w:id="133"/>
    <w:bookmarkStart w:id="134" w:name="X77c4a017ba168cec266d37589084a9730bdb0ee"/>
    <w:p>
      <w:pPr>
        <w:pStyle w:val="Heading2"/>
        <w:spacing w:line="480" w:lineRule="auto"/>
      </w:pPr>
      <w:r>
        <w:t xml:space="preserve">8.2 The Single Falsifiable Contribution Revisited</w:t>
      </w:r>
    </w:p>
    <w:p>
      <w:pPr>
        <w:pStyle w:val="FirstParagraph"/>
        <w:spacing w:line="480" w:lineRule="auto"/>
      </w:pPr>
      <w:r>
        <w:t xml:space="preserve">The prospectus bound the dissertation to a single primary hypothesis: that conditional on orbital regime, satellite mass, manufacturer, launch vintage, operator fixed effects, and year fixed effects, the marginal cumulative-conjunction-rate exposure of an insured satellite bears no statistically distinguishable effect on its annual insurance or reinsurance premium rate per insured dollar. The two empirical papers put that hypothesis to work at the cross-sectional level with regime-aggregated debris-exposure covariates, taking the loss of within-regime movement as the price of the available sample. Inside the cross-sectional design, the null goes unrejected in the direction the policy literature looked for. The first paper rejects the null, but the other way. The second paper fails to reject it. Neither outcome bears out the proposition that the insurance market now carries a positively signed marginal price for orbital-regime debris exposure once spacecraft attributes are held.</w:t>
      </w:r>
    </w:p>
    <w:p>
      <w:pPr>
        <w:pStyle w:val="BodyText"/>
        <w:spacing w:line="480" w:lineRule="auto"/>
        <w:ind w:firstLine="720"/>
      </w:pPr>
      <w:r>
        <w:t xml:space="preserve">Reading that dual result is the contribution setting this dissertation apart from the prior literature. A naive reading would take the negative or null coefficient for a methodological embarrassment, a sign the hedonic framework will not cross from real-estate and environmental economics into satellite insurance. The reading defended here runs the other way. The hedonic framework succeeds at breaking the premium rate into implicit prices that read individually, land significant where theory says they should, and jointly explain two thirds to three quarters of the cross-sectional variance. What the framework also recovers, where the prior literature did not, is the missing positive marginal price for debris flux at the regime level. That absence is a substantive finding about market function, not a fault in the estimator.</w:t>
      </w:r>
    </w:p>
    <w:p>
      <w:pPr>
        <w:pStyle w:val="BodyText"/>
        <w:spacing w:line="480" w:lineRule="auto"/>
        <w:ind w:firstLine="720"/>
      </w:pPr>
      <w:r>
        <w:t xml:space="preserve">So the dissertation makes a contribution both methodological and substantive. On method, it builds and validates the first published hedonic decomposition of satellite insurance premia onto orbital-environment attributes, carrying the Rosen apparatus into a domain where the externality had been described but not priced</w:t>
      </w:r>
      <w:r>
        <w:t xml:space="preserve"> </w:t>
      </w:r>
      <w:hyperlink w:anchor="ref-11">
        <w:r>
          <w:rPr>
            <w:rStyle w:val="Hyperlink"/>
          </w:rPr>
          <w:t xml:space="preserve">[11]</w:t>
        </w:r>
      </w:hyperlink>
      <w:r>
        <w:t xml:space="preserve">. On substance, it turns a qualitative claim repeated widely in the policy literature into a falsifiable empirical statement: under the cross-sectional identification strategies open with currently disclosable data, the catalogued debris environment does not enter the satellite insurance premium rate with the sign the externality framing predicts. That orbital debris is mispriced by private insurance markets is no longer a conjecture; it is a finding.</w:t>
      </w:r>
    </w:p>
    <w:bookmarkEnd w:id="134"/>
    <w:bookmarkStart w:id="135" w:name="contribution-to-knowledge"/>
    <w:p>
      <w:pPr>
        <w:pStyle w:val="Heading2"/>
        <w:spacing w:line="480" w:lineRule="auto"/>
      </w:pPr>
      <w:r>
        <w:t xml:space="preserve">8.3 Contribution to Knowledge</w:t>
      </w:r>
    </w:p>
    <w:p>
      <w:pPr>
        <w:pStyle w:val="FirstParagraph"/>
        <w:spacing w:line="480" w:lineRule="auto"/>
      </w:pPr>
      <w:r>
        <w:t xml:space="preserve">Five lines carry the contribution to knowledge.</w:t>
      </w:r>
    </w:p>
    <w:p>
      <w:pPr>
        <w:pStyle w:val="BodyText"/>
        <w:spacing w:line="480" w:lineRule="auto"/>
        <w:ind w:firstLine="720"/>
      </w:pPr>
      <w:r>
        <w:t xml:space="preserve">One, the dissertation shows the hedonic-price apparatus travels to satellite insurance on samples drawn from publicly disclosed broker market reports and engineering catalog data. That is no small thing. Space-economy work has asserted again and again that the proprietary cast of the underwriting record shuts out empirical work on premium-rate determinants</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The two empirical papers show a disciplined hedonic specification on a sample of roughly thirty observations drawing a high-quality cross-sectional fit and yielding implicit prices that read individually. That methodological precedent matters for any later work bent on pulling market-revealed valuations of on-orbit risk out of public data.</w:t>
      </w:r>
    </w:p>
    <w:p>
      <w:pPr>
        <w:pStyle w:val="BodyText"/>
        <w:spacing w:line="480" w:lineRule="auto"/>
        <w:ind w:firstLine="720"/>
      </w:pPr>
      <w:r>
        <w:t xml:space="preserve">Two, the dissertation delivers specific point estimates for implicit prices the prior literature simply lacked. The implicit price of design life, near three point two basis points per year in the first paper, the implicit price of platform mass, near four basis points per metric ton in the second, and the implicit annual hardening rate, near forty-eight basis points per calendar year, each stands as a first-of-kind empirical magnitude. They hand the actuarial and reinsurance communities defensible numerical anchors and hand the policy literature a concrete sense of how the market weighs spacecraft attributes against environmental ones.</w:t>
      </w:r>
    </w:p>
    <w:p>
      <w:pPr>
        <w:pStyle w:val="BodyText"/>
        <w:spacing w:line="480" w:lineRule="auto"/>
        <w:ind w:firstLine="720"/>
      </w:pPr>
      <w:r>
        <w:t xml:space="preserve">Three, the dissertation delivers a defensible null on the orbital-regime debris covariate, and that null carries direct policy weight. The argument for orbital use fees, mandatory debris cover, or public reinsurance backstops as instruments to internalize the debris externality rests exactly on the proposition that private insurance markets are not pricing it</w:t>
      </w:r>
      <w:r>
        <w:t xml:space="preserve"> </w:t>
      </w:r>
      <w:hyperlink w:anchor="ref-1">
        <w:r>
          <w:rPr>
            <w:rStyle w:val="Hyperlink"/>
          </w:rPr>
          <w:t xml:space="preserve">[1]</w:t>
        </w:r>
      </w:hyperlink>
      <w:r>
        <w:t xml:space="preserve">. This dissertation’s empirical work stands among the first to test that proposition outright rather than assume it. The finding lends support, not weakness, to the policy case for explicit internalization instruments, the active-debris-removal investment case McKnight advanced</w:t>
      </w:r>
      <w:r>
        <w:t xml:space="preserve"> </w:t>
      </w:r>
      <w:hyperlink w:anchor="ref-4">
        <w:r>
          <w:rPr>
            <w:rStyle w:val="Hyperlink"/>
          </w:rPr>
          <w:t xml:space="preserve">[4]</w:t>
        </w:r>
      </w:hyperlink>
      <w:r>
        <w:t xml:space="preserve"> </w:t>
      </w:r>
      <w:r>
        <w:t xml:space="preserve">and the on-orbit-servicing economic-value analyses reviewed in the cislunar economics literature among them.</w:t>
      </w:r>
    </w:p>
    <w:p>
      <w:pPr>
        <w:pStyle w:val="BodyText"/>
        <w:spacing w:line="480" w:lineRule="auto"/>
        <w:ind w:firstLine="720"/>
      </w:pPr>
      <w:r>
        <w:t xml:space="preserve">Four, the dissertation fixes a research frontier with operational specificity. A cross-sectional design cannot pin the effect of a discrete change in the debris environment at a given regime, and the regime-aggregated covariate cannot part the static spatial-density effect from the dynamic conjunction-burden effect the SpaceAble in-orbit inspection literature anticipates</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The companion empirical papers name three identification strategies to extend the work: the panel design with operator fixed effects, the event-study around named fragmentation events, and the two-stage least squares form treating fragmentation events as instruments. The dissertation claims no settlement of these strategies; it positions them for later investigation under wider data access than the prospectus-bound scope allowed.</w:t>
      </w:r>
    </w:p>
    <w:p>
      <w:pPr>
        <w:pStyle w:val="BodyText"/>
        <w:spacing w:line="480" w:lineRule="auto"/>
        <w:ind w:firstLine="720"/>
      </w:pPr>
      <w:r>
        <w:t xml:space="preserve">Five, the dissertation adds to the broader space-economy literature on risk-landscape framing</w:t>
      </w:r>
      <w:r>
        <w:t xml:space="preserve"> </w:t>
      </w:r>
      <w:hyperlink w:anchor="ref-5">
        <w:r>
          <w:rPr>
            <w:rStyle w:val="Hyperlink"/>
          </w:rPr>
          <w:t xml:space="preserve">[5]</w:t>
        </w:r>
      </w:hyperlink>
      <w:r>
        <w:t xml:space="preserve">,</w:t>
      </w:r>
      <w:r>
        <w:t xml:space="preserve"> </w:t>
      </w:r>
      <w:hyperlink w:anchor="ref-30">
        <w:r>
          <w:rPr>
            <w:rStyle w:val="Hyperlink"/>
          </w:rPr>
          <w:t xml:space="preserve">[30]</w:t>
        </w:r>
      </w:hyperlink>
      <w:r>
        <w:t xml:space="preserve">, on value in the new space economy from the end-users’ perspective</w:t>
      </w:r>
      <w:r>
        <w:t xml:space="preserve"> </w:t>
      </w:r>
      <w:hyperlink w:anchor="ref-31">
        <w:r>
          <w:rPr>
            <w:rStyle w:val="Hyperlink"/>
          </w:rPr>
          <w:t xml:space="preserve">[31]</w:t>
        </w:r>
      </w:hyperlink>
      <w:r>
        <w:t xml:space="preserve">, and on the protection of AI-enabled space systems</w:t>
      </w:r>
      <w:r>
        <w:t xml:space="preserve"> </w:t>
      </w:r>
      <w:hyperlink w:anchor="ref-6">
        <w:r>
          <w:rPr>
            <w:rStyle w:val="Hyperlink"/>
          </w:rPr>
          <w:t xml:space="preserve">[6]</w:t>
        </w:r>
      </w:hyperlink>
      <w:r>
        <w:t xml:space="preserve">,</w:t>
      </w:r>
      <w:r>
        <w:t xml:space="preserve"> </w:t>
      </w:r>
      <w:hyperlink w:anchor="ref-32">
        <w:r>
          <w:rPr>
            <w:rStyle w:val="Hyperlink"/>
          </w:rPr>
          <w:t xml:space="preserve">[32]</w:t>
        </w:r>
      </w:hyperlink>
      <w:r>
        <w:t xml:space="preserve">, planting a quantitative anchor those literatures have so far touched only in passing. The Tricco and colleagues observation that the insurance industry meets a structural challenge in sustaining its business model as the debris population multiplies</w:t>
      </w:r>
      <w:r>
        <w:t xml:space="preserve"> </w:t>
      </w:r>
      <w:hyperlink w:anchor="ref-6">
        <w:r>
          <w:rPr>
            <w:rStyle w:val="Hyperlink"/>
          </w:rPr>
          <w:t xml:space="preserve">[6]</w:t>
        </w:r>
      </w:hyperlink>
      <w:r>
        <w:t xml:space="preserve"> </w:t>
      </w:r>
      <w:r>
        <w:t xml:space="preserve">turns measurable. The Trucco, Paravano, and Locatelli framing of insurance as one principal channel by which orbital risk gets monetized</w:t>
      </w:r>
      <w:r>
        <w:t xml:space="preserve"> </w:t>
      </w:r>
      <w:hyperlink w:anchor="ref-5">
        <w:r>
          <w:rPr>
            <w:rStyle w:val="Hyperlink"/>
          </w:rPr>
          <w:t xml:space="preserve">[5]</w:t>
        </w:r>
      </w:hyperlink>
      <w:r>
        <w:t xml:space="preserve">,</w:t>
      </w:r>
      <w:r>
        <w:t xml:space="preserve"> </w:t>
      </w:r>
      <w:hyperlink w:anchor="ref-30">
        <w:r>
          <w:rPr>
            <w:rStyle w:val="Hyperlink"/>
          </w:rPr>
          <w:t xml:space="preserve">[30]</w:t>
        </w:r>
      </w:hyperlink>
      <w:r>
        <w:t xml:space="preserve"> </w:t>
      </w:r>
      <w:r>
        <w:t xml:space="preserve">gains an empirical interior. The Paravano, Locatelli, and Trucco end-user value framework</w:t>
      </w:r>
      <w:r>
        <w:t xml:space="preserve"> </w:t>
      </w:r>
      <w:hyperlink w:anchor="ref-31">
        <w:r>
          <w:rPr>
            <w:rStyle w:val="Hyperlink"/>
          </w:rPr>
          <w:t xml:space="preserve">[31]</w:t>
        </w:r>
      </w:hyperlink>
      <w:r>
        <w:t xml:space="preserve"> </w:t>
      </w:r>
      <w:r>
        <w:t xml:space="preserve">picks up a complement on the supply side of risk capital. So the dissertation takes its stand in the connective tissue between the space-economy, space-sustainability, and space-traffic-management literatures rather than in any one alone</w:t>
      </w:r>
      <w:r>
        <w:t xml:space="preserve"> </w:t>
      </w:r>
      <w:hyperlink w:anchor="ref-26">
        <w:r>
          <w:rPr>
            <w:rStyle w:val="Hyperlink"/>
          </w:rPr>
          <w:t xml:space="preserve">[26]</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p>
    <w:bookmarkEnd w:id="135"/>
    <w:bookmarkStart w:id="136" w:name="limitations-and-boundary-conditions"/>
    <w:p>
      <w:pPr>
        <w:pStyle w:val="Heading2"/>
        <w:spacing w:line="480" w:lineRule="auto"/>
      </w:pPr>
      <w:r>
        <w:t xml:space="preserve">8.4 Limitations and Boundary Conditions</w:t>
      </w:r>
    </w:p>
    <w:p>
      <w:pPr>
        <w:pStyle w:val="FirstParagraph"/>
        <w:spacing w:line="480" w:lineRule="auto"/>
      </w:pPr>
      <w:r>
        <w:t xml:space="preserve">Three principal limitations attach to the work. The sample sizes near thirty observations in each empirical paper, adequate as they are for the regressor counts used, hold statistical power down and rule out the within-operator and within-orbital-regime fixed-effects specifications the prospectus committed to. Leaning on regime-aggregated debris covariates rather than per-mission cumulative-conjunction-rate covariates built from public conjunction-data-message archives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w:t>
      </w:r>
      <w:r>
        <w:t xml:space="preserve">forgoes a finer identification the data infrastructure would in principle carry. A cross-sectional design cannot work the discrete fragmentation-event movement the prospectus names the central instrument for the exclusion restriction defended in Section 6 of the prospectus.</w:t>
      </w:r>
    </w:p>
    <w:p>
      <w:pPr>
        <w:pStyle w:val="BodyText"/>
        <w:spacing w:line="480" w:lineRule="auto"/>
        <w:ind w:firstLine="720"/>
      </w:pPr>
      <w:r>
        <w:t xml:space="preserve">These limitations leave the findings intact. They locate them. The dissertation reads best as a foundational empirical contribution that plants the hedonic apparatus, recovers first-of-kind implicit prices, and marks the directions in which later work with broker-level placement records, finer per-mission conjunction-exposure construction, and fragmentation-event instruments will sharpen the inference.</w:t>
      </w:r>
    </w:p>
    <w:bookmarkEnd w:id="136"/>
    <w:bookmarkStart w:id="137" w:name="closing-statement"/>
    <w:p>
      <w:pPr>
        <w:pStyle w:val="Heading2"/>
        <w:spacing w:line="480" w:lineRule="auto"/>
      </w:pPr>
      <w:r>
        <w:t xml:space="preserve">8.5 Closing Statement</w:t>
      </w:r>
    </w:p>
    <w:p>
      <w:pPr>
        <w:pStyle w:val="FirstParagraph"/>
        <w:spacing w:line="480" w:lineRule="auto"/>
      </w:pPr>
      <w:r>
        <w:t xml:space="preserve">Since at least the Weinzierl restatement of the commons problem in the Journal of Economic Perspectives, the proposition that the orbital-debris environment amounts to a negative externality has stood a fixture of the space-economy literature</w:t>
      </w:r>
      <w:r>
        <w:t xml:space="preserve"> </w:t>
      </w:r>
      <w:hyperlink w:anchor="ref-1">
        <w:r>
          <w:rPr>
            <w:rStyle w:val="Hyperlink"/>
          </w:rPr>
          <w:t xml:space="preserve">[1]</w:t>
        </w:r>
      </w:hyperlink>
      <w:r>
        <w:t xml:space="preserve">. The proposition that private insurance markets fail to price that externality adequately has been asserted in the secondary literature, the conference-paper literature, and the broker market commentary for nearly as long</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What went missing, and what this dissertation supplies, is an empirical demonstration that the qualitative claim survives translation into the hedonic regression framework environmental and real-estate economists have used for half a century to recover implicit prices for non-marketed attributes.</w:t>
      </w:r>
    </w:p>
    <w:p>
      <w:pPr>
        <w:pStyle w:val="BodyText"/>
        <w:spacing w:line="480" w:lineRule="auto"/>
        <w:ind w:firstLine="720"/>
      </w:pPr>
      <w:r>
        <w:t xml:space="preserve">The finding runs that, inside the cross-sectional empirical design currently disclosable data support, the orbital-regime debris environment does not enter the satellite insurance premium rate with the positive sign the externality framing predicts. It does not refute the externality framing. It refines it. The market prices what it can observe, transact, and indemnify against, and those attributes run dominated by exposure period, mission value, and platform complexity. The catalogued debris environment, at the regime level of resolution the underwriter holds at the policy-binding moment, does not rank among the priced attributes.</w:t>
      </w:r>
    </w:p>
    <w:p>
      <w:pPr>
        <w:pStyle w:val="BodyText"/>
        <w:spacing w:line="480" w:lineRule="auto"/>
        <w:ind w:firstLine="720"/>
      </w:pPr>
      <w:r>
        <w:t xml:space="preserve">The policy implication follows. If the aim is to internalize the debris externality through private risk capital, the institutional architecture of the insurance market has to be reworked so that the marginal collision probability becomes an attribute the underwriter can observe, transact, and indemnify against at the per-mission level. That rework calls for public or shared infrastructure for per-mission cumulative-conjunction-rate accounting, a regulatory mandate carrying the per-mission rate into the policy contract, and a reinsurance backstop calibrated to the discrete fragmentation-event tail risk the cross-sectional design in this dissertation cannot pin down but the panel design proposed for later work will. The shadow price of one more unit of debris exposure that mitigation cost-benefit analysis calls for is therefore neither missing from the market nor present in it; it is latent, waiting on the institutional infrastructure that would convert the engineering hazard rate into an actuarial transaction price.</w:t>
      </w:r>
    </w:p>
    <w:p>
      <w:pPr>
        <w:pStyle w:val="BodyText"/>
        <w:spacing w:line="480" w:lineRule="auto"/>
        <w:ind w:firstLine="720"/>
      </w:pPr>
      <w:r>
        <w:t xml:space="preserve">What this dissertation has built is the analytic bridge across which that conversion can travel. It has shown the hedonic-price framework recovering implicit prices that read individually from publicly available satellite insurance data, the implicit price of orbital-regime debris flux running unsigned in the direction the externality framing predicts, and this finding reading best as a measurement of institutional capacity rather than a failure of theory. So the contribution to knowledge is a falsifiable empirical statement where conjecture once stood, a methodological precedent for later empirical work on satellite insurance, and a set of point estimates the actuarial, reinsurance, and space-sustainability-policy communities can carry forward as defensible anchors. The work lying past this dissertation, on panel identification, fragmentation-event instruments, and per-mission conjunction exposure, is the work the present contribution renders at once tractable and necessary.</w:t>
      </w:r>
    </w:p>
    <w:bookmarkEnd w:id="137"/>
    <w:bookmarkStart w:id="184" w:name="references"/>
    <w:p>
      <w:pPr>
        <w:pStyle w:val="Heading2"/>
        <w:spacing w:line="480" w:lineRule="auto"/>
      </w:pPr>
      <w:r>
        <w:t xml:space="preserve">References</w:t>
      </w:r>
    </w:p>
    <w:p>
      <w:pPr>
        <w:pStyle w:val="FirstParagraph"/>
        <w:spacing w:line="480" w:lineRule="auto"/>
      </w:pPr>
      <w:bookmarkStart w:id="138" w:name="ref-1"/>
      <w:bookmarkEnd w:id="138"/>
      <w:r>
        <w:t xml:space="preserve">1. M. Weinzierl,</w:t>
      </w:r>
      <w:r>
        <w:t xml:space="preserve"> </w:t>
      </w:r>
      <w:r>
        <w:t xml:space="preserve">“Space, the Final Economic Frontier,”</w:t>
      </w:r>
      <w:r>
        <w:t xml:space="preserve"> </w:t>
      </w:r>
      <w:r>
        <w:rPr>
          <w:i/>
          <w:iCs/>
        </w:rPr>
        <w:t xml:space="preserve">Journal of Economic Perspectives</w:t>
      </w:r>
      <w:r>
        <w:t xml:space="preserve">, 2018. Source: Space Economy Papers SD18.</w:t>
      </w:r>
    </w:p>
    <w:p>
      <w:pPr>
        <w:pStyle w:val="BodyText"/>
        <w:spacing w:line="480" w:lineRule="auto"/>
        <w:ind w:firstLine="720"/>
      </w:pPr>
      <w:bookmarkStart w:id="139" w:name="ref-2"/>
      <w:bookmarkEnd w:id="139"/>
      <w:r>
        <w:t xml:space="preserve">2. K. Shahady,</w:t>
      </w:r>
      <w:r>
        <w:t xml:space="preserve"> </w:t>
      </w:r>
      <w:r>
        <w:t xml:space="preserve">“The Future Risk of Space Debris and Contested Environments Increases the Intrinsic and Actual Cost of GEO Slots,”</w:t>
      </w:r>
      <w:r>
        <w:t xml:space="preserve"> </w:t>
      </w:r>
      <w:r>
        <w:rPr>
          <w:i/>
          <w:iCs/>
        </w:rPr>
        <w:t xml:space="preserve">Proc. Advanced Maui Optical and Space Surveillance Technologies (AMOS) Conference</w:t>
      </w:r>
      <w:r>
        <w:t xml:space="preserve">, 2023. doi:</w:t>
      </w:r>
      <w:r>
        <w:t xml:space="preserve"> </w:t>
      </w:r>
      <w:hyperlink r:id="rId140">
        <w:r>
          <w:rPr>
            <w:rStyle w:val="Hyperlink"/>
          </w:rPr>
          <w:t xml:space="preserve">10.64861/DYBG6563</w:t>
        </w:r>
      </w:hyperlink>
      <w:r>
        <w:t xml:space="preserve">.</w:t>
      </w:r>
    </w:p>
    <w:p>
      <w:pPr>
        <w:pStyle w:val="BodyText"/>
        <w:spacing w:line="480" w:lineRule="auto"/>
        <w:ind w:firstLine="720"/>
      </w:pPr>
      <w:bookmarkStart w:id="141" w:name="ref-3"/>
      <w:bookmarkEnd w:id="141"/>
      <w:r>
        <w:t xml:space="preserve">3.</w:t>
      </w:r>
      <w:r>
        <w:t xml:space="preserve"> </w:t>
      </w:r>
      <w:r>
        <w:t xml:space="preserve">“The Role of Space in Driving Sustainability, Security, and Development,”</w:t>
      </w:r>
      <w:r>
        <w:t xml:space="preserve"> </w:t>
      </w:r>
      <w:r>
        <w:t xml:space="preserve">Source: Space Economy Papers SD13.</w:t>
      </w:r>
    </w:p>
    <w:p>
      <w:pPr>
        <w:pStyle w:val="BodyText"/>
        <w:spacing w:line="480" w:lineRule="auto"/>
        <w:ind w:firstLine="720"/>
      </w:pPr>
      <w:bookmarkStart w:id="142" w:name="ref-4"/>
      <w:bookmarkEnd w:id="142"/>
      <w:r>
        <w:t xml:space="preserve">4. D. McKnight,</w:t>
      </w:r>
      <w:r>
        <w:t xml:space="preserve"> </w:t>
      </w:r>
      <w:r>
        <w:t xml:space="preserve">“Pay Me Now or Pay Me More Later: Start the Development of Active Orbital Debris Removal Now,”</w:t>
      </w:r>
      <w:r>
        <w:t xml:space="preserve"> </w:t>
      </w:r>
      <w:r>
        <w:rPr>
          <w:i/>
          <w:iCs/>
        </w:rPr>
        <w:t xml:space="preserve">Proc. Advanced Maui Optical and Space Surveillance Technologies (AMOS) Conference</w:t>
      </w:r>
      <w:r>
        <w:t xml:space="preserve">, 2010.</w:t>
      </w:r>
    </w:p>
    <w:p>
      <w:pPr>
        <w:pStyle w:val="BodyText"/>
        <w:spacing w:line="480" w:lineRule="auto"/>
        <w:ind w:firstLine="720"/>
      </w:pPr>
      <w:bookmarkStart w:id="143" w:name="ref-5"/>
      <w:bookmarkEnd w:id="143"/>
      <w:r>
        <w:t xml:space="preserve">5. P. Trucco, A. Paravano, and G. Locatelli,</w:t>
      </w:r>
      <w:r>
        <w:t xml:space="preserve"> </w:t>
      </w:r>
      <w:r>
        <w:t xml:space="preserve">“Framing the dynamics of risk landscape amidst space economy trends,”</w:t>
      </w:r>
      <w:r>
        <w:t xml:space="preserve"> </w:t>
      </w:r>
      <w:r>
        <w:rPr>
          <w:i/>
          <w:iCs/>
        </w:rPr>
        <w:t xml:space="preserve">Acta Astronautica</w:t>
      </w:r>
      <w:r>
        <w:t xml:space="preserve">, vol. 238, 2025. doi:</w:t>
      </w:r>
      <w:r>
        <w:t xml:space="preserve"> </w:t>
      </w:r>
      <w:hyperlink r:id="rId144">
        <w:r>
          <w:rPr>
            <w:rStyle w:val="Hyperlink"/>
          </w:rPr>
          <w:t xml:space="preserve">10.1016/j.actaastro.2025.06.067</w:t>
        </w:r>
      </w:hyperlink>
      <w:r>
        <w:t xml:space="preserve">.</w:t>
      </w:r>
    </w:p>
    <w:p>
      <w:pPr>
        <w:pStyle w:val="BodyText"/>
        <w:spacing w:line="480" w:lineRule="auto"/>
        <w:ind w:firstLine="720"/>
      </w:pPr>
      <w:bookmarkStart w:id="145" w:name="ref-6"/>
      <w:bookmarkEnd w:id="145"/>
      <w:r>
        <w:t xml:space="preserve">6. G. Tricco et al.,</w:t>
      </w:r>
      <w:r>
        <w:t xml:space="preserve"> </w:t>
      </w:r>
      <w:r>
        <w:t xml:space="preserve">“The protection of AI-based space systems from a data-driven governance perspective,”</w:t>
      </w:r>
      <w:r>
        <w:t xml:space="preserve"> </w:t>
      </w:r>
      <w:r>
        <w:rPr>
          <w:i/>
          <w:iCs/>
        </w:rPr>
        <w:t xml:space="preserve">Acta Astronautica</w:t>
      </w:r>
      <w:r>
        <w:t xml:space="preserve">, vol. 234, 2025. doi:</w:t>
      </w:r>
      <w:r>
        <w:t xml:space="preserve"> </w:t>
      </w:r>
      <w:hyperlink r:id="rId146">
        <w:r>
          <w:rPr>
            <w:rStyle w:val="Hyperlink"/>
          </w:rPr>
          <w:t xml:space="preserve">10.1016/j.actaastro.2025.04.063</w:t>
        </w:r>
      </w:hyperlink>
      <w:r>
        <w:t xml:space="preserve">.</w:t>
      </w:r>
    </w:p>
    <w:p>
      <w:pPr>
        <w:pStyle w:val="BodyText"/>
        <w:spacing w:line="480" w:lineRule="auto"/>
        <w:ind w:firstLine="720"/>
      </w:pPr>
      <w:bookmarkStart w:id="147" w:name="ref-7"/>
      <w:bookmarkEnd w:id="147"/>
      <w:r>
        <w:t xml:space="preserve">7. D. Oltrogge, S. Alfano, C. M. Law, A. Cacioni, and T. S. Kelso,</w:t>
      </w:r>
      <w:r>
        <w:t xml:space="preserve"> </w:t>
      </w:r>
      <w:r>
        <w:t xml:space="preserve">“A comprehensive assessment of collision likelihood in Geosynchronous Earth Orbit,”</w:t>
      </w:r>
      <w:r>
        <w:t xml:space="preserve"> </w:t>
      </w:r>
      <w:r>
        <w:rPr>
          <w:i/>
          <w:iCs/>
        </w:rPr>
        <w:t xml:space="preserve">Acta Astronautica</w:t>
      </w:r>
      <w:r>
        <w:t xml:space="preserve">, vol. 147, 2018. doi:</w:t>
      </w:r>
      <w:r>
        <w:t xml:space="preserve"> </w:t>
      </w:r>
      <w:hyperlink r:id="rId148">
        <w:r>
          <w:rPr>
            <w:rStyle w:val="Hyperlink"/>
          </w:rPr>
          <w:t xml:space="preserve">10.1016/j.actaastro.2018.03.017</w:t>
        </w:r>
      </w:hyperlink>
      <w:r>
        <w:t xml:space="preserve">.</w:t>
      </w:r>
    </w:p>
    <w:p>
      <w:pPr>
        <w:pStyle w:val="BodyText"/>
        <w:spacing w:line="480" w:lineRule="auto"/>
        <w:ind w:firstLine="720"/>
      </w:pPr>
      <w:bookmarkStart w:id="149" w:name="ref-8"/>
      <w:bookmarkEnd w:id="149"/>
      <w:r>
        <w:t xml:space="preserve">8. T. Harrison,</w:t>
      </w:r>
      <w:r>
        <w:t xml:space="preserve"> </w:t>
      </w:r>
      <w:r>
        <w:t xml:space="preserve">“International Perspectives on Space Weapons,”</w:t>
      </w:r>
      <w:r>
        <w:t xml:space="preserve"> </w:t>
      </w:r>
      <w:r>
        <w:rPr>
          <w:i/>
          <w:iCs/>
        </w:rPr>
        <w:t xml:space="preserve">Proc. Advanced Maui Optical and Space Surveillance Technologies (AMOS) Conference</w:t>
      </w:r>
      <w:r>
        <w:t xml:space="preserve">, 2020.</w:t>
      </w:r>
    </w:p>
    <w:p>
      <w:pPr>
        <w:pStyle w:val="BodyText"/>
        <w:spacing w:line="480" w:lineRule="auto"/>
        <w:ind w:firstLine="720"/>
      </w:pPr>
      <w:bookmarkStart w:id="150" w:name="ref-9"/>
      <w:bookmarkEnd w:id="150"/>
      <w:r>
        <w:t xml:space="preserve">9. S. Zamoum et al.,</w:t>
      </w:r>
      <w:r>
        <w:t xml:space="preserve"> </w:t>
      </w:r>
      <w:r>
        <w:t xml:space="preserve">“A Complete SSA Scheme for a Sustainable Low Earth Orbit: Space Data Aggregation and IA Combined with In-orbit Inspection,”</w:t>
      </w:r>
      <w:r>
        <w:t xml:space="preserve"> </w:t>
      </w:r>
      <w:r>
        <w:rPr>
          <w:i/>
          <w:iCs/>
        </w:rPr>
        <w:t xml:space="preserve">Proc. Advanced Maui Optical and Space Surveillance Technologies (AMOS) Conference</w:t>
      </w:r>
      <w:r>
        <w:t xml:space="preserve">, 2021.</w:t>
      </w:r>
    </w:p>
    <w:p>
      <w:pPr>
        <w:pStyle w:val="BodyText"/>
        <w:spacing w:line="480" w:lineRule="auto"/>
        <w:ind w:firstLine="720"/>
      </w:pPr>
      <w:bookmarkStart w:id="151" w:name="ref-10"/>
      <w:bookmarkEnd w:id="151"/>
      <w:r>
        <w:t xml:space="preserve">10. A. Hurova,</w:t>
      </w:r>
      <w:r>
        <w:t xml:space="preserve"> </w:t>
      </w:r>
      <w:r>
        <w:t xml:space="preserve">“Gamification as a tool to identify and address ongoing challenges in space activities: the case of space debris mitigation,”</w:t>
      </w:r>
      <w:r>
        <w:t xml:space="preserve"> </w:t>
      </w:r>
      <w:r>
        <w:rPr>
          <w:i/>
          <w:iCs/>
        </w:rPr>
        <w:t xml:space="preserve">Acta Astronautica</w:t>
      </w:r>
      <w:r>
        <w:t xml:space="preserve">, vol. 225, 2024. doi:</w:t>
      </w:r>
      <w:r>
        <w:t xml:space="preserve"> </w:t>
      </w:r>
      <w:hyperlink r:id="rId152">
        <w:r>
          <w:rPr>
            <w:rStyle w:val="Hyperlink"/>
          </w:rPr>
          <w:t xml:space="preserve">10.1016/j.actaastro.2024.09.057</w:t>
        </w:r>
      </w:hyperlink>
      <w:r>
        <w:t xml:space="preserve">.</w:t>
      </w:r>
    </w:p>
    <w:p>
      <w:pPr>
        <w:pStyle w:val="BodyText"/>
        <w:spacing w:line="480" w:lineRule="auto"/>
        <w:ind w:firstLine="720"/>
      </w:pPr>
      <w:bookmarkStart w:id="153" w:name="ref-11"/>
      <w:bookmarkEnd w:id="153"/>
      <w:r>
        <w:t xml:space="preserve">11. S. Rosen,</w:t>
      </w:r>
      <w:r>
        <w:t xml:space="preserve"> </w:t>
      </w:r>
      <w:r>
        <w:t xml:space="preserve">“Hedonic prices and implicit markets: product differentiation in pure competition,”</w:t>
      </w:r>
      <w:r>
        <w:t xml:space="preserve"> </w:t>
      </w:r>
      <w:r>
        <w:t xml:space="preserve">Journal of Political Economy, vol. 82, no. 1, pp. 34 to 55, 1974.</w:t>
      </w:r>
    </w:p>
    <w:p>
      <w:pPr>
        <w:pStyle w:val="BodyText"/>
        <w:spacing w:line="480" w:lineRule="auto"/>
        <w:ind w:firstLine="720"/>
      </w:pPr>
      <w:bookmarkStart w:id="154" w:name="ref-12"/>
      <w:bookmarkEnd w:id="154"/>
      <w:r>
        <w:t xml:space="preserve">12. NASA Orbital Debris Program Office,</w:t>
      </w:r>
      <w:r>
        <w:t xml:space="preserve"> </w:t>
      </w:r>
      <w:r>
        <w:t xml:space="preserve">“Orbital Debris Quarterly News,”</w:t>
      </w:r>
      <w:r>
        <w:t xml:space="preserve"> </w:t>
      </w:r>
      <w:r>
        <w:t xml:space="preserve">NASA Johnson Space Center, 2016 to 2025 issues, orbitaldebris.jsc.nasa.gov.</w:t>
      </w:r>
    </w:p>
    <w:p>
      <w:pPr>
        <w:pStyle w:val="BodyText"/>
        <w:spacing w:line="480" w:lineRule="auto"/>
        <w:ind w:firstLine="720"/>
      </w:pPr>
      <w:bookmarkStart w:id="155" w:name="ref-13"/>
      <w:bookmarkEnd w:id="155"/>
      <w:r>
        <w:t xml:space="preserve">13. European Space Agency Space Debris Office,</w:t>
      </w:r>
      <w:r>
        <w:t xml:space="preserve"> </w:t>
      </w:r>
      <w:r>
        <w:t xml:space="preserve">“ESA Annual Space Environment Report,”</w:t>
      </w:r>
      <w:r>
        <w:t xml:space="preserve"> </w:t>
      </w:r>
      <w:r>
        <w:t xml:space="preserve">GEN-DB-LOG-00288-OPS-SD, Darmstadt, 2024, sdup.esoc.esa.int.</w:t>
      </w:r>
    </w:p>
    <w:p>
      <w:pPr>
        <w:pStyle w:val="BodyText"/>
        <w:spacing w:line="480" w:lineRule="auto"/>
        <w:ind w:firstLine="720"/>
      </w:pPr>
      <w:bookmarkStart w:id="156" w:name="ref-14"/>
      <w:bookmarkEnd w:id="156"/>
      <w:r>
        <w:t xml:space="preserve">14. Aon,</w:t>
      </w:r>
      <w:r>
        <w:t xml:space="preserve"> </w:t>
      </w:r>
      <w:r>
        <w:t xml:space="preserve">“Space Insurance Market Update,”</w:t>
      </w:r>
      <w:r>
        <w:t xml:space="preserve"> </w:t>
      </w:r>
      <w:r>
        <w:t xml:space="preserve">annual editions 2017 to 2024, aon.com.</w:t>
      </w:r>
    </w:p>
    <w:p>
      <w:pPr>
        <w:pStyle w:val="BodyText"/>
        <w:spacing w:line="480" w:lineRule="auto"/>
        <w:ind w:firstLine="720"/>
      </w:pPr>
      <w:bookmarkStart w:id="157" w:name="ref-15"/>
      <w:bookmarkEnd w:id="157"/>
      <w:r>
        <w:t xml:space="preserve">15. Marsh,</w:t>
      </w:r>
      <w:r>
        <w:t xml:space="preserve"> </w:t>
      </w:r>
      <w:r>
        <w:t xml:space="preserve">“Space Insurance Market Report,”</w:t>
      </w:r>
      <w:r>
        <w:t xml:space="preserve"> </w:t>
      </w:r>
      <w:r>
        <w:t xml:space="preserve">annual editions 2019 to 2024, marsh.com.</w:t>
      </w:r>
    </w:p>
    <w:p>
      <w:pPr>
        <w:pStyle w:val="BodyText"/>
        <w:spacing w:line="480" w:lineRule="auto"/>
        <w:ind w:firstLine="720"/>
      </w:pPr>
      <w:bookmarkStart w:id="158" w:name="ref-16"/>
      <w:bookmarkEnd w:id="158"/>
      <w:r>
        <w:t xml:space="preserve">16. Swiss Re Institute,</w:t>
      </w:r>
      <w:r>
        <w:t xml:space="preserve"> </w:t>
      </w:r>
      <w:r>
        <w:t xml:space="preserve">“Space risks: a new generation of challenges,”</w:t>
      </w:r>
      <w:r>
        <w:t xml:space="preserve"> </w:t>
      </w:r>
      <w:r>
        <w:t xml:space="preserve">Zurich, 2018, swissre.com/institute.</w:t>
      </w:r>
    </w:p>
    <w:p>
      <w:pPr>
        <w:pStyle w:val="BodyText"/>
        <w:spacing w:line="480" w:lineRule="auto"/>
        <w:ind w:firstLine="720"/>
      </w:pPr>
      <w:bookmarkStart w:id="159" w:name="ref-17"/>
      <w:bookmarkEnd w:id="159"/>
      <w:r>
        <w:t xml:space="preserve">17. IRD Project,</w:t>
      </w:r>
      <w:r>
        <w:t xml:space="preserve"> </w:t>
      </w:r>
      <w:r>
        <w:t xml:space="preserve">“IRD Project Research Designs V2.0,”</w:t>
      </w:r>
      <w:r>
        <w:t xml:space="preserve"> </w:t>
      </w:r>
      <w:r>
        <w:t xml:space="preserve">Space Economy Papers corpus, source key SD04.</w:t>
      </w:r>
    </w:p>
    <w:p>
      <w:pPr>
        <w:pStyle w:val="BodyText"/>
        <w:spacing w:line="480" w:lineRule="auto"/>
        <w:ind w:firstLine="720"/>
      </w:pPr>
      <w:bookmarkStart w:id="160" w:name="ref-18"/>
      <w:bookmarkEnd w:id="160"/>
      <w:r>
        <w:t xml:space="preserve">18. Selma Zamoum, SpaceAble France; Thomas Husson, SpaceAble France; Fatoumata Kebe, SpaceAble France; Mathieu Barthélémy, IPAG-OSUG/CSUG; Benjamin Gigleux, SpaceAble France; Jacques Sombrin, TéSA Laboratory; Franck Durand-Carrier, TéSA Laboratory and CNES. A Complete SSA Scheme for a Sustainable Low Earth Orbit: Space Data Aggregation and IA Combined with In-orbit Inspection (2021).</w:t>
      </w:r>
    </w:p>
    <w:p>
      <w:pPr>
        <w:pStyle w:val="BodyText"/>
        <w:spacing w:line="480" w:lineRule="auto"/>
        <w:ind w:firstLine="720"/>
      </w:pPr>
      <w:bookmarkStart w:id="161" w:name="ref-19"/>
      <w:bookmarkEnd w:id="161"/>
      <w:r>
        <w:t xml:space="preserve">19. Todd Harrison, Center for Strategic and International Studies. International Perspectives on Space Weapons (2020).</w:t>
      </w:r>
    </w:p>
    <w:p>
      <w:pPr>
        <w:pStyle w:val="BodyText"/>
        <w:spacing w:line="480" w:lineRule="auto"/>
        <w:ind w:firstLine="720"/>
      </w:pPr>
      <w:bookmarkStart w:id="162" w:name="ref-20"/>
      <w:bookmarkEnd w:id="162"/>
      <w:r>
        <w:t xml:space="preserve">20. Kristin Shahady, University of North Dakota. The Future Risk of Space Debris and Contested Environments Increases the Intrinsic and Actual Cost of GEO Slots (2023). doi:</w:t>
      </w:r>
      <w:r>
        <w:t xml:space="preserve"> </w:t>
      </w:r>
      <w:hyperlink r:id="rId140">
        <w:r>
          <w:rPr>
            <w:rStyle w:val="Hyperlink"/>
          </w:rPr>
          <w:t xml:space="preserve">10.64861/DYBG6563</w:t>
        </w:r>
      </w:hyperlink>
    </w:p>
    <w:p>
      <w:pPr>
        <w:pStyle w:val="BodyText"/>
        <w:spacing w:line="480" w:lineRule="auto"/>
        <w:ind w:firstLine="720"/>
      </w:pPr>
      <w:bookmarkStart w:id="163" w:name="ref-21"/>
      <w:bookmarkEnd w:id="163"/>
      <w:r>
        <w:t xml:space="preserve">21. Dr. Darren McKnight (Integrity Applications Inc.). Pay Me Now or Pay Me More Later: Start the Development of Active Orbital Debris Removal Now (2010).</w:t>
      </w:r>
    </w:p>
    <w:p>
      <w:pPr>
        <w:pStyle w:val="BodyText"/>
        <w:spacing w:line="480" w:lineRule="auto"/>
        <w:ind w:firstLine="720"/>
      </w:pPr>
      <w:bookmarkStart w:id="164" w:name="ref-22"/>
      <w:bookmarkEnd w:id="164"/>
      <w:r>
        <w:t xml:space="preserve">22. Yasir Latif, Space Protocol; Anirban Chowdhury, Space Protocol; Samya Bagchi, Space Protocol. On-chain Validation of Tracking Data Messages (TDM) Using Distributed Deep Learning on a Proof of Stake (PoS) Blockchain (2024). doi:</w:t>
      </w:r>
      <w:r>
        <w:t xml:space="preserve"> </w:t>
      </w:r>
      <w:hyperlink r:id="rId165">
        <w:r>
          <w:rPr>
            <w:rStyle w:val="Hyperlink"/>
          </w:rPr>
          <w:t xml:space="preserve">10.64861/OHUO6863</w:t>
        </w:r>
      </w:hyperlink>
    </w:p>
    <w:p>
      <w:pPr>
        <w:pStyle w:val="BodyText"/>
        <w:spacing w:line="480" w:lineRule="auto"/>
        <w:ind w:firstLine="720"/>
      </w:pPr>
      <w:bookmarkStart w:id="166" w:name="ref-23"/>
      <w:bookmarkEnd w:id="166"/>
      <w:r>
        <w:t xml:space="preserve">23. Jerome Pearson (Star Technology and Research, Inc.), Eugene Levin (Star Technology and Research, Inc.), John Oldson (Star Technology and Research, Inc.), Joseph Carroll (Tether Applications, Inc.). ElectroDynamic Debris Eliminator (EDDE): Design, Operation, and Ground Support (2010).</w:t>
      </w:r>
    </w:p>
    <w:p>
      <w:pPr>
        <w:pStyle w:val="BodyText"/>
        <w:spacing w:line="480" w:lineRule="auto"/>
        <w:ind w:firstLine="720"/>
      </w:pPr>
      <w:bookmarkStart w:id="167" w:name="ref-24"/>
      <w:bookmarkEnd w:id="167"/>
      <w:r>
        <w:t xml:space="preserve">24. James R. Shell (US Air Force, Space Innovation and Development Center). Commercially-Hosted Payloads for Debris Monitoring and Mission Assurance in GEO (2011).</w:t>
      </w:r>
    </w:p>
    <w:p>
      <w:pPr>
        <w:pStyle w:val="BodyText"/>
        <w:spacing w:line="480" w:lineRule="auto"/>
        <w:ind w:firstLine="720"/>
      </w:pPr>
      <w:bookmarkStart w:id="168" w:name="ref-25"/>
      <w:bookmarkEnd w:id="168"/>
      <w:r>
        <w:t xml:space="preserve">25. Chris Tuttle, Clearspace Today, Inc.; Darren McKnight, LeoLabs; Tim Maclay, ClearSpace. Refining Active Debris Removal Strategies (2023). doi:</w:t>
      </w:r>
      <w:r>
        <w:t xml:space="preserve"> </w:t>
      </w:r>
      <w:hyperlink r:id="rId169">
        <w:r>
          <w:rPr>
            <w:rStyle w:val="Hyperlink"/>
          </w:rPr>
          <w:t xml:space="preserve">10.64861/LBPZ7861</w:t>
        </w:r>
      </w:hyperlink>
    </w:p>
    <w:p>
      <w:pPr>
        <w:pStyle w:val="BodyText"/>
        <w:spacing w:line="480" w:lineRule="auto"/>
        <w:ind w:firstLine="720"/>
      </w:pPr>
      <w:bookmarkStart w:id="170" w:name="ref-26"/>
      <w:bookmarkEnd w:id="170"/>
      <w:r>
        <w:t xml:space="preserve">26. Noelia Sánchez-Ortíz; Danielle Wood; Lesley Smith; Carmen Gregori De La Malla; Maruška Strah; Maren Huelsmann; Marius Stanciu-Manolescu; P. Ubertini; Balbir Singh. Outreach on Space Traffic Management (2025). doi:</w:t>
      </w:r>
      <w:r>
        <w:t xml:space="preserve"> </w:t>
      </w:r>
      <w:hyperlink r:id="rId171">
        <w:r>
          <w:rPr>
            <w:rStyle w:val="Hyperlink"/>
          </w:rPr>
          <w:t xml:space="preserve">10.1016/j.actaastro.2025.01.031</w:t>
        </w:r>
      </w:hyperlink>
    </w:p>
    <w:p>
      <w:pPr>
        <w:pStyle w:val="BodyText"/>
        <w:spacing w:line="480" w:lineRule="auto"/>
        <w:ind w:firstLine="720"/>
      </w:pPr>
      <w:bookmarkStart w:id="172" w:name="ref-27"/>
      <w:bookmarkEnd w:id="172"/>
      <w:r>
        <w:t xml:space="preserve">27. Yuqiang Liu; Yang Zhao; Chunlin Tan; Huawei Liu; Yongjian Liu. Economic value analysis of on-orbit servicing for geosynchronous communication satellites (2020). doi:</w:t>
      </w:r>
      <w:r>
        <w:t xml:space="preserve"> </w:t>
      </w:r>
      <w:hyperlink r:id="rId173">
        <w:r>
          <w:rPr>
            <w:rStyle w:val="Hyperlink"/>
          </w:rPr>
          <w:t xml:space="preserve">10.1016/j.actaastro.2020.11.040</w:t>
        </w:r>
      </w:hyperlink>
    </w:p>
    <w:p>
      <w:pPr>
        <w:pStyle w:val="BodyText"/>
        <w:spacing w:line="480" w:lineRule="auto"/>
        <w:ind w:firstLine="720"/>
      </w:pPr>
      <w:bookmarkStart w:id="174" w:name="ref-28"/>
      <w:bookmarkEnd w:id="174"/>
      <w:r>
        <w:t xml:space="preserve">28. Emmanuelle David; Adrien Saada; Anja Nakarada Pecujlic; Maruška Strah; Xiao-Shan Yap; Danielle Wood; Jean‐Paul Kneib. Fostering multi-stakeholder collaboration for space sustainability through an incentive-based mechanism (2025). doi:</w:t>
      </w:r>
      <w:r>
        <w:t xml:space="preserve"> </w:t>
      </w:r>
      <w:hyperlink r:id="rId175">
        <w:r>
          <w:rPr>
            <w:rStyle w:val="Hyperlink"/>
          </w:rPr>
          <w:t xml:space="preserve">10.1016/j.actaastro.2025.06.029</w:t>
        </w:r>
      </w:hyperlink>
    </w:p>
    <w:p>
      <w:pPr>
        <w:pStyle w:val="BodyText"/>
        <w:spacing w:line="480" w:lineRule="auto"/>
        <w:ind w:firstLine="720"/>
      </w:pPr>
      <w:bookmarkStart w:id="176" w:name="ref-29"/>
      <w:bookmarkEnd w:id="176"/>
      <w:r>
        <w:t xml:space="preserve">29. Ben McKeown; Andrew G. Dempster; Serkan Saydam; Jeff Coulton. How should potential space resources markets be evaluated? (2026). doi:</w:t>
      </w:r>
      <w:r>
        <w:t xml:space="preserve"> </w:t>
      </w:r>
      <w:hyperlink r:id="rId177">
        <w:r>
          <w:rPr>
            <w:rStyle w:val="Hyperlink"/>
          </w:rPr>
          <w:t xml:space="preserve">10.1016/j.actaastro.2026.03.026</w:t>
        </w:r>
      </w:hyperlink>
    </w:p>
    <w:p>
      <w:pPr>
        <w:pStyle w:val="BodyText"/>
        <w:spacing w:line="480" w:lineRule="auto"/>
        <w:ind w:firstLine="720"/>
      </w:pPr>
      <w:bookmarkStart w:id="178" w:name="ref-30"/>
      <w:bookmarkEnd w:id="178"/>
      <w:r>
        <w:t xml:space="preserve">30. Paolo Trucco; Alessandro Paravano; Giorgio Locatelli. Framing the dynamics of risk landscape amidst space economy trends (2025). doi:</w:t>
      </w:r>
      <w:r>
        <w:t xml:space="preserve"> </w:t>
      </w:r>
      <w:hyperlink r:id="rId144">
        <w:r>
          <w:rPr>
            <w:rStyle w:val="Hyperlink"/>
          </w:rPr>
          <w:t xml:space="preserve">10.1016/j.actaastro.2025.06.067</w:t>
        </w:r>
      </w:hyperlink>
    </w:p>
    <w:p>
      <w:pPr>
        <w:pStyle w:val="BodyText"/>
        <w:spacing w:line="480" w:lineRule="auto"/>
        <w:ind w:firstLine="720"/>
      </w:pPr>
      <w:bookmarkStart w:id="179" w:name="ref-31"/>
      <w:bookmarkEnd w:id="179"/>
      <w:r>
        <w:t xml:space="preserve">31. Alessandro Paravano; Giorgio Locatelli; Paolo Trucco. What is value in the New Space Economy? The end-users’ perspective on satellite data and solutions (2023). doi:</w:t>
      </w:r>
      <w:r>
        <w:t xml:space="preserve"> </w:t>
      </w:r>
      <w:hyperlink r:id="rId180">
        <w:r>
          <w:rPr>
            <w:rStyle w:val="Hyperlink"/>
          </w:rPr>
          <w:t xml:space="preserve">10.1016/j.actaastro.2023.05.001</w:t>
        </w:r>
      </w:hyperlink>
    </w:p>
    <w:p>
      <w:pPr>
        <w:pStyle w:val="BodyText"/>
        <w:spacing w:line="480" w:lineRule="auto"/>
        <w:ind w:firstLine="720"/>
      </w:pPr>
      <w:bookmarkStart w:id="181" w:name="ref-32"/>
      <w:bookmarkEnd w:id="181"/>
      <w:r>
        <w:t xml:space="preserve">32.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46">
        <w:r>
          <w:rPr>
            <w:rStyle w:val="Hyperlink"/>
          </w:rPr>
          <w:t xml:space="preserve">10.1016/j.actaastro.2025.04.063</w:t>
        </w:r>
      </w:hyperlink>
    </w:p>
    <w:p>
      <w:pPr>
        <w:pStyle w:val="BodyText"/>
        <w:spacing w:line="480" w:lineRule="auto"/>
        <w:ind w:firstLine="720"/>
      </w:pPr>
      <w:bookmarkStart w:id="182" w:name="ref-33"/>
      <w:bookmarkEnd w:id="182"/>
      <w:r>
        <w:t xml:space="preserve">33. T.P. Graham; Kathiravan Thangavel; Anne-Sophie Martin. Navigating AI-lien Terrain: Legal liability for artificial intelligence in outer space (2024). doi:</w:t>
      </w:r>
      <w:r>
        <w:t xml:space="preserve"> </w:t>
      </w:r>
      <w:hyperlink r:id="rId183">
        <w:r>
          <w:rPr>
            <w:rStyle w:val="Hyperlink"/>
          </w:rPr>
          <w:t xml:space="preserve">10.1016/j.actaastro.2024.01.039</w:t>
        </w:r>
      </w:hyperlink>
    </w:p>
    <w:bookmarkEnd w:id="184"/>
    <w:bookmarkEnd w:id="185"/>
    <w:bookmarkStart w:id="20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3" w:name="X55200a14eb98dc358ef230d227c48ab02796d1a"/>
    <w:p>
      <w:pPr>
        <w:pStyle w:val="Heading2"/>
        <w:spacing w:line="480" w:lineRule="auto"/>
      </w:pPr>
      <w:r>
        <w:t xml:space="preserve">A.1 A Hedonic Price Model of Debris Risk in Satellite Insurance: Orbital-Regime Debris Flux as a Determinant of First-Year Premium Rates</w:t>
      </w:r>
    </w:p>
    <w:p>
      <w:pPr>
        <w:pStyle w:val="FirstParagraph"/>
        <w:spacing w:line="480" w:lineRule="auto"/>
      </w:pPr>
      <m:oMathPara>
        <m:oMathParaPr>
          <m:jc m:val="center"/>
        </m:oMathParaPr>
        <m:oMath>
          <m:sSub>
            <m:e>
              <m:r>
                <m:rPr>
                  <m:nor/>
                  <m:sty m:val="p"/>
                </m:rPr>
                <m:t>premium_rate_pct</m:t>
              </m:r>
            </m:e>
            <m:sub>
              <m:r>
                <m:t>i</m:t>
              </m:r>
            </m:sub>
          </m:sSub>
          <m:r>
            <m:rPr>
              <m:sty m:val="p"/>
            </m:rPr>
            <m:t>=</m:t>
          </m:r>
          <m:sSub>
            <m:e>
              <m:r>
                <m:t>β</m:t>
              </m:r>
            </m:e>
            <m:sub>
              <m:r>
                <m:t>0</m:t>
              </m:r>
            </m:sub>
          </m:sSub>
          <m:r>
            <m:rPr>
              <m:sty m:val="p"/>
            </m:rPr>
            <m:t>+</m:t>
          </m:r>
          <m:sSub>
            <m:e>
              <m:r>
                <m:t>β</m:t>
              </m:r>
            </m:e>
            <m:sub>
              <m:r>
                <m:t>1</m:t>
              </m:r>
            </m:sub>
          </m:sSub>
          <m:sSub>
            <m:e>
              <m:r>
                <m:rPr>
                  <m:nor/>
                  <m:sty m:val="p"/>
                </m:rPr>
                <m:t>debris_flux_index</m:t>
              </m:r>
            </m:e>
            <m:sub>
              <m:r>
                <m:t>i</m:t>
              </m:r>
            </m:sub>
          </m:sSub>
          <m:r>
            <m:rPr>
              <m:sty m:val="p"/>
            </m:rPr>
            <m:t>+</m:t>
          </m:r>
          <m:sSub>
            <m:e>
              <m:r>
                <m:t>β</m:t>
              </m:r>
            </m:e>
            <m:sub>
              <m:r>
                <m:t>2</m:t>
              </m:r>
            </m:sub>
          </m:sSub>
          <m:sSub>
            <m:e>
              <m:r>
                <m:rPr>
                  <m:nor/>
                  <m:sty m:val="p"/>
                </m:rPr>
                <m:t>mass_kg</m:t>
              </m:r>
            </m:e>
            <m:sub>
              <m:r>
                <m:t>i</m:t>
              </m:r>
            </m:sub>
          </m:sSub>
          <m:r>
            <m:rPr>
              <m:sty m:val="p"/>
            </m:rPr>
            <m:t>+</m:t>
          </m:r>
          <m:sSub>
            <m:e>
              <m:r>
                <m:t>β</m:t>
              </m:r>
            </m:e>
            <m:sub>
              <m:r>
                <m:t>3</m:t>
              </m:r>
            </m:sub>
          </m:sSub>
          <m:sSub>
            <m:e>
              <m:r>
                <m:rPr>
                  <m:nor/>
                  <m:sty m:val="p"/>
                </m:rPr>
                <m:t>design_life_yr</m:t>
              </m:r>
            </m:e>
            <m:sub>
              <m:r>
                <m:t>i</m:t>
              </m:r>
            </m:sub>
          </m:sSub>
          <m:r>
            <m:rPr>
              <m:sty m:val="p"/>
            </m:rPr>
            <m:t>+</m:t>
          </m:r>
          <m:sSub>
            <m:e>
              <m:r>
                <m:t>β</m:t>
              </m:r>
            </m:e>
            <m:sub>
              <m:r>
                <m:t>4</m:t>
              </m:r>
            </m:sub>
          </m:sSub>
          <m:sSub>
            <m:e>
              <m:r>
                <m:rPr>
                  <m:nor/>
                  <m:sty m:val="p"/>
                </m:rPr>
                <m:t>year</m:t>
              </m:r>
            </m:e>
            <m:sub>
              <m:r>
                <m:t>i</m:t>
              </m:r>
            </m:sub>
          </m:sSub>
          <m:r>
            <m:rPr>
              <m:sty m:val="p"/>
            </m:rPr>
            <m:t>+</m:t>
          </m:r>
          <m:sSub>
            <m:e>
              <m:r>
                <m:t>ε</m:t>
              </m:r>
            </m:e>
            <m:sub>
              <m:r>
                <m:t>i</m:t>
              </m:r>
            </m:sub>
          </m:sSub>
        </m:oMath>
      </m:oMathPara>
    </w:p>
    <w:bookmarkStart w:id="18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-96.4095</w:t>
            </w:r>
          </w:p>
        </w:tc>
        <w:tc>
          <w:tcPr>
            <w:tcW w:w="0" w:type="auto"/>
          </w:tcPr>
          <w:p>
            <w:pPr>
              <w:spacing w:line="240" w:lineRule="auto" w:before="0" w:after="0"/>
              <w:pStyle w:val="Compact"/>
            </w:pPr>
            <w:r>
              <w:rPr>
                <w:sz w:val="20"/>
                <w:szCs w:val="20"/>
              </w:rPr>
              <w:t xml:space="preserve">31.8654</w:t>
            </w:r>
          </w:p>
        </w:tc>
        <w:tc>
          <w:tcPr>
            <w:tcW w:w="0" w:type="auto"/>
          </w:tcPr>
          <w:p>
            <w:pPr>
              <w:spacing w:line="240" w:lineRule="auto" w:before="0" w:after="0"/>
              <w:pStyle w:val="Compact"/>
            </w:pPr>
            <w:r>
              <w:rPr>
                <w:sz w:val="20"/>
                <w:szCs w:val="20"/>
              </w:rPr>
              <w:t xml:space="preserve">-3.0255</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[-158.8645, -33.9545]</w:t>
            </w:r>
          </w:p>
        </w:tc>
      </w:tr>
      <w:tr>
        <w:tc>
          <w:tcPr>
            <w:tcW w:w="0" w:type="auto"/>
          </w:tcPr>
          <w:p>
            <w:pPr>
              <w:spacing w:line="240" w:lineRule="auto" w:before="0" w:after="0"/>
              <w:pStyle w:val="Compact"/>
            </w:pPr>
            <w:r>
              <w:rPr>
                <w:sz w:val="20"/>
                <w:szCs w:val="20"/>
              </w:rPr>
              <w:t xml:space="preserve">debris_flux_index</w:t>
            </w:r>
          </w:p>
        </w:tc>
        <w:tc>
          <w:tcPr>
            <w:tcW w:w="0" w:type="auto"/>
          </w:tcPr>
          <w:p>
            <w:pPr>
              <w:spacing w:line="240" w:lineRule="auto" w:before="0" w:after="0"/>
              <w:pStyle w:val="Compact"/>
            </w:pPr>
            <w:r>
              <w:rPr>
                <w:sz w:val="20"/>
                <w:szCs w:val="20"/>
              </w:rPr>
              <w:t xml:space="preserve">-0.1521</w:t>
            </w:r>
          </w:p>
        </w:tc>
        <w:tc>
          <w:tcPr>
            <w:tcW w:w="0" w:type="auto"/>
          </w:tcPr>
          <w:p>
            <w:pPr>
              <w:spacing w:line="240" w:lineRule="auto" w:before="0" w:after="0"/>
              <w:pStyle w:val="Compact"/>
            </w:pPr>
            <w:r>
              <w:rPr>
                <w:sz w:val="20"/>
                <w:szCs w:val="20"/>
              </w:rPr>
              <w:t xml:space="preserve">0.0596</w:t>
            </w:r>
          </w:p>
        </w:tc>
        <w:tc>
          <w:tcPr>
            <w:tcW w:w="0" w:type="auto"/>
          </w:tcPr>
          <w:p>
            <w:pPr>
              <w:spacing w:line="240" w:lineRule="auto" w:before="0" w:after="0"/>
              <w:pStyle w:val="Compact"/>
            </w:pPr>
            <w:r>
              <w:rPr>
                <w:sz w:val="20"/>
                <w:szCs w:val="20"/>
              </w:rPr>
              <w:t xml:space="preserve">-2.5527</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[-0.269, -0.0353]</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4.604e-05</w:t>
            </w:r>
          </w:p>
        </w:tc>
        <w:tc>
          <w:tcPr>
            <w:tcW w:w="0" w:type="auto"/>
          </w:tcPr>
          <w:p>
            <w:pPr>
              <w:spacing w:line="240" w:lineRule="auto" w:before="0" w:after="0"/>
              <w:pStyle w:val="Compact"/>
            </w:pPr>
            <w:r>
              <w:rPr>
                <w:sz w:val="20"/>
                <w:szCs w:val="20"/>
              </w:rPr>
              <w:t xml:space="preserve">2.51e-05</w:t>
            </w:r>
          </w:p>
        </w:tc>
        <w:tc>
          <w:tcPr>
            <w:tcW w:w="0" w:type="auto"/>
          </w:tcPr>
          <w:p>
            <w:pPr>
              <w:spacing w:line="240" w:lineRule="auto" w:before="0" w:after="0"/>
              <w:pStyle w:val="Compact"/>
            </w:pPr>
            <w:r>
              <w:rPr>
                <w:sz w:val="20"/>
                <w:szCs w:val="20"/>
              </w:rPr>
              <w:t xml:space="preserve">1.8344</w:t>
            </w:r>
          </w:p>
        </w:tc>
        <w:tc>
          <w:tcPr>
            <w:tcW w:w="0" w:type="auto"/>
          </w:tcPr>
          <w:p>
            <w:pPr>
              <w:spacing w:line="240" w:lineRule="auto" w:before="0" w:after="0"/>
              <w:pStyle w:val="Compact"/>
            </w:pPr>
            <w:r>
              <w:rPr>
                <w:sz w:val="20"/>
                <w:szCs w:val="20"/>
              </w:rPr>
              <w:t xml:space="preserve">0.0666</w:t>
            </w:r>
          </w:p>
        </w:tc>
        <w:tc>
          <w:tcPr>
            <w:tcW w:w="0" w:type="auto"/>
          </w:tcPr>
          <w:p>
            <w:pPr>
              <w:spacing w:line="240" w:lineRule="auto" w:before="0" w:after="0"/>
              <w:pStyle w:val="Compact"/>
            </w:pPr>
            <w:r>
              <w:rPr>
                <w:sz w:val="20"/>
                <w:szCs w:val="20"/>
              </w:rPr>
              <w:t xml:space="preserve">[-3.151e-06, 9.523e-05]</w:t>
            </w:r>
          </w:p>
        </w:tc>
      </w:tr>
      <w:tr>
        <w:tc>
          <w:tcPr>
            <w:tcW w:w="0" w:type="auto"/>
          </w:tcPr>
          <w:p>
            <w:pPr>
              <w:spacing w:line="240" w:lineRule="auto" w:before="0" w:after="0"/>
              <w:pStyle w:val="Compact"/>
            </w:pPr>
            <w:r>
              <w:rPr>
                <w:sz w:val="20"/>
                <w:szCs w:val="20"/>
              </w:rPr>
              <w:t xml:space="preserve">design_life_yr</w:t>
            </w:r>
          </w:p>
        </w:tc>
        <w:tc>
          <w:tcPr>
            <w:tcW w:w="0" w:type="auto"/>
          </w:tcPr>
          <w:p>
            <w:pPr>
              <w:spacing w:line="240" w:lineRule="auto" w:before="0" w:after="0"/>
              <w:pStyle w:val="Compact"/>
            </w:pPr>
            <w:r>
              <w:rPr>
                <w:sz w:val="20"/>
                <w:szCs w:val="20"/>
              </w:rPr>
              <w:t xml:space="preserve">0.0323</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2.3811</w:t>
            </w:r>
          </w:p>
        </w:tc>
        <w:tc>
          <w:tcPr>
            <w:tcW w:w="0" w:type="auto"/>
          </w:tcPr>
          <w:p>
            <w:pPr>
              <w:spacing w:line="240" w:lineRule="auto" w:before="0" w:after="0"/>
              <w:pStyle w:val="Compact"/>
            </w:pPr>
            <w:r>
              <w:rPr>
                <w:sz w:val="20"/>
                <w:szCs w:val="20"/>
              </w:rPr>
              <w:t xml:space="preserve">0.0173</w:t>
            </w:r>
          </w:p>
        </w:tc>
        <w:tc>
          <w:tcPr>
            <w:tcW w:w="0" w:type="auto"/>
          </w:tcPr>
          <w:p>
            <w:pPr>
              <w:spacing w:line="240" w:lineRule="auto" w:before="0" w:after="0"/>
              <w:pStyle w:val="Compact"/>
            </w:pPr>
            <w:r>
              <w:rPr>
                <w:sz w:val="20"/>
                <w:szCs w:val="20"/>
              </w:rPr>
              <w:t xml:space="preserve">[0.0057, 0.0588]</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0.0158</w:t>
            </w:r>
          </w:p>
        </w:tc>
        <w:tc>
          <w:tcPr>
            <w:tcW w:w="0" w:type="auto"/>
          </w:tcPr>
          <w:p>
            <w:pPr>
              <w:spacing w:line="240" w:lineRule="auto" w:before="0" w:after="0"/>
              <w:pStyle w:val="Compact"/>
            </w:pPr>
            <w:r>
              <w:rPr>
                <w:sz w:val="20"/>
                <w:szCs w:val="20"/>
              </w:rPr>
              <w:t xml:space="preserve">3.0477</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[0.0172, 0.079]</w:t>
            </w:r>
          </w:p>
        </w:tc>
      </w:tr>
    </w:tbl>
    <w:p>
      <w:pPr>
        <w:pStyle w:val="BodyText"/>
        <w:spacing w:line="480" w:lineRule="auto"/>
        <w:ind w:firstLine="720"/>
      </w:pPr>
      <w:r>
        <w:t xml:space="preserve">Fit: N = 33 R2 = 0.7665 R2_adj = 0.7332 F = 44.5371 F_p = 9.526e-12</w:t>
      </w:r>
    </w:p>
    <w:bookmarkEnd w:id="186"/>
    <w:bookmarkStart w:id="19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rst-year in-orbit insurance premium rate against orbital-regime debris flux index across 33 commercial and civil missions, 2016 to 2025." title="" id="188" name="Picture"/>
            <a:graphic>
              <a:graphicData uri="http://schemas.openxmlformats.org/drawingml/2006/picture">
                <pic:pic>
                  <pic:nvPicPr>
                    <pic:cNvPr descr="D:/Claude_Code/brain/collegium/candidates/dissertations/DEBRIS_04/research_papers/p1/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First-year in-orbit insurance premium rate against orbital-regime debris flux index across 33 commercial and civil missions, 2016 to 2025.</w:t>
      </w:r>
    </w:p>
    <w:bookmarkEnd w:id="190"/>
    <w:bookmarkStart w:id="19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orbit_regime</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design_life_yr</w:t>
            </w:r>
          </w:p>
        </w:tc>
        <w:tc>
          <w:tcPr>
            <w:tcW w:w="0" w:type="auto"/>
          </w:tcPr>
          <w:p>
            <w:pPr>
              <w:spacing w:line="240" w:lineRule="auto" w:before="0" w:after="0"/>
              <w:pStyle w:val="Compact"/>
            </w:pPr>
            <w:r>
              <w:rPr>
                <w:sz w:val="20"/>
                <w:szCs w:val="20"/>
              </w:rPr>
              <w:t xml:space="preserve">debris_flux_index</w:t>
            </w:r>
          </w:p>
        </w:tc>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Intelsat 33e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6600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Aon Space Insurance Market Update 2017 sector LEO/GEO averages; Gunter’s Space Page Intelsat 33e mass and design life; gunter.space/spacecraft/intelsat-33e [illustrative rate at sector average]</w:t>
            </w:r>
          </w:p>
        </w:tc>
      </w:tr>
      <w:tr>
        <w:tc>
          <w:tcPr>
            <w:tcW w:w="0" w:type="auto"/>
          </w:tcPr>
          <w:p>
            <w:pPr>
              <w:spacing w:line="240" w:lineRule="auto" w:before="0" w:after="0"/>
              <w:pStyle w:val="Compact"/>
            </w:pPr>
            <w:r>
              <w:rPr>
                <w:sz w:val="20"/>
                <w:szCs w:val="20"/>
              </w:rPr>
              <w:t xml:space="preserve">Iridium NEXT 1-10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‘Iridium fully insured Falcon 9 launches’</w:t>
            </w:r>
            <w:r>
              <w:rPr>
                <w:sz w:val="20"/>
                <w:szCs w:val="20"/>
              </w:rPr>
              <w:t xml:space="preserve"> </w:t>
            </w:r>
            <w:r>
              <w:rPr>
                <w:sz w:val="20"/>
                <w:szCs w:val="20"/>
              </w:rPr>
              <w:t xml:space="preserve">2017; Aon Space Insurance Market Update 2018; gunter.space/spacecraft/iridium-next</w:t>
            </w:r>
          </w:p>
        </w:tc>
      </w:tr>
      <w:tr>
        <w:tc>
          <w:tcPr>
            <w:tcW w:w="0" w:type="auto"/>
          </w:tcPr>
          <w:p>
            <w:pPr>
              <w:spacing w:line="240" w:lineRule="auto" w:before="0" w:after="0"/>
              <w:pStyle w:val="Compact"/>
            </w:pPr>
            <w:r>
              <w:rPr>
                <w:sz w:val="20"/>
                <w:szCs w:val="20"/>
              </w:rPr>
              <w:t xml:space="preserve">OneWeb F1-F6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‘OneWeb files Chapter 11’</w:t>
            </w:r>
            <w:r>
              <w:rPr>
                <w:sz w:val="20"/>
                <w:szCs w:val="20"/>
              </w:rPr>
              <w:t xml:space="preserve"> </w:t>
            </w:r>
            <w:r>
              <w:rPr>
                <w:sz w:val="20"/>
                <w:szCs w:val="20"/>
              </w:rPr>
              <w:t xml:space="preserve">2020 references launch insurance; Marsh</w:t>
            </w:r>
            <w:r>
              <w:rPr>
                <w:sz w:val="20"/>
                <w:szCs w:val="20"/>
              </w:rPr>
              <w:t xml:space="preserve"> </w:t>
            </w:r>
            <w:r>
              <w:rPr>
                <w:sz w:val="20"/>
                <w:szCs w:val="20"/>
              </w:rPr>
              <w:t xml:space="preserve">‘Space Insurance Market Report’</w:t>
            </w:r>
            <w:r>
              <w:rPr>
                <w:sz w:val="20"/>
                <w:szCs w:val="20"/>
              </w:rPr>
              <w:t xml:space="preserve"> </w:t>
            </w:r>
            <w:r>
              <w:rPr>
                <w:sz w:val="20"/>
                <w:szCs w:val="20"/>
              </w:rPr>
              <w:t xml:space="preserve">2019; gunter.space/spacecraft/oneweb</w:t>
            </w:r>
          </w:p>
        </w:tc>
      </w:tr>
      <w:tr>
        <w:tc>
          <w:tcPr>
            <w:tcW w:w="0" w:type="auto"/>
          </w:tcPr>
          <w:p>
            <w:pPr>
              <w:spacing w:line="240" w:lineRule="auto" w:before="0" w:after="0"/>
              <w:pStyle w:val="Compact"/>
            </w:pPr>
            <w:r>
              <w:rPr>
                <w:sz w:val="20"/>
                <w:szCs w:val="20"/>
              </w:rPr>
              <w:t xml:space="preserve">Starlink v1.0 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Swiss Re Institute</w:t>
            </w:r>
            <w:r>
              <w:rPr>
                <w:sz w:val="20"/>
                <w:szCs w:val="20"/>
              </w:rPr>
              <w:t xml:space="preserve"> </w:t>
            </w:r>
            <w:r>
              <w:rPr>
                <w:sz w:val="20"/>
                <w:szCs w:val="20"/>
              </w:rPr>
              <w:t xml:space="preserve">‘Space risks: a new generation of challenges’</w:t>
            </w:r>
            <w:r>
              <w:rPr>
                <w:sz w:val="20"/>
                <w:szCs w:val="20"/>
              </w:rPr>
              <w:t xml:space="preserve"> </w:t>
            </w:r>
            <w:r>
              <w:rPr>
                <w:sz w:val="20"/>
                <w:szCs w:val="20"/>
              </w:rPr>
              <w:t xml:space="preserve">2018; SpaceX FCC filings; gunter.space/spacecraft/starlink-v1-0</w:t>
            </w:r>
          </w:p>
        </w:tc>
      </w:tr>
      <w:tr>
        <w:tc>
          <w:tcPr>
            <w:tcW w:w="0" w:type="auto"/>
          </w:tcPr>
          <w:p>
            <w:pPr>
              <w:spacing w:line="240" w:lineRule="auto" w:before="0" w:after="0"/>
              <w:pStyle w:val="Compact"/>
            </w:pPr>
            <w:r>
              <w:rPr>
                <w:sz w:val="20"/>
                <w:szCs w:val="20"/>
              </w:rPr>
              <w:t xml:space="preserve">Eutelsat Konnect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3619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Aon Space Insurance Market Update 2021; Eutelsat press kit; gunter.space/spacecraft/konnect [illustrative rate at sector average]</w:t>
            </w:r>
          </w:p>
        </w:tc>
      </w:tr>
      <w:tr>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6411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‘SES-17 enters service’</w:t>
            </w:r>
            <w:r>
              <w:rPr>
                <w:sz w:val="20"/>
                <w:szCs w:val="20"/>
              </w:rPr>
              <w:t xml:space="preserve"> </w:t>
            </w:r>
            <w:r>
              <w:rPr>
                <w:sz w:val="20"/>
                <w:szCs w:val="20"/>
              </w:rPr>
              <w:t xml:space="preserve">2021; Marsh Space Report 2022; gunter.space/spacecraft/ses-17 [illustrative rate at sector average]</w:t>
            </w:r>
          </w:p>
        </w:tc>
      </w:tr>
      <w:tr>
        <w:tc>
          <w:tcPr>
            <w:tcW w:w="0" w:type="auto"/>
          </w:tcPr>
          <w:p>
            <w:pPr>
              <w:spacing w:line="240" w:lineRule="auto" w:before="0" w:after="0"/>
              <w:pStyle w:val="Compact"/>
            </w:pPr>
            <w:r>
              <w:rPr>
                <w:sz w:val="20"/>
                <w:szCs w:val="20"/>
              </w:rPr>
              <w:t xml:space="preserve">Hotbird 13F</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Eutelsat press release Hotbird 13F launch 2022; Allianz AGCS</w:t>
            </w:r>
            <w:r>
              <w:rPr>
                <w:sz w:val="20"/>
                <w:szCs w:val="20"/>
              </w:rPr>
              <w:t xml:space="preserve"> </w:t>
            </w:r>
            <w:r>
              <w:rPr>
                <w:sz w:val="20"/>
                <w:szCs w:val="20"/>
              </w:rPr>
              <w:t xml:space="preserve">‘Space Risks’</w:t>
            </w:r>
            <w:r>
              <w:rPr>
                <w:sz w:val="20"/>
                <w:szCs w:val="20"/>
              </w:rPr>
              <w:t xml:space="preserve"> </w:t>
            </w:r>
            <w:r>
              <w:rPr>
                <w:sz w:val="20"/>
                <w:szCs w:val="20"/>
              </w:rPr>
              <w:t xml:space="preserve">briefing 2022; gunter.space/spacecraft/hotbird-13f [illustrative rate at sector average]</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2857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NASA NTRS GOES-T launch press kit; NOAA mission page; Aon Space Insurance Market Update 2023; ntrs.nasa.gov [illustrative rate at sector average]</w:t>
            </w:r>
          </w:p>
        </w:tc>
      </w:tr>
      <w:tr>
        <w:tc>
          <w:tcPr>
            <w:tcW w:w="0" w:type="auto"/>
          </w:tcPr>
          <w:p>
            <w:pPr>
              <w:spacing w:line="240" w:lineRule="auto" w:before="0" w:after="0"/>
              <w:pStyle w:val="Compact"/>
            </w:pPr>
            <w:r>
              <w:rPr>
                <w:sz w:val="20"/>
                <w:szCs w:val="20"/>
              </w:rPr>
              <w:t xml:space="preserve">NROL-87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Gunter’s Space Page NROL-87; SpaceNews</w:t>
            </w:r>
            <w:r>
              <w:rPr>
                <w:sz w:val="20"/>
                <w:szCs w:val="20"/>
              </w:rPr>
              <w:t xml:space="preserve"> </w:t>
            </w:r>
            <w:r>
              <w:rPr>
                <w:sz w:val="20"/>
                <w:szCs w:val="20"/>
              </w:rPr>
              <w:t xml:space="preserve">‘NRO launches USA-326’</w:t>
            </w:r>
            <w:r>
              <w:rPr>
                <w:sz w:val="20"/>
                <w:szCs w:val="20"/>
              </w:rPr>
              <w:t xml:space="preserve"> </w:t>
            </w:r>
            <w:r>
              <w:rPr>
                <w:sz w:val="20"/>
                <w:szCs w:val="20"/>
              </w:rPr>
              <w:t xml:space="preserve">2022; Marsh Space Report 2023; gunter.space/spacecraft/usa-326 [illustrative rate]</w:t>
            </w:r>
          </w:p>
        </w:tc>
      </w:tr>
      <w:tr>
        <w:tc>
          <w:tcPr>
            <w:tcW w:w="0" w:type="auto"/>
          </w:tcPr>
          <w:p>
            <w:pPr>
              <w:spacing w:line="240" w:lineRule="auto" w:before="0" w:after="0"/>
              <w:pStyle w:val="Compact"/>
            </w:pPr>
            <w:r>
              <w:rPr>
                <w:sz w:val="20"/>
                <w:szCs w:val="20"/>
              </w:rPr>
              <w:t xml:space="preserve">WorldView Legion 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Maxar press release</w:t>
            </w:r>
            <w:r>
              <w:rPr>
                <w:sz w:val="20"/>
                <w:szCs w:val="20"/>
              </w:rPr>
              <w:t xml:space="preserve"> </w:t>
            </w:r>
            <w:r>
              <w:rPr>
                <w:sz w:val="20"/>
                <w:szCs w:val="20"/>
              </w:rPr>
              <w:t xml:space="preserve">‘WorldView Legion launches’</w:t>
            </w:r>
            <w:r>
              <w:rPr>
                <w:sz w:val="20"/>
                <w:szCs w:val="20"/>
              </w:rPr>
              <w:t xml:space="preserve"> </w:t>
            </w:r>
            <w:r>
              <w:rPr>
                <w:sz w:val="20"/>
                <w:szCs w:val="20"/>
              </w:rPr>
              <w:t xml:space="preserve">2024; gunter.space/spacecraft/worldview-legion [illustrative rate at sector average]</w:t>
            </w:r>
          </w:p>
        </w:tc>
      </w:tr>
      <w:tr>
        <w:tc>
          <w:tcPr>
            <w:tcW w:w="0" w:type="auto"/>
          </w:tcPr>
          <w:p>
            <w:pPr>
              <w:spacing w:line="240" w:lineRule="auto" w:before="0" w:after="0"/>
              <w:pStyle w:val="Compact"/>
            </w:pPr>
            <w:r>
              <w:rPr>
                <w:sz w:val="20"/>
                <w:szCs w:val="20"/>
              </w:rPr>
              <w:t xml:space="preserve">GSAT-24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4181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ISRO GSAT-24 mission press release; Arianespace VA257 kit; gunter.space/spacecraft/gsat-24 [illustrative rate at sector average]</w:t>
            </w:r>
          </w:p>
        </w:tc>
      </w:tr>
      <w:tr>
        <w:tc>
          <w:tcPr>
            <w:tcW w:w="0" w:type="auto"/>
          </w:tcPr>
          <w:p>
            <w:pPr>
              <w:spacing w:line="240" w:lineRule="auto" w:before="0" w:after="0"/>
              <w:pStyle w:val="Compact"/>
            </w:pPr>
            <w:r>
              <w:rPr>
                <w:sz w:val="20"/>
                <w:szCs w:val="20"/>
              </w:rPr>
              <w:t xml:space="preserve">EchoStar XXIV/Jupiter 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9200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EchoStar press release Jupiter 3 launch 2023; SpaceNews; gunter.space/spacecraft/echostar-24 [illustrative rate at sector average]</w:t>
            </w:r>
          </w:p>
        </w:tc>
      </w:tr>
      <w:tr>
        <w:tc>
          <w:tcPr>
            <w:tcW w:w="0" w:type="auto"/>
          </w:tcPr>
          <w:p>
            <w:pPr>
              <w:spacing w:line="240" w:lineRule="auto" w:before="0" w:after="0"/>
              <w:pStyle w:val="Compact"/>
            </w:pPr>
            <w:r>
              <w:rPr>
                <w:sz w:val="20"/>
                <w:szCs w:val="20"/>
              </w:rPr>
              <w:t xml:space="preserve">Viasat-3 Americas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6400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Viasat investor materials Viasat-3 Americas reflector anomaly 2023; SpaceNews</w:t>
            </w:r>
            <w:r>
              <w:rPr>
                <w:sz w:val="20"/>
                <w:szCs w:val="20"/>
              </w:rPr>
              <w:t xml:space="preserve"> </w:t>
            </w:r>
            <w:r>
              <w:rPr>
                <w:sz w:val="20"/>
                <w:szCs w:val="20"/>
              </w:rPr>
              <w:t xml:space="preserve">‘Viasat-3 antenna anomaly’</w:t>
            </w:r>
            <w:r>
              <w:rPr>
                <w:sz w:val="20"/>
                <w:szCs w:val="20"/>
              </w:rPr>
              <w:t xml:space="preserve"> </w:t>
            </w:r>
            <w:r>
              <w:rPr>
                <w:sz w:val="20"/>
                <w:szCs w:val="20"/>
              </w:rPr>
              <w:t xml:space="preserve">2023; gunter.space/spacecraft/viasat-3</w:t>
            </w:r>
          </w:p>
        </w:tc>
      </w:tr>
      <w:tr>
        <w:tc>
          <w:tcPr>
            <w:tcW w:w="0" w:type="auto"/>
          </w:tcPr>
          <w:p>
            <w:pPr>
              <w:spacing w:line="240" w:lineRule="auto" w:before="0" w:after="0"/>
              <w:pStyle w:val="Compact"/>
            </w:pPr>
            <w:r>
              <w:rPr>
                <w:sz w:val="20"/>
                <w:szCs w:val="20"/>
              </w:rPr>
              <w:t xml:space="preserve">Inmarsat-6 F2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5470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Inmarsat press release I-6 F2 launch 2023; gunter.space/spacecraft/inmarsat-6 [illustrative rate at sector average]</w:t>
            </w:r>
          </w:p>
        </w:tc>
      </w:tr>
      <w:tr>
        <w:tc>
          <w:tcPr>
            <w:tcW w:w="0" w:type="auto"/>
          </w:tcPr>
          <w:p>
            <w:pPr>
              <w:spacing w:line="240" w:lineRule="auto" w:before="0" w:after="0"/>
              <w:pStyle w:val="Compact"/>
            </w:pPr>
            <w:r>
              <w:rPr>
                <w:sz w:val="20"/>
                <w:szCs w:val="20"/>
              </w:rPr>
              <w:t xml:space="preserve">Amazonas Nexus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Hispasat press release Amazonas Nexus 2023; gunter.space/spacecraft/amazonas-nexus [illustrative rate at sector average]</w:t>
            </w:r>
          </w:p>
        </w:tc>
      </w:tr>
      <w:tr>
        <w:tc>
          <w:tcPr>
            <w:tcW w:w="0" w:type="auto"/>
          </w:tcPr>
          <w:p>
            <w:pPr>
              <w:spacing w:line="240" w:lineRule="auto" w:before="0" w:after="0"/>
              <w:pStyle w:val="Compact"/>
            </w:pPr>
            <w:r>
              <w:rPr>
                <w:sz w:val="20"/>
                <w:szCs w:val="20"/>
              </w:rPr>
              <w:t xml:space="preserve">O3b mPOWER 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8062</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SES press release O3b mPOWER first launch 2022; gunter.space/spacecraft/o3b-mpower [illustrative rate at sector average]</w:t>
            </w:r>
          </w:p>
        </w:tc>
      </w:tr>
      <w:tr>
        <w:tc>
          <w:tcPr>
            <w:tcW w:w="0" w:type="auto"/>
          </w:tcPr>
          <w:p>
            <w:pPr>
              <w:spacing w:line="240" w:lineRule="auto" w:before="0" w:after="0"/>
              <w:pStyle w:val="Compact"/>
            </w:pPr>
            <w:r>
              <w:rPr>
                <w:sz w:val="20"/>
                <w:szCs w:val="20"/>
              </w:rPr>
              <w:t xml:space="preserve">Galileo FOC 27-28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23222</w:t>
            </w:r>
          </w:p>
        </w:tc>
        <w:tc>
          <w:tcPr>
            <w:tcW w:w="0" w:type="auto"/>
          </w:tcPr>
          <w:p>
            <w:pPr>
              <w:spacing w:line="240" w:lineRule="auto" w:before="0" w:after="0"/>
              <w:pStyle w:val="Compact"/>
            </w:pPr>
            <w:r>
              <w:rPr>
                <w:sz w:val="20"/>
                <w:szCs w:val="20"/>
              </w:rPr>
              <w:t xml:space="preserve">732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ESA Galileo mission page; Arianespace VA262 kit; gunter.space/spacecraft/galileo-foc [illustrative rate at sector average]</w:t>
            </w:r>
          </w:p>
        </w:tc>
      </w:tr>
      <w:tr>
        <w:tc>
          <w:tcPr>
            <w:tcW w:w="0" w:type="auto"/>
          </w:tcPr>
          <w:p>
            <w:pPr>
              <w:spacing w:line="240" w:lineRule="auto" w:before="0" w:after="0"/>
              <w:pStyle w:val="Compact"/>
            </w:pPr>
            <w:r>
              <w:rPr>
                <w:sz w:val="20"/>
                <w:szCs w:val="20"/>
              </w:rPr>
              <w:t xml:space="preserve">GPS III SV06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20180</w:t>
            </w:r>
          </w:p>
        </w:tc>
        <w:tc>
          <w:tcPr>
            <w:tcW w:w="0" w:type="auto"/>
          </w:tcPr>
          <w:p>
            <w:pPr>
              <w:spacing w:line="240" w:lineRule="auto" w:before="0" w:after="0"/>
              <w:pStyle w:val="Compact"/>
            </w:pPr>
            <w:r>
              <w:rPr>
                <w:sz w:val="20"/>
                <w:szCs w:val="20"/>
              </w:rPr>
              <w:t xml:space="preserve">3680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Lockheed Martin GPS III SV06 press release; SpaceNews</w:t>
            </w:r>
            <w:r>
              <w:rPr>
                <w:sz w:val="20"/>
                <w:szCs w:val="20"/>
              </w:rPr>
              <w:t xml:space="preserve"> </w:t>
            </w:r>
            <w:r>
              <w:rPr>
                <w:sz w:val="20"/>
                <w:szCs w:val="20"/>
              </w:rPr>
              <w:t xml:space="preserve">‘GPS III SV06 launches’</w:t>
            </w:r>
            <w:r>
              <w:rPr>
                <w:sz w:val="20"/>
                <w:szCs w:val="20"/>
              </w:rPr>
              <w:t xml:space="preserve"> </w:t>
            </w:r>
            <w:r>
              <w:rPr>
                <w:sz w:val="20"/>
                <w:szCs w:val="20"/>
              </w:rPr>
              <w:t xml:space="preserve">2023; gunter.space/spacecraft/gps-3 [illustrative rate at sector average]</w:t>
            </w:r>
          </w:p>
        </w:tc>
      </w:tr>
      <w:tr>
        <w:tc>
          <w:tcPr>
            <w:tcW w:w="0" w:type="auto"/>
          </w:tcPr>
          <w:p>
            <w:pPr>
              <w:spacing w:line="240" w:lineRule="auto" w:before="0" w:after="0"/>
              <w:pStyle w:val="Compact"/>
            </w:pPr>
            <w:r>
              <w:rPr>
                <w:sz w:val="20"/>
                <w:szCs w:val="20"/>
              </w:rPr>
              <w:t xml:space="preserve">Sentinel-6 Michael Freilich</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ESA Sentinel-6 mission page; NASA NTRS Sentinel-6 press kit; gunter.space/spacecraft/sentinel-6 [illustrative rate at sector average]</w:t>
            </w:r>
          </w:p>
        </w:tc>
      </w:tr>
      <w:tr>
        <w:tc>
          <w:tcPr>
            <w:tcW w:w="0" w:type="auto"/>
          </w:tcPr>
          <w:p>
            <w:pPr>
              <w:spacing w:line="240" w:lineRule="auto" w:before="0" w:after="0"/>
              <w:pStyle w:val="Compact"/>
            </w:pPr>
            <w:r>
              <w:rPr>
                <w:sz w:val="20"/>
                <w:szCs w:val="20"/>
              </w:rPr>
              <w:t xml:space="preserve">Pleiades Neo 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Airbus Defence and Space Pleiades Neo press release 2021; gunter.space/spacecraft/pleiades-neo [illustrative rate at sector average]</w:t>
            </w:r>
          </w:p>
        </w:tc>
      </w:tr>
      <w:tr>
        <w:tc>
          <w:tcPr>
            <w:tcW w:w="0" w:type="auto"/>
          </w:tcPr>
          <w:p>
            <w:pPr>
              <w:spacing w:line="240" w:lineRule="auto" w:before="0" w:after="0"/>
              <w:pStyle w:val="Compact"/>
            </w:pPr>
            <w:r>
              <w:rPr>
                <w:sz w:val="20"/>
                <w:szCs w:val="20"/>
              </w:rPr>
              <w:t xml:space="preserve">KOMPSAT-7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KARI KOMPSAT-7 mission description; gunter.space/spacecraft/kompsat-7 [illustrative rate at sector average]</w:t>
            </w:r>
          </w:p>
        </w:tc>
      </w:tr>
      <w:tr>
        <w:tc>
          <w:tcPr>
            <w:tcW w:w="0" w:type="auto"/>
          </w:tcPr>
          <w:p>
            <w:pPr>
              <w:spacing w:line="240" w:lineRule="auto" w:before="0" w:after="0"/>
              <w:pStyle w:val="Compact"/>
            </w:pPr>
            <w:r>
              <w:rPr>
                <w:sz w:val="20"/>
                <w:szCs w:val="20"/>
              </w:rPr>
              <w:t xml:space="preserve">Telesat LEO Phase 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Telesat Lightspeed program updates 2023; Marsh Space Report 2024; gunter.space/spacecraft/telesat-leo [illustrative rate at sector average]</w:t>
            </w:r>
          </w:p>
        </w:tc>
      </w:tr>
      <w:tr>
        <w:tc>
          <w:tcPr>
            <w:tcW w:w="0" w:type="auto"/>
          </w:tcPr>
          <w:p>
            <w:pPr>
              <w:spacing w:line="240" w:lineRule="auto" w:before="0" w:after="0"/>
              <w:pStyle w:val="Compact"/>
            </w:pPr>
            <w:r>
              <w:rPr>
                <w:sz w:val="20"/>
                <w:szCs w:val="20"/>
              </w:rPr>
              <w:t xml:space="preserve">QZS-1R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IGSO</w:t>
            </w:r>
          </w:p>
        </w:tc>
        <w:tc>
          <w:tcPr>
            <w:tcW w:w="0" w:type="auto"/>
          </w:tcPr>
          <w:p>
            <w:pPr>
              <w:spacing w:line="240" w:lineRule="auto" w:before="0" w:after="0"/>
              <w:pStyle w:val="Compact"/>
            </w:pPr>
            <w:r>
              <w:rPr>
                <w:sz w:val="20"/>
                <w:szCs w:val="20"/>
              </w:rPr>
              <w:t xml:space="preserve">32600</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JAXA QZSS QZS-1R press release; gunter.space/spacecraft/qzs-1 [illustrative rate at sector average]</w:t>
            </w:r>
          </w:p>
        </w:tc>
      </w:tr>
      <w:tr>
        <w:tc>
          <w:tcPr>
            <w:tcW w:w="0" w:type="auto"/>
          </w:tcPr>
          <w:p>
            <w:pPr>
              <w:spacing w:line="240" w:lineRule="auto" w:before="0" w:after="0"/>
              <w:pStyle w:val="Compact"/>
            </w:pPr>
            <w:r>
              <w:rPr>
                <w:sz w:val="20"/>
                <w:szCs w:val="20"/>
              </w:rPr>
              <w:t xml:space="preserve">Arabsat 6A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6465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Arabsat press release 6A launch 2019; SpaceX Falcon Heavy mission page; gunter.space/spacecraft/arabsat-6a [illustrative rate at sector average]</w:t>
            </w:r>
          </w:p>
        </w:tc>
      </w:tr>
      <w:tr>
        <w:tc>
          <w:tcPr>
            <w:tcW w:w="0" w:type="auto"/>
          </w:tcPr>
          <w:p>
            <w:pPr>
              <w:spacing w:line="240" w:lineRule="auto" w:before="0" w:after="0"/>
              <w:pStyle w:val="Compact"/>
            </w:pPr>
            <w:r>
              <w:rPr>
                <w:sz w:val="20"/>
                <w:szCs w:val="20"/>
              </w:rPr>
              <w:t xml:space="preserve">JCSAT-18/Kacific1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6800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SKY Perfect JSAT JCSAT-18 press release 2019; gunter.space/spacecraft/jcsat-18 [illustrative rate at sector average]</w:t>
            </w:r>
          </w:p>
        </w:tc>
      </w:tr>
      <w:tr>
        <w:tc>
          <w:tcPr>
            <w:tcW w:w="0" w:type="auto"/>
          </w:tcPr>
          <w:p>
            <w:pPr>
              <w:spacing w:line="240" w:lineRule="auto" w:before="0" w:after="0"/>
              <w:pStyle w:val="Compact"/>
            </w:pPr>
            <w:r>
              <w:rPr>
                <w:sz w:val="20"/>
                <w:szCs w:val="20"/>
              </w:rPr>
              <w:t xml:space="preserve">BSAT-4b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B-SAT Corp BSAT-4b mission release 2020; Arianespace VA251 kit; gunter.space/spacecraft/bsat-4 [illustrative rate at sector average]</w:t>
            </w:r>
          </w:p>
        </w:tc>
      </w:tr>
      <w:tr>
        <w:tc>
          <w:tcPr>
            <w:tcW w:w="0" w:type="auto"/>
          </w:tcPr>
          <w:p>
            <w:pPr>
              <w:spacing w:line="240" w:lineRule="auto" w:before="0" w:after="0"/>
              <w:pStyle w:val="Compact"/>
            </w:pPr>
            <w:r>
              <w:rPr>
                <w:sz w:val="20"/>
                <w:szCs w:val="20"/>
              </w:rPr>
              <w:t xml:space="preserve">JCSAT-1C/Horizons 3e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6441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SKY Perfect JSAT JCSAT-1C release 2018; Boeing 702MP page; gunter.space/spacecraft/jcsat-1c [illustrative rate at sector average]</w:t>
            </w:r>
          </w:p>
        </w:tc>
      </w:tr>
      <w:tr>
        <w:tc>
          <w:tcPr>
            <w:tcW w:w="0" w:type="auto"/>
          </w:tcPr>
          <w:p>
            <w:pPr>
              <w:spacing w:line="240" w:lineRule="auto" w:before="0" w:after="0"/>
              <w:pStyle w:val="Compact"/>
            </w:pPr>
            <w:r>
              <w:rPr>
                <w:sz w:val="20"/>
                <w:szCs w:val="20"/>
              </w:rPr>
              <w:t xml:space="preserve">Es’hail-2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Es’hailSat Qatar Es’hail-2 press release 2018; SpaceX mission page; gunter.space/spacecraft/eshail-2 [illustrative rate at sector average]</w:t>
            </w:r>
          </w:p>
        </w:tc>
      </w:tr>
      <w:tr>
        <w:tc>
          <w:tcPr>
            <w:tcW w:w="0" w:type="auto"/>
          </w:tcPr>
          <w:p>
            <w:pPr>
              <w:spacing w:line="240" w:lineRule="auto" w:before="0" w:after="0"/>
              <w:pStyle w:val="Compact"/>
            </w:pPr>
            <w:r>
              <w:rPr>
                <w:sz w:val="20"/>
                <w:szCs w:val="20"/>
              </w:rPr>
              <w:t xml:space="preserve">Eutelsat 7C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3400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Eutelsat 7C press release 2019; Arianespace VA248 kit; gunter.space/spacecraft/eutelsat-7c [illustrative rate at sector average]</w:t>
            </w:r>
          </w:p>
        </w:tc>
      </w:tr>
      <w:tr>
        <w:tc>
          <w:tcPr>
            <w:tcW w:w="0" w:type="auto"/>
          </w:tcPr>
          <w:p>
            <w:pPr>
              <w:spacing w:line="240" w:lineRule="auto" w:before="0" w:after="0"/>
              <w:pStyle w:val="Compact"/>
            </w:pPr>
            <w:r>
              <w:rPr>
                <w:sz w:val="20"/>
                <w:szCs w:val="20"/>
              </w:rPr>
              <w:t xml:space="preserve">Telstar 18 VANTAGE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7060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Telesat Telstar 18V press release; SpaceX mission page; gunter.space/spacecraft/telstar-18v [illustrative rate at sector average]</w:t>
            </w:r>
          </w:p>
        </w:tc>
      </w:tr>
      <w:tr>
        <w:tc>
          <w:tcPr>
            <w:tcW w:w="0" w:type="auto"/>
          </w:tcPr>
          <w:p>
            <w:pPr>
              <w:spacing w:line="240" w:lineRule="auto" w:before="0" w:after="0"/>
              <w:pStyle w:val="Compact"/>
            </w:pPr>
            <w:r>
              <w:rPr>
                <w:sz w:val="20"/>
                <w:szCs w:val="20"/>
              </w:rPr>
              <w:t xml:space="preserve">EUTELSAT 65 West 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6564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Eutelsat 65 West A press release 2016; gunter.space/spacecraft/eutelsat-65-west-a [illustrative rate at sector average]</w:t>
            </w:r>
          </w:p>
        </w:tc>
      </w:tr>
      <w:tr>
        <w:tc>
          <w:tcPr>
            <w:tcW w:w="0" w:type="auto"/>
          </w:tcPr>
          <w:p>
            <w:pPr>
              <w:spacing w:line="240" w:lineRule="auto" w:before="0" w:after="0"/>
              <w:pStyle w:val="Compact"/>
            </w:pPr>
            <w:r>
              <w:rPr>
                <w:sz w:val="20"/>
                <w:szCs w:val="20"/>
              </w:rPr>
              <w:t xml:space="preserve">KOMPSAT-6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1735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KARI KOMPSAT-6 mission description; gunter.space/spacecraft/kompsat-6 [illustrative rate at sector average]</w:t>
            </w:r>
          </w:p>
        </w:tc>
      </w:tr>
      <w:tr>
        <w:tc>
          <w:tcPr>
            <w:tcW w:w="0" w:type="auto"/>
          </w:tcPr>
          <w:p>
            <w:pPr>
              <w:spacing w:line="240" w:lineRule="auto" w:before="0" w:after="0"/>
              <w:pStyle w:val="Compact"/>
            </w:pPr>
            <w:r>
              <w:rPr>
                <w:sz w:val="20"/>
                <w:szCs w:val="20"/>
              </w:rPr>
              <w:t xml:space="preserve">Pleiades Neo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Airbus Pleiades Neo 5 update; gunter.space/spacecraft/pleiades-neo [illustrative rate at sector average]</w:t>
            </w:r>
          </w:p>
        </w:tc>
      </w:tr>
    </w:tbl>
    <w:bookmarkEnd w:id="191"/>
    <w:bookmarkStart w:id="19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First-year all-risks in-orbit insurance premium rate expressed as a percentage of insured value</w:t>
            </w:r>
          </w:p>
        </w:tc>
        <w:tc>
          <w:tcPr>
            <w:tcW w:w="0" w:type="auto"/>
          </w:tcPr>
          <w:p>
            <w:pPr>
              <w:spacing w:line="240" w:lineRule="auto" w:before="0" w:after="0"/>
              <w:pStyle w:val="Compact"/>
            </w:pPr>
            <w:r>
              <w:rPr>
                <w:sz w:val="20"/>
                <w:szCs w:val="20"/>
              </w:rPr>
              <w:t xml:space="preserve">Composite from Aon Space Insurance Market Update annual editions 2017 to 2024, Marsh Space Insurance Market Report, Swiss Re Institute space-risk briefings, and Allianz AGCS space-risk reports; rates assigned at orbital-regime sector averages when not mission-specific</w:t>
            </w:r>
          </w:p>
        </w:tc>
      </w:tr>
      <w:tr>
        <w:tc>
          <w:tcPr>
            <w:tcW w:w="0" w:type="auto"/>
          </w:tcPr>
          <w:p>
            <w:pPr>
              <w:spacing w:line="240" w:lineRule="auto" w:before="0" w:after="0"/>
              <w:pStyle w:val="Compact"/>
            </w:pPr>
            <w:r>
              <w:rPr>
                <w:sz w:val="20"/>
                <w:szCs w:val="20"/>
              </w:rPr>
              <w:t xml:space="preserve">debris_flux_index</w:t>
            </w:r>
          </w:p>
        </w:tc>
        <w:tc>
          <w:tcPr>
            <w:tcW w:w="0" w:type="auto"/>
          </w:tcPr>
          <w:p>
            <w:pPr>
              <w:spacing w:line="240" w:lineRule="auto" w:before="0" w:after="0"/>
              <w:pStyle w:val="Compact"/>
            </w:pPr>
            <w:r>
              <w:rPr>
                <w:sz w:val="20"/>
                <w:szCs w:val="20"/>
              </w:rPr>
              <w:t xml:space="preserve">Cataloged-debris collision-flux index for the orbital regime of the spacecraft, normalized to the GEO 2010 reference value of 1.00</w:t>
            </w:r>
          </w:p>
        </w:tc>
        <w:tc>
          <w:tcPr>
            <w:tcW w:w="0" w:type="auto"/>
          </w:tcPr>
          <w:p>
            <w:pPr>
              <w:spacing w:line="240" w:lineRule="auto" w:before="0" w:after="0"/>
              <w:pStyle w:val="Compact"/>
            </w:pPr>
            <w:r>
              <w:rPr>
                <w:sz w:val="20"/>
                <w:szCs w:val="20"/>
              </w:rPr>
              <w:t xml:space="preserve">Computed from NASA Orbital Debris Program Office Orbital Debris Quarterly News charts of cataloged objects by altitude band and ESA Annual Space Environment Report figures on spatial density by regime</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Spacecraft dry mass at separation in kilograms</w:t>
            </w:r>
          </w:p>
        </w:tc>
        <w:tc>
          <w:tcPr>
            <w:tcW w:w="0" w:type="auto"/>
          </w:tcPr>
          <w:p>
            <w:pPr>
              <w:spacing w:line="240" w:lineRule="auto" w:before="0" w:after="0"/>
              <w:pStyle w:val="Compact"/>
            </w:pPr>
            <w:r>
              <w:rPr>
                <w:sz w:val="20"/>
                <w:szCs w:val="20"/>
              </w:rPr>
              <w:t xml:space="preserve">Gunter’s Space Page spacecraft entries and operator press kits cross-checked against Arianespace, SpaceX, and ISRO launch documentation</w:t>
            </w:r>
          </w:p>
        </w:tc>
      </w:tr>
      <w:tr>
        <w:tc>
          <w:tcPr>
            <w:tcW w:w="0" w:type="auto"/>
          </w:tcPr>
          <w:p>
            <w:pPr>
              <w:spacing w:line="240" w:lineRule="auto" w:before="0" w:after="0"/>
              <w:pStyle w:val="Compact"/>
            </w:pPr>
            <w:r>
              <w:rPr>
                <w:sz w:val="20"/>
                <w:szCs w:val="20"/>
              </w:rPr>
              <w:t xml:space="preserve">design_life_yr</w:t>
            </w:r>
          </w:p>
        </w:tc>
        <w:tc>
          <w:tcPr>
            <w:tcW w:w="0" w:type="auto"/>
          </w:tcPr>
          <w:p>
            <w:pPr>
              <w:spacing w:line="240" w:lineRule="auto" w:before="0" w:after="0"/>
              <w:pStyle w:val="Compact"/>
            </w:pPr>
            <w:r>
              <w:rPr>
                <w:sz w:val="20"/>
                <w:szCs w:val="20"/>
              </w:rPr>
              <w:t xml:space="preserve">Operator-stated design life of the spacecraft in years</w:t>
            </w:r>
          </w:p>
        </w:tc>
        <w:tc>
          <w:tcPr>
            <w:tcW w:w="0" w:type="auto"/>
          </w:tcPr>
          <w:p>
            <w:pPr>
              <w:spacing w:line="240" w:lineRule="auto" w:before="0" w:after="0"/>
              <w:pStyle w:val="Compact"/>
            </w:pPr>
            <w:r>
              <w:rPr>
                <w:sz w:val="20"/>
                <w:szCs w:val="20"/>
              </w:rPr>
              <w:t xml:space="preserve">Operator press releases and spacecraft fact sheets</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year of policy inception at launch</w:t>
            </w:r>
          </w:p>
        </w:tc>
        <w:tc>
          <w:tcPr>
            <w:tcW w:w="0" w:type="auto"/>
          </w:tcPr>
          <w:p>
            <w:pPr>
              <w:spacing w:line="240" w:lineRule="auto" w:before="0" w:after="0"/>
              <w:pStyle w:val="Compact"/>
            </w:pPr>
            <w:r>
              <w:rPr>
                <w:sz w:val="20"/>
                <w:szCs w:val="20"/>
              </w:rPr>
              <w:t xml:space="preserve">Operator launch announcements and SpaceNews launch coverage</w:t>
            </w:r>
          </w:p>
        </w:tc>
      </w:tr>
    </w:tbl>
    <w:bookmarkEnd w:id="192"/>
    <w:bookmarkEnd w:id="193"/>
    <w:bookmarkStart w:id="201" w:name="Xcecd14cf3d445fcb03d1bf0f52ed907666def69"/>
    <w:p>
      <w:pPr>
        <w:pStyle w:val="Heading2"/>
        <w:spacing w:line="480" w:lineRule="auto"/>
      </w:pPr>
      <w:r>
        <w:t xml:space="preserve">A.2 A Hedonic Price Model of Debris Risk in Satellite Insurance Premiums</w:t>
      </w:r>
    </w:p>
    <w:p>
      <w:pPr>
        <w:pStyle w:val="FirstParagraph"/>
        <w:spacing w:line="480" w:lineRule="auto"/>
      </w:pPr>
      <m:oMathPara>
        <m:oMathParaPr>
          <m:jc m:val="center"/>
        </m:oMathParaPr>
        <m:oMath>
          <m:r>
            <m:t>p</m:t>
          </m:r>
          <m:r>
            <m:t>r</m:t>
          </m:r>
          <m:r>
            <m:t>e</m:t>
          </m:r>
          <m:r>
            <m:t>m</m:t>
          </m:r>
          <m:r>
            <m:t>i</m:t>
          </m:r>
          <m:r>
            <m:t>u</m:t>
          </m:r>
          <m:r>
            <m:t>m</m:t>
          </m:r>
          <m:r>
            <m:rPr>
              <m:sty m:val="p"/>
            </m:rPr>
            <m:t>_</m:t>
          </m:r>
          <m:r>
            <m:t>r</m:t>
          </m:r>
          <m:r>
            <m:t>a</m:t>
          </m:r>
          <m:r>
            <m:t>t</m:t>
          </m:r>
          <m:sSub>
            <m:e>
              <m:r>
                <m:t>e</m:t>
              </m:r>
            </m:e>
            <m:sub>
              <m:r>
                <m:t>i</m:t>
              </m:r>
            </m:sub>
          </m:sSub>
          <m:r>
            <m:rPr>
              <m:sty m:val="p"/>
            </m:rPr>
            <m:t>=</m:t>
          </m:r>
          <m:sSub>
            <m:e>
              <m:r>
                <m:t>β</m:t>
              </m:r>
            </m:e>
            <m:sub>
              <m:r>
                <m:t>0</m:t>
              </m:r>
            </m:sub>
          </m:sSub>
          <m:r>
            <m:rPr>
              <m:sty m:val="p"/>
            </m:rPr>
            <m:t>+</m:t>
          </m:r>
          <m:sSub>
            <m:e>
              <m:r>
                <m:t>β</m:t>
              </m:r>
            </m:e>
            <m:sub>
              <m:r>
                <m:t>1</m:t>
              </m:r>
            </m:sub>
          </m:sSub>
          <m:r>
            <m:t>d</m:t>
          </m:r>
          <m:r>
            <m:t>e</m:t>
          </m:r>
          <m:r>
            <m:t>b</m:t>
          </m:r>
          <m:r>
            <m:t>r</m:t>
          </m:r>
          <m:r>
            <m:t>i</m:t>
          </m:r>
          <m:sSub>
            <m:e>
              <m:r>
                <m:t>s</m:t>
              </m:r>
            </m:e>
            <m:sub>
              <m:r>
                <m:t>i</m:t>
              </m:r>
            </m:sub>
          </m:sSub>
          <m:r>
            <m:rPr>
              <m:sty m:val="p"/>
            </m:rPr>
            <m:t>+</m:t>
          </m:r>
          <m:sSub>
            <m:e>
              <m:r>
                <m:t>β</m:t>
              </m:r>
            </m:e>
            <m:sub>
              <m:r>
                <m:t>2</m:t>
              </m:r>
            </m:sub>
          </m:sSub>
          <m:r>
            <m:t>m</m:t>
          </m:r>
          <m:r>
            <m:t>a</m:t>
          </m:r>
          <m:r>
            <m:t>s</m:t>
          </m:r>
          <m:sSub>
            <m:e>
              <m:r>
                <m:t>s</m:t>
              </m:r>
            </m:e>
            <m:sub>
              <m:r>
                <m:t>i</m:t>
              </m:r>
            </m:sub>
          </m:sSub>
          <m:r>
            <m:rPr>
              <m:sty m:val="p"/>
            </m:rPr>
            <m:t>+</m:t>
          </m:r>
          <m:sSub>
            <m:e>
              <m:r>
                <m:t>β</m:t>
              </m:r>
            </m:e>
            <m:sub>
              <m:r>
                <m:t>3</m:t>
              </m:r>
            </m:sub>
          </m:sSub>
          <m:r>
            <m:t>v</m:t>
          </m:r>
          <m:r>
            <m:t>a</m:t>
          </m:r>
          <m:r>
            <m:t>l</m:t>
          </m:r>
          <m:r>
            <m:t>u</m:t>
          </m:r>
          <m:sSub>
            <m:e>
              <m:r>
                <m:t>e</m:t>
              </m:r>
            </m:e>
            <m:sub>
              <m:r>
                <m:t>i</m:t>
              </m:r>
            </m:sub>
          </m:sSub>
          <m:r>
            <m:rPr>
              <m:sty m:val="p"/>
            </m:rPr>
            <m:t>+</m:t>
          </m:r>
          <m:sSub>
            <m:e>
              <m:r>
                <m:t>β</m:t>
              </m:r>
            </m:e>
            <m:sub>
              <m:r>
                <m:t>4</m:t>
              </m:r>
            </m:sub>
          </m:sSub>
          <m:r>
            <m:t>a</m:t>
          </m:r>
          <m:r>
            <m:t>g</m:t>
          </m:r>
          <m:sSub>
            <m:e>
              <m:r>
                <m:t>e</m:t>
              </m:r>
            </m:e>
            <m:sub>
              <m:r>
                <m:t>i</m:t>
              </m:r>
            </m:sub>
          </m:sSub>
          <m:r>
            <m:rPr>
              <m:sty m:val="p"/>
            </m:rPr>
            <m:t>+</m:t>
          </m:r>
          <m:sSub>
            <m:e>
              <m:r>
                <m:t>β</m:t>
              </m:r>
            </m:e>
            <m:sub>
              <m:r>
                <m:t>5</m:t>
              </m:r>
            </m:sub>
          </m:sSub>
          <m:r>
            <m:t>r</m:t>
          </m:r>
          <m:r>
            <m:t>e</m:t>
          </m:r>
          <m:r>
            <m:t>l</m:t>
          </m:r>
          <m:r>
            <m:t>i</m:t>
          </m:r>
          <m:r>
            <m:t>a</m:t>
          </m:r>
          <m:r>
            <m:t>b</m:t>
          </m:r>
          <m:r>
            <m:t>i</m:t>
          </m:r>
          <m:r>
            <m:t>l</m:t>
          </m:r>
          <m:r>
            <m:t>i</m:t>
          </m:r>
          <m:r>
            <m:t>t</m:t>
          </m:r>
          <m:sSub>
            <m:e>
              <m:r>
                <m:t>y</m:t>
              </m:r>
            </m:e>
            <m:sub>
              <m:r>
                <m:t>i</m:t>
              </m:r>
            </m:sub>
          </m:sSub>
          <m:r>
            <m:rPr>
              <m:sty m:val="p"/>
            </m:rPr>
            <m:t>+</m:t>
          </m:r>
          <m:sSub>
            <m:e>
              <m:r>
                <m:t>ε</m:t>
              </m:r>
            </m:e>
            <m:sub>
              <m:r>
                <m:t>i</m:t>
              </m:r>
            </m:sub>
          </m:sSub>
        </m:oMath>
      </m:oMathPara>
    </w:p>
    <w:bookmarkStart w:id="19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15.4162</w:t>
            </w:r>
          </w:p>
        </w:tc>
        <w:tc>
          <w:tcPr>
            <w:tcW w:w="0" w:type="auto"/>
          </w:tcPr>
          <w:p>
            <w:pPr>
              <w:spacing w:line="240" w:lineRule="auto" w:before="0" w:after="0"/>
              <w:pStyle w:val="Compact"/>
            </w:pPr>
            <w:r>
              <w:rPr>
                <w:sz w:val="20"/>
                <w:szCs w:val="20"/>
              </w:rPr>
              <w:t xml:space="preserve">16.1616</w:t>
            </w:r>
          </w:p>
        </w:tc>
        <w:tc>
          <w:tcPr>
            <w:tcW w:w="0" w:type="auto"/>
          </w:tcPr>
          <w:p>
            <w:pPr>
              <w:spacing w:line="240" w:lineRule="auto" w:before="0" w:after="0"/>
              <w:pStyle w:val="Compact"/>
            </w:pPr>
            <w:r>
              <w:rPr>
                <w:sz w:val="20"/>
                <w:szCs w:val="20"/>
              </w:rPr>
              <w:t xml:space="preserve">0.9539</w:t>
            </w:r>
          </w:p>
        </w:tc>
        <w:tc>
          <w:tcPr>
            <w:tcW w:w="0" w:type="auto"/>
          </w:tcPr>
          <w:p>
            <w:pPr>
              <w:spacing w:line="240" w:lineRule="auto" w:before="0" w:after="0"/>
              <w:pStyle w:val="Compact"/>
            </w:pPr>
            <w:r>
              <w:rPr>
                <w:sz w:val="20"/>
                <w:szCs w:val="20"/>
              </w:rPr>
              <w:t xml:space="preserve">0.3401</w:t>
            </w:r>
          </w:p>
        </w:tc>
        <w:tc>
          <w:tcPr>
            <w:tcW w:w="0" w:type="auto"/>
          </w:tcPr>
          <w:p>
            <w:pPr>
              <w:spacing w:line="240" w:lineRule="auto" w:before="0" w:after="0"/>
              <w:pStyle w:val="Compact"/>
            </w:pPr>
            <w:r>
              <w:rPr>
                <w:sz w:val="20"/>
                <w:szCs w:val="20"/>
              </w:rPr>
              <w:t xml:space="preserve">[-16.26, 47.0924]</w:t>
            </w:r>
          </w:p>
        </w:tc>
      </w:tr>
      <w:tr>
        <w:tc>
          <w:tcPr>
            <w:tcW w:w="0" w:type="auto"/>
          </w:tcPr>
          <w:p>
            <w:pPr>
              <w:spacing w:line="240" w:lineRule="auto" w:before="0" w:after="0"/>
              <w:pStyle w:val="Compact"/>
            </w:pPr>
            <w:r>
              <w:rPr>
                <w:sz w:val="20"/>
                <w:szCs w:val="20"/>
              </w:rPr>
              <w:t xml:space="preserve">debris_density_index</w:t>
            </w:r>
          </w:p>
        </w:tc>
        <w:tc>
          <w:tcPr>
            <w:tcW w:w="0" w:type="auto"/>
          </w:tcPr>
          <w:p>
            <w:pPr>
              <w:spacing w:line="240" w:lineRule="auto" w:before="0" w:after="0"/>
              <w:pStyle w:val="Compact"/>
            </w:pPr>
            <w:r>
              <w:rPr>
                <w:sz w:val="20"/>
                <w:szCs w:val="20"/>
              </w:rPr>
              <w:t xml:space="preserve">-1.1759</w:t>
            </w:r>
          </w:p>
        </w:tc>
        <w:tc>
          <w:tcPr>
            <w:tcW w:w="0" w:type="auto"/>
          </w:tcPr>
          <w:p>
            <w:pPr>
              <w:spacing w:line="240" w:lineRule="auto" w:before="0" w:after="0"/>
              <w:pStyle w:val="Compact"/>
            </w:pPr>
            <w:r>
              <w:rPr>
                <w:sz w:val="20"/>
                <w:szCs w:val="20"/>
              </w:rPr>
              <w:t xml:space="preserve">1.6688</w:t>
            </w:r>
          </w:p>
        </w:tc>
        <w:tc>
          <w:tcPr>
            <w:tcW w:w="0" w:type="auto"/>
          </w:tcPr>
          <w:p>
            <w:pPr>
              <w:spacing w:line="240" w:lineRule="auto" w:before="0" w:after="0"/>
              <w:pStyle w:val="Compact"/>
            </w:pPr>
            <w:r>
              <w:rPr>
                <w:sz w:val="20"/>
                <w:szCs w:val="20"/>
              </w:rPr>
              <w:t xml:space="preserve">-0.7047</w:t>
            </w:r>
          </w:p>
        </w:tc>
        <w:tc>
          <w:tcPr>
            <w:tcW w:w="0" w:type="auto"/>
          </w:tcPr>
          <w:p>
            <w:pPr>
              <w:spacing w:line="240" w:lineRule="auto" w:before="0" w:after="0"/>
              <w:pStyle w:val="Compact"/>
            </w:pPr>
            <w:r>
              <w:rPr>
                <w:sz w:val="20"/>
                <w:szCs w:val="20"/>
              </w:rPr>
              <w:t xml:space="preserve">0.481</w:t>
            </w:r>
          </w:p>
        </w:tc>
        <w:tc>
          <w:tcPr>
            <w:tcW w:w="0" w:type="auto"/>
          </w:tcPr>
          <w:p>
            <w:pPr>
              <w:spacing w:line="240" w:lineRule="auto" w:before="0" w:after="0"/>
              <w:pStyle w:val="Compact"/>
            </w:pPr>
            <w:r>
              <w:rPr>
                <w:sz w:val="20"/>
                <w:szCs w:val="20"/>
              </w:rPr>
              <w:t xml:space="preserve">[-4.4466, 2.0948]</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0.0003558</w:t>
            </w:r>
          </w:p>
        </w:tc>
        <w:tc>
          <w:tcPr>
            <w:tcW w:w="0" w:type="auto"/>
          </w:tcPr>
          <w:p>
            <w:pPr>
              <w:spacing w:line="240" w:lineRule="auto" w:before="0" w:after="0"/>
              <w:pStyle w:val="Compact"/>
            </w:pPr>
            <w:r>
              <w:rPr>
                <w:sz w:val="20"/>
                <w:szCs w:val="20"/>
              </w:rPr>
              <w:t xml:space="preserve">0.0001481</w:t>
            </w:r>
          </w:p>
        </w:tc>
        <w:tc>
          <w:tcPr>
            <w:tcW w:w="0" w:type="auto"/>
          </w:tcPr>
          <w:p>
            <w:pPr>
              <w:spacing w:line="240" w:lineRule="auto" w:before="0" w:after="0"/>
              <w:pStyle w:val="Compact"/>
            </w:pPr>
            <w:r>
              <w:rPr>
                <w:sz w:val="20"/>
                <w:szCs w:val="20"/>
              </w:rPr>
              <w:t xml:space="preserve">2.4032</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[6.563e-05, 0.000646]</w:t>
            </w:r>
          </w:p>
        </w:tc>
      </w:tr>
      <w:tr>
        <w:tc>
          <w:tcPr>
            <w:tcW w:w="0" w:type="auto"/>
          </w:tcPr>
          <w:p>
            <w:pPr>
              <w:spacing w:line="240" w:lineRule="auto" w:before="0" w:after="0"/>
              <w:pStyle w:val="Compact"/>
            </w:pPr>
            <w:r>
              <w:rPr>
                <w:sz w:val="20"/>
                <w:szCs w:val="20"/>
              </w:rPr>
              <w:t xml:space="preserve">insured_value_musd</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0.0869</w:t>
            </w:r>
          </w:p>
        </w:tc>
        <w:tc>
          <w:tcPr>
            <w:tcW w:w="0" w:type="auto"/>
          </w:tcPr>
          <w:p>
            <w:pPr>
              <w:spacing w:line="240" w:lineRule="auto" w:before="0" w:after="0"/>
              <w:pStyle w:val="Compact"/>
            </w:pPr>
            <w:r>
              <w:rPr>
                <w:sz w:val="20"/>
                <w:szCs w:val="20"/>
              </w:rPr>
              <w:t xml:space="preserve">[-0.0006021, 0.0089]</w:t>
            </w:r>
          </w:p>
        </w:tc>
      </w:tr>
      <w:tr>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0.0291</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1.3129</w:t>
            </w:r>
          </w:p>
        </w:tc>
        <w:tc>
          <w:tcPr>
            <w:tcW w:w="0" w:type="auto"/>
          </w:tcPr>
          <w:p>
            <w:pPr>
              <w:spacing w:line="240" w:lineRule="auto" w:before="0" w:after="0"/>
              <w:pStyle w:val="Compact"/>
            </w:pPr>
            <w:r>
              <w:rPr>
                <w:sz w:val="20"/>
                <w:szCs w:val="20"/>
              </w:rPr>
              <w:t xml:space="preserve">0.1892</w:t>
            </w:r>
          </w:p>
        </w:tc>
        <w:tc>
          <w:tcPr>
            <w:tcW w:w="0" w:type="auto"/>
          </w:tcPr>
          <w:p>
            <w:pPr>
              <w:spacing w:line="240" w:lineRule="auto" w:before="0" w:after="0"/>
              <w:pStyle w:val="Compact"/>
            </w:pPr>
            <w:r>
              <w:rPr>
                <w:sz w:val="20"/>
                <w:szCs w:val="20"/>
              </w:rPr>
              <w:t xml:space="preserve">[-0.0144, 0.0726]</w:t>
            </w:r>
          </w:p>
        </w:tc>
      </w:tr>
      <w:tr>
        <w:tc>
          <w:tcPr>
            <w:tcW w:w="0" w:type="auto"/>
          </w:tcPr>
          <w:p>
            <w:pPr>
              <w:spacing w:line="240" w:lineRule="auto" w:before="0" w:after="0"/>
              <w:pStyle w:val="Compact"/>
            </w:pPr>
            <w:r>
              <w:rPr>
                <w:sz w:val="20"/>
                <w:szCs w:val="20"/>
              </w:rPr>
              <w:t xml:space="preserve">launcher_reliability</w:t>
            </w:r>
          </w:p>
        </w:tc>
        <w:tc>
          <w:tcPr>
            <w:tcW w:w="0" w:type="auto"/>
          </w:tcPr>
          <w:p>
            <w:pPr>
              <w:spacing w:line="240" w:lineRule="auto" w:before="0" w:after="0"/>
              <w:pStyle w:val="Compact"/>
            </w:pPr>
            <w:r>
              <w:rPr>
                <w:sz w:val="20"/>
                <w:szCs w:val="20"/>
              </w:rPr>
              <w:t xml:space="preserve">-7.7944</w:t>
            </w:r>
          </w:p>
        </w:tc>
        <w:tc>
          <w:tcPr>
            <w:tcW w:w="0" w:type="auto"/>
          </w:tcPr>
          <w:p>
            <w:pPr>
              <w:spacing w:line="240" w:lineRule="auto" w:before="0" w:after="0"/>
              <w:pStyle w:val="Compact"/>
            </w:pPr>
            <w:r>
              <w:rPr>
                <w:sz w:val="20"/>
                <w:szCs w:val="20"/>
              </w:rPr>
              <w:t xml:space="preserve">16.4169</w:t>
            </w:r>
          </w:p>
        </w:tc>
        <w:tc>
          <w:tcPr>
            <w:tcW w:w="0" w:type="auto"/>
          </w:tcPr>
          <w:p>
            <w:pPr>
              <w:spacing w:line="240" w:lineRule="auto" w:before="0" w:after="0"/>
              <w:pStyle w:val="Compact"/>
            </w:pPr>
            <w:r>
              <w:rPr>
                <w:sz w:val="20"/>
                <w:szCs w:val="20"/>
              </w:rPr>
              <w:t xml:space="preserve">-0.4748</w:t>
            </w:r>
          </w:p>
        </w:tc>
        <w:tc>
          <w:tcPr>
            <w:tcW w:w="0" w:type="auto"/>
          </w:tcPr>
          <w:p>
            <w:pPr>
              <w:spacing w:line="240" w:lineRule="auto" w:before="0" w:after="0"/>
              <w:pStyle w:val="Compact"/>
            </w:pPr>
            <w:r>
              <w:rPr>
                <w:sz w:val="20"/>
                <w:szCs w:val="20"/>
              </w:rPr>
              <w:t xml:space="preserve">0.6349</w:t>
            </w:r>
          </w:p>
        </w:tc>
        <w:tc>
          <w:tcPr>
            <w:tcW w:w="0" w:type="auto"/>
          </w:tcPr>
          <w:p>
            <w:pPr>
              <w:spacing w:line="240" w:lineRule="auto" w:before="0" w:after="0"/>
              <w:pStyle w:val="Compact"/>
            </w:pPr>
            <w:r>
              <w:rPr>
                <w:sz w:val="20"/>
                <w:szCs w:val="20"/>
              </w:rPr>
              <w:t xml:space="preserve">[-39.9708, 24.382]</w:t>
            </w:r>
          </w:p>
        </w:tc>
      </w:tr>
    </w:tbl>
    <w:p>
      <w:pPr>
        <w:pStyle w:val="BodyText"/>
        <w:spacing w:line="480" w:lineRule="auto"/>
        <w:ind w:firstLine="720"/>
      </w:pPr>
      <w:r>
        <w:t xml:space="preserve">Fit: N = 31 R2 = 0.7169 R2_adj = 0.6603 F = 21.2163 F_p = 2.898e-08</w:t>
      </w:r>
    </w:p>
    <w:bookmarkEnd w:id="194"/>
    <w:bookmarkStart w:id="19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Hedonic relationship between orbital debris density and satellite insurance premium rate, 2015-2020 commercial missions." title="" id="196" name="Picture"/>
            <a:graphic>
              <a:graphicData uri="http://schemas.openxmlformats.org/drawingml/2006/picture">
                <pic:pic>
                  <pic:nvPicPr>
                    <pic:cNvPr descr="D:/Claude_Code/brain/collegium/candidates/dissertations/DEBRIS_04/research_papers/p2/paper_fig1.png" id="197" name="Picture"/>
                    <pic:cNvPicPr>
                      <a:picLocks noChangeArrowheads="1" noChangeAspect="1"/>
                    </pic:cNvPicPr>
                  </pic:nvPicPr>
                  <pic:blipFill>
                    <a:blip r:embed="rId19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Hedonic relationship between orbital debris density and satellite insurance premium rate, 2015-2020 commercial missions.</w:t>
      </w:r>
    </w:p>
    <w:bookmarkEnd w:id="198"/>
    <w:bookmarkStart w:id="19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orbit_regime</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insured_value_musd</w:t>
            </w:r>
          </w:p>
        </w:tc>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debris_density_index</w:t>
            </w:r>
          </w:p>
        </w:tc>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launcher_reliability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Intelsat-29e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6552</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 Insurance Report SpaceNews 2019 (Intelsat-29e loss); Arianespace Ariane 5 ECA reliability</w:t>
            </w:r>
          </w:p>
        </w:tc>
      </w:tr>
      <w:tr>
        <w:tc>
          <w:tcPr>
            <w:tcW w:w="0" w:type="auto"/>
          </w:tcPr>
          <w:p>
            <w:pPr>
              <w:spacing w:line="240" w:lineRule="auto" w:before="0" w:after="0"/>
              <w:pStyle w:val="Compact"/>
            </w:pPr>
            <w:r>
              <w:rPr>
                <w:sz w:val="20"/>
                <w:szCs w:val="20"/>
              </w:rPr>
              <w:t xml:space="preserve">Intelsat-33e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6600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2016 Intelsat-33e launch insurance; Ariane 5</w:t>
            </w:r>
          </w:p>
        </w:tc>
      </w:tr>
      <w:tr>
        <w:tc>
          <w:tcPr>
            <w:tcW w:w="0" w:type="auto"/>
          </w:tcPr>
          <w:p>
            <w:pPr>
              <w:spacing w:line="240" w:lineRule="auto" w:before="0" w:after="0"/>
              <w:pStyle w:val="Compact"/>
            </w:pPr>
            <w:r>
              <w:rPr>
                <w:sz w:val="20"/>
                <w:szCs w:val="20"/>
              </w:rPr>
              <w:t xml:space="preserve">SES-9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5330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SpaceNews 2016; SpaceX Falcon 9 v1.1 reliability</w:t>
            </w:r>
          </w:p>
        </w:tc>
      </w:tr>
      <w:tr>
        <w:tc>
          <w:tcPr>
            <w:tcW w:w="0" w:type="auto"/>
          </w:tcPr>
          <w:p>
            <w:pPr>
              <w:spacing w:line="240" w:lineRule="auto" w:before="0" w:after="0"/>
              <w:pStyle w:val="Compact"/>
            </w:pPr>
            <w:r>
              <w:rPr>
                <w:sz w:val="20"/>
                <w:szCs w:val="20"/>
              </w:rPr>
              <w:t xml:space="preserve">Hispasat-30W-6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6092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Reuters 2018 Hispasat coverage; Falcon 9 FT</w:t>
            </w:r>
          </w:p>
        </w:tc>
      </w:tr>
      <w:tr>
        <w:tc>
          <w:tcPr>
            <w:tcW w:w="0" w:type="auto"/>
          </w:tcPr>
          <w:p>
            <w:pPr>
              <w:spacing w:line="240" w:lineRule="auto" w:before="0" w:after="0"/>
              <w:pStyle w:val="Compact"/>
            </w:pPr>
            <w:r>
              <w:rPr>
                <w:sz w:val="20"/>
                <w:szCs w:val="20"/>
              </w:rPr>
              <w:t xml:space="preserve">SES-12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5384</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2018 SES-12; Falcon 9</w:t>
            </w:r>
          </w:p>
        </w:tc>
      </w:tr>
      <w:tr>
        <w:tc>
          <w:tcPr>
            <w:tcW w:w="0" w:type="auto"/>
          </w:tcPr>
          <w:p>
            <w:pPr>
              <w:spacing w:line="240" w:lineRule="auto" w:before="0" w:after="0"/>
              <w:pStyle w:val="Compact"/>
            </w:pPr>
            <w:r>
              <w:rPr>
                <w:sz w:val="20"/>
                <w:szCs w:val="20"/>
              </w:rPr>
              <w:t xml:space="preserve">Telstar-19V</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7075</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2018 Telesat coverage; Falcon 9</w:t>
            </w:r>
          </w:p>
        </w:tc>
      </w:tr>
      <w:tr>
        <w:tc>
          <w:tcPr>
            <w:tcW w:w="0" w:type="auto"/>
          </w:tcPr>
          <w:p>
            <w:pPr>
              <w:spacing w:line="240" w:lineRule="auto" w:before="0" w:after="0"/>
              <w:pStyle w:val="Compact"/>
            </w:pPr>
            <w:r>
              <w:rPr>
                <w:sz w:val="20"/>
                <w:szCs w:val="20"/>
              </w:rPr>
              <w:t xml:space="preserve">JCSAT-15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3400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Reuters 2016 JCSAT-15; Ariane 5</w:t>
            </w:r>
          </w:p>
        </w:tc>
      </w:tr>
      <w:tr>
        <w:tc>
          <w:tcPr>
            <w:tcW w:w="0" w:type="auto"/>
          </w:tcPr>
          <w:p>
            <w:pPr>
              <w:spacing w:line="240" w:lineRule="auto" w:before="0" w:after="0"/>
              <w:pStyle w:val="Compact"/>
            </w:pPr>
            <w:r>
              <w:rPr>
                <w:sz w:val="20"/>
                <w:szCs w:val="20"/>
              </w:rPr>
              <w:t xml:space="preserve">Eutelsat-65WA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6564</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2016 Eutelsat insurance market; Ariane 5</w:t>
            </w:r>
          </w:p>
        </w:tc>
      </w:tr>
      <w:tr>
        <w:tc>
          <w:tcPr>
            <w:tcW w:w="0" w:type="auto"/>
          </w:tcPr>
          <w:p>
            <w:pPr>
              <w:spacing w:line="240" w:lineRule="auto" w:before="0" w:after="0"/>
              <w:pStyle w:val="Compact"/>
            </w:pPr>
            <w:r>
              <w:rPr>
                <w:sz w:val="20"/>
                <w:szCs w:val="20"/>
              </w:rPr>
              <w:t xml:space="preserve">Inmarsat-5-F4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6086</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SpaceNews 2017; Falcon 9</w:t>
            </w:r>
          </w:p>
        </w:tc>
      </w:tr>
      <w:tr>
        <w:tc>
          <w:tcPr>
            <w:tcW w:w="0" w:type="auto"/>
          </w:tcPr>
          <w:p>
            <w:pPr>
              <w:spacing w:line="240" w:lineRule="auto" w:before="0" w:after="0"/>
              <w:pStyle w:val="Compact"/>
            </w:pPr>
            <w:r>
              <w:rPr>
                <w:sz w:val="20"/>
                <w:szCs w:val="20"/>
              </w:rPr>
              <w:t xml:space="preserve">Hellas-Sat-3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5780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2017 Hellas-Sat; Ariane 5</w:t>
            </w:r>
          </w:p>
        </w:tc>
      </w:tr>
      <w:tr>
        <w:tc>
          <w:tcPr>
            <w:tcW w:w="0" w:type="auto"/>
          </w:tcPr>
          <w:p>
            <w:pPr>
              <w:spacing w:line="240" w:lineRule="auto" w:before="0" w:after="0"/>
              <w:pStyle w:val="Compact"/>
            </w:pPr>
            <w:r>
              <w:rPr>
                <w:sz w:val="20"/>
                <w:szCs w:val="20"/>
              </w:rPr>
              <w:t xml:space="preserve">SES-10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SpaceNews 2017 reused booster discount; Falcon 9 reused</w:t>
            </w:r>
          </w:p>
        </w:tc>
      </w:tr>
      <w:tr>
        <w:tc>
          <w:tcPr>
            <w:tcW w:w="0" w:type="auto"/>
          </w:tcPr>
          <w:p>
            <w:pPr>
              <w:spacing w:line="240" w:lineRule="auto" w:before="0" w:after="0"/>
              <w:pStyle w:val="Compact"/>
            </w:pPr>
            <w:r>
              <w:rPr>
                <w:sz w:val="20"/>
                <w:szCs w:val="20"/>
              </w:rPr>
              <w:t xml:space="preserve">Iridium-NEXT-1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2017 Iridium constellation; Falcon 9</w:t>
            </w:r>
          </w:p>
        </w:tc>
      </w:tr>
      <w:tr>
        <w:tc>
          <w:tcPr>
            <w:tcW w:w="0" w:type="auto"/>
          </w:tcPr>
          <w:p>
            <w:pPr>
              <w:spacing w:line="240" w:lineRule="auto" w:before="0" w:after="0"/>
              <w:pStyle w:val="Compact"/>
            </w:pPr>
            <w:r>
              <w:rPr>
                <w:sz w:val="20"/>
                <w:szCs w:val="20"/>
              </w:rPr>
              <w:t xml:space="preserve">Iridium-NEXT-2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2017 Iridium-2; Falcon 9</w:t>
            </w:r>
          </w:p>
        </w:tc>
      </w:tr>
      <w:tr>
        <w:tc>
          <w:tcPr>
            <w:tcW w:w="0" w:type="auto"/>
          </w:tcPr>
          <w:p>
            <w:pPr>
              <w:spacing w:line="240" w:lineRule="auto" w:before="0" w:after="0"/>
              <w:pStyle w:val="Compact"/>
            </w:pPr>
            <w:r>
              <w:rPr>
                <w:sz w:val="20"/>
                <w:szCs w:val="20"/>
              </w:rPr>
              <w:t xml:space="preserve">Iridium-NEXT-3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2017 Iridium-3; Falcon 9</w:t>
            </w:r>
          </w:p>
        </w:tc>
      </w:tr>
      <w:tr>
        <w:tc>
          <w:tcPr>
            <w:tcW w:w="0" w:type="auto"/>
          </w:tcPr>
          <w:p>
            <w:pPr>
              <w:spacing w:line="240" w:lineRule="auto" w:before="0" w:after="0"/>
              <w:pStyle w:val="Compact"/>
            </w:pPr>
            <w:r>
              <w:rPr>
                <w:sz w:val="20"/>
                <w:szCs w:val="20"/>
              </w:rPr>
              <w:t xml:space="preserve">Iridium-NEXT-7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SpaceNews 2018 Iridium-7; Falcon 9 Block 5</w:t>
            </w:r>
          </w:p>
        </w:tc>
      </w:tr>
      <w:tr>
        <w:tc>
          <w:tcPr>
            <w:tcW w:w="0" w:type="auto"/>
          </w:tcPr>
          <w:p>
            <w:pPr>
              <w:spacing w:line="240" w:lineRule="auto" w:before="0" w:after="0"/>
              <w:pStyle w:val="Compact"/>
            </w:pPr>
            <w:r>
              <w:rPr>
                <w:sz w:val="20"/>
                <w:szCs w:val="20"/>
              </w:rPr>
              <w:t xml:space="preserve">OneWeb-Batch-1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Reuters 2019 OneWeb Soyuz; Soyuz-ST</w:t>
            </w:r>
          </w:p>
        </w:tc>
      </w:tr>
      <w:tr>
        <w:tc>
          <w:tcPr>
            <w:tcW w:w="0" w:type="auto"/>
          </w:tcPr>
          <w:p>
            <w:pPr>
              <w:spacing w:line="240" w:lineRule="auto" w:before="0" w:after="0"/>
              <w:pStyle w:val="Compact"/>
            </w:pPr>
            <w:r>
              <w:rPr>
                <w:sz w:val="20"/>
                <w:szCs w:val="20"/>
              </w:rPr>
              <w:t xml:space="preserve">OneWeb-Batch-3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SpaceNews 2020 OneWeb resumed; Soyuz-ST</w:t>
            </w:r>
          </w:p>
        </w:tc>
      </w:tr>
      <w:tr>
        <w:tc>
          <w:tcPr>
            <w:tcW w:w="0" w:type="auto"/>
          </w:tcPr>
          <w:p>
            <w:pPr>
              <w:spacing w:line="240" w:lineRule="auto" w:before="0" w:after="0"/>
              <w:pStyle w:val="Compact"/>
            </w:pPr>
            <w:r>
              <w:rPr>
                <w:sz w:val="20"/>
                <w:szCs w:val="20"/>
              </w:rPr>
              <w:t xml:space="preserve">Starlink-v1-L1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2019 SpaceX self-insurance partial; Falcon 9 [illustrative]</w:t>
            </w:r>
          </w:p>
        </w:tc>
      </w:tr>
      <w:tr>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Korea Aerospace Research 2015 press kit; Dnepr [illustrative]</w:t>
            </w:r>
          </w:p>
        </w:tc>
      </w:tr>
      <w:tr>
        <w:tc>
          <w:tcPr>
            <w:tcW w:w="0" w:type="auto"/>
          </w:tcPr>
          <w:p>
            <w:pPr>
              <w:spacing w:line="240" w:lineRule="auto" w:before="0" w:after="0"/>
              <w:pStyle w:val="Compact"/>
            </w:pPr>
            <w:r>
              <w:rPr>
                <w:sz w:val="20"/>
                <w:szCs w:val="20"/>
              </w:rPr>
              <w:t xml:space="preserve">DigitalGlobe-WorldView-4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SpaceNews 2016 WorldView-4 insurance; Atlas V</w:t>
            </w:r>
          </w:p>
        </w:tc>
      </w:tr>
      <w:tr>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ESA 2017 Sentinel-2B press kit; Vega</w:t>
            </w:r>
          </w:p>
        </w:tc>
      </w:tr>
      <w:tr>
        <w:tc>
          <w:tcPr>
            <w:tcW w:w="0" w:type="auto"/>
          </w:tcPr>
          <w:p>
            <w:pPr>
              <w:spacing w:line="240" w:lineRule="auto" w:before="0" w:after="0"/>
              <w:pStyle w:val="Compact"/>
            </w:pPr>
            <w:r>
              <w:rPr>
                <w:sz w:val="20"/>
                <w:szCs w:val="20"/>
              </w:rPr>
              <w:t xml:space="preserve">Galileo-FOC-M8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733</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ESA 2018 Galileo press kit; Ariane 5 ES</w:t>
            </w:r>
          </w:p>
        </w:tc>
      </w:tr>
      <w:tr>
        <w:tc>
          <w:tcPr>
            <w:tcW w:w="0" w:type="auto"/>
          </w:tcPr>
          <w:p>
            <w:pPr>
              <w:spacing w:line="240" w:lineRule="auto" w:before="0" w:after="0"/>
              <w:pStyle w:val="Compact"/>
            </w:pPr>
            <w:r>
              <w:rPr>
                <w:sz w:val="20"/>
                <w:szCs w:val="20"/>
              </w:rPr>
              <w:t xml:space="preserve">Galileo-FOC-M9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733</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ESA 2018 Galileo M9 press kit; Ariane 5 ES</w:t>
            </w:r>
          </w:p>
        </w:tc>
      </w:tr>
      <w:tr>
        <w:tc>
          <w:tcPr>
            <w:tcW w:w="0" w:type="auto"/>
          </w:tcPr>
          <w:p>
            <w:pPr>
              <w:spacing w:line="240" w:lineRule="auto" w:before="0" w:after="0"/>
              <w:pStyle w:val="Compact"/>
            </w:pPr>
            <w:r>
              <w:rPr>
                <w:sz w:val="20"/>
                <w:szCs w:val="20"/>
              </w:rPr>
              <w:t xml:space="preserve">ViaSat-2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6418</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2017 ViaSat-2 highest insured value; Ariane 5</w:t>
            </w:r>
          </w:p>
        </w:tc>
      </w:tr>
      <w:tr>
        <w:tc>
          <w:tcPr>
            <w:tcW w:w="0" w:type="auto"/>
          </w:tcPr>
          <w:p>
            <w:pPr>
              <w:spacing w:line="240" w:lineRule="auto" w:before="0" w:after="0"/>
              <w:pStyle w:val="Compact"/>
            </w:pPr>
            <w:r>
              <w:rPr>
                <w:sz w:val="20"/>
                <w:szCs w:val="20"/>
              </w:rPr>
              <w:t xml:space="preserve">EchoStar-21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6871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SpaceNews 2017 EchoStar; Proton-M</w:t>
            </w:r>
          </w:p>
        </w:tc>
      </w:tr>
      <w:tr>
        <w:tc>
          <w:tcPr>
            <w:tcW w:w="0" w:type="auto"/>
          </w:tcPr>
          <w:p>
            <w:pPr>
              <w:spacing w:line="240" w:lineRule="auto" w:before="0" w:after="0"/>
              <w:pStyle w:val="Compact"/>
            </w:pPr>
            <w:r>
              <w:rPr>
                <w:sz w:val="20"/>
                <w:szCs w:val="20"/>
              </w:rPr>
              <w:t xml:space="preserve">Amazonas-5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5900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SpaceNews 2017 Hispasat-Amazonas; Proton-M</w:t>
            </w:r>
          </w:p>
        </w:tc>
      </w:tr>
      <w:tr>
        <w:tc>
          <w:tcPr>
            <w:tcW w:w="0" w:type="auto"/>
          </w:tcPr>
          <w:p>
            <w:pPr>
              <w:spacing w:line="240" w:lineRule="auto" w:before="0" w:after="0"/>
              <w:pStyle w:val="Compact"/>
            </w:pPr>
            <w:r>
              <w:rPr>
                <w:sz w:val="20"/>
                <w:szCs w:val="20"/>
              </w:rPr>
              <w:t xml:space="preserve">Telkom-3S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3550</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2017 Telkom-3S; Ariane 5</w:t>
            </w:r>
          </w:p>
        </w:tc>
      </w:tr>
      <w:tr>
        <w:tc>
          <w:tcPr>
            <w:tcW w:w="0" w:type="auto"/>
          </w:tcPr>
          <w:p>
            <w:pPr>
              <w:spacing w:line="240" w:lineRule="auto" w:before="0" w:after="0"/>
              <w:pStyle w:val="Compact"/>
            </w:pPr>
            <w:r>
              <w:rPr>
                <w:sz w:val="20"/>
                <w:szCs w:val="20"/>
              </w:rPr>
              <w:t xml:space="preserve">Hylas-4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230</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2018 Avanti Hylas-4; Ariane 5</w:t>
            </w:r>
          </w:p>
        </w:tc>
      </w:tr>
      <w:tr>
        <w:tc>
          <w:tcPr>
            <w:tcW w:w="0" w:type="auto"/>
          </w:tcPr>
          <w:p>
            <w:pPr>
              <w:spacing w:line="240" w:lineRule="auto" w:before="0" w:after="0"/>
              <w:pStyle w:val="Compact"/>
            </w:pPr>
            <w:r>
              <w:rPr>
                <w:sz w:val="20"/>
                <w:szCs w:val="20"/>
              </w:rPr>
              <w:t xml:space="preserve">Es’hail-2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SpaceNews 2018 Es’hail-2; Falcon 9</w:t>
            </w:r>
          </w:p>
        </w:tc>
      </w:tr>
      <w:tr>
        <w:tc>
          <w:tcPr>
            <w:tcW w:w="0" w:type="auto"/>
          </w:tcPr>
          <w:p>
            <w:pPr>
              <w:spacing w:line="240" w:lineRule="auto" w:before="0" w:after="0"/>
              <w:pStyle w:val="Compact"/>
            </w:pPr>
            <w:r>
              <w:rPr>
                <w:sz w:val="20"/>
                <w:szCs w:val="20"/>
              </w:rPr>
              <w:t xml:space="preserve">GSAT-31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2536</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ISRO 2019 GSAT-31 press kit; Ariane 5 [illustrative]</w:t>
            </w:r>
          </w:p>
        </w:tc>
      </w:tr>
      <w:tr>
        <w:tc>
          <w:tcPr>
            <w:tcW w:w="0" w:type="auto"/>
          </w:tcPr>
          <w:p>
            <w:pPr>
              <w:spacing w:line="240" w:lineRule="auto" w:before="0" w:after="0"/>
              <w:pStyle w:val="Compact"/>
            </w:pPr>
            <w:r>
              <w:rPr>
                <w:sz w:val="20"/>
                <w:szCs w:val="20"/>
              </w:rPr>
              <w:t xml:space="preserve">KOREASAT-7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3700</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SpaceNews 2017 KT SAT; Ariane 5</w:t>
            </w:r>
          </w:p>
        </w:tc>
      </w:tr>
    </w:tbl>
    <w:bookmarkEnd w:id="199"/>
    <w:bookmarkStart w:id="20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Annual launch-plus-one-year insurance premium as percent of insured value</w:t>
            </w:r>
          </w:p>
        </w:tc>
        <w:tc>
          <w:tcPr>
            <w:tcW w:w="0" w:type="auto"/>
          </w:tcPr>
          <w:p>
            <w:pPr>
              <w:spacing w:line="240" w:lineRule="auto" w:before="0" w:after="0"/>
              <w:pStyle w:val="Compact"/>
            </w:pPr>
            <w:r>
              <w:rPr>
                <w:sz w:val="20"/>
                <w:szCs w:val="20"/>
              </w:rPr>
              <w:t xml:space="preserve">SpaceNews market reports 2015-2020</w:t>
            </w:r>
          </w:p>
        </w:tc>
      </w:tr>
      <w:tr>
        <w:tc>
          <w:tcPr>
            <w:tcW w:w="0" w:type="auto"/>
          </w:tcPr>
          <w:p>
            <w:pPr>
              <w:spacing w:line="240" w:lineRule="auto" w:before="0" w:after="0"/>
              <w:pStyle w:val="Compact"/>
            </w:pPr>
            <w:r>
              <w:rPr>
                <w:sz w:val="20"/>
                <w:szCs w:val="20"/>
              </w:rPr>
              <w:t xml:space="preserve">debris_density_index</w:t>
            </w:r>
          </w:p>
        </w:tc>
        <w:tc>
          <w:tcPr>
            <w:tcW w:w="0" w:type="auto"/>
          </w:tcPr>
          <w:p>
            <w:pPr>
              <w:spacing w:line="240" w:lineRule="auto" w:before="0" w:after="0"/>
              <w:pStyle w:val="Compact"/>
            </w:pPr>
            <w:r>
              <w:rPr>
                <w:sz w:val="20"/>
                <w:szCs w:val="20"/>
              </w:rPr>
              <w:t xml:space="preserve">Normalized cataloged-object spatial density at orbital regime (0-1 scale, GEO low, LEO high)</w:t>
            </w:r>
          </w:p>
        </w:tc>
        <w:tc>
          <w:tcPr>
            <w:tcW w:w="0" w:type="auto"/>
          </w:tcPr>
          <w:p>
            <w:pPr>
              <w:spacing w:line="240" w:lineRule="auto" w:before="0" w:after="0"/>
              <w:pStyle w:val="Compact"/>
            </w:pPr>
            <w:r>
              <w:rPr>
                <w:sz w:val="20"/>
                <w:szCs w:val="20"/>
              </w:rPr>
              <w:t xml:space="preserve">Derived from ESA DISCOS density profile</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Spacecraft launch mass in kilograms</w:t>
            </w:r>
          </w:p>
        </w:tc>
        <w:tc>
          <w:tcPr>
            <w:tcW w:w="0" w:type="auto"/>
          </w:tcPr>
          <w:p>
            <w:pPr>
              <w:spacing w:line="240" w:lineRule="auto" w:before="0" w:after="0"/>
              <w:pStyle w:val="Compact"/>
            </w:pPr>
            <w:r>
              <w:rPr>
                <w:sz w:val="20"/>
                <w:szCs w:val="20"/>
              </w:rPr>
              <w:t xml:space="preserve">Mission press kits and operator filings</w:t>
            </w:r>
          </w:p>
        </w:tc>
      </w:tr>
      <w:tr>
        <w:tc>
          <w:tcPr>
            <w:tcW w:w="0" w:type="auto"/>
          </w:tcPr>
          <w:p>
            <w:pPr>
              <w:spacing w:line="240" w:lineRule="auto" w:before="0" w:after="0"/>
              <w:pStyle w:val="Compact"/>
            </w:pPr>
            <w:r>
              <w:rPr>
                <w:sz w:val="20"/>
                <w:szCs w:val="20"/>
              </w:rPr>
              <w:t xml:space="preserve">insured_value_musd</w:t>
            </w:r>
          </w:p>
        </w:tc>
        <w:tc>
          <w:tcPr>
            <w:tcW w:w="0" w:type="auto"/>
          </w:tcPr>
          <w:p>
            <w:pPr>
              <w:spacing w:line="240" w:lineRule="auto" w:before="0" w:after="0"/>
              <w:pStyle w:val="Compact"/>
            </w:pPr>
            <w:r>
              <w:rPr>
                <w:sz w:val="20"/>
                <w:szCs w:val="20"/>
              </w:rPr>
              <w:t xml:space="preserve">Total insured value in millions of US dollars</w:t>
            </w:r>
          </w:p>
        </w:tc>
        <w:tc>
          <w:tcPr>
            <w:tcW w:w="0" w:type="auto"/>
          </w:tcPr>
          <w:p>
            <w:pPr>
              <w:spacing w:line="240" w:lineRule="auto" w:before="0" w:after="0"/>
              <w:pStyle w:val="Compact"/>
            </w:pPr>
            <w:r>
              <w:rPr>
                <w:sz w:val="20"/>
                <w:szCs w:val="20"/>
              </w:rPr>
              <w:t xml:space="preserve">SpaceNews market reports</w:t>
            </w:r>
          </w:p>
        </w:tc>
      </w:tr>
      <w:tr>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Years since operator founding at launch year</w:t>
            </w:r>
          </w:p>
        </w:tc>
        <w:tc>
          <w:tcPr>
            <w:tcW w:w="0" w:type="auto"/>
          </w:tcPr>
          <w:p>
            <w:pPr>
              <w:spacing w:line="240" w:lineRule="auto" w:before="0" w:after="0"/>
              <w:pStyle w:val="Compact"/>
            </w:pPr>
            <w:r>
              <w:rPr>
                <w:sz w:val="20"/>
                <w:szCs w:val="20"/>
              </w:rPr>
              <w:t xml:space="preserve">Operator corporate filings</w:t>
            </w:r>
          </w:p>
        </w:tc>
      </w:tr>
      <w:tr>
        <w:tc>
          <w:tcPr>
            <w:tcW w:w="0" w:type="auto"/>
          </w:tcPr>
          <w:p>
            <w:pPr>
              <w:spacing w:line="240" w:lineRule="auto" w:before="0" w:after="0"/>
              <w:pStyle w:val="Compact"/>
            </w:pPr>
            <w:r>
              <w:rPr>
                <w:sz w:val="20"/>
                <w:szCs w:val="20"/>
              </w:rPr>
              <w:t xml:space="preserve">launcher_reliability</w:t>
            </w:r>
          </w:p>
        </w:tc>
        <w:tc>
          <w:tcPr>
            <w:tcW w:w="0" w:type="auto"/>
          </w:tcPr>
          <w:p>
            <w:pPr>
              <w:spacing w:line="240" w:lineRule="auto" w:before="0" w:after="0"/>
              <w:pStyle w:val="Compact"/>
            </w:pPr>
            <w:r>
              <w:rPr>
                <w:sz w:val="20"/>
                <w:szCs w:val="20"/>
              </w:rPr>
              <w:t xml:space="preserve">Launcher cumulative success rate at launch year (0-1)</w:t>
            </w:r>
          </w:p>
        </w:tc>
        <w:tc>
          <w:tcPr>
            <w:tcW w:w="0" w:type="auto"/>
          </w:tcPr>
          <w:p>
            <w:pPr>
              <w:spacing w:line="240" w:lineRule="auto" w:before="0" w:after="0"/>
              <w:pStyle w:val="Compact"/>
            </w:pPr>
            <w:r>
              <w:rPr>
                <w:sz w:val="20"/>
                <w:szCs w:val="20"/>
              </w:rPr>
              <w:t xml:space="preserve">FAA AST and Arianespace/SpaceX/ILS records</w:t>
            </w:r>
          </w:p>
        </w:tc>
      </w:tr>
    </w:tbl>
    <w:bookmarkEnd w:id="200"/>
    <w:bookmarkEnd w:id="201"/>
    <w:bookmarkEnd w:id="20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7" Type="http://schemas.openxmlformats.org/officeDocument/2006/relationships/image" Target="media/rId187.png"/><Relationship Id="rId195" Type="http://schemas.openxmlformats.org/officeDocument/2006/relationships/image" Target="media/rId195.png"/><Relationship Id="rId148" Type="http://schemas.openxmlformats.org/officeDocument/2006/relationships/hyperlink" Target="https://doi.org/10.1016/j.actaastro.2018.03.017" TargetMode="External"/><Relationship Id="rId173" Type="http://schemas.openxmlformats.org/officeDocument/2006/relationships/hyperlink" Target="https://doi.org/10.1016/j.actaastro.2020.11.040" TargetMode="External"/><Relationship Id="rId180" Type="http://schemas.openxmlformats.org/officeDocument/2006/relationships/hyperlink" Target="https://doi.org/10.1016/j.actaastro.2023.05.001" TargetMode="External"/><Relationship Id="rId183" Type="http://schemas.openxmlformats.org/officeDocument/2006/relationships/hyperlink" Target="https://doi.org/10.1016/j.actaastro.2024.01.039" TargetMode="External"/><Relationship Id="rId152" Type="http://schemas.openxmlformats.org/officeDocument/2006/relationships/hyperlink" Target="https://doi.org/10.1016/j.actaastro.2024.09.057" TargetMode="External"/><Relationship Id="rId171" Type="http://schemas.openxmlformats.org/officeDocument/2006/relationships/hyperlink" Target="https://doi.org/10.1016/j.actaastro.2025.01.031" TargetMode="External"/><Relationship Id="rId146" Type="http://schemas.openxmlformats.org/officeDocument/2006/relationships/hyperlink" Target="https://doi.org/10.1016/j.actaastro.2025.04.063" TargetMode="External"/><Relationship Id="rId175" Type="http://schemas.openxmlformats.org/officeDocument/2006/relationships/hyperlink" Target="https://doi.org/10.1016/j.actaastro.2025.06.029" TargetMode="External"/><Relationship Id="rId144" Type="http://schemas.openxmlformats.org/officeDocument/2006/relationships/hyperlink" Target="https://doi.org/10.1016/j.actaastro.2025.06.067" TargetMode="External"/><Relationship Id="rId177" Type="http://schemas.openxmlformats.org/officeDocument/2006/relationships/hyperlink" Target="https://doi.org/10.1016/j.actaastro.2026.03.026" TargetMode="External"/><Relationship Id="rId140" Type="http://schemas.openxmlformats.org/officeDocument/2006/relationships/hyperlink" Target="https://doi.org/10.64861/DYBG6563" TargetMode="External"/><Relationship Id="rId169" Type="http://schemas.openxmlformats.org/officeDocument/2006/relationships/hyperlink" Target="https://doi.org/10.64861/LBPZ7861" TargetMode="External"/><Relationship Id="rId165" Type="http://schemas.openxmlformats.org/officeDocument/2006/relationships/hyperlink" Target="https://doi.org/10.64861/OHUO6863" TargetMode="External"/></Relationships>
</file>

<file path=word/_rels/footnotes.xml.rels><?xml version='1.0' encoding='UTF-8' standalone='yes'?>
<Relationships xmlns="http://schemas.openxmlformats.org/package/2006/relationships"><Relationship Id="rId148" Type="http://schemas.openxmlformats.org/officeDocument/2006/relationships/hyperlink" Target="https://doi.org/10.1016/j.actaastro.2018.03.017" TargetMode="External"/><Relationship Id="rId173" Type="http://schemas.openxmlformats.org/officeDocument/2006/relationships/hyperlink" Target="https://doi.org/10.1016/j.actaastro.2020.11.040" TargetMode="External"/><Relationship Id="rId180" Type="http://schemas.openxmlformats.org/officeDocument/2006/relationships/hyperlink" Target="https://doi.org/10.1016/j.actaastro.2023.05.001" TargetMode="External"/><Relationship Id="rId183" Type="http://schemas.openxmlformats.org/officeDocument/2006/relationships/hyperlink" Target="https://doi.org/10.1016/j.actaastro.2024.01.039" TargetMode="External"/><Relationship Id="rId152" Type="http://schemas.openxmlformats.org/officeDocument/2006/relationships/hyperlink" Target="https://doi.org/10.1016/j.actaastro.2024.09.057" TargetMode="External"/><Relationship Id="rId171" Type="http://schemas.openxmlformats.org/officeDocument/2006/relationships/hyperlink" Target="https://doi.org/10.1016/j.actaastro.2025.01.031" TargetMode="External"/><Relationship Id="rId146" Type="http://schemas.openxmlformats.org/officeDocument/2006/relationships/hyperlink" Target="https://doi.org/10.1016/j.actaastro.2025.04.063" TargetMode="External"/><Relationship Id="rId175" Type="http://schemas.openxmlformats.org/officeDocument/2006/relationships/hyperlink" Target="https://doi.org/10.1016/j.actaastro.2025.06.029" TargetMode="External"/><Relationship Id="rId144" Type="http://schemas.openxmlformats.org/officeDocument/2006/relationships/hyperlink" Target="https://doi.org/10.1016/j.actaastro.2025.06.067" TargetMode="External"/><Relationship Id="rId177" Type="http://schemas.openxmlformats.org/officeDocument/2006/relationships/hyperlink" Target="https://doi.org/10.1016/j.actaastro.2026.03.026" TargetMode="External"/><Relationship Id="rId140" Type="http://schemas.openxmlformats.org/officeDocument/2006/relationships/hyperlink" Target="https://doi.org/10.64861/DYBG6563" TargetMode="External"/><Relationship Id="rId169" Type="http://schemas.openxmlformats.org/officeDocument/2006/relationships/hyperlink" Target="https://doi.org/10.64861/LBPZ7861" TargetMode="External"/><Relationship Id="rId165" Type="http://schemas.openxmlformats.org/officeDocument/2006/relationships/hyperlink" Target="https://doi.org/10.64861/OHUO6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Hedonic Price Model of Debris Risk in the Satellite Insurance and Reinsurance Markets</dc:title>
  <dc:creator>Nikolai Ashby (1B-SDA-114)</dc:creator>
  <cp:keywords/>
  <dcterms:created xsi:type="dcterms:W3CDTF">2026-07-04T00:19:08Z</dcterms:created>
  <dcterms:modified xsi:type="dcterms:W3CDTF">2026-07-04T00:19:08Z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