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d8cbe3440ac05e75a72bc7b1bd9b6fed7dba22"/>
    <w:p>
      <w:pPr>
        <w:pStyle w:val="Heading1"/>
      </w:pPr>
      <w:r>
        <w:t xml:space="preserve">Does the Mitigation Era Shorten Orbital Tenancy? A Cox Proportional-Hazards Test of Whether Domesticated Debris-Mitigation Regimes Accelerate the Removal of Cataloged Space Objects</w:t>
      </w:r>
    </w:p>
    <w:bookmarkStart w:id="61" w:name="introduction"/>
    <w:p>
      <w:pPr>
        <w:pStyle w:val="Heading2"/>
      </w:pPr>
      <w:r>
        <w:t xml:space="preserve">1. Introduction</w:t>
      </w:r>
    </w:p>
    <w:p>
      <w:pPr>
        <w:pStyle w:val="FirstParagraph"/>
      </w:pPr>
      <w:r>
        <w:t xml:space="preserve">The companion panel study in this dissertation asks whether the 1972 Liability Convention, a liability rule without a compulsory forum, deters the generation of trackable orbital debris. That question turns on a flow: the rate at which operators add new fragments to the catalog. This paper takes the complementary view and asks about a stock outcome that a deterrent regime should also move, namely how long an object stays on orbit before it is removed. If the deterrence story has any behavioral content, it should be visible not only in fewer objects created but in objects cleared away faster once the obligation to do so has been domesticated into enforceable licensing.</w:t>
      </w:r>
    </w:p>
    <w:p>
      <w:pPr>
        <w:pStyle w:val="BodyText"/>
      </w:pPr>
      <w:r>
        <w:t xml:space="preserve">Orbital tenancy is the natural survival outcome for this question. Every cataloged object has a launch epoch and, eventually, a decay or deorbit epoch, and the interval between them is the time the object spends imposing collision risk on every other user of its altitude shell. Post-mission disposal practice is widely held to be the single largest lever on the future debris population, and adherence to disposal strategies, rather than the raw launch count, is treated in the environmental-impact literature as the greatest single contributor to long-run orbital sustainability [1, 2]. The deterrence claim, translated into survival language, is simple: under a regime that makes removal an enforceable condition of operating, the hazard of removal at any given moment should be higher, so tenancy should be shorter, once natural drag and object size are held fixed.</w:t>
      </w:r>
    </w:p>
    <w:p>
      <w:pPr>
        <w:pStyle w:val="BodyText"/>
      </w:pPr>
      <w:r>
        <w:t xml:space="preserve">This paper estimates that hazard directly. Using a Cox proportional-hazards model fitted to twenty-nine documented cataloged objects spanning 1957 to 2022, I test whether membership in the post-2002 mitigation era, the period in which the Inter-Agency Space Debris Coordination Committee guidelines and the United States Orbital Debris Mitigation Standard Practices were domesticated into national licensing, raises the hazard of decay relative to objects launched before that regime existed.</w:t>
      </w:r>
    </w:p>
    <w:bookmarkEnd w:id="61"/>
    <w:bookmarkStart w:id="62" w:name="theory-and-hypotheses"/>
    <w:p>
      <w:pPr>
        <w:pStyle w:val="Heading2"/>
      </w:pPr>
      <w:r>
        <w:t xml:space="preserve">2. Theory and Hypotheses</w:t>
      </w:r>
    </w:p>
    <w:p>
      <w:pPr>
        <w:pStyle w:val="FirstParagraph"/>
      </w:pPr>
      <w:r>
        <w:t xml:space="preserve">A liability or licensing rule that internalizes the cost of leaving an object on orbit should, in standard externality terms, shorten the time an operator is willing to let that object loiter. The orbital environment is a congestible commons in which each occupied object-year imposes a collision externality on later entrants, and the economics in this corpus frames orbital carrying capacity as the binding safety constraint that disposal practice protects [3, 4]. A regime that ties continued licensing to credible disposal converts that external cost into a private obligation, and the predicted behavioral response is faster end-of-life clearance.</w:t>
      </w:r>
    </w:p>
    <w:p>
      <w:pPr>
        <w:pStyle w:val="BodyText"/>
      </w:pPr>
      <w:r>
        <w:t xml:space="preserve">The mechanism is not automatic. Compliance with debris-mitigation guidelines has historically been partial, and studies of the 25-year disposal rule found removal compliance well short of full adherence even among sophisticated operators [5, 6]. Whether the domestication of mitigation obligations produced a measurable acceleration in removal, as opposed to a paper norm that operators absorbed without changing behavior, is therefore an empirical question rather than a settled one. The placebo-like contrast in the companion study, between a treaty that merely exists and a rule that is enforced, has its survival analogue here: a mitigation era that genuinely bites should show up as a hazard ratio above one on the era indicator, while a hollow norm should leave the hazard unchanged.</w:t>
      </w:r>
    </w:p>
    <w:p>
      <w:pPr>
        <w:pStyle w:val="BodyText"/>
      </w:pPr>
      <w:r>
        <w:t xml:space="preserve">I therefore test:</w:t>
      </w:r>
    </w:p>
    <w:p>
      <w:pPr>
        <w:pStyle w:val="Compact"/>
        <w:numPr>
          <w:ilvl w:val="0"/>
          <w:numId w:val="1001"/>
        </w:numPr>
      </w:pPr>
      <w:r>
        <w:rPr>
          <w:b/>
          <w:bCs/>
        </w:rPr>
        <w:t xml:space="preserve">H0 (null):</w:t>
      </w:r>
      <w:r>
        <w:t xml:space="preserve"> </w:t>
      </w:r>
      <w:r>
        <w:t xml:space="preserve">The post-2002 mitigation era carries no removal signal. The hazard ratio on the mitigation-era indicator equals one, holding orbital regime and mass class fixed.</w:t>
      </w:r>
    </w:p>
    <w:p>
      <w:pPr>
        <w:pStyle w:val="Compact"/>
        <w:numPr>
          <w:ilvl w:val="0"/>
          <w:numId w:val="1001"/>
        </w:numPr>
      </w:pPr>
      <w:r>
        <w:rPr>
          <w:b/>
          <w:bCs/>
        </w:rPr>
        <w:t xml:space="preserve">H1 (alternative):</w:t>
      </w:r>
      <w:r>
        <w:t xml:space="preserve"> </w:t>
      </w:r>
      <w:r>
        <w:t xml:space="preserve">Domestication of mitigation obligations accelerates removal. The hazard ratio on the mitigation-era indicator exceeds one.</w:t>
      </w:r>
    </w:p>
    <w:p>
      <w:pPr>
        <w:pStyle w:val="FirstParagraph"/>
      </w:pPr>
      <w:r>
        <w:t xml:space="preserve">Two controls discipline the test. Low-perigee objects decay faster for purely physical reasons, so a drag-regime indicator must absorb the atmospheric channel that has nothing to do with policy</w:t>
      </w:r>
      <w:r>
        <w:t xml:space="preserve"> </w:t>
      </w:r>
      <w:hyperlink w:anchor="ref-7">
        <m:oMathPara>
          <m:oMathParaPr>
            <m:jc m:val="center"/>
          </m:oMathParaPr>
          <m:oMath>
            <m:r>
              <m:t>7</m:t>
            </m:r>
          </m:oMath>
        </m:oMathPara>
      </w:hyperlink>
      <w:r>
        <w:t xml:space="preserve">. Massive objects (stations, large observatories, upper stages) differ in both disposal economics and survivability, so a large-body indicator separates the mass channel from the era channel.</w:t>
      </w:r>
    </w:p>
    <w:bookmarkEnd w:id="62"/>
    <w:bookmarkStart w:id="63" w:name="data"/>
    <w:p>
      <w:pPr>
        <w:pStyle w:val="Heading2"/>
      </w:pPr>
      <w:r>
        <w:t xml:space="preserve">3. Data</w:t>
      </w:r>
    </w:p>
    <w:p>
      <w:pPr>
        <w:pStyle w:val="FirstParagraph"/>
      </w:pPr>
      <w:r>
        <w:t xml:space="preserve">The unit of observation is a cataloged space object with a documented launch epoch and a documented orbital status. I assembled twenty-nine such objects from individually cited public records: founding-era satellites and balloons (Sputnik 1, Explorer 1, Vanguard 1, Echo 1A, LAGEOS-1), nuclear-powered and reconnaissance reentries (Cosmos 954, Cosmos 1402), space stations and large observatories (Skylab, Salyut 7, Mir, Compton Gamma Ray Observatory, UARS, ROSAT, Hubble, the International Space Station), anti-satellite-test parents (Fengyun-1C, Cosmos 1408), modern Earth-observation and technology missions launched under the mitigation regime (Envisat, Gravity Probe B, CALIPSO, GOCE, Tiangong-1, Tiangong-2, RemoveDEBRIS, ADM-Aeolus, Phobos-Grunt), and three Long March 5B core stages whose uncontrolled reentries are precisely dated. Each row carries its source in the data file’s final column; every launch and decay date traces to a named public record.</w:t>
      </w:r>
    </w:p>
    <w:p>
      <w:pPr>
        <w:pStyle w:val="BodyText"/>
      </w:pPr>
      <w:r>
        <w:t xml:space="preserve">The duration variable is orbital tenancy in years, computed from launch epoch to decay or deorbit epoch. Seven objects remain on orbit and are right-censored at the June 2026 catalog snapshot, including two with multi-century or geologic-scale predicted lifetimes (Vanguard 1 and LAGEOS-1), which the Cox model handles correctly through censoring rather than by discarding. The event indicator is one for the twenty-two objects that have reentered or been deorbited. The mitigation-era indicator is one for objects launched in or after 2002. The two controls are the low-perigee drag indicator and the large-body mass indicator. All coding rules and provenance are recorded in the embedded workbook.</w:t>
      </w:r>
    </w:p>
    <w:bookmarkEnd w:id="63"/>
    <w:bookmarkStart w:id="64" w:name="method"/>
    <w:p>
      <w:pPr>
        <w:pStyle w:val="Heading2"/>
      </w:pPr>
      <w:r>
        <w:t xml:space="preserve">4. Method</w:t>
      </w:r>
    </w:p>
    <w:p>
      <w:pPr>
        <w:pStyle w:val="FirstParagraph"/>
      </w:pPr>
      <w:r>
        <w:t xml:space="preserve">I estimate a Cox proportional-hazards model in which the hazard of decay for an object is the product of an unspecified baseline hazard and an exponential function of the mitigation-era indicator and the two controls. The Cox specification is the appropriate estimator here for three reasons. It accommodates the heavy right-censoring in the sample without imposing a parametric lifetime distribution, it estimates the policy effect as a multiplicative shift in the removal hazard that maps directly onto the deterrence question, and it remains valid across the extreme range of tenancies in the data, from sub-week uncontrolled stage reentries to objects expected to persist for centuries. Coefficients are reported as hazard ratios, the exponentiated coefficients, so a value above one means faster removal. Inference uses the model’s standard errors and normal-approximation z-statistics. The estimation sample is twenty-nine objects with twenty-two decay events.</w:t>
      </w:r>
    </w:p>
    <w:bookmarkEnd w:id="64"/>
    <w:bookmarkStart w:id="65" w:name="findings"/>
    <w:p>
      <w:pPr>
        <w:pStyle w:val="Heading2"/>
      </w:pPr>
      <w:r>
        <w:t xml:space="preserve">5. Findings</w:t>
      </w:r>
    </w:p>
    <w:p>
      <w:pPr>
        <w:pStyle w:val="FirstParagraph"/>
      </w:pPr>
      <w:r>
        <w:t xml:space="preserve">The mitigation-era indicator carries a positive coefficient of 0.876 with a standard error of 0.501, a z-statistic of 1.75, and a p-value of 0.080. The implied hazard ratio is 2.40, with a ninety-five percent confidence interval running from 0.90 to 6.41. Read literally, objects launched in the domesticated mitigation era face roughly two and a half times the instantaneous hazard of removal that otherwise-comparable pre-2002 objects face, holding orbital regime and mass constant. The estimate is in the direction H1 predicts and is statistically distinguishable from the null at the ten percent level, but its confidence interval includes one, so at the conventional five percent threshold the null of no removal signal is not rejected on this sample.</w:t>
      </w:r>
    </w:p>
    <w:p>
      <w:pPr>
        <w:pStyle w:val="BodyText"/>
      </w:pPr>
      <w:r>
        <w:t xml:space="preserve">The drag control behaves exactly as physics requires and dominates the model. The low-perigee indicator carries a coefficient of 1.839 with a standard error of 0.558, a z-statistic of 3.29, and a p-value of 0.001, for a hazard ratio of 6.29 with a confidence interval from 2.11 to 18.79. Objects in the drag-dominated regime decay between two and nineteen times faster than higher objects, and this atmospheric channel is the most precisely estimated effect in the analysis. Its strength is also a caution: most of the modern, mitigation-era objects in the sample are deliberately placed in lower, self-cleaning orbits, so part of what looks like a policy effect on tenancy may operate through disposal-conscious orbit selection that the drag control only partly separates.</w:t>
      </w:r>
    </w:p>
    <w:p>
      <w:pPr>
        <w:pStyle w:val="BodyText"/>
      </w:pPr>
      <w:r>
        <w:t xml:space="preserve">The mass control is not statistically distinguishable from zero. The large-body indicator carries a coefficient of -0.156 with a standard error of 0.571 and a p-value of 0.785, a hazard ratio of 0.86 whose confidence interval spans 0.28 to 2.62. Conditional on altitude and era, large objects in this sample are removed at a rate indistinguishable from small ones, which is consistent with the fact that the heaviest objects here include both rapidly deorbited stations and long-loitering defunct observatories.</w:t>
      </w:r>
    </w:p>
    <w:bookmarkEnd w:id="65"/>
    <w:bookmarkStart w:id="66" w:name="discussion"/>
    <w:p>
      <w:pPr>
        <w:pStyle w:val="Heading2"/>
      </w:pPr>
      <w:r>
        <w:t xml:space="preserve">6. Discussion</w:t>
      </w:r>
    </w:p>
    <w:p>
      <w:pPr>
        <w:pStyle w:val="FirstParagraph"/>
      </w:pPr>
      <w:r>
        <w:t xml:space="preserve">The survival evidence points the same way as the deterrence hypothesis without confirming it at conventional strength. A hazard ratio of 2.40 on the mitigation era is a substantial effect, and its sign and magnitude are what a working domestication-of-liability mechanism would produce: under enforceable disposal obligations, objects are cleared from orbit faster. But the effect is estimated at the ten percent level on a small, deliberately documented sample, and its confidence interval is wide enough to include the null. The honest reading is that the era of domesticated mitigation is associated with faster removal, that the association is sizable, and that this sample cannot rule out the possibility that the apparent acceleration is an artifact of where modern objects are placed rather than of the rule that governs them.</w:t>
      </w:r>
    </w:p>
    <w:p>
      <w:pPr>
        <w:pStyle w:val="BodyText"/>
      </w:pPr>
      <w:r>
        <w:t xml:space="preserve">That last concern is the binding threat to the interpretation and it connects directly to the dissertation’s central design. The drag effect is enormous and precisely measured, and mitigation-era objects are disproportionately in drag-dominated orbits. Disentangling a behavioral deterrent signal from an orbit-selection signal requires the larger launching-state panel and the staggered-domestication identification that the companion paper builds, where year fixed effects and an event-study can absorb the secular shift toward self-cleaning orbits that a twenty-nine-object survival model cannot fully hold fixed. Read together, the two papers bound the same parameter from two directions: the panel asks whether domestication slows the creation of debris, and this survival model asks whether it speeds the removal of objects. The convergent but individually inconclusive evidence here motivates, rather than substitutes for, that identified panel estimate, and it sharpens the caution that any deterrent attributed to forum-less liability must be separated from the physics of the orbits operators happen to choose.</w:t>
      </w:r>
    </w:p>
    <w:bookmarkEnd w:id="66"/>
    <w:bookmarkStart w:id="77" w:name="references"/>
    <w:p>
      <w:pPr>
        <w:pStyle w:val="Heading2"/>
      </w:pPr>
      <w:r>
        <w:t xml:space="preserve">References</w:t>
      </w:r>
    </w:p>
    <w:p>
      <w:pPr>
        <w:pStyle w:val="FirstParagraph"/>
      </w:pPr>
      <w:bookmarkStart w:id="67" w:name="ref-1"/>
      <w:bookmarkEnd w:id="67"/>
      <w:r>
        <w:t xml:space="preserve">1. C. Colombo, P. Martinez, F. Letizia, B. M. Cattani, E. David, D. A. Escobar, et al.,</w:t>
      </w:r>
      <w:r>
        <w:t xml:space="preserve"> </w:t>
      </w:r>
      <w:r>
        <w:t xml:space="preserve">“Space capacity management and its interaction with space traffic management,”</w:t>
      </w:r>
      <w:r>
        <w:t xml:space="preserve"> </w:t>
      </w:r>
      <w:r>
        <w:t xml:space="preserve">Acta Astronautica, vol. 233, 2025. doi:</w:t>
      </w:r>
      <w:r>
        <w:t xml:space="preserve"> </w:t>
      </w:r>
      <w:hyperlink r:id="rId68">
        <w:r>
          <w:rPr>
            <w:rStyle w:val="Hyperlink"/>
          </w:rPr>
          <w:t xml:space="preserve">10.1016/j.actaastro.2025.01.069</w:t>
        </w:r>
      </w:hyperlink>
    </w:p>
    <w:p>
      <w:pPr>
        <w:pStyle w:val="BodyText"/>
      </w:pPr>
      <w:bookmarkStart w:id="69" w:name="ref-2"/>
      <w:bookmarkEnd w:id="69"/>
      <w:r>
        <w:t xml:space="preserve">2. A. Muciaccia, L. Giudici, F. Letizia, M. Trisolini, J. L. Gonzalo, and C. Colombo,</w:t>
      </w:r>
      <w:r>
        <w:t xml:space="preserve"> </w:t>
      </w:r>
      <w:r>
        <w:t xml:space="preserve">“Evaluating the environmental impact of space missions,”</w:t>
      </w:r>
      <w:r>
        <w:t xml:space="preserve"> </w:t>
      </w:r>
      <w:r>
        <w:t xml:space="preserve">Acta Astronautica, vol. 236, 2025. doi:</w:t>
      </w:r>
      <w:r>
        <w:t xml:space="preserve"> </w:t>
      </w:r>
      <w:hyperlink r:id="rId70">
        <w:r>
          <w:rPr>
            <w:rStyle w:val="Hyperlink"/>
          </w:rPr>
          <w:t xml:space="preserve">10.1016/j.actaastro.2025.06.024</w:t>
        </w:r>
      </w:hyperlink>
    </w:p>
    <w:p>
      <w:pPr>
        <w:pStyle w:val="BodyText"/>
      </w:pPr>
      <w:bookmarkStart w:id="71" w:name="ref-3"/>
      <w:bookmarkEnd w:id="71"/>
      <w:r>
        <w:t xml:space="preserve">3. D. Stilwell et al.,</w:t>
      </w:r>
      <w:r>
        <w:t xml:space="preserve"> </w:t>
      </w:r>
      <w:r>
        <w:t xml:space="preserve">“Orbital Classification,”</w:t>
      </w:r>
      <w:r>
        <w:t xml:space="preserve"> </w:t>
      </w:r>
      <w:r>
        <w:t xml:space="preserve">ASCEND, 2025. Space Economy Papers corpus source SD02.</w:t>
      </w:r>
    </w:p>
    <w:p>
      <w:pPr>
        <w:pStyle w:val="BodyText"/>
      </w:pPr>
      <w:bookmarkStart w:id="72" w:name="ref-4"/>
      <w:bookmarkEnd w:id="72"/>
      <w:r>
        <w:t xml:space="preserve">4. M. Weinzierl,</w:t>
      </w:r>
      <w:r>
        <w:t xml:space="preserve"> </w:t>
      </w:r>
      <w:r>
        <w:t xml:space="preserve">“Space, the Final Economic Frontier,”</w:t>
      </w:r>
      <w:r>
        <w:t xml:space="preserve"> </w:t>
      </w:r>
      <w:r>
        <w:t xml:space="preserve">2018. Space Economy Papers corpus source SD18.</w:t>
      </w:r>
    </w:p>
    <w:p>
      <w:pPr>
        <w:pStyle w:val="BodyText"/>
      </w:pPr>
      <w:bookmarkStart w:id="73" w:name="ref-5"/>
      <w:bookmarkEnd w:id="73"/>
      <w:r>
        <w:t xml:space="preserve">5. D. McKnight and T. Maclay,</w:t>
      </w:r>
      <w:r>
        <w:t xml:space="preserve"> </w:t>
      </w:r>
      <w:r>
        <w:t xml:space="preserve">“Space Environment Management: A Common Sense Framework for Controlling Orbital Debris Risk,”</w:t>
      </w:r>
      <w:r>
        <w:t xml:space="preserve"> </w:t>
      </w:r>
      <w:r>
        <w:t xml:space="preserve">Proc. Advanced Maui Optical and Space Surveillance Technologies (AMOS) Conference, 2019.</w:t>
      </w:r>
    </w:p>
    <w:p>
      <w:pPr>
        <w:pStyle w:val="BodyText"/>
      </w:pPr>
      <w:bookmarkStart w:id="74" w:name="ref-6"/>
      <w:bookmarkEnd w:id="74"/>
      <w:r>
        <w:t xml:space="preserve">6. Q. Verspieren,</w:t>
      </w:r>
      <w:r>
        <w:t xml:space="preserve"> </w:t>
      </w:r>
      <w:r>
        <w:t xml:space="preserve">“The US Air Force Compliance with the Orbital Debris Mitigation Standard Practices,”</w:t>
      </w:r>
      <w:r>
        <w:t xml:space="preserve"> </w:t>
      </w:r>
      <w:r>
        <w:t xml:space="preserve">Proc. Advanced Maui Optical and Space Surveillance Technologies (AMOS) Conference, 2020.</w:t>
      </w:r>
    </w:p>
    <w:p>
      <w:pPr>
        <w:pStyle w:val="BodyText"/>
      </w:pPr>
      <w:bookmarkStart w:id="75" w:name="ref-7"/>
      <w:bookmarkEnd w:id="75"/>
      <w:r>
        <w:t xml:space="preserve">7. L. Niccolai and G. Mengali,</w:t>
      </w:r>
      <w:r>
        <w:t xml:space="preserve"> </w:t>
      </w:r>
      <w:r>
        <w:t xml:space="preserve">“Decay time estimate for LEO spacecraft,”</w:t>
      </w:r>
      <w:r>
        <w:t xml:space="preserve"> </w:t>
      </w:r>
      <w:r>
        <w:t xml:space="preserve">Acta Astronautica, vol. 225, 2024. doi:</w:t>
      </w:r>
      <w:r>
        <w:t xml:space="preserve"> </w:t>
      </w:r>
      <w:hyperlink r:id="rId76">
        <w:r>
          <w:rPr>
            <w:rStyle w:val="Hyperlink"/>
          </w:rPr>
          <w:t xml:space="preserve">10.1016/j.actaastro.2024.09.045</w:t>
        </w:r>
      </w:hyperlink>
    </w:p>
    <w:bookmarkEnd w:id="77"/>
    <w:bookmarkStart w:id="78"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M</m:t>
              </m:r>
              <m:r>
                <m:rPr>
                  <m:sty m:val="p"/>
                </m:rPr>
                <m:t>i</m:t>
              </m:r>
              <m:r>
                <m:rPr>
                  <m:sty m:val="p"/>
                </m:rPr>
                <m:t>t</m:t>
              </m:r>
              <m:r>
                <m:rPr>
                  <m:sty m:val="p"/>
                </m:rPr>
                <m:t>i</m:t>
              </m:r>
              <m:r>
                <m:rPr>
                  <m:sty m:val="p"/>
                </m:rPr>
                <m:t>g</m:t>
              </m:r>
              <m:r>
                <m:rPr>
                  <m:sty m:val="p"/>
                </m:rPr>
                <m:t>a</m:t>
              </m:r>
              <m:r>
                <m:rPr>
                  <m:sty m:val="p"/>
                </m:rPr>
                <m:t>t</m:t>
              </m:r>
              <m:r>
                <m:rPr>
                  <m:sty m:val="p"/>
                </m:rPr>
                <m:t>i</m:t>
              </m:r>
              <m:r>
                <m:rPr>
                  <m:sty m:val="p"/>
                </m:rPr>
                <m:t>o</m:t>
              </m:r>
              <m:r>
                <m:rPr>
                  <m:sty m:val="p"/>
                </m:rPr>
                <m:t>n</m:t>
              </m:r>
              <m:r>
                <m:rPr>
                  <m:sty m:val="p"/>
                </m:rPr>
                <m:t>E</m:t>
              </m:r>
              <m:r>
                <m:rPr>
                  <m:sty m:val="p"/>
                </m:rPr>
                <m:t>r</m:t>
              </m:r>
              <m:r>
                <m:rPr>
                  <m:sty m:val="p"/>
                </m:rPr>
                <m:t>a</m:t>
              </m:r>
              <m:r>
                <m:rPr>
                  <m:sty m:val="p"/>
                </m:rPr>
                <m:t>+</m:t>
              </m:r>
              <m:sSub>
                <m:e>
                  <m:r>
                    <m:t>β</m:t>
                  </m:r>
                </m:e>
                <m:sub>
                  <m:r>
                    <m:t>2</m:t>
                  </m:r>
                </m:sub>
              </m:sSub>
              <m:r>
                <m:t> </m:t>
              </m:r>
              <m:r>
                <m:rPr>
                  <m:sty m:val="p"/>
                </m:rPr>
                <m:t>P</m:t>
              </m:r>
              <m:r>
                <m:rPr>
                  <m:sty m:val="p"/>
                </m:rPr>
                <m:t>e</m:t>
              </m:r>
              <m:r>
                <m:rPr>
                  <m:sty m:val="p"/>
                </m:rPr>
                <m:t>r</m:t>
              </m:r>
              <m:r>
                <m:rPr>
                  <m:sty m:val="p"/>
                </m:rPr>
                <m:t>i</m:t>
              </m:r>
              <m:r>
                <m:rPr>
                  <m:sty m:val="p"/>
                </m:rPr>
                <m:t>g</m:t>
              </m:r>
              <m:r>
                <m:rPr>
                  <m:sty m:val="p"/>
                </m:rPr>
                <m:t>e</m:t>
              </m:r>
              <m:r>
                <m:rPr>
                  <m:sty m:val="p"/>
                </m:rPr>
                <m:t>e</m:t>
              </m:r>
              <m:r>
                <m:rPr>
                  <m:sty m:val="p"/>
                </m:rPr>
                <m:t>L</m:t>
              </m:r>
              <m:r>
                <m:rPr>
                  <m:sty m:val="p"/>
                </m:rPr>
                <m:t>o</m:t>
              </m:r>
              <m:r>
                <m:rPr>
                  <m:sty m:val="p"/>
                </m:rPr>
                <m:t>w</m:t>
              </m:r>
              <m:r>
                <m:rPr>
                  <m:sty m:val="p"/>
                </m:rPr>
                <m:t>+</m:t>
              </m:r>
              <m:sSub>
                <m:e>
                  <m:r>
                    <m:t>β</m:t>
                  </m:r>
                </m:e>
                <m:sub>
                  <m:r>
                    <m:t>3</m:t>
                  </m:r>
                </m:sub>
              </m:sSub>
              <m:r>
                <m:t> </m:t>
              </m:r>
              <m:r>
                <m:rPr>
                  <m:sty m:val="p"/>
                </m:rPr>
                <m:t>L</m:t>
              </m:r>
              <m:r>
                <m:rPr>
                  <m:sty m:val="p"/>
                </m:rPr>
                <m:t>a</m:t>
              </m:r>
              <m:r>
                <m:rPr>
                  <m:sty m:val="p"/>
                </m:rPr>
                <m:t>r</m:t>
              </m:r>
              <m:r>
                <m:rPr>
                  <m:sty m:val="p"/>
                </m:rPr>
                <m:t>g</m:t>
              </m:r>
              <m:r>
                <m:rPr>
                  <m:sty m:val="p"/>
                </m:rPr>
                <m:t>e</m:t>
              </m:r>
              <m:r>
                <m:rPr>
                  <m:sty m:val="p"/>
                </m:rPr>
                <m:t>B</m:t>
              </m:r>
              <m:r>
                <m:rPr>
                  <m:sty m:val="p"/>
                </m:rPr>
                <m:t>o</m:t>
              </m:r>
              <m:r>
                <m:rPr>
                  <m:sty m:val="p"/>
                </m:rPr>
                <m:t>d</m:t>
              </m:r>
              <m:r>
                <m:rPr>
                  <m:sty m:val="p"/>
                </m:rPr>
                <m:t>y</m:t>
              </m:r>
            </m:e>
          </m:d>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0.8759</w:t>
            </w:r>
          </w:p>
        </w:tc>
        <w:tc>
          <w:tcPr>
            <w:tcW w:w="0" w:type="auto"/>
          </w:tcPr>
          <w:p>
            <w:pPr>
              <w:spacing w:line="240" w:lineRule="auto" w:before="0" w:after="0"/>
              <w:pStyle w:val="Compact"/>
            </w:pPr>
            <w:r>
              <w:rPr>
                <w:sz w:val="20"/>
                <w:szCs w:val="20"/>
              </w:rPr>
              <w:t xml:space="preserve">0.5006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0.0801</w:t>
            </w:r>
          </w:p>
        </w:tc>
        <w:tc>
          <w:tcPr>
            <w:tcW w:w="0" w:type="auto"/>
          </w:tcPr>
          <w:p>
            <w:pPr>
              <w:spacing w:line="240" w:lineRule="auto" w:before="0" w:after="0"/>
              <w:pStyle w:val="Compact"/>
            </w:pPr>
            <w:r>
              <w:rPr>
                <w:sz w:val="20"/>
                <w:szCs w:val="20"/>
              </w:rPr>
              <w:t xml:space="preserve">[-0.1051, 1.857]</w:t>
            </w:r>
          </w:p>
        </w:tc>
        <w:tc>
          <w:tcPr>
            <w:tcW w:w="0" w:type="auto"/>
          </w:tcPr>
          <w:p>
            <w:pPr>
              <w:spacing w:line="240" w:lineRule="auto" w:before="0" w:after="0"/>
              <w:pStyle w:val="Compact"/>
            </w:pPr>
            <w:r>
              <w:rPr>
                <w:sz w:val="20"/>
                <w:szCs w:val="20"/>
              </w:rPr>
              <w:t xml:space="preserve">2.4012</w:t>
            </w:r>
          </w:p>
        </w:tc>
      </w:tr>
      <w:tr>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1.839</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3.2935</w:t>
            </w:r>
          </w:p>
        </w:tc>
        <w:tc>
          <w:tcPr>
            <w:tcW w:w="0" w:type="auto"/>
          </w:tcPr>
          <w:p>
            <w:pPr>
              <w:spacing w:line="240" w:lineRule="auto" w:before="0" w:after="0"/>
              <w:pStyle w:val="Compact"/>
            </w:pPr>
            <w:r>
              <w:rPr>
                <w:sz w:val="20"/>
                <w:szCs w:val="20"/>
              </w:rPr>
              <w:t xml:space="preserve">0.0009896</w:t>
            </w:r>
          </w:p>
        </w:tc>
        <w:tc>
          <w:tcPr>
            <w:tcW w:w="0" w:type="auto"/>
          </w:tcPr>
          <w:p>
            <w:pPr>
              <w:spacing w:line="240" w:lineRule="auto" w:before="0" w:after="0"/>
              <w:pStyle w:val="Compact"/>
            </w:pPr>
            <w:r>
              <w:rPr>
                <w:sz w:val="20"/>
                <w:szCs w:val="20"/>
              </w:rPr>
              <w:t xml:space="preserve">[0.7446, 2.9334]</w:t>
            </w:r>
          </w:p>
        </w:tc>
        <w:tc>
          <w:tcPr>
            <w:tcW w:w="0" w:type="auto"/>
          </w:tcPr>
          <w:p>
            <w:pPr>
              <w:spacing w:line="240" w:lineRule="auto" w:before="0" w:after="0"/>
              <w:pStyle w:val="Compact"/>
            </w:pPr>
            <w:r>
              <w:rPr>
                <w:sz w:val="20"/>
                <w:szCs w:val="20"/>
              </w:rPr>
              <w:t xml:space="preserve">6.2903</w:t>
            </w:r>
          </w:p>
        </w:tc>
      </w:tr>
      <w:tr>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-0.1561</w:t>
            </w:r>
          </w:p>
        </w:tc>
        <w:tc>
          <w:tcPr>
            <w:tcW w:w="0" w:type="auto"/>
          </w:tcPr>
          <w:p>
            <w:pPr>
              <w:spacing w:line="240" w:lineRule="auto" w:before="0" w:after="0"/>
              <w:pStyle w:val="Compact"/>
            </w:pPr>
            <w:r>
              <w:rPr>
                <w:sz w:val="20"/>
                <w:szCs w:val="20"/>
              </w:rPr>
              <w:t xml:space="preserve">0.571</w:t>
            </w:r>
          </w:p>
        </w:tc>
        <w:tc>
          <w:tcPr>
            <w:tcW w:w="0" w:type="auto"/>
          </w:tcPr>
          <w:p>
            <w:pPr>
              <w:spacing w:line="240" w:lineRule="auto" w:before="0" w:after="0"/>
              <w:pStyle w:val="Compact"/>
            </w:pPr>
            <w:r>
              <w:rPr>
                <w:sz w:val="20"/>
                <w:szCs w:val="20"/>
              </w:rPr>
              <w:t xml:space="preserve">-0.2733</w:t>
            </w:r>
          </w:p>
        </w:tc>
        <w:tc>
          <w:tcPr>
            <w:tcW w:w="0" w:type="auto"/>
          </w:tcPr>
          <w:p>
            <w:pPr>
              <w:spacing w:line="240" w:lineRule="auto" w:before="0" w:after="0"/>
              <w:pStyle w:val="Compact"/>
            </w:pPr>
            <w:r>
              <w:rPr>
                <w:sz w:val="20"/>
                <w:szCs w:val="20"/>
              </w:rPr>
              <w:t xml:space="preserve">0.7846</w:t>
            </w:r>
          </w:p>
        </w:tc>
        <w:tc>
          <w:tcPr>
            <w:tcW w:w="0" w:type="auto"/>
          </w:tcPr>
          <w:p>
            <w:pPr>
              <w:spacing w:line="240" w:lineRule="auto" w:before="0" w:after="0"/>
              <w:pStyle w:val="Compact"/>
            </w:pPr>
            <w:r>
              <w:rPr>
                <w:sz w:val="20"/>
                <w:szCs w:val="20"/>
              </w:rPr>
              <w:t xml:space="preserve">[-1.2752, 0.9631]</w:t>
            </w:r>
          </w:p>
        </w:tc>
        <w:tc>
          <w:tcPr>
            <w:tcW w:w="0" w:type="auto"/>
          </w:tcPr>
          <w:p>
            <w:pPr>
              <w:spacing w:line="240" w:lineRule="auto" w:before="0" w:after="0"/>
              <w:pStyle w:val="Compact"/>
            </w:pPr>
            <w:r>
              <w:rPr>
                <w:sz w:val="20"/>
                <w:szCs w:val="20"/>
              </w:rPr>
              <w:t xml:space="preserve">0.8555</w:t>
            </w:r>
          </w:p>
        </w:tc>
      </w:tr>
    </w:tbl>
    <w:p>
      <w:pPr>
        <w:pStyle w:val="BodyText"/>
      </w:pPr>
      <w:r>
        <w:t xml:space="preserve">Fit: N = 29 events = 22</w:t>
      </w:r>
    </w:p>
    <w:p>
      <w:pPr>
        <w:pStyle w:val="CaptionedFigure"/>
      </w:pPr>
      <w:r>
        <w:drawing>
          <wp:inline>
            <wp:extent cx="5669280" cy="3657600"/>
            <wp:effectExtent b="0" l="0" r="0" t="0"/>
            <wp:docPr descr="Figure 1. Orbital tenancy and decay status for 29 documented cataloged objects, 1957 to 2022. Each point is one object; tenancy is plotted on a scale that spans sub-year uncontrolled reentries to multi-century natural decay. The Cox model estimates how the post-2002 mitigation era shifts the hazard of removal, conditioning on low-perigee drag exposure and large-body mass class." title="" id="80" name="Picture"/>
            <a:graphic>
              <a:graphicData uri="http://schemas.openxmlformats.org/drawingml/2006/picture">
                <pic:pic>
                  <pic:nvPicPr>
                    <pic:cNvPr descr="D:\Claude_Code\brain\collegium\candidates\dissertations\DEBRIS_03\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Orbital tenancy and decay status for 29 documented cataloged objects, 1957 to 2022. Each point is one object; tenancy is plotted on a scale that spans sub-year uncontrolled reentries to multi-century natural decay. The Cox model estimates how the post-2002 mitigation era shifts the hazard of removal, conditioning on low-perigee drag exposure and large-body mass class.</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decay_year</w:t>
            </w:r>
          </w:p>
        </w:tc>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Sputnik 1</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Sputnik 1 launched 4 Oct 1957; reentered 4 Jan 1958 (~3 months). en.wikipedia.org/wiki/Sputnik_1</w:t>
            </w:r>
          </w:p>
        </w:tc>
      </w:tr>
      <w:tr>
        <w:tc>
          <w:tcPr>
            <w:tcW w:w="0" w:type="auto"/>
          </w:tcPr>
          <w:p>
            <w:pPr>
              <w:spacing w:line="240" w:lineRule="auto" w:before="0" w:after="0"/>
              <w:pStyle w:val="Compact"/>
            </w:pPr>
            <w:r>
              <w:rPr>
                <w:sz w:val="20"/>
                <w:szCs w:val="20"/>
              </w:rPr>
              <w:t xml:space="preserve">Explorer 1</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Explorer 1 launched 1 Feb 1958; reentered 31 Mar 1970. en.wikipedia.org/wiki/Explorer_1</w:t>
            </w:r>
          </w:p>
        </w:tc>
      </w:tr>
      <w:tr>
        <w:tc>
          <w:tcPr>
            <w:tcW w:w="0" w:type="auto"/>
          </w:tcPr>
          <w:p>
            <w:pPr>
              <w:spacing w:line="240" w:lineRule="auto" w:before="0" w:after="0"/>
              <w:pStyle w:val="Compact"/>
            </w:pPr>
            <w:r>
              <w:rPr>
                <w:sz w:val="20"/>
                <w:szCs w:val="20"/>
              </w:rPr>
              <w:t xml:space="preserve">Vanguard 1</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2198</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Vanguard 1 launched 17 Mar 1958; still in orbit, expected decay ~late 22nd century (~240 yr). en.wikipedia.org/wiki/Vanguard_1</w:t>
            </w:r>
          </w:p>
        </w:tc>
      </w:tr>
      <w:tr>
        <w:tc>
          <w:tcPr>
            <w:tcW w:w="0" w:type="auto"/>
          </w:tcPr>
          <w:p>
            <w:pPr>
              <w:spacing w:line="240" w:lineRule="auto" w:before="0" w:after="0"/>
              <w:pStyle w:val="Compact"/>
            </w:pPr>
            <w:r>
              <w:rPr>
                <w:sz w:val="20"/>
                <w:szCs w:val="20"/>
              </w:rPr>
              <w:t xml:space="preserve">Echo 1A</w:t>
            </w:r>
          </w:p>
        </w:tc>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Echo 1A launched 12 Aug 1960; reentered 24 May 1968. en.wikipedia.org/wiki/Echo_1</w:t>
            </w:r>
          </w:p>
        </w:tc>
      </w:tr>
      <w:tr>
        <w:tc>
          <w:tcPr>
            <w:tcW w:w="0" w:type="auto"/>
          </w:tcPr>
          <w:p>
            <w:pPr>
              <w:spacing w:line="240" w:lineRule="auto" w:before="0" w:after="0"/>
              <w:pStyle w:val="Compact"/>
            </w:pPr>
            <w:r>
              <w:rPr>
                <w:sz w:val="20"/>
                <w:szCs w:val="20"/>
              </w:rPr>
              <w:t xml:space="preserve">LAGEOS-1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9999</w:t>
            </w:r>
          </w:p>
        </w:tc>
        <w:tc>
          <w:tcPr>
            <w:tcW w:w="0" w:type="auto"/>
          </w:tcPr>
          <w:p>
            <w:pPr>
              <w:spacing w:line="240" w:lineRule="auto" w:before="0" w:after="0"/>
              <w:pStyle w:val="Compact"/>
            </w:pPr>
            <w:r>
              <w:rPr>
                <w:sz w:val="20"/>
                <w:szCs w:val="20"/>
              </w:rPr>
              <w:t xml:space="preserve">8e+06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LAGEOS-1 launched 4 May 1976; still in orbit, predicted lifetime ~8 million yr. en.wikipedia.org/wiki/LAGEOS</w:t>
            </w:r>
          </w:p>
        </w:tc>
      </w:tr>
      <w:tr>
        <w:tc>
          <w:tcPr>
            <w:tcW w:w="0" w:type="auto"/>
          </w:tcPr>
          <w:p>
            <w:pPr>
              <w:spacing w:line="240" w:lineRule="auto" w:before="0" w:after="0"/>
              <w:pStyle w:val="Compact"/>
            </w:pPr>
            <w:r>
              <w:rPr>
                <w:sz w:val="20"/>
                <w:szCs w:val="20"/>
              </w:rPr>
              <w:t xml:space="preserve">Cosmos 954</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Kosmos 954 launched 18 Sep 1977; uncontrolled reentry 24 Jan 1978. en.wikipedia.org/wiki/Cosmos_954</w:t>
            </w:r>
          </w:p>
        </w:tc>
      </w:tr>
      <w:tr>
        <w:tc>
          <w:tcPr>
            <w:tcW w:w="0" w:type="auto"/>
          </w:tcPr>
          <w:p>
            <w:pPr>
              <w:spacing w:line="240" w:lineRule="auto" w:before="0" w:after="0"/>
              <w:pStyle w:val="Compact"/>
            </w:pPr>
            <w:r>
              <w:rPr>
                <w:sz w:val="20"/>
                <w:szCs w:val="20"/>
              </w:rPr>
              <w:t xml:space="preserve">Skylab</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6.16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Skylab launched 14 May 1973; reentered 11 Jul 1979 (2249 days). en.wikipedia.org/wiki/Skylab</w:t>
            </w:r>
          </w:p>
        </w:tc>
      </w:tr>
      <w:tr>
        <w:tc>
          <w:tcPr>
            <w:tcW w:w="0" w:type="auto"/>
          </w:tcPr>
          <w:p>
            <w:pPr>
              <w:spacing w:line="240" w:lineRule="auto" w:before="0" w:after="0"/>
              <w:pStyle w:val="Compact"/>
            </w:pPr>
            <w:r>
              <w:rPr>
                <w:sz w:val="20"/>
                <w:szCs w:val="20"/>
              </w:rPr>
              <w:t xml:space="preserve">Cosmos 1402</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Kosmos 1402 launched 30 Aug 1982; main bus reentered 23 Jan 1983, reactor 7 Feb 1983. en.wikipedia.org/wiki/Kosmos_1402</w:t>
            </w:r>
          </w:p>
        </w:tc>
      </w:tr>
      <w:tr>
        <w:tc>
          <w:tcPr>
            <w:tcW w:w="0" w:type="auto"/>
          </w:tcPr>
          <w:p>
            <w:pPr>
              <w:spacing w:line="240" w:lineRule="auto" w:before="0" w:after="0"/>
              <w:pStyle w:val="Compact"/>
            </w:pPr>
            <w:r>
              <w:rPr>
                <w:sz w:val="20"/>
                <w:szCs w:val="20"/>
              </w:rPr>
              <w:t xml:space="preserve">Salyut 7</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8.81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Salyut 7 launched 19 Apr 1982; uncontrolled reentry 7 Feb 1991 (~3215 days). en.wikipedia.org/wiki/Salyut_7</w:t>
            </w:r>
          </w:p>
        </w:tc>
      </w:tr>
      <w:tr>
        <w:tc>
          <w:tcPr>
            <w:tcW w:w="0" w:type="auto"/>
          </w:tcPr>
          <w:p>
            <w:pPr>
              <w:spacing w:line="240" w:lineRule="auto" w:before="0" w:after="0"/>
              <w:pStyle w:val="Compact"/>
            </w:pPr>
            <w:r>
              <w:rPr>
                <w:sz w:val="20"/>
                <w:szCs w:val="20"/>
              </w:rPr>
              <w:t xml:space="preserve">Mir</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15.09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Mir core launched 19 Feb 1986; controlled deorbit 23 Mar 2001. en.wikipedia.org/wiki/Mir</w:t>
            </w:r>
          </w:p>
        </w:tc>
      </w:tr>
      <w:tr>
        <w:tc>
          <w:tcPr>
            <w:tcW w:w="0" w:type="auto"/>
          </w:tcPr>
          <w:p>
            <w:pPr>
              <w:spacing w:line="240" w:lineRule="auto" w:before="0" w:after="0"/>
              <w:pStyle w:val="Compact"/>
            </w:pPr>
            <w:r>
              <w:rPr>
                <w:sz w:val="20"/>
                <w:szCs w:val="20"/>
              </w:rPr>
              <w:t xml:space="preserve">Compton GRO</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Compton Gamma Ray Observatory launched 5 Apr 1991; first NASA controlled deorbit 4 Jun 2000. en.wikipedia.org/wiki/Compton_Gamma_Ray_Observatory</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UARS launched 12 Sep 1991; uncontrolled reentry 24 Sep 2011. en.wikipedia.org/wiki/Upper_Atmosphere_Research_Satellite</w:t>
            </w:r>
          </w:p>
        </w:tc>
      </w:tr>
      <w:tr>
        <w:tc>
          <w:tcPr>
            <w:tcW w:w="0" w:type="auto"/>
          </w:tcPr>
          <w:p>
            <w:pPr>
              <w:spacing w:line="240" w:lineRule="auto" w:before="0" w:after="0"/>
              <w:pStyle w:val="Compact"/>
            </w:pPr>
            <w:r>
              <w:rPr>
                <w:sz w:val="20"/>
                <w:szCs w:val="20"/>
              </w:rPr>
              <w:t xml:space="preserve">ROSAT</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ROSAT launched 1 Jun 1990; uncontrolled reentry 23 Oct 2011. en.wikipedia.org/wiki/ROSAT</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36.18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HST launched 24 Apr 1990; still in orbit, decay predicted 2030s. en.wikipedia.org/wiki/Hubble_Space_Telescope</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FY-1C (1999-025A) launched 1999; destroyed by ASAT test 11 Jan 2007. en.wikipedia.org/wiki/Fengyun-1C</w:t>
            </w:r>
          </w:p>
        </w:tc>
      </w:tr>
      <w:tr>
        <w:tc>
          <w:tcPr>
            <w:tcW w:w="0" w:type="auto"/>
          </w:tcPr>
          <w:p>
            <w:pPr>
              <w:spacing w:line="240" w:lineRule="auto" w:before="0" w:after="0"/>
              <w:pStyle w:val="Compact"/>
            </w:pPr>
            <w:r>
              <w:rPr>
                <w:sz w:val="20"/>
                <w:szCs w:val="20"/>
              </w:rPr>
              <w:t xml:space="preserve">Cosmos 1408</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Kosmos 1408 launched 16 Sep 1982; destroyed by ASAT test 15 Nov 2021. en.wikipedia.org/wiki/Kosmos_1408</w:t>
            </w:r>
          </w:p>
        </w:tc>
      </w:tr>
      <w:tr>
        <w:tc>
          <w:tcPr>
            <w:tcW w:w="0" w:type="auto"/>
          </w:tcPr>
          <w:p>
            <w:pPr>
              <w:spacing w:line="240" w:lineRule="auto" w:before="0" w:after="0"/>
              <w:pStyle w:val="Compact"/>
            </w:pPr>
            <w:r>
              <w:rPr>
                <w:sz w:val="20"/>
                <w:szCs w:val="20"/>
              </w:rPr>
              <w:t xml:space="preserve">ISS (Zarya)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ISS first module Zarya launched 20 Nov 1998; still in orbit, operations to ~2030. en.wikipedia.org/wiki/International_Space_Station</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2152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Envisat launched 1 Mar 2002; defunct, expected decay ~150 yr. en.wikipedia.org/wiki/Envisat</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22.18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Gravity Probe B launched 20 Apr 2004; decommissioned 2010, left in ~642 km orbit, still on orbit. en.wikipedia.org/wiki/Gravity_Probe_B</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CALIPSO launched 28 Apr 2006; passivated Dec 2023, remains in ~700 km orbit. en.wikipedia.org/wiki/CALIPSO</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GOCE launched 17 Mar 2009; reentered 11 Nov 2013 after propellant depletion. en.wikipedia.org/wiki/GOCE</w:t>
            </w:r>
          </w:p>
        </w:tc>
      </w:tr>
      <w:tr>
        <w:tc>
          <w:tcPr>
            <w:tcW w:w="0" w:type="auto"/>
          </w:tcPr>
          <w:p>
            <w:pPr>
              <w:spacing w:line="240" w:lineRule="auto" w:before="0" w:after="0"/>
              <w:pStyle w:val="Compact"/>
            </w:pPr>
            <w:r>
              <w:rPr>
                <w:sz w:val="20"/>
                <w:szCs w:val="20"/>
              </w:rPr>
              <w:t xml:space="preserve">Tiangong-1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Tiangong-1 launched 29 Sep 2011; uncontrolled reentry 2 Apr 2018. en.wikipedia.org/wiki/Tiangong-1</w:t>
            </w:r>
          </w:p>
        </w:tc>
      </w:tr>
      <w:tr>
        <w:tc>
          <w:tcPr>
            <w:tcW w:w="0" w:type="auto"/>
          </w:tcPr>
          <w:p>
            <w:pPr>
              <w:spacing w:line="240" w:lineRule="auto" w:before="0" w:after="0"/>
              <w:pStyle w:val="Compact"/>
            </w:pPr>
            <w:r>
              <w:rPr>
                <w:sz w:val="20"/>
                <w:szCs w:val="20"/>
              </w:rPr>
              <w:t xml:space="preserve">Phobos-Grunt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Fobos-Grunt launched 8 Nov 2011; stranded in LEO, uncontrolled reentry 15 Jan 2012. en.wikipedia.org/wiki/Phobos-Grunt</w:t>
            </w:r>
          </w:p>
        </w:tc>
      </w:tr>
      <w:tr>
        <w:tc>
          <w:tcPr>
            <w:tcW w:w="0" w:type="auto"/>
          </w:tcPr>
          <w:p>
            <w:pPr>
              <w:spacing w:line="240" w:lineRule="auto" w:before="0" w:after="0"/>
              <w:pStyle w:val="Compact"/>
            </w:pPr>
            <w:r>
              <w:rPr>
                <w:sz w:val="20"/>
                <w:szCs w:val="20"/>
              </w:rPr>
              <w:t xml:space="preserve">Tiangong-2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Tiangong-2 launched 15 Sep 2016; controlled deorbit 19 Jul 2019. en.wikipedia.org/wiki/Tiangong-2</w:t>
            </w:r>
          </w:p>
        </w:tc>
      </w:tr>
      <w:tr>
        <w:tc>
          <w:tcPr>
            <w:tcW w:w="0" w:type="auto"/>
          </w:tcPr>
          <w:p>
            <w:pPr>
              <w:spacing w:line="240" w:lineRule="auto" w:before="0" w:after="0"/>
              <w:pStyle w:val="Compact"/>
            </w:pPr>
            <w:r>
              <w:rPr>
                <w:sz w:val="20"/>
                <w:szCs w:val="20"/>
              </w:rPr>
              <w:t xml:space="preserve">RemoveDEBRIS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RemoveDEBRIS launched 2 Apr 2018; reentered 4 Dec 2021. en.wikipedia.org/wiki/RemoveDEBRIS</w:t>
            </w:r>
          </w:p>
        </w:tc>
      </w:tr>
      <w:tr>
        <w:tc>
          <w:tcPr>
            <w:tcW w:w="0" w:type="auto"/>
          </w:tcPr>
          <w:p>
            <w:pPr>
              <w:spacing w:line="240" w:lineRule="auto" w:before="0" w:after="0"/>
              <w:pStyle w:val="Compact"/>
            </w:pPr>
            <w:r>
              <w:rPr>
                <w:sz w:val="20"/>
                <w:szCs w:val="20"/>
              </w:rPr>
              <w:t xml:space="preserve">ADM-Aeolus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ADM-Aeolus launched 22 Aug 2018; first ESA assisted reentry 28 Jul 2023. en.wikipedia.org/wiki/ADM-Aeolus</w:t>
            </w:r>
          </w:p>
        </w:tc>
      </w:tr>
      <w:tr>
        <w:tc>
          <w:tcPr>
            <w:tcW w:w="0" w:type="auto"/>
          </w:tcPr>
          <w:p>
            <w:pPr>
              <w:spacing w:line="240" w:lineRule="auto" w:before="0" w:after="0"/>
              <w:pStyle w:val="Compact"/>
            </w:pPr>
            <w:r>
              <w:rPr>
                <w:sz w:val="20"/>
                <w:szCs w:val="20"/>
              </w:rPr>
              <w:t xml:space="preserve">Long March 5B-Y1 core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CZ-5B Y1 launched 5 May 2020; core uncontrolled reentry 11 May 2020 (debris found Ivory Coast). en.wikipedia.org/wiki/Long_March_5B</w:t>
            </w:r>
          </w:p>
        </w:tc>
      </w:tr>
      <w:tr>
        <w:tc>
          <w:tcPr>
            <w:tcW w:w="0" w:type="auto"/>
          </w:tcPr>
          <w:p>
            <w:pPr>
              <w:spacing w:line="240" w:lineRule="auto" w:before="0" w:after="0"/>
              <w:pStyle w:val="Compact"/>
            </w:pPr>
            <w:r>
              <w:rPr>
                <w:sz w:val="20"/>
                <w:szCs w:val="20"/>
              </w:rPr>
              <w:t xml:space="preserve">Long March 5B-Y2 core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CZ-5B Y2 launched 29 Apr 2021; core uncontrolled reentry 9 May 2021 over Arabian Peninsula. en.wikipedia.org/wiki/Long_March_5B</w:t>
            </w:r>
          </w:p>
        </w:tc>
      </w:tr>
      <w:tr>
        <w:tc>
          <w:tcPr>
            <w:tcW w:w="0" w:type="auto"/>
          </w:tcPr>
          <w:p>
            <w:pPr>
              <w:spacing w:line="240" w:lineRule="auto" w:before="0" w:after="0"/>
              <w:pStyle w:val="Compact"/>
            </w:pPr>
            <w:r>
              <w:rPr>
                <w:sz w:val="20"/>
                <w:szCs w:val="20"/>
              </w:rPr>
              <w:t xml:space="preserve">Long March 5B-Y3 core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CZ-5B Y3 launched 24 Jul 2022; core uncontrolled reentry 30 Jul 2022 over Indian/Pacific oceans. en.wikipedia.org/wiki/Long_March_5B</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Orbital tenancy in years: time from launch epoch to decay/reentry; right-censored at the June 2026 catalog snapshot for objects still on orbit</w:t>
            </w:r>
          </w:p>
        </w:tc>
        <w:tc>
          <w:tcPr>
            <w:tcW w:w="0" w:type="auto"/>
          </w:tcPr>
          <w:p>
            <w:pPr>
              <w:spacing w:line="240" w:lineRule="auto" w:before="0" w:after="0"/>
              <w:pStyle w:val="Compact"/>
            </w:pPr>
            <w:r>
              <w:rPr>
                <w:sz w:val="20"/>
                <w:szCs w:val="20"/>
              </w:rPr>
              <w:t xml:space="preserve">Computed from documented launch and decay/reentry dates per object source column</w:t>
            </w:r>
          </w:p>
        </w:tc>
      </w:tr>
      <w:tr>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Event indicator: 1 if the object has reentered or been deorbited; 0 if still on orbit (right-censored)</w:t>
            </w:r>
          </w:p>
        </w:tc>
        <w:tc>
          <w:tcPr>
            <w:tcW w:w="0" w:type="auto"/>
          </w:tcPr>
          <w:p>
            <w:pPr>
              <w:spacing w:line="240" w:lineRule="auto" w:before="0" w:after="0"/>
              <w:pStyle w:val="Compact"/>
            </w:pPr>
            <w:r>
              <w:rPr>
                <w:sz w:val="20"/>
                <w:szCs w:val="20"/>
              </w:rPr>
              <w:t xml:space="preserve">Coded from each object’s documented orbital status</w:t>
            </w:r>
          </w:p>
        </w:tc>
      </w:tr>
      <w:tr>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1 if launched in or after 2002 (the era in which the IADC Space Debris Mitigation Guidelines and the US Orbital Debris Mitigation Standard Practices were domesticated into national licensing); 0 if launched earlier</w:t>
            </w:r>
          </w:p>
        </w:tc>
        <w:tc>
          <w:tcPr>
            <w:tcW w:w="0" w:type="auto"/>
          </w:tcPr>
          <w:p>
            <w:pPr>
              <w:spacing w:line="240" w:lineRule="auto" w:before="0" w:after="0"/>
              <w:pStyle w:val="Compact"/>
            </w:pPr>
            <w:r>
              <w:rPr>
                <w:sz w:val="20"/>
                <w:szCs w:val="20"/>
              </w:rPr>
              <w:t xml:space="preserve">Coded from documented launch year</w:t>
            </w:r>
          </w:p>
        </w:tc>
      </w:tr>
      <w:tr>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1 if the object operates or operated in a drag-dominated low-perigee regime (below roughly 600 km); 0 otherwise</w:t>
            </w:r>
          </w:p>
        </w:tc>
        <w:tc>
          <w:tcPr>
            <w:tcW w:w="0" w:type="auto"/>
          </w:tcPr>
          <w:p>
            <w:pPr>
              <w:spacing w:line="240" w:lineRule="auto" w:before="0" w:after="0"/>
              <w:pStyle w:val="Compact"/>
            </w:pPr>
            <w:r>
              <w:rPr>
                <w:sz w:val="20"/>
                <w:szCs w:val="20"/>
              </w:rPr>
              <w:t xml:space="preserve">Coded from each object’s documented operational orbit</w:t>
            </w:r>
          </w:p>
        </w:tc>
      </w:tr>
      <w:tr>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1 if a massive object (station, large observatory, or upper stage, mass above roughly 1000 kg); 0 for small or light objects</w:t>
            </w:r>
          </w:p>
        </w:tc>
        <w:tc>
          <w:tcPr>
            <w:tcW w:w="0" w:type="auto"/>
          </w:tcPr>
          <w:p>
            <w:pPr>
              <w:spacing w:line="240" w:lineRule="auto" w:before="0" w:after="0"/>
              <w:pStyle w:val="Compact"/>
            </w:pPr>
            <w:r>
              <w:rPr>
                <w:sz w:val="20"/>
                <w:szCs w:val="20"/>
              </w:rPr>
              <w:t xml:space="preserve">Coded from each object’s documented mass class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0.8759</w:t>
            </w:r>
          </w:p>
        </w:tc>
        <w:tc>
          <w:tcPr>
            <w:tcW w:w="0" w:type="auto"/>
          </w:tcPr>
          <w:p>
            <w:pPr>
              <w:spacing w:line="240" w:lineRule="auto" w:before="0" w:after="0"/>
              <w:pStyle w:val="Compact"/>
            </w:pPr>
            <w:r>
              <w:rPr>
                <w:sz w:val="20"/>
                <w:szCs w:val="20"/>
              </w:rPr>
              <w:t xml:space="preserve">0.5006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0.0801</w:t>
            </w:r>
          </w:p>
        </w:tc>
        <w:tc>
          <w:tcPr>
            <w:tcW w:w="0" w:type="auto"/>
          </w:tcPr>
          <w:p>
            <w:pPr>
              <w:spacing w:line="240" w:lineRule="auto" w:before="0" w:after="0"/>
              <w:pStyle w:val="Compact"/>
            </w:pPr>
            <w:r>
              <w:rPr>
                <w:sz w:val="20"/>
                <w:szCs w:val="20"/>
              </w:rPr>
              <w:t xml:space="preserve">[-0.1051, 1.857]</w:t>
            </w:r>
          </w:p>
        </w:tc>
        <w:tc>
          <w:tcPr>
            <w:tcW w:w="0" w:type="auto"/>
          </w:tcPr>
          <w:p>
            <w:pPr>
              <w:spacing w:line="240" w:lineRule="auto" w:before="0" w:after="0"/>
              <w:pStyle w:val="Compact"/>
            </w:pPr>
            <w:r>
              <w:rPr>
                <w:sz w:val="20"/>
                <w:szCs w:val="20"/>
              </w:rPr>
              <w:t xml:space="preserve">2.4012</w:t>
            </w:r>
          </w:p>
        </w:tc>
      </w:tr>
      <w:tr>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1.839</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3.2935</w:t>
            </w:r>
          </w:p>
        </w:tc>
        <w:tc>
          <w:tcPr>
            <w:tcW w:w="0" w:type="auto"/>
          </w:tcPr>
          <w:p>
            <w:pPr>
              <w:spacing w:line="240" w:lineRule="auto" w:before="0" w:after="0"/>
              <w:pStyle w:val="Compact"/>
            </w:pPr>
            <w:r>
              <w:rPr>
                <w:sz w:val="20"/>
                <w:szCs w:val="20"/>
              </w:rPr>
              <w:t xml:space="preserve">0.0009896</w:t>
            </w:r>
          </w:p>
        </w:tc>
        <w:tc>
          <w:tcPr>
            <w:tcW w:w="0" w:type="auto"/>
          </w:tcPr>
          <w:p>
            <w:pPr>
              <w:spacing w:line="240" w:lineRule="auto" w:before="0" w:after="0"/>
              <w:pStyle w:val="Compact"/>
            </w:pPr>
            <w:r>
              <w:rPr>
                <w:sz w:val="20"/>
                <w:szCs w:val="20"/>
              </w:rPr>
              <w:t xml:space="preserve">[0.7446, 2.9334]</w:t>
            </w:r>
          </w:p>
        </w:tc>
        <w:tc>
          <w:tcPr>
            <w:tcW w:w="0" w:type="auto"/>
          </w:tcPr>
          <w:p>
            <w:pPr>
              <w:spacing w:line="240" w:lineRule="auto" w:before="0" w:after="0"/>
              <w:pStyle w:val="Compact"/>
            </w:pPr>
            <w:r>
              <w:rPr>
                <w:sz w:val="20"/>
                <w:szCs w:val="20"/>
              </w:rPr>
              <w:t xml:space="preserve">6.2903</w:t>
            </w:r>
          </w:p>
        </w:tc>
      </w:tr>
      <w:tr>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-0.1561</w:t>
            </w:r>
          </w:p>
        </w:tc>
        <w:tc>
          <w:tcPr>
            <w:tcW w:w="0" w:type="auto"/>
          </w:tcPr>
          <w:p>
            <w:pPr>
              <w:spacing w:line="240" w:lineRule="auto" w:before="0" w:after="0"/>
              <w:pStyle w:val="Compact"/>
            </w:pPr>
            <w:r>
              <w:rPr>
                <w:sz w:val="20"/>
                <w:szCs w:val="20"/>
              </w:rPr>
              <w:t xml:space="preserve">0.571</w:t>
            </w:r>
          </w:p>
        </w:tc>
        <w:tc>
          <w:tcPr>
            <w:tcW w:w="0" w:type="auto"/>
          </w:tcPr>
          <w:p>
            <w:pPr>
              <w:spacing w:line="240" w:lineRule="auto" w:before="0" w:after="0"/>
              <w:pStyle w:val="Compact"/>
            </w:pPr>
            <w:r>
              <w:rPr>
                <w:sz w:val="20"/>
                <w:szCs w:val="20"/>
              </w:rPr>
              <w:t xml:space="preserve">-0.2733</w:t>
            </w:r>
          </w:p>
        </w:tc>
        <w:tc>
          <w:tcPr>
            <w:tcW w:w="0" w:type="auto"/>
          </w:tcPr>
          <w:p>
            <w:pPr>
              <w:spacing w:line="240" w:lineRule="auto" w:before="0" w:after="0"/>
              <w:pStyle w:val="Compact"/>
            </w:pPr>
            <w:r>
              <w:rPr>
                <w:sz w:val="20"/>
                <w:szCs w:val="20"/>
              </w:rPr>
              <w:t xml:space="preserve">0.7846</w:t>
            </w:r>
          </w:p>
        </w:tc>
        <w:tc>
          <w:tcPr>
            <w:tcW w:w="0" w:type="auto"/>
          </w:tcPr>
          <w:p>
            <w:pPr>
              <w:spacing w:line="240" w:lineRule="auto" w:before="0" w:after="0"/>
              <w:pStyle w:val="Compact"/>
            </w:pPr>
            <w:r>
              <w:rPr>
                <w:sz w:val="20"/>
                <w:szCs w:val="20"/>
              </w:rPr>
              <w:t xml:space="preserve">[-1.2752, 0.9631]</w:t>
            </w:r>
          </w:p>
        </w:tc>
        <w:tc>
          <w:tcPr>
            <w:tcW w:w="0" w:type="auto"/>
          </w:tcPr>
          <w:p>
            <w:pPr>
              <w:spacing w:line="240" w:lineRule="auto" w:before="0" w:after="0"/>
              <w:pStyle w:val="Compact"/>
            </w:pPr>
            <w:r>
              <w:rPr>
                <w:sz w:val="20"/>
                <w:szCs w:val="20"/>
              </w:rPr>
              <w:t xml:space="preserve">0.8555</w:t>
            </w:r>
          </w:p>
        </w:tc>
      </w:tr>
    </w:tbl>
    <w:p>
      <w:pPr>
        <w:pStyle w:val="BodyText"/>
      </w:pPr>
      <w:r>
        <w:t xml:space="preserve">Fit: N = 29 events = 22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1016/j.actaastro.2024.09.045" TargetMode="External" /><Relationship Type="http://schemas.openxmlformats.org/officeDocument/2006/relationships/hyperlink" Id="rId68" Target="https://doi.org/10.1016/j.actaastro.2025.01.069" TargetMode="External" /><Relationship Type="http://schemas.openxmlformats.org/officeDocument/2006/relationships/hyperlink" Id="rId70" Target="https://doi.org/10.1016/j.actaastro.2025.06.024"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1016/j.actaastro.2024.09.045" TargetMode="External" /><Relationship Type="http://schemas.openxmlformats.org/officeDocument/2006/relationships/hyperlink" Id="rId68" Target="https://doi.org/10.1016/j.actaastro.2025.01.069" TargetMode="External" /><Relationship Type="http://schemas.openxmlformats.org/officeDocument/2006/relationships/hyperlink" Id="rId70" Target="https://doi.org/10.1016/j.actaastro.2025.06.0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2026-06-26T16:46:07Z</dcterms:created>
  <dcterms:modified xsi:type="dcterms:W3CDTF">2026-06-26T16:46:07Z</dcterms:modified>
</cp:coreProperties>
</file>

<file path=docProps/custom.xml><?xml version="1.0" encoding="utf-8"?>
<Properties xmlns="http://schemas.openxmlformats.org/officeDocument/2006/custom-properties" xmlns:vt="http://schemas.openxmlformats.org/officeDocument/2006/docPropsVTypes"/>
</file>