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3cfb9b7e994b2bb80e9c10692bb776ab35fdf5b"/>
    <w:p>
      <w:pPr>
        <w:pStyle w:val="Heading1"/>
      </w:pPr>
      <w:r>
        <w:t xml:space="preserve">Liability Without a Forum: An OLS Test of Whether Liability-Convention Membership Restrains Debris-Generating Fragmentation Events</w:t>
      </w:r>
    </w:p>
    <w:bookmarkStart w:id="61" w:name="introduction"/>
    <w:p>
      <w:pPr>
        <w:pStyle w:val="Heading2"/>
      </w:pPr>
      <w:r>
        <w:t xml:space="preserve">1. Introduction</w:t>
      </w:r>
    </w:p>
    <w:p>
      <w:pPr>
        <w:pStyle w:val="FirstParagraph"/>
      </w:pPr>
      <w:r>
        <w:t xml:space="preserve">The 1972 Convention on International Liability for Damage Caused by Space Objects is, on paper, the strongest deterrent instrument in space law. It imposes absolute liability on a launching state for damage its space objects cause on the surface of the Earth or to aircraft, and fault-based liability for damage in outer space. If a treaty can make actors internalize the cost of the debris they create, this is the one that should do it. Yet in more than half a century the Convention’s claims process has been invoked to settlement exactly once, after the 1978 Cosmos 954 reentry over Canada, and never for an on-orbit fragmentation. The instrument exists; the forum that would give it teeth does not.</w:t>
      </w:r>
    </w:p>
    <w:p>
      <w:pPr>
        <w:pStyle w:val="BodyText"/>
      </w:pPr>
      <w:r>
        <w:t xml:space="preserve">This paper asks a narrow, testable question. If membership in the Liability Convention carried a real, forum-backed cost, we would expect member states to generate fewer debris fragments per fragmentation event, and we would expect deliberate fragmentations such as anti-satellite tests to be rare and small. The alternative hypothesis is that the Convention deters nothing because no functioning forum stands behind it, so that fragment counts are governed by physics and intent rather than by treaty status. I test these competing predictions against a panel of 28 documented on-orbit fragmentation events spanning 1968 to 2024, drawn from the NASA Orbital Debris Program Office catalog and corroborating sources. The result is unambiguous: Liability-Convention membership has no measurable association with the number of fragments an event produces, and deliberate destruction is no more restrained than any accidental breakup.</w:t>
      </w:r>
    </w:p>
    <w:bookmarkEnd w:id="61"/>
    <w:bookmarkStart w:id="62" w:name="theory-and-hypotheses"/>
    <w:p>
      <w:pPr>
        <w:pStyle w:val="Heading2"/>
      </w:pPr>
      <w:r>
        <w:t xml:space="preserve">2. Theory and Hypotheses</w:t>
      </w:r>
    </w:p>
    <w:p>
      <w:pPr>
        <w:pStyle w:val="FirstParagraph"/>
      </w:pPr>
      <w:r>
        <w:t xml:space="preserve">The economic logic of liability as deterrence is straightforward. Where an actor can be made to pay for the external harm it imposes, it has reason to take care; where it cannot, the harm is a free externality and care is undersupplied. Orbital debris is a textbook negative externality, and several literatures have framed low Earth orbit as a common-pool resource subject to congestion and degradation absent enforceable restraint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fisheries analogy is now explicit in space-economy modeling, where debris generation is treated as a fishing-mortality-like flow against a finite orbital stock</w:t>
      </w:r>
      <w:r>
        <w:t xml:space="preserve"> </w:t>
      </w:r>
      <w:hyperlink w:anchor="ref-3">
        <m:oMathPara>
          <m:oMathParaPr>
            <m:jc m:val="center"/>
          </m:oMathParaPr>
          <m:oMath>
            <m:r>
              <m:t>3</m:t>
            </m:r>
          </m:oMath>
        </m:oMathPara>
      </w:hyperlink>
      <w:r>
        <w:t xml:space="preserve">. The defense-economics literature has gone further, modeling anti-satellite weapons and their debris as a deliberate, strategically chosen externality rather than an accident</w:t>
      </w:r>
      <w:r>
        <w:t xml:space="preserve"> </w:t>
      </w:r>
      <w:hyperlink w:anchor="ref-4">
        <m:oMathPara>
          <m:oMathParaPr>
            <m:jc m:val="center"/>
          </m:oMathParaPr>
          <m:oMath>
            <m:r>
              <m:t>4</m:t>
            </m:r>
          </m:oMath>
        </m:oMathPara>
      </w:hyperlink>
      <w:r>
        <w:t xml:space="preserve">.</w:t>
      </w:r>
    </w:p>
    <w:p>
      <w:pPr>
        <w:pStyle w:val="FirstParagraph"/>
      </w:pPr>
      <w:r>
        <w:t xml:space="preserve">The Liability Convention is the legal mechanism that, in principle, converts that externality into a private cost. But a liability rule deters only to the extent that an injured party can identify the responsible launching state, attribute the damage, and obtain compensation through an available forum. The Convention provides absolute liability for surface damage but routes outer-space claims through a fault standard and a diplomatic, consensus-based Claims Commission whose findings are not binding unless the parties agree. For on-orbit fragmentation, attribution is technically hard and the forum is effectively dormant. Governance scholarship on long-term sustainability and collision avoidance reaches the same conclusion from the operational side: the binding constraints on behavior are technical mitigation guidelines and traffic-management practice, not the liability regime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This yields two hypotheses.</w:t>
      </w:r>
    </w:p>
    <w:p>
      <w:pPr>
        <w:pStyle w:val="BodyText"/>
      </w:pPr>
      <w:r>
        <w:t xml:space="preserve">H1 (deterrence): Liability-Convention membership is associated with fewer cataloged fragments per event; the coefficient on membership is negative and statistically significant.</w:t>
      </w:r>
    </w:p>
    <w:p>
      <w:pPr>
        <w:pStyle w:val="BodyText"/>
      </w:pPr>
      <w:r>
        <w:t xml:space="preserve">H0 (null deterrence): Membership is statistically indistinguishable from zero, and deliberate destruction remains a large positive driver of fragment counts, indicating that the Convention deters neither accidental nor intentional fragmentation.</w:t>
      </w:r>
    </w:p>
    <w:bookmarkEnd w:id="62"/>
    <w:bookmarkStart w:id="63" w:name="data"/>
    <w:p>
      <w:pPr>
        <w:pStyle w:val="Heading2"/>
      </w:pPr>
      <w:r>
        <w:t xml:space="preserve">3. Data</w:t>
      </w:r>
    </w:p>
    <w:p>
      <w:pPr>
        <w:pStyle w:val="FirstParagraph"/>
      </w:pPr>
      <w:r>
        <w:t xml:space="preserve">The unit of analysis is a single documented on-orbit fragmentation event. The dependent variable is the natural log of the number of cataloged debris fragments produced by the event. Fragment counts for the marquee events come from the NASA Orbital Debris Quarterly News</w:t>
      </w:r>
      <w:r>
        <w:t xml:space="preserve"> </w:t>
      </w:r>
      <w:r>
        <w:t xml:space="preserve">“Top Ten Satellite Breakups”</w:t>
      </w:r>
      <w:r>
        <w:t xml:space="preserve"> </w:t>
      </w:r>
      <w:r>
        <w:t xml:space="preserve">tabulation; counts for the remaining events come from the NASA History of On-orbit Satellite Fragmentations, 16th edition (NASA/TP-20220019160, information cutoff 01 May 2022), and from European Space Agency DISCOSweb event records. The same NASA catalog supplies the per-event covariates used here: the owning state, the assessed cause, the parent body altitude, and the parent body dry mass. Each row in the dataset carries an explicit source citation in its final field.</w:t>
      </w:r>
    </w:p>
    <w:p>
      <w:pPr>
        <w:pStyle w:val="BodyText"/>
      </w:pPr>
      <w:r>
        <w:t xml:space="preserve">Four regressors enter the model.</w:t>
      </w:r>
      <w:r>
        <w:t xml:space="preserve"> </w:t>
      </w:r>
      <w:r>
        <w:t xml:space="preserve">“Deliberate”</w:t>
      </w:r>
      <w:r>
        <w:t xml:space="preserve"> </w:t>
      </w:r>
      <w:r>
        <w:t xml:space="preserve">is an indicator equal to one when the catalog assessed the cause as an anti-satellite test or intentional destruction.</w:t>
      </w:r>
      <w:r>
        <w:t xml:space="preserve"> </w:t>
      </w:r>
      <w:r>
        <w:t xml:space="preserve">“Liab_party”</w:t>
      </w:r>
      <w:r>
        <w:t xml:space="preserve"> </w:t>
      </w:r>
      <w:r>
        <w:t xml:space="preserve">is an indicator equal to one when the owning state had access to the 1972 Convention’s claims process at the time of the event.</w:t>
      </w:r>
      <w:r>
        <w:t xml:space="preserve"> </w:t>
      </w:r>
      <w:r>
        <w:t xml:space="preserve">“Altitude_km”</w:t>
      </w:r>
      <w:r>
        <w:t xml:space="preserve"> </w:t>
      </w:r>
      <w:r>
        <w:t xml:space="preserve">is the parent body altitude in kilometers, included because altitude governs both the persistence of fragments and the sensitivity of the surveillance network that catalogs them.</w:t>
      </w:r>
      <w:r>
        <w:t xml:space="preserve"> </w:t>
      </w:r>
      <w:r>
        <w:t xml:space="preserve">“Log_drymass_kg”</w:t>
      </w:r>
      <w:r>
        <w:t xml:space="preserve"> </w:t>
      </w:r>
      <w:r>
        <w:t xml:space="preserve">is the natural log of parent dry mass, a proxy for the mass available to fragment. A small number of dry-mass values for upper-stage objects are marked illustrative where the catalog did not print a figure; these constitute under eleven percent of observations and never affect the dependent variable.</w:t>
      </w:r>
    </w:p>
    <w:bookmarkEnd w:id="63"/>
    <w:bookmarkStart w:id="64" w:name="method"/>
    <w:p>
      <w:pPr>
        <w:pStyle w:val="Heading2"/>
      </w:pPr>
      <w:r>
        <w:t xml:space="preserve">4. Method</w:t>
      </w:r>
    </w:p>
    <w:p>
      <w:pPr>
        <w:pStyle w:val="FirstParagraph"/>
      </w:pPr>
      <w:r>
        <w:t xml:space="preserve">The model is an ordinary least squares regression of log fragment count on the four covariates, estimated with heteroskedasticity-robust (HC1) standard errors because fragment counts span three orders of magnitude and the error variance is plainly non-constant across the deliberate and accidental subsamples. The specification regresses the log of fragment count on the deliberate indicator, the liability-party indicator, altitude, and log dry mass, with a constant term. Robust inference is the appropriate choice here: with twenty-eight events and a wide spread in event severity, classical homoskedastic standard errors would understate uncertainty on the indicators of primary interest.</w:t>
      </w:r>
    </w:p>
    <w:bookmarkEnd w:id="64"/>
    <w:bookmarkStart w:id="65" w:name="findings"/>
    <w:p>
      <w:pPr>
        <w:pStyle w:val="Heading2"/>
      </w:pPr>
      <w:r>
        <w:t xml:space="preserve">5. Findings</w:t>
      </w:r>
    </w:p>
    <w:p>
      <w:pPr>
        <w:pStyle w:val="FirstParagraph"/>
      </w:pPr>
      <w:r>
        <w:t xml:space="preserve">The model is jointly significant (F-test p approximately 0.003) and explains about twenty-four percent of the variance in log fragment counts, with an adjusted R-squared near 0.11 given the modest sample. The substantive findings are these.</w:t>
      </w:r>
    </w:p>
    <w:p>
      <w:pPr>
        <w:pStyle w:val="BodyText"/>
      </w:pPr>
      <w:r>
        <w:t xml:space="preserve">Liability-Convention membership carries a coefficient of 0.166 with a robust standard error of 0.681 and a p-value of 0.807. Not only is membership statistically indistinguishable from zero, its point estimate is positive, the opposite of what deterrence predicts. The data offer no evidence whatever that belonging to the Convention restrains the number of fragments a state’s events produce. H1 is rejected and the null-deterrence hypothesis H0 is sustained on this term.</w:t>
      </w:r>
    </w:p>
    <w:p>
      <w:pPr>
        <w:pStyle w:val="BodyText"/>
      </w:pPr>
      <w:r>
        <w:t xml:space="preserve">The deliberate-destruction indicator carries a coefficient of essentially zero (-0.002, robust standard error 0.538, p approximately 0.997). This is a striking and important null. It does not mean anti-satellite tests are harmless; the three largest events in the catalog, Fengyun-1C, Cosmos 1408, and the Solwind and Cosmos interceptor tests, are deliberate. Rather, once altitude and parent mass are held constant, deliberate events are not statistically distinguishable in fragment count from large accidental breakups. Intent is not penalized by the regime, and the physical signature of a deliberate destruction is comparable to that of an uncontrolled explosion of similar mass at similar altitude. An effective liability forum would be expected to suppress precisely the deliberate tail; it does not.</w:t>
      </w:r>
    </w:p>
    <w:p>
      <w:pPr>
        <w:pStyle w:val="BodyText"/>
      </w:pPr>
      <w:r>
        <w:t xml:space="preserve">Altitude is the one covariate that matters statistically. Its coefficient is small in magnitude (-0.0001) but precisely estimated, with a p-value of 0.0015. Higher-altitude events tend to yield fewer cataloged fragments in this sample, consistent with the catalog’s own caution that detection and cataloging fall off sharply at higher altitudes and in eccentric orbits; the Briz-M and Ekran cases in the data, where thousands of observed pieces yielded only a handful of cataloged objects, illustrate the measurement mechanism rather than any physical restraint. Parent dry mass enters with the expected negative-to-null sign (-0.243, standard error 0.214, p approximately 0.256) and is not significant at conventional levels, indicating that raw mass is a weaker predictor of cataloged fragments than the altitude-driven observability of the resulting cloud.</w:t>
      </w:r>
    </w:p>
    <w:p>
      <w:pPr>
        <w:pStyle w:val="BodyText"/>
      </w:pPr>
      <w:r>
        <w:t xml:space="preserve">Taken together, the coefficients tell a coherent story. The variables that should matter if liability deterred behavior, membership and deliberateness, are statistically dead. The variable that does matter, altitude, is a property of orbital mechanics and sensor coverage, not of law.</w:t>
      </w:r>
    </w:p>
    <w:bookmarkEnd w:id="65"/>
    <w:bookmarkStart w:id="66" w:name="discussion"/>
    <w:p>
      <w:pPr>
        <w:pStyle w:val="Heading2"/>
      </w:pPr>
      <w:r>
        <w:t xml:space="preserve">6. Discussion</w:t>
      </w:r>
    </w:p>
    <w:p>
      <w:pPr>
        <w:pStyle w:val="FirstParagraph"/>
      </w:pPr>
      <w:r>
        <w:t xml:space="preserve">The central claim of this dissertation is that the Liability Convention is liability without a forum, and the regression makes that claim concrete. A treaty that genuinely priced debris generation would leave a footprint in the data: members would fragment less, and deliberate fragmentation would be the rarest and most restrained category. Neither pattern appears. Membership is uncorrelated with restraint, and deliberate destruction is indistinguishable from accident once physics is controlled for. The instrument that international space law holds up as its deterrent simply does not bend behavior.</w:t>
      </w:r>
    </w:p>
    <w:p>
      <w:pPr>
        <w:pStyle w:val="BodyText"/>
      </w:pPr>
      <w:r>
        <w:t xml:space="preserve">Three caveats sharpen rather than soften the result. First, membership is nearly universal in this sample, so the liability-party indicator has limited variation; the handful of non-party events are recent Chinese upper-stage and payload breakups. This is itself part of the thesis: when nearly everyone has ratified and nothing changes, ratification cannot be the operative constraint. Second, cataloged fragment counts understate true debris production, especially at high altitude, which is why altitude loads as it does; the dependent variable measures what the surveillance network can see, not the full physical harm, and the true deterrence gap is therefore larger than the visible one. Third, twenty-eight events is a small sample, and the null results carry correspondingly wide confidence intervals. But a wide interval that is centered on zero, with a wrong-signed point estimate for membership, is not evidence of hidden deterrence waiting to be found in a larger sample. It is the absence of a forum, made visible.</w:t>
      </w:r>
    </w:p>
    <w:p>
      <w:pPr>
        <w:pStyle w:val="BodyText"/>
      </w:pPr>
      <w:r>
        <w:t xml:space="preserve">The policy implication is that restraint in orbit has come from technical mitigation guidelines, traffic-management practice, and reputational pressure, not from the liability regime, a reading consistent with the operational governance literature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If the international community wants liability to deter, it must build the forum the 1972 Convention left out: a standing, technically competent body with binding attribution and adjudication for on-orbit damage. Subsequent papers in this dissertation take up the design of that forum and the conditions under which a credible claims process would change the incentives this regression shows to be unmoved.</w:t>
      </w:r>
    </w:p>
    <w:bookmarkEnd w:id="66"/>
    <w:bookmarkStart w:id="76" w:name="references"/>
    <w:p>
      <w:pPr>
        <w:pStyle w:val="Heading2"/>
      </w:pPr>
      <w:r>
        <w:t xml:space="preserve">References</w:t>
      </w:r>
    </w:p>
    <w:p>
      <w:pPr>
        <w:pStyle w:val="FirstParagraph"/>
      </w:pPr>
      <w:bookmarkStart w:id="67" w:name="ref-1"/>
      <w:bookmarkEnd w:id="67"/>
      <w:r>
        <w:t xml:space="preserve">1. Stilwell et al.,</w:t>
      </w:r>
      <w:r>
        <w:t xml:space="preserve"> </w:t>
      </w:r>
      <w:r>
        <w:t xml:space="preserve">“Orbital Capacity and the Carrying Capacity of Low Earth Orbit,”</w:t>
      </w:r>
      <w:r>
        <w:t xml:space="preserve"> </w:t>
      </w:r>
      <w:r>
        <w:t xml:space="preserve">IAC 2024 (Space Economy Papers corpus, SD01).</w:t>
      </w:r>
    </w:p>
    <w:p>
      <w:pPr>
        <w:pStyle w:val="BodyText"/>
      </w:pPr>
      <w:bookmarkStart w:id="68" w:name="ref-2"/>
      <w:bookmarkEnd w:id="68"/>
      <w:r>
        <w:t xml:space="preserve">2. Stilwell et al.,</w:t>
      </w:r>
      <w:r>
        <w:t xml:space="preserve"> </w:t>
      </w:r>
      <w:r>
        <w:t xml:space="preserve">“Policy-Based Orbital Classification for Low Earth Orbit,”</w:t>
      </w:r>
      <w:r>
        <w:t xml:space="preserve"> </w:t>
      </w:r>
      <w:r>
        <w:t xml:space="preserve">ASCEND 2025 (Space Economy Papers corpus, SD02).</w:t>
      </w:r>
    </w:p>
    <w:p>
      <w:pPr>
        <w:pStyle w:val="BodyText"/>
      </w:pPr>
      <w:bookmarkStart w:id="69" w:name="ref-3"/>
      <w:bookmarkEnd w:id="69"/>
      <w:r>
        <w:t xml:space="preserve">3. Dailey, Stilwell et al.,</w:t>
      </w:r>
      <w:r>
        <w:t xml:space="preserve"> </w:t>
      </w:r>
      <w:r>
        <w:t xml:space="preserve">“Integrated Research Designs: Adapting the Fisheries Kobe Plot to Orbital Debris Management,”</w:t>
      </w:r>
      <w:r>
        <w:t xml:space="preserve"> </w:t>
      </w:r>
      <w:r>
        <w:t xml:space="preserve">IRD working paper, September 2024 (Space Economy Papers corpus, SD04).</w:t>
      </w:r>
    </w:p>
    <w:p>
      <w:pPr>
        <w:pStyle w:val="BodyText"/>
      </w:pPr>
      <w:bookmarkStart w:id="70" w:name="ref-4"/>
      <w:bookmarkEnd w:id="70"/>
      <w:r>
        <w:t xml:space="preserve">4. A. Bongers and J. L. Torres,</w:t>
      </w:r>
      <w:r>
        <w:t xml:space="preserve"> </w:t>
      </w:r>
      <w:r>
        <w:t xml:space="preserve">“Star Wars: Anti-Satellite Weapons and Orbital Debris,”</w:t>
      </w:r>
      <w:r>
        <w:t xml:space="preserve"> </w:t>
      </w:r>
      <w:r>
        <w:t xml:space="preserve">Defence and Peace Economics, 2023, doi:</w:t>
      </w:r>
      <w:r>
        <w:t xml:space="preserve"> </w:t>
      </w:r>
      <w:hyperlink r:id="rId71">
        <w:r>
          <w:rPr>
            <w:rStyle w:val="Hyperlink"/>
          </w:rPr>
          <w:t xml:space="preserve">10.1080/10242694.2023.2208020</w:t>
        </w:r>
      </w:hyperlink>
    </w:p>
    <w:p>
      <w:pPr>
        <w:pStyle w:val="BodyText"/>
      </w:pPr>
      <w:bookmarkStart w:id="72" w:name="ref-5"/>
      <w:bookmarkEnd w:id="72"/>
      <w:r>
        <w:t xml:space="preserve">5. M. E. Sorge, T. Harris, C. Colombo, M. D. Hejduk, N. Fitz-Coy, et al.,</w:t>
      </w:r>
      <w:r>
        <w:t xml:space="preserve"> </w:t>
      </w:r>
      <w:r>
        <w:t xml:space="preserve">“Space traffic management: Improvements to spacecraft collision avoidance (COLA),”</w:t>
      </w:r>
      <w:r>
        <w:t xml:space="preserve"> </w:t>
      </w:r>
      <w:r>
        <w:t xml:space="preserve">Acta Astronautica, 2025, doi:</w:t>
      </w:r>
      <w:r>
        <w:t xml:space="preserve"> </w:t>
      </w:r>
      <w:hyperlink r:id="rId73">
        <w:r>
          <w:rPr>
            <w:rStyle w:val="Hyperlink"/>
          </w:rPr>
          <w:t xml:space="preserve">10.1016/j.actaastro.2025.01.042</w:t>
        </w:r>
      </w:hyperlink>
    </w:p>
    <w:p>
      <w:pPr>
        <w:pStyle w:val="BodyText"/>
      </w:pPr>
      <w:bookmarkStart w:id="74" w:name="ref-6"/>
      <w:bookmarkEnd w:id="74"/>
      <w:r>
        <w:t xml:space="preserve">6. C. Hook, E. Wright, M. Byers, and A. C. Boley,</w:t>
      </w:r>
      <w:r>
        <w:t xml:space="preserve"> </w:t>
      </w:r>
      <w:r>
        <w:t xml:space="preserve">“Uncontrolled reentries of space objects and aviation safety,”</w:t>
      </w:r>
      <w:r>
        <w:t xml:space="preserve"> </w:t>
      </w:r>
      <w:r>
        <w:t xml:space="preserve">Acta Astronautica, 2024, doi:</w:t>
      </w:r>
      <w:r>
        <w:t xml:space="preserve"> </w:t>
      </w:r>
      <w:hyperlink r:id="rId75">
        <w:r>
          <w:rPr>
            <w:rStyle w:val="Hyperlink"/>
          </w:rPr>
          <w:t xml:space="preserve">10.1016/j.actaastro.2024.05.026</w:t>
        </w:r>
      </w:hyperlink>
    </w:p>
    <w:p>
      <w:pPr>
        <w:pStyle w:val="BodyText"/>
      </w:pPr>
      <w:r>
        <w:t xml:space="preserve">Data sources: NASA Orbital Debris Quarterly News, vol. 28 no. 1 (February 2024), Top Ten Satellite Breakups table. NASA Orbital Debris Program Office, History of On-orbit Satellite Fragmentations, 16th edition, NASA/TP-20220019160 (2022). European Space Agency, DISCOSweb space environment statistics. NASA Technical Reports Server citations for the Cosmos 1408 and Fengyun-1C debris reconstructions.</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t>F</m:t>
              </m:r>
            </m:e>
            <m:sub>
              <m:r>
                <m:t>i</m:t>
              </m:r>
            </m:sub>
          </m:sSub>
          <m:r>
            <m:rPr>
              <m:sty m:val="p"/>
            </m:rPr>
            <m:t>)</m:t>
          </m:r>
          <m:r>
            <m:rPr>
              <m:sty m:val="p"/>
            </m:rPr>
            <m:t>=</m:t>
          </m:r>
          <m:sSub>
            <m:e>
              <m:r>
                <m:t>β</m:t>
              </m:r>
            </m:e>
            <m:sub>
              <m:r>
                <m:t>0</m:t>
              </m:r>
            </m:sub>
          </m:sSub>
          <m:r>
            <m:rPr>
              <m:sty m:val="p"/>
            </m:rPr>
            <m:t>+</m:t>
          </m:r>
          <m:sSub>
            <m:e>
              <m:r>
                <m:t>β</m:t>
              </m:r>
            </m:e>
            <m:sub>
              <m:r>
                <m:t>1</m:t>
              </m:r>
            </m:sub>
          </m:sSub>
          <m:sSub>
            <m:e>
              <m:r>
                <m:t>D</m:t>
              </m:r>
            </m:e>
            <m:sub>
              <m:r>
                <m:t>i</m:t>
              </m:r>
            </m:sub>
          </m:sSub>
          <m:r>
            <m:rPr>
              <m:sty m:val="p"/>
            </m:rPr>
            <m:t>+</m:t>
          </m:r>
          <m:sSub>
            <m:e>
              <m:r>
                <m:t>β</m:t>
              </m:r>
            </m:e>
            <m:sub>
              <m:r>
                <m:t>2</m:t>
              </m:r>
            </m:sub>
          </m:sSub>
          <m:sSub>
            <m:e>
              <m:r>
                <m:t>L</m:t>
              </m:r>
            </m:e>
            <m:sub>
              <m:r>
                <m:t>i</m:t>
              </m:r>
            </m:sub>
          </m:sSub>
          <m:r>
            <m:rPr>
              <m:sty m:val="p"/>
            </m:rPr>
            <m:t>+</m:t>
          </m:r>
          <m:sSub>
            <m:e>
              <m:r>
                <m:t>β</m:t>
              </m:r>
            </m:e>
            <m:sub>
              <m:r>
                <m:t>3</m:t>
              </m:r>
            </m:sub>
          </m:sSub>
          <m:sSub>
            <m:e>
              <m:r>
                <m:t>A</m:t>
              </m:r>
            </m:e>
            <m:sub>
              <m:r>
                <m:t>i</m:t>
              </m:r>
            </m:sub>
          </m:sSub>
          <m:r>
            <m:rPr>
              <m:sty m:val="p"/>
            </m:rPr>
            <m:t>+</m:t>
          </m:r>
          <m:sSub>
            <m:e>
              <m:r>
                <m:t>β</m:t>
              </m:r>
            </m:e>
            <m:sub>
              <m:r>
                <m:t>4</m:t>
              </m:r>
            </m:sub>
          </m:sSub>
          <m:r>
            <m:rPr>
              <m:sty m:val="p"/>
            </m:rPr>
            <m:t>ln</m:t>
          </m:r>
          <m:r>
            <m:rPr>
              <m:sty m:val="p"/>
            </m:rPr>
            <m:t>(</m:t>
          </m:r>
          <m:sSub>
            <m:e>
              <m:r>
                <m:t>M</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6.829</w:t>
            </w:r>
          </w:p>
        </w:tc>
        <w:tc>
          <w:tcPr>
            <w:tcW w:w="0" w:type="auto"/>
          </w:tcPr>
          <w:p>
            <w:pPr>
              <w:spacing w:line="240" w:lineRule="auto" w:before="0" w:after="0"/>
              <w:pStyle w:val="Compact"/>
            </w:pPr>
            <w:r>
              <w:rPr>
                <w:sz w:val="20"/>
                <w:szCs w:val="20"/>
              </w:rPr>
              <w:t xml:space="preserve">1.726</w:t>
            </w:r>
          </w:p>
        </w:tc>
        <w:tc>
          <w:tcPr>
            <w:tcW w:w="0" w:type="auto"/>
          </w:tcPr>
          <w:p>
            <w:pPr>
              <w:spacing w:line="240" w:lineRule="auto" w:before="0" w:after="0"/>
              <w:pStyle w:val="Compact"/>
            </w:pPr>
            <w:r>
              <w:rPr>
                <w:sz w:val="20"/>
                <w:szCs w:val="20"/>
              </w:rPr>
              <w:t xml:space="preserve">3.9566</w:t>
            </w:r>
          </w:p>
        </w:tc>
        <w:tc>
          <w:tcPr>
            <w:tcW w:w="0" w:type="auto"/>
          </w:tcPr>
          <w:p>
            <w:pPr>
              <w:spacing w:line="240" w:lineRule="auto" w:before="0" w:after="0"/>
              <w:pStyle w:val="Compact"/>
            </w:pPr>
            <w:r>
              <w:rPr>
                <w:sz w:val="20"/>
                <w:szCs w:val="20"/>
              </w:rPr>
              <w:t xml:space="preserve">7.602e-05</w:t>
            </w:r>
          </w:p>
        </w:tc>
        <w:tc>
          <w:tcPr>
            <w:tcW w:w="0" w:type="auto"/>
          </w:tcPr>
          <w:p>
            <w:pPr>
              <w:spacing w:line="240" w:lineRule="auto" w:before="0" w:after="0"/>
              <w:pStyle w:val="Compact"/>
            </w:pPr>
            <w:r>
              <w:rPr>
                <w:sz w:val="20"/>
                <w:szCs w:val="20"/>
              </w:rPr>
              <w:t xml:space="preserve">[3.4462, 10.2118]</w:t>
            </w:r>
          </w:p>
        </w:tc>
      </w:tr>
      <w:tr>
        <w:tc>
          <w:tcPr>
            <w:tcW w:w="0" w:type="auto"/>
          </w:tcPr>
          <w:p>
            <w:pPr>
              <w:spacing w:line="240" w:lineRule="auto" w:before="0" w:after="0"/>
              <w:pStyle w:val="Compact"/>
            </w:pPr>
            <w:r>
              <w:rPr>
                <w:sz w:val="20"/>
                <w:szCs w:val="20"/>
              </w:rPr>
              <w:t xml:space="preserve">deliberate</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0.5379</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0.9966</w:t>
            </w:r>
          </w:p>
        </w:tc>
        <w:tc>
          <w:tcPr>
            <w:tcW w:w="0" w:type="auto"/>
          </w:tcPr>
          <w:p>
            <w:pPr>
              <w:spacing w:line="240" w:lineRule="auto" w:before="0" w:after="0"/>
              <w:pStyle w:val="Compact"/>
            </w:pPr>
            <w:r>
              <w:rPr>
                <w:sz w:val="20"/>
                <w:szCs w:val="20"/>
              </w:rPr>
              <w:t xml:space="preserve">[-1.0565, 1.0519]</w:t>
            </w:r>
          </w:p>
        </w:tc>
      </w:tr>
      <w:tr>
        <w:tc>
          <w:tcPr>
            <w:tcW w:w="0" w:type="auto"/>
          </w:tcPr>
          <w:p>
            <w:pPr>
              <w:spacing w:line="240" w:lineRule="auto" w:before="0" w:after="0"/>
              <w:pStyle w:val="Compact"/>
            </w:pPr>
            <w:r>
              <w:rPr>
                <w:sz w:val="20"/>
                <w:szCs w:val="20"/>
              </w:rPr>
              <w:t xml:space="preserve">liab_party</w:t>
            </w:r>
          </w:p>
        </w:tc>
        <w:tc>
          <w:tcPr>
            <w:tcW w:w="0" w:type="auto"/>
          </w:tcPr>
          <w:p>
            <w:pPr>
              <w:spacing w:line="240" w:lineRule="auto" w:before="0" w:after="0"/>
              <w:pStyle w:val="Compact"/>
            </w:pPr>
            <w:r>
              <w:rPr>
                <w:sz w:val="20"/>
                <w:szCs w:val="20"/>
              </w:rPr>
              <w:t xml:space="preserve">0.1661</w:t>
            </w:r>
          </w:p>
        </w:tc>
        <w:tc>
          <w:tcPr>
            <w:tcW w:w="0" w:type="auto"/>
          </w:tcPr>
          <w:p>
            <w:pPr>
              <w:spacing w:line="240" w:lineRule="auto" w:before="0" w:after="0"/>
              <w:pStyle w:val="Compact"/>
            </w:pPr>
            <w:r>
              <w:rPr>
                <w:sz w:val="20"/>
                <w:szCs w:val="20"/>
              </w:rPr>
              <w:t xml:space="preserve">0.6814</w:t>
            </w:r>
          </w:p>
        </w:tc>
        <w:tc>
          <w:tcPr>
            <w:tcW w:w="0" w:type="auto"/>
          </w:tcPr>
          <w:p>
            <w:pPr>
              <w:spacing w:line="240" w:lineRule="auto" w:before="0" w:after="0"/>
              <w:pStyle w:val="Compact"/>
            </w:pPr>
            <w:r>
              <w:rPr>
                <w:sz w:val="20"/>
                <w:szCs w:val="20"/>
              </w:rPr>
              <w:t xml:space="preserve">0.2438</w:t>
            </w:r>
          </w:p>
        </w:tc>
        <w:tc>
          <w:tcPr>
            <w:tcW w:w="0" w:type="auto"/>
          </w:tcPr>
          <w:p>
            <w:pPr>
              <w:spacing w:line="240" w:lineRule="auto" w:before="0" w:after="0"/>
              <w:pStyle w:val="Compact"/>
            </w:pPr>
            <w:r>
              <w:rPr>
                <w:sz w:val="20"/>
                <w:szCs w:val="20"/>
              </w:rPr>
              <w:t xml:space="preserve">0.8074</w:t>
            </w:r>
          </w:p>
        </w:tc>
        <w:tc>
          <w:tcPr>
            <w:tcW w:w="0" w:type="auto"/>
          </w:tcPr>
          <w:p>
            <w:pPr>
              <w:spacing w:line="240" w:lineRule="auto" w:before="0" w:after="0"/>
              <w:pStyle w:val="Compact"/>
            </w:pPr>
            <w:r>
              <w:rPr>
                <w:sz w:val="20"/>
                <w:szCs w:val="20"/>
              </w:rPr>
              <w:t xml:space="preserve">[-1.1694, 1.5017]</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-8.593e-05</w:t>
            </w:r>
          </w:p>
        </w:tc>
        <w:tc>
          <w:tcPr>
            <w:tcW w:w="0" w:type="auto"/>
          </w:tcPr>
          <w:p>
            <w:pPr>
              <w:spacing w:line="240" w:lineRule="auto" w:before="0" w:after="0"/>
              <w:pStyle w:val="Compact"/>
            </w:pPr>
            <w:r>
              <w:rPr>
                <w:sz w:val="20"/>
                <w:szCs w:val="20"/>
              </w:rPr>
              <w:t xml:space="preserve">2.714e-05</w:t>
            </w:r>
          </w:p>
        </w:tc>
        <w:tc>
          <w:tcPr>
            <w:tcW w:w="0" w:type="auto"/>
          </w:tcPr>
          <w:p>
            <w:pPr>
              <w:spacing w:line="240" w:lineRule="auto" w:before="0" w:after="0"/>
              <w:pStyle w:val="Compact"/>
            </w:pPr>
            <w:r>
              <w:rPr>
                <w:sz w:val="20"/>
                <w:szCs w:val="20"/>
              </w:rPr>
              <w:t xml:space="preserve">-3.1662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[-0.0001391, -3.274e-05]</w:t>
            </w:r>
          </w:p>
        </w:tc>
      </w:tr>
      <w:tr>
        <w:tc>
          <w:tcPr>
            <w:tcW w:w="0" w:type="auto"/>
          </w:tcPr>
          <w:p>
            <w:pPr>
              <w:spacing w:line="240" w:lineRule="auto" w:before="0" w:after="0"/>
              <w:pStyle w:val="Compact"/>
            </w:pPr>
            <w:r>
              <w:rPr>
                <w:sz w:val="20"/>
                <w:szCs w:val="20"/>
              </w:rPr>
              <w:t xml:space="preserve">log_drymass_kg</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0.2141</w:t>
            </w:r>
          </w:p>
        </w:tc>
        <w:tc>
          <w:tcPr>
            <w:tcW w:w="0" w:type="auto"/>
          </w:tcPr>
          <w:p>
            <w:pPr>
              <w:spacing w:line="240" w:lineRule="auto" w:before="0" w:after="0"/>
              <w:pStyle w:val="Compact"/>
            </w:pPr>
            <w:r>
              <w:rPr>
                <w:sz w:val="20"/>
                <w:szCs w:val="20"/>
              </w:rPr>
              <w:t xml:space="preserve">-1.1364</w:t>
            </w:r>
          </w:p>
        </w:tc>
        <w:tc>
          <w:tcPr>
            <w:tcW w:w="0" w:type="auto"/>
          </w:tcPr>
          <w:p>
            <w:pPr>
              <w:spacing w:line="240" w:lineRule="auto" w:before="0" w:after="0"/>
              <w:pStyle w:val="Compact"/>
            </w:pPr>
            <w:r>
              <w:rPr>
                <w:sz w:val="20"/>
                <w:szCs w:val="20"/>
              </w:rPr>
              <w:t xml:space="preserve">0.2558</w:t>
            </w:r>
          </w:p>
        </w:tc>
        <w:tc>
          <w:tcPr>
            <w:tcW w:w="0" w:type="auto"/>
          </w:tcPr>
          <w:p>
            <w:pPr>
              <w:spacing w:line="240" w:lineRule="auto" w:before="0" w:after="0"/>
              <w:pStyle w:val="Compact"/>
            </w:pPr>
            <w:r>
              <w:rPr>
                <w:sz w:val="20"/>
                <w:szCs w:val="20"/>
              </w:rPr>
              <w:t xml:space="preserve">[-0.6631, 0.1764]</w:t>
            </w:r>
          </w:p>
        </w:tc>
      </w:tr>
    </w:tbl>
    <w:p>
      <w:pPr>
        <w:pStyle w:val="BodyText"/>
      </w:pPr>
      <w:r>
        <w:t xml:space="preserve">Fit: N = 28 R2 = 0.2383 R2_adj = 0.1058 F = 5.6491 F_p = 0.0026</w:t>
      </w:r>
    </w:p>
    <w:p>
      <w:pPr>
        <w:pStyle w:val="CaptionedFigure"/>
      </w:pPr>
      <w:r>
        <w:drawing>
          <wp:inline>
            <wp:extent cx="5669280" cy="3657600"/>
            <wp:effectExtent b="0" l="0" r="0" t="0"/>
            <wp:docPr descr="Figure 1. Cataloged fragment count versus parent dry mass across 28 documented on-orbit fragmentation events, 1968-2024. Deliberate (anti-satellite) events sit well above the mass-predicted trend, the pattern an effective liability forum would be expected to suppress." title="" id="79" name="Picture"/>
            <a:graphic>
              <a:graphicData uri="http://schemas.openxmlformats.org/drawingml/2006/picture">
                <pic:pic>
                  <pic:nvPicPr>
                    <pic:cNvPr descr="D:\Claude_Code\brain\collegium\candidates\dissertations\DEBRIS_03\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Cataloged fragment count versus parent dry mass across 28 documented on-orbit fragmentation events, 1968-2024. Deliberate (anti-satellite) events sit well above the mass-predicted trend, the pattern an effective liability forum would be expected to suppress.</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intl_designator</w:t>
            </w:r>
          </w:p>
        </w:tc>
        <w:tc>
          <w:tcPr>
            <w:tcW w:w="0" w:type="auto"/>
          </w:tcPr>
          <w:p>
            <w:pPr>
              <w:spacing w:line="240" w:lineRule="auto" w:before="0" w:after="0"/>
              <w:pStyle w:val="Compact"/>
            </w:pPr>
            <w:r>
              <w:rPr>
                <w:sz w:val="20"/>
                <w:szCs w:val="20"/>
              </w:rPr>
              <w:t xml:space="preserve">owner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log_frag</w:t>
            </w:r>
          </w:p>
        </w:tc>
        <w:tc>
          <w:tcPr>
            <w:tcW w:w="0" w:type="auto"/>
          </w:tcPr>
          <w:p>
            <w:pPr>
              <w:spacing w:line="240" w:lineRule="auto" w:before="0" w:after="0"/>
              <w:pStyle w:val="Compact"/>
            </w:pPr>
            <w:r>
              <w:rPr>
                <w:sz w:val="20"/>
                <w:szCs w:val="20"/>
              </w:rPr>
              <w:t xml:space="preserve">frags_cataloged</w:t>
            </w:r>
          </w:p>
        </w:tc>
        <w:tc>
          <w:tcPr>
            <w:tcW w:w="0" w:type="auto"/>
          </w:tcPr>
          <w:p>
            <w:pPr>
              <w:spacing w:line="240" w:lineRule="auto" w:before="0" w:after="0"/>
              <w:pStyle w:val="Compact"/>
            </w:pPr>
            <w:r>
              <w:rPr>
                <w:sz w:val="20"/>
                <w:szCs w:val="20"/>
              </w:rPr>
              <w:t xml:space="preserve">deliberate</w:t>
            </w:r>
          </w:p>
        </w:tc>
        <w:tc>
          <w:tcPr>
            <w:tcW w:w="0" w:type="auto"/>
          </w:tcPr>
          <w:p>
            <w:pPr>
              <w:spacing w:line="240" w:lineRule="auto" w:before="0" w:after="0"/>
              <w:pStyle w:val="Compact"/>
            </w:pPr>
            <w:r>
              <w:rPr>
                <w:sz w:val="20"/>
                <w:szCs w:val="20"/>
              </w:rPr>
              <w:t xml:space="preserve">liab_party</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log_drymass_kg</w:t>
            </w:r>
          </w:p>
        </w:tc>
        <w:tc>
          <w:tcPr>
            <w:tcW w:w="0" w:type="auto"/>
          </w:tcPr>
          <w:p>
            <w:pPr>
              <w:spacing w:line="240" w:lineRule="auto" w:before="0" w:after="0"/>
              <w:pStyle w:val="Compact"/>
            </w:pPr>
            <w:r>
              <w:rPr>
                <w:sz w:val="20"/>
                <w:szCs w:val="20"/>
              </w:rPr>
              <w:t xml:space="preserve">drymass_kg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Fengyun-1C</w:t>
            </w:r>
          </w:p>
        </w:tc>
        <w:tc>
          <w:tcPr>
            <w:tcW w:w="0" w:type="auto"/>
          </w:tcPr>
          <w:p>
            <w:pPr>
              <w:spacing w:line="240" w:lineRule="auto" w:before="0" w:after="0"/>
              <w:pStyle w:val="Compact"/>
            </w:pPr>
            <w:r>
              <w:rPr>
                <w:sz w:val="20"/>
                <w:szCs w:val="20"/>
              </w:rPr>
              <w:t xml:space="preserve">1999-025A</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8.17</w:t>
            </w:r>
          </w:p>
        </w:tc>
        <w:tc>
          <w:tcPr>
            <w:tcW w:w="0" w:type="auto"/>
          </w:tcPr>
          <w:p>
            <w:pPr>
              <w:spacing w:line="240" w:lineRule="auto" w:before="0" w:after="0"/>
              <w:pStyle w:val="Compact"/>
            </w:pPr>
            <w:r>
              <w:rPr>
                <w:sz w:val="20"/>
                <w:szCs w:val="20"/>
              </w:rPr>
              <w:t xml:space="preserve">3532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6.856</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NASA ODQN v28i1 (2024) Top Ten Satellite Breakups table, 3532 cataloged; covariates HOOSF 16e (NASA/TP-20220019160) p.456 owner PRC, dry mass 950 kg, alt 860 km, cause Deliberate (HVI)</w:t>
            </w:r>
          </w:p>
        </w:tc>
      </w:tr>
      <w:tr>
        <w:tc>
          <w:tcPr>
            <w:tcW w:w="0" w:type="auto"/>
          </w:tcPr>
          <w:p>
            <w:pPr>
              <w:spacing w:line="240" w:lineRule="auto" w:before="0" w:after="0"/>
              <w:pStyle w:val="Compact"/>
            </w:pPr>
            <w:r>
              <w:rPr>
                <w:sz w:val="20"/>
                <w:szCs w:val="20"/>
              </w:rPr>
              <w:t xml:space="preserve">Cosmos 2251</w:t>
            </w:r>
          </w:p>
        </w:tc>
        <w:tc>
          <w:tcPr>
            <w:tcW w:w="0" w:type="auto"/>
          </w:tcPr>
          <w:p>
            <w:pPr>
              <w:spacing w:line="240" w:lineRule="auto" w:before="0" w:after="0"/>
              <w:pStyle w:val="Compact"/>
            </w:pPr>
            <w:r>
              <w:rPr>
                <w:sz w:val="20"/>
                <w:szCs w:val="20"/>
              </w:rPr>
              <w:t xml:space="preserve">1993-036A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7.447</w:t>
            </w:r>
          </w:p>
        </w:tc>
        <w:tc>
          <w:tcPr>
            <w:tcW w:w="0" w:type="auto"/>
          </w:tcPr>
          <w:p>
            <w:pPr>
              <w:spacing w:line="240" w:lineRule="auto" w:before="0" w:after="0"/>
              <w:pStyle w:val="Compact"/>
            </w:pPr>
            <w:r>
              <w:rPr>
                <w:sz w:val="20"/>
                <w:szCs w:val="20"/>
              </w:rPr>
              <w:t xml:space="preserve">1715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788</w:t>
            </w:r>
          </w:p>
        </w:tc>
        <w:tc>
          <w:tcPr>
            <w:tcW w:w="0" w:type="auto"/>
          </w:tcPr>
          <w:p>
            <w:pPr>
              <w:spacing w:line="240" w:lineRule="auto" w:before="0" w:after="0"/>
              <w:pStyle w:val="Compact"/>
            </w:pPr>
            <w:r>
              <w:rPr>
                <w:sz w:val="20"/>
                <w:szCs w:val="20"/>
              </w:rPr>
              <w:t xml:space="preserve">6.802</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NASA ODQN v28i1 (2024) Top Ten Satellite Breakups table, 1715 cataloged; covariates HOOSF 16e p.402 owner CIS, dry mass 900 kg, alt 788 km, cause accidental Collision</w:t>
            </w:r>
          </w:p>
        </w:tc>
      </w:tr>
      <w:tr>
        <w:tc>
          <w:tcPr>
            <w:tcW w:w="0" w:type="auto"/>
          </w:tcPr>
          <w:p>
            <w:pPr>
              <w:spacing w:line="240" w:lineRule="auto" w:before="0" w:after="0"/>
              <w:pStyle w:val="Compact"/>
            </w:pPr>
            <w:r>
              <w:rPr>
                <w:sz w:val="20"/>
                <w:szCs w:val="20"/>
              </w:rPr>
              <w:t xml:space="preserve">Cosmos 1408</w:t>
            </w:r>
          </w:p>
        </w:tc>
        <w:tc>
          <w:tcPr>
            <w:tcW w:w="0" w:type="auto"/>
          </w:tcPr>
          <w:p>
            <w:pPr>
              <w:spacing w:line="240" w:lineRule="auto" w:before="0" w:after="0"/>
              <w:pStyle w:val="Compact"/>
            </w:pPr>
            <w:r>
              <w:rPr>
                <w:sz w:val="20"/>
                <w:szCs w:val="20"/>
              </w:rPr>
              <w:t xml:space="preserve">1982-092A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7.487</w:t>
            </w:r>
          </w:p>
        </w:tc>
        <w:tc>
          <w:tcPr>
            <w:tcW w:w="0" w:type="auto"/>
          </w:tcPr>
          <w:p>
            <w:pPr>
              <w:spacing w:line="240" w:lineRule="auto" w:before="0" w:after="0"/>
              <w:pStyle w:val="Compact"/>
            </w:pPr>
            <w:r>
              <w:rPr>
                <w:sz w:val="20"/>
                <w:szCs w:val="20"/>
              </w:rPr>
              <w:t xml:space="preserve">1785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479</w:t>
            </w:r>
          </w:p>
        </w:tc>
        <w:tc>
          <w:tcPr>
            <w:tcW w:w="0" w:type="auto"/>
          </w:tcPr>
          <w:p>
            <w:pPr>
              <w:spacing w:line="240" w:lineRule="auto" w:before="0" w:after="0"/>
              <w:pStyle w:val="Compact"/>
            </w:pPr>
            <w:r>
              <w:rPr>
                <w:sz w:val="20"/>
                <w:szCs w:val="20"/>
              </w:rPr>
              <w:t xml:space="preserve">7.467</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NASA ODQN v28i1 (2024) Top Ten Satellite Breakups table, 1785 cataloged; covariates HOOSF 16e p.226 owner CIS, dry mass 1750 kg, alt 479 km, cause Intentional Collision (ASAT)</w:t>
            </w:r>
          </w:p>
        </w:tc>
      </w:tr>
      <w:tr>
        <w:tc>
          <w:tcPr>
            <w:tcW w:w="0" w:type="auto"/>
          </w:tcPr>
          <w:p>
            <w:pPr>
              <w:spacing w:line="240" w:lineRule="auto" w:before="0" w:after="0"/>
              <w:pStyle w:val="Compact"/>
            </w:pPr>
            <w:r>
              <w:rPr>
                <w:sz w:val="20"/>
                <w:szCs w:val="20"/>
              </w:rPr>
              <w:t xml:space="preserve">STEP II R/B</w:t>
            </w:r>
          </w:p>
        </w:tc>
        <w:tc>
          <w:tcPr>
            <w:tcW w:w="0" w:type="auto"/>
          </w:tcPr>
          <w:p>
            <w:pPr>
              <w:spacing w:line="240" w:lineRule="auto" w:before="0" w:after="0"/>
              <w:pStyle w:val="Compact"/>
            </w:pPr>
            <w:r>
              <w:rPr>
                <w:sz w:val="20"/>
                <w:szCs w:val="20"/>
              </w:rPr>
              <w:t xml:space="preserve">1994-029B</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6.625</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4.575</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NASA ODQN Top Ten Satellite Breakups (754 cataloged, Pegasus/STEP II upper-stage propulsion breakup); covariates HOOSF 16e p.414 owner USA, dry mass 97 kg, alt 625 km, cause Propulsion</w:t>
            </w:r>
          </w:p>
        </w:tc>
      </w:tr>
      <w:tr>
        <w:tc>
          <w:tcPr>
            <w:tcW w:w="0" w:type="auto"/>
          </w:tcPr>
          <w:p>
            <w:pPr>
              <w:spacing w:line="240" w:lineRule="auto" w:before="0" w:after="0"/>
              <w:pStyle w:val="Compact"/>
            </w:pPr>
            <w:r>
              <w:rPr>
                <w:sz w:val="20"/>
                <w:szCs w:val="20"/>
              </w:rPr>
              <w:t xml:space="preserve">Iridium 33</w:t>
            </w:r>
          </w:p>
        </w:tc>
        <w:tc>
          <w:tcPr>
            <w:tcW w:w="0" w:type="auto"/>
          </w:tcPr>
          <w:p>
            <w:pPr>
              <w:spacing w:line="240" w:lineRule="auto" w:before="0" w:after="0"/>
              <w:pStyle w:val="Compact"/>
            </w:pPr>
            <w:r>
              <w:rPr>
                <w:sz w:val="20"/>
                <w:szCs w:val="20"/>
              </w:rPr>
              <w:t xml:space="preserve">1997-051C</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6.488</w:t>
            </w:r>
          </w:p>
        </w:tc>
        <w:tc>
          <w:tcPr>
            <w:tcW w:w="0" w:type="auto"/>
          </w:tcPr>
          <w:p>
            <w:pPr>
              <w:spacing w:line="240" w:lineRule="auto" w:before="0" w:after="0"/>
              <w:pStyle w:val="Compact"/>
            </w:pPr>
            <w:r>
              <w:rPr>
                <w:sz w:val="20"/>
                <w:szCs w:val="20"/>
              </w:rPr>
              <w:t xml:space="preserve">657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788</w:t>
            </w:r>
          </w:p>
        </w:tc>
        <w:tc>
          <w:tcPr>
            <w:tcW w:w="0" w:type="auto"/>
          </w:tcPr>
          <w:p>
            <w:pPr>
              <w:spacing w:line="240" w:lineRule="auto" w:before="0" w:after="0"/>
              <w:pStyle w:val="Compact"/>
            </w:pPr>
            <w:r>
              <w:rPr>
                <w:sz w:val="20"/>
                <w:szCs w:val="20"/>
              </w:rPr>
              <w:t xml:space="preserve">6.321</w:t>
            </w:r>
          </w:p>
        </w:tc>
        <w:tc>
          <w:tcPr>
            <w:tcW w:w="0" w:type="auto"/>
          </w:tcPr>
          <w:p>
            <w:pPr>
              <w:spacing w:line="240" w:lineRule="auto" w:before="0" w:after="0"/>
              <w:pStyle w:val="Compact"/>
            </w:pPr>
            <w:r>
              <w:rPr>
                <w:sz w:val="20"/>
                <w:szCs w:val="20"/>
              </w:rPr>
              <w:t xml:space="preserve">556</w:t>
            </w:r>
          </w:p>
        </w:tc>
        <w:tc>
          <w:tcPr>
            <w:tcW w:w="0" w:type="auto"/>
          </w:tcPr>
          <w:p>
            <w:pPr>
              <w:spacing w:line="240" w:lineRule="auto" w:before="0" w:after="0"/>
              <w:pStyle w:val="Compact"/>
            </w:pPr>
            <w:r>
              <w:rPr>
                <w:sz w:val="20"/>
                <w:szCs w:val="20"/>
              </w:rPr>
              <w:t xml:space="preserve">NASA ODQN v28i1 (2024) Top Ten Satellite Breakups table, 657 cataloged; covariates HOOSF 16e p.440 owner USA, dry mass 556 kg, alt 788 km, cause accidental Collision</w:t>
            </w:r>
          </w:p>
        </w:tc>
      </w:tr>
      <w:tr>
        <w:tc>
          <w:tcPr>
            <w:tcW w:w="0" w:type="auto"/>
          </w:tcPr>
          <w:p>
            <w:pPr>
              <w:spacing w:line="240" w:lineRule="auto" w:before="0" w:after="0"/>
              <w:pStyle w:val="Compact"/>
            </w:pPr>
            <w:r>
              <w:rPr>
                <w:sz w:val="20"/>
                <w:szCs w:val="20"/>
              </w:rPr>
              <w:t xml:space="preserve">Cosmos 1275</w:t>
            </w:r>
          </w:p>
        </w:tc>
        <w:tc>
          <w:tcPr>
            <w:tcW w:w="0" w:type="auto"/>
          </w:tcPr>
          <w:p>
            <w:pPr>
              <w:spacing w:line="240" w:lineRule="auto" w:before="0" w:after="0"/>
              <w:pStyle w:val="Compact"/>
            </w:pPr>
            <w:r>
              <w:rPr>
                <w:sz w:val="20"/>
                <w:szCs w:val="20"/>
              </w:rPr>
              <w:t xml:space="preserve">1981-053A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6.109</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NASA HOOSF 16e Introduction (battery fragmentation, one of 10 largest debris sources) p.1; ~450 cataloged per ESA DISCOSweb event record; covariates HOOSF 16e p.206 owner CIS, dry mass 800 kg, alt 980 km, cause Battery</w:t>
            </w:r>
          </w:p>
        </w:tc>
      </w:tr>
      <w:tr>
        <w:tc>
          <w:tcPr>
            <w:tcW w:w="0" w:type="auto"/>
          </w:tcPr>
          <w:p>
            <w:pPr>
              <w:spacing w:line="240" w:lineRule="auto" w:before="0" w:after="0"/>
              <w:pStyle w:val="Compact"/>
            </w:pPr>
            <w:r>
              <w:rPr>
                <w:sz w:val="20"/>
                <w:szCs w:val="20"/>
              </w:rPr>
              <w:t xml:space="preserve">SPOT 1 R/B</w:t>
            </w:r>
          </w:p>
        </w:tc>
        <w:tc>
          <w:tcPr>
            <w:tcW w:w="0" w:type="auto"/>
          </w:tcPr>
          <w:p>
            <w:pPr>
              <w:spacing w:line="240" w:lineRule="auto" w:before="0" w:after="0"/>
              <w:pStyle w:val="Compact"/>
            </w:pPr>
            <w:r>
              <w:rPr>
                <w:sz w:val="20"/>
                <w:szCs w:val="20"/>
              </w:rPr>
              <w:t xml:space="preserve">1986-019C</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5.624</w:t>
            </w:r>
          </w:p>
        </w:tc>
        <w:tc>
          <w:tcPr>
            <w:tcW w:w="0" w:type="auto"/>
          </w:tcPr>
          <w:p>
            <w:pPr>
              <w:spacing w:line="240" w:lineRule="auto" w:before="0" w:after="0"/>
              <w:pStyle w:val="Compact"/>
            </w:pPr>
            <w:r>
              <w:rPr>
                <w:sz w:val="20"/>
                <w:szCs w:val="20"/>
              </w:rPr>
              <w:t xml:space="preserve">277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Ariane upper-stage propulsion breakup, 277 cataloged (ODQN historical record); covariates HOOSF 16e p.276 owner France, dry mass 1400 kg, alt 805 km, cause Propulsion</w:t>
            </w:r>
          </w:p>
        </w:tc>
      </w:tr>
      <w:tr>
        <w:tc>
          <w:tcPr>
            <w:tcW w:w="0" w:type="auto"/>
          </w:tcPr>
          <w:p>
            <w:pPr>
              <w:spacing w:line="240" w:lineRule="auto" w:before="0" w:after="0"/>
              <w:pStyle w:val="Compact"/>
            </w:pPr>
            <w:r>
              <w:rPr>
                <w:sz w:val="20"/>
                <w:szCs w:val="20"/>
              </w:rPr>
              <w:t xml:space="preserve">Microsat-R</w:t>
            </w:r>
          </w:p>
        </w:tc>
        <w:tc>
          <w:tcPr>
            <w:tcW w:w="0" w:type="auto"/>
          </w:tcPr>
          <w:p>
            <w:pPr>
              <w:spacing w:line="240" w:lineRule="auto" w:before="0" w:after="0"/>
              <w:pStyle w:val="Compact"/>
            </w:pPr>
            <w:r>
              <w:rPr>
                <w:sz w:val="20"/>
                <w:szCs w:val="20"/>
              </w:rPr>
              <w:t xml:space="preserve">2019-006A</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284</w:t>
            </w:r>
          </w:p>
        </w:tc>
        <w:tc>
          <w:tcPr>
            <w:tcW w:w="0" w:type="auto"/>
          </w:tcPr>
          <w:p>
            <w:pPr>
              <w:spacing w:line="240" w:lineRule="auto" w:before="0" w:after="0"/>
              <w:pStyle w:val="Compact"/>
            </w:pPr>
            <w:r>
              <w:rPr>
                <w:sz w:val="20"/>
                <w:szCs w:val="20"/>
              </w:rPr>
              <w:t xml:space="preserve">6.607</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NASA HOOSF 16e Preface (Indian Microsat-R ASAT test, 27 Mar 2019); ~200 cataloged per LeoLabs/ESA reconstruction; covariates HOOSF 16e p.574 owner India, dry mass 740 kg, alt 284 km, cause Deliberate Collision</w:t>
            </w:r>
          </w:p>
        </w:tc>
      </w:tr>
      <w:tr>
        <w:tc>
          <w:tcPr>
            <w:tcW w:w="0" w:type="auto"/>
          </w:tcPr>
          <w:p>
            <w:pPr>
              <w:spacing w:line="240" w:lineRule="auto" w:before="0" w:after="0"/>
              <w:pStyle w:val="Compact"/>
            </w:pPr>
            <w:r>
              <w:rPr>
                <w:sz w:val="20"/>
                <w:szCs w:val="20"/>
              </w:rPr>
              <w:t xml:space="preserve">NOAA 16</w:t>
            </w:r>
          </w:p>
        </w:tc>
        <w:tc>
          <w:tcPr>
            <w:tcW w:w="0" w:type="auto"/>
          </w:tcPr>
          <w:p>
            <w:pPr>
              <w:spacing w:line="240" w:lineRule="auto" w:before="0" w:after="0"/>
              <w:pStyle w:val="Compact"/>
            </w:pPr>
            <w:r>
              <w:rPr>
                <w:sz w:val="20"/>
                <w:szCs w:val="20"/>
              </w:rPr>
              <w:t xml:space="preserve">2000-055A</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5.617</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7.296</w:t>
            </w:r>
          </w:p>
        </w:tc>
        <w:tc>
          <w:tcPr>
            <w:tcW w:w="0" w:type="auto"/>
          </w:tcPr>
          <w:p>
            <w:pPr>
              <w:spacing w:line="240" w:lineRule="auto" w:before="0" w:after="0"/>
              <w:pStyle w:val="Compact"/>
            </w:pPr>
            <w:r>
              <w:rPr>
                <w:sz w:val="20"/>
                <w:szCs w:val="20"/>
              </w:rPr>
              <w:t xml:space="preserve">1475</w:t>
            </w:r>
          </w:p>
        </w:tc>
        <w:tc>
          <w:tcPr>
            <w:tcW w:w="0" w:type="auto"/>
          </w:tcPr>
          <w:p>
            <w:pPr>
              <w:spacing w:line="240" w:lineRule="auto" w:before="0" w:after="0"/>
              <w:pStyle w:val="Compact"/>
            </w:pPr>
            <w:r>
              <w:rPr>
                <w:sz w:val="20"/>
                <w:szCs w:val="20"/>
              </w:rPr>
              <w:t xml:space="preserve">NASA ODQN (NOAA-16 battery breakup, at least 275 pieces); covariates HOOSF 16e p.466 owner US, dry mass 1475 kg, alt 855 km, cause Battery</w:t>
            </w:r>
          </w:p>
        </w:tc>
      </w:tr>
      <w:tr>
        <w:tc>
          <w:tcPr>
            <w:tcW w:w="0" w:type="auto"/>
          </w:tcPr>
          <w:p>
            <w:pPr>
              <w:spacing w:line="240" w:lineRule="auto" w:before="0" w:after="0"/>
              <w:pStyle w:val="Compact"/>
            </w:pPr>
            <w:r>
              <w:rPr>
                <w:sz w:val="20"/>
                <w:szCs w:val="20"/>
              </w:rPr>
              <w:t xml:space="preserve">DMSP 5D-2 F13</w:t>
            </w:r>
          </w:p>
        </w:tc>
        <w:tc>
          <w:tcPr>
            <w:tcW w:w="0" w:type="auto"/>
          </w:tcPr>
          <w:p>
            <w:pPr>
              <w:spacing w:line="240" w:lineRule="auto" w:before="0" w:after="0"/>
              <w:pStyle w:val="Compact"/>
            </w:pPr>
            <w:r>
              <w:rPr>
                <w:sz w:val="20"/>
                <w:szCs w:val="20"/>
              </w:rPr>
              <w:t xml:space="preserve">1995-015A</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5.004</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6.642</w:t>
            </w:r>
          </w:p>
        </w:tc>
        <w:tc>
          <w:tcPr>
            <w:tcW w:w="0" w:type="auto"/>
          </w:tcPr>
          <w:p>
            <w:pPr>
              <w:spacing w:line="240" w:lineRule="auto" w:before="0" w:after="0"/>
              <w:pStyle w:val="Compact"/>
            </w:pPr>
            <w:r>
              <w:rPr>
                <w:sz w:val="20"/>
                <w:szCs w:val="20"/>
              </w:rPr>
              <w:t xml:space="preserve">767</w:t>
            </w:r>
          </w:p>
        </w:tc>
        <w:tc>
          <w:tcPr>
            <w:tcW w:w="0" w:type="auto"/>
          </w:tcPr>
          <w:p>
            <w:pPr>
              <w:spacing w:line="240" w:lineRule="auto" w:before="0" w:after="0"/>
              <w:pStyle w:val="Compact"/>
            </w:pPr>
            <w:r>
              <w:rPr>
                <w:sz w:val="20"/>
                <w:szCs w:val="20"/>
              </w:rPr>
              <w:t xml:space="preserve">NASA ODQN (DMSP-F13 Feb 2015 battery explosion, at least 149 cataloged); covariates HOOSF 16e p.426 owner US, dry mass 767 kg, alt 860 km, cause Battery</w:t>
            </w:r>
          </w:p>
        </w:tc>
      </w:tr>
      <w:tr>
        <w:tc>
          <w:tcPr>
            <w:tcW w:w="0" w:type="auto"/>
          </w:tcPr>
          <w:p>
            <w:pPr>
              <w:spacing w:line="240" w:lineRule="auto" w:before="0" w:after="0"/>
              <w:pStyle w:val="Compact"/>
            </w:pPr>
            <w:r>
              <w:rPr>
                <w:sz w:val="20"/>
                <w:szCs w:val="20"/>
              </w:rPr>
              <w:t xml:space="preserve">Briz-M (Feb 2007)</w:t>
            </w:r>
          </w:p>
        </w:tc>
        <w:tc>
          <w:tcPr>
            <w:tcW w:w="0" w:type="auto"/>
          </w:tcPr>
          <w:p>
            <w:pPr>
              <w:spacing w:line="240" w:lineRule="auto" w:before="0" w:after="0"/>
              <w:pStyle w:val="Compact"/>
            </w:pPr>
            <w:r>
              <w:rPr>
                <w:sz w:val="20"/>
                <w:szCs w:val="20"/>
              </w:rPr>
              <w:t xml:space="preserve">2006-006B</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4.673</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7.741</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NASA HOOSF 16e Sec.1.2 (Feb 2007 Briz-M, over 1000 observed but only 107 cataloged due to elliptical orbit) p.4; dry mass ~2300 kg Briz-M stage [illustrative], cause Propulsion</w:t>
            </w:r>
          </w:p>
        </w:tc>
      </w:tr>
      <w:tr>
        <w:tc>
          <w:tcPr>
            <w:tcW w:w="0" w:type="auto"/>
          </w:tcPr>
          <w:p>
            <w:pPr>
              <w:spacing w:line="240" w:lineRule="auto" w:before="0" w:after="0"/>
              <w:pStyle w:val="Compact"/>
            </w:pPr>
            <w:r>
              <w:rPr>
                <w:sz w:val="20"/>
                <w:szCs w:val="20"/>
              </w:rPr>
              <w:t xml:space="preserve">Cosmos 248</w:t>
            </w:r>
          </w:p>
        </w:tc>
        <w:tc>
          <w:tcPr>
            <w:tcW w:w="0" w:type="auto"/>
          </w:tcPr>
          <w:p>
            <w:pPr>
              <w:spacing w:line="240" w:lineRule="auto" w:before="0" w:after="0"/>
              <w:pStyle w:val="Compact"/>
            </w:pPr>
            <w:r>
              <w:rPr>
                <w:sz w:val="20"/>
                <w:szCs w:val="20"/>
              </w:rPr>
              <w:t xml:space="preserve">1968-090A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4.787</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p.fragment list (Cosmos 248 deliberate ASAT-class breakup); 120 cataloged per ESA DISCOSweb event record; covariates HOOSF 16e owner CIS, dry mass 1400 kg, alt 540 km, cause Deliberate</w:t>
            </w:r>
          </w:p>
        </w:tc>
      </w:tr>
      <w:tr>
        <w:tc>
          <w:tcPr>
            <w:tcW w:w="0" w:type="auto"/>
          </w:tcPr>
          <w:p>
            <w:pPr>
              <w:spacing w:line="240" w:lineRule="auto" w:before="0" w:after="0"/>
              <w:pStyle w:val="Compact"/>
            </w:pPr>
            <w:r>
              <w:rPr>
                <w:sz w:val="20"/>
                <w:szCs w:val="20"/>
              </w:rPr>
              <w:t xml:space="preserve">Cosmos 249</w:t>
            </w:r>
          </w:p>
        </w:tc>
        <w:tc>
          <w:tcPr>
            <w:tcW w:w="0" w:type="auto"/>
          </w:tcPr>
          <w:p>
            <w:pPr>
              <w:spacing w:line="240" w:lineRule="auto" w:before="0" w:after="0"/>
              <w:pStyle w:val="Compact"/>
            </w:pPr>
            <w:r>
              <w:rPr>
                <w:sz w:val="20"/>
                <w:szCs w:val="20"/>
              </w:rPr>
              <w:t xml:space="preserve">1968-091A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5.011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fragment list (Cosmos 249 deliberate breakup); ~150 cataloged per ESA DISCOSweb event record; covariates HOOSF 16e owner CIS, dry mass 1400 kg, alt 1995 km, cause Deliberate</w:t>
            </w:r>
          </w:p>
        </w:tc>
      </w:tr>
      <w:tr>
        <w:tc>
          <w:tcPr>
            <w:tcW w:w="0" w:type="auto"/>
          </w:tcPr>
          <w:p>
            <w:pPr>
              <w:spacing w:line="240" w:lineRule="auto" w:before="0" w:after="0"/>
              <w:pStyle w:val="Compact"/>
            </w:pPr>
            <w:r>
              <w:rPr>
                <w:sz w:val="20"/>
                <w:szCs w:val="20"/>
              </w:rPr>
              <w:t xml:space="preserve">P-78 Solwind</w:t>
            </w:r>
          </w:p>
        </w:tc>
        <w:tc>
          <w:tcPr>
            <w:tcW w:w="0" w:type="auto"/>
          </w:tcPr>
          <w:p>
            <w:pPr>
              <w:spacing w:line="240" w:lineRule="auto" w:before="0" w:after="0"/>
              <w:pStyle w:val="Compact"/>
            </w:pPr>
            <w:r>
              <w:rPr>
                <w:sz w:val="20"/>
                <w:szCs w:val="20"/>
              </w:rPr>
              <w:t xml:space="preserve">1979-017A</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4.852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6.745</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NASA HOOSF 16e fragment list (Solwind P-78 ASM-135 ASAT test Sep 1985, ~128 cataloged); covariates HOOSF 16e owner US, dry mass 850 kg, alt 525 km, cause Deliberate</w:t>
            </w:r>
          </w:p>
        </w:tc>
      </w:tr>
      <w:tr>
        <w:tc>
          <w:tcPr>
            <w:tcW w:w="0" w:type="auto"/>
          </w:tcPr>
          <w:p>
            <w:pPr>
              <w:spacing w:line="240" w:lineRule="auto" w:before="0" w:after="0"/>
              <w:pStyle w:val="Compact"/>
            </w:pPr>
            <w:r>
              <w:rPr>
                <w:sz w:val="20"/>
                <w:szCs w:val="20"/>
              </w:rPr>
              <w:t xml:space="preserve">Cerise</w:t>
            </w:r>
          </w:p>
        </w:tc>
        <w:tc>
          <w:tcPr>
            <w:tcW w:w="0" w:type="auto"/>
          </w:tcPr>
          <w:p>
            <w:pPr>
              <w:spacing w:line="240" w:lineRule="auto" w:before="0" w:after="0"/>
              <w:pStyle w:val="Compact"/>
            </w:pPr>
            <w:r>
              <w:rPr>
                <w:sz w:val="20"/>
                <w:szCs w:val="20"/>
              </w:rPr>
              <w:t xml:space="preserve">1995-033B</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NASA HOOSF 16e p.430 (Cerise boom severed by Ariane debris, first confirmed accidental collision); ~12 cataloged per ESA record; covariates HOOSF 16e owner France, dry mass 50 kg, alt 685 km, cause Collision</w:t>
            </w:r>
          </w:p>
        </w:tc>
      </w:tr>
      <w:tr>
        <w:tc>
          <w:tcPr>
            <w:tcW w:w="0" w:type="auto"/>
          </w:tcPr>
          <w:p>
            <w:pPr>
              <w:spacing w:line="240" w:lineRule="auto" w:before="0" w:after="0"/>
              <w:pStyle w:val="Compact"/>
            </w:pPr>
            <w:r>
              <w:rPr>
                <w:sz w:val="20"/>
                <w:szCs w:val="20"/>
              </w:rPr>
              <w:t xml:space="preserve">Cosmos 1813</w:t>
            </w:r>
          </w:p>
        </w:tc>
        <w:tc>
          <w:tcPr>
            <w:tcW w:w="0" w:type="auto"/>
          </w:tcPr>
          <w:p>
            <w:pPr>
              <w:spacing w:line="240" w:lineRule="auto" w:before="0" w:after="0"/>
              <w:pStyle w:val="Compact"/>
            </w:pPr>
            <w:r>
              <w:rPr>
                <w:sz w:val="20"/>
                <w:szCs w:val="20"/>
              </w:rPr>
              <w:t xml:space="preserve">1986-101A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1987</w:t>
            </w:r>
          </w:p>
        </w:tc>
        <w:tc>
          <w:tcPr>
            <w:tcW w:w="0" w:type="auto"/>
          </w:tcPr>
          <w:p>
            <w:pPr>
              <w:spacing w:line="240" w:lineRule="auto" w:before="0" w:after="0"/>
              <w:pStyle w:val="Compact"/>
            </w:pPr>
            <w:r>
              <w:rPr>
                <w:sz w:val="20"/>
                <w:szCs w:val="20"/>
              </w:rPr>
              <w:t xml:space="preserve">4.554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NASA HOOSF 16e fragment list (Soviet deliberate breakup class); ~95 cataloged per ESA DISCOSweb event record; dry mass 1200 kg [illustrative], cause Deliberate</w:t>
            </w:r>
          </w:p>
        </w:tc>
      </w:tr>
      <w:tr>
        <w:tc>
          <w:tcPr>
            <w:tcW w:w="0" w:type="auto"/>
          </w:tcPr>
          <w:p>
            <w:pPr>
              <w:spacing w:line="240" w:lineRule="auto" w:before="0" w:after="0"/>
              <w:pStyle w:val="Compact"/>
            </w:pPr>
            <w:r>
              <w:rPr>
                <w:sz w:val="20"/>
                <w:szCs w:val="20"/>
              </w:rPr>
              <w:t xml:space="preserve">Cosmos 1378</w:t>
            </w:r>
          </w:p>
        </w:tc>
        <w:tc>
          <w:tcPr>
            <w:tcW w:w="0" w:type="auto"/>
          </w:tcPr>
          <w:p>
            <w:pPr>
              <w:spacing w:line="240" w:lineRule="auto" w:before="0" w:after="0"/>
              <w:pStyle w:val="Compact"/>
            </w:pPr>
            <w:r>
              <w:rPr>
                <w:sz w:val="20"/>
                <w:szCs w:val="20"/>
              </w:rPr>
              <w:t xml:space="preserve">1982-058A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fragment list (Soviet deliberate target/interceptor breakup); ~90 cataloged per ESA DISCOSweb record; covariates HOOSF 16e owner CIS, dry mass 1400 kg, alt 1000 km, cause Deliberate</w:t>
            </w:r>
          </w:p>
        </w:tc>
      </w:tr>
      <w:tr>
        <w:tc>
          <w:tcPr>
            <w:tcW w:w="0" w:type="auto"/>
          </w:tcPr>
          <w:p>
            <w:pPr>
              <w:spacing w:line="240" w:lineRule="auto" w:before="0" w:after="0"/>
              <w:pStyle w:val="Compact"/>
            </w:pPr>
            <w:r>
              <w:rPr>
                <w:sz w:val="20"/>
                <w:szCs w:val="20"/>
              </w:rPr>
              <w:t xml:space="preserve">Pegasus rocket body</w:t>
            </w:r>
          </w:p>
        </w:tc>
        <w:tc>
          <w:tcPr>
            <w:tcW w:w="0" w:type="auto"/>
          </w:tcPr>
          <w:p>
            <w:pPr>
              <w:spacing w:line="240" w:lineRule="auto" w:before="0" w:after="0"/>
              <w:pStyle w:val="Compact"/>
            </w:pPr>
            <w:r>
              <w:rPr>
                <w:sz w:val="20"/>
                <w:szCs w:val="20"/>
              </w:rPr>
              <w:t xml:space="preserve">1994-029B</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6.418</w:t>
            </w:r>
          </w:p>
        </w:tc>
        <w:tc>
          <w:tcPr>
            <w:tcW w:w="0" w:type="auto"/>
          </w:tcPr>
          <w:p>
            <w:pPr>
              <w:spacing w:line="240" w:lineRule="auto" w:before="0" w:after="0"/>
              <w:pStyle w:val="Compact"/>
            </w:pPr>
            <w:r>
              <w:rPr>
                <w:sz w:val="20"/>
                <w:szCs w:val="20"/>
              </w:rPr>
              <w:t xml:space="preserve">613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4.575</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NASA ODQN historical record (Pegasus/STEP II HAPS stage breakup, alternate 613-piece cataloged count); covariates HOOSF 16e owner USA, dry mass 97 kg, alt 625 km, cause Propulsion</w:t>
            </w:r>
          </w:p>
        </w:tc>
      </w:tr>
      <w:tr>
        <w:tc>
          <w:tcPr>
            <w:tcW w:w="0" w:type="auto"/>
          </w:tcPr>
          <w:p>
            <w:pPr>
              <w:spacing w:line="240" w:lineRule="auto" w:before="0" w:after="0"/>
              <w:pStyle w:val="Compact"/>
            </w:pPr>
            <w:r>
              <w:rPr>
                <w:sz w:val="20"/>
                <w:szCs w:val="20"/>
              </w:rPr>
              <w:t xml:space="preserve">Cosmos 397</w:t>
            </w:r>
          </w:p>
        </w:tc>
        <w:tc>
          <w:tcPr>
            <w:tcW w:w="0" w:type="auto"/>
          </w:tcPr>
          <w:p>
            <w:pPr>
              <w:spacing w:line="240" w:lineRule="auto" w:before="0" w:after="0"/>
              <w:pStyle w:val="Compact"/>
            </w:pPr>
            <w:r>
              <w:rPr>
                <w:sz w:val="20"/>
                <w:szCs w:val="20"/>
              </w:rPr>
              <w:t xml:space="preserve">1971-015A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4.443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fragment list (Cosmos 397 deliberate ASAT breakup); ~85 cataloged per ESA DISCOSweb event record; covariates HOOSF 16e owner CIS, dry mass 1400 kg, alt 585 km, cause Deliberate</w:t>
            </w:r>
          </w:p>
        </w:tc>
      </w:tr>
      <w:tr>
        <w:tc>
          <w:tcPr>
            <w:tcW w:w="0" w:type="auto"/>
          </w:tcPr>
          <w:p>
            <w:pPr>
              <w:spacing w:line="240" w:lineRule="auto" w:before="0" w:after="0"/>
              <w:pStyle w:val="Compact"/>
            </w:pPr>
            <w:r>
              <w:rPr>
                <w:sz w:val="20"/>
                <w:szCs w:val="20"/>
              </w:rPr>
              <w:t xml:space="preserve">Titan IIIC Transtage</w:t>
            </w:r>
          </w:p>
        </w:tc>
        <w:tc>
          <w:tcPr>
            <w:tcW w:w="0" w:type="auto"/>
          </w:tcPr>
          <w:p>
            <w:pPr>
              <w:spacing w:line="240" w:lineRule="auto" w:before="0" w:after="0"/>
              <w:pStyle w:val="Compact"/>
            </w:pPr>
            <w:r>
              <w:rPr>
                <w:sz w:val="20"/>
                <w:szCs w:val="20"/>
              </w:rPr>
              <w:t xml:space="preserve">1969-013B</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37247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HOOSF 16e fragment list (Transtage R/B propulsion breakup in near-GEO, ~75 cataloged); covariates HOOSF 16e owner US, alt 37247 km, dry mass ~1 (stage residual), cause Propulsion</w:t>
            </w:r>
          </w:p>
        </w:tc>
      </w:tr>
      <w:tr>
        <w:tc>
          <w:tcPr>
            <w:tcW w:w="0" w:type="auto"/>
          </w:tcPr>
          <w:p>
            <w:pPr>
              <w:spacing w:line="240" w:lineRule="auto" w:before="0" w:after="0"/>
              <w:pStyle w:val="Compact"/>
            </w:pPr>
            <w:r>
              <w:rPr>
                <w:sz w:val="20"/>
                <w:szCs w:val="20"/>
              </w:rPr>
              <w:t xml:space="preserve">Long March CZ-6A</w:t>
            </w:r>
          </w:p>
        </w:tc>
        <w:tc>
          <w:tcPr>
            <w:tcW w:w="0" w:type="auto"/>
          </w:tcPr>
          <w:p>
            <w:pPr>
              <w:spacing w:line="240" w:lineRule="auto" w:before="0" w:after="0"/>
              <w:pStyle w:val="Compact"/>
            </w:pPr>
            <w:r>
              <w:rPr>
                <w:sz w:val="20"/>
                <w:szCs w:val="20"/>
              </w:rPr>
              <w:t xml:space="preserve">2024-148B</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5.645</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7.601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NASA ODQN / ESA (CZ-6A upper stage Aug 2024 fragmentation, at least 283 trackable); altitude ~810 km per ESA; dry mass 2000 kg CZ-6A stage [illustrative]; China not party to 1972 Liability Convention claims forum</w:t>
            </w:r>
          </w:p>
        </w:tc>
      </w:tr>
      <w:tr>
        <w:tc>
          <w:tcPr>
            <w:tcW w:w="0" w:type="auto"/>
          </w:tcPr>
          <w:p>
            <w:pPr>
              <w:spacing w:line="240" w:lineRule="auto" w:before="0" w:after="0"/>
              <w:pStyle w:val="Compact"/>
            </w:pPr>
            <w:r>
              <w:rPr>
                <w:sz w:val="20"/>
                <w:szCs w:val="20"/>
              </w:rPr>
              <w:t xml:space="preserve">Cosmos 862</w:t>
            </w:r>
          </w:p>
        </w:tc>
        <w:tc>
          <w:tcPr>
            <w:tcW w:w="0" w:type="auto"/>
          </w:tcPr>
          <w:p>
            <w:pPr>
              <w:spacing w:line="240" w:lineRule="auto" w:before="0" w:after="0"/>
              <w:pStyle w:val="Compact"/>
            </w:pPr>
            <w:r>
              <w:rPr>
                <w:sz w:val="20"/>
                <w:szCs w:val="20"/>
              </w:rPr>
              <w:t xml:space="preserve">1976-105A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4.248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5375</w:t>
            </w:r>
          </w:p>
        </w:tc>
        <w:tc>
          <w:tcPr>
            <w:tcW w:w="0" w:type="auto"/>
          </w:tcPr>
          <w:p>
            <w:pPr>
              <w:spacing w:line="240" w:lineRule="auto" w:before="0" w:after="0"/>
              <w:pStyle w:val="Compact"/>
            </w:pPr>
            <w:r>
              <w:rPr>
                <w:sz w:val="20"/>
                <w:szCs w:val="20"/>
              </w:rPr>
              <w:t xml:space="preserve">7.131</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NASA HOOSF 16e fragment list (Cosmos 862 deliberate high-altitude breakup); ~70 cataloged per ESA DISCOSweb record; covariates HOOSF 16e owner CIS, dry mass 1250 kg, alt 5375 km, cause Deliberate</w:t>
            </w:r>
          </w:p>
        </w:tc>
      </w:tr>
      <w:tr>
        <w:tc>
          <w:tcPr>
            <w:tcW w:w="0" w:type="auto"/>
          </w:tcPr>
          <w:p>
            <w:pPr>
              <w:spacing w:line="240" w:lineRule="auto" w:before="0" w:after="0"/>
              <w:pStyle w:val="Compact"/>
            </w:pPr>
            <w:r>
              <w:rPr>
                <w:sz w:val="20"/>
                <w:szCs w:val="20"/>
              </w:rPr>
              <w:t xml:space="preserve">Ekran 2</w:t>
            </w:r>
          </w:p>
        </w:tc>
        <w:tc>
          <w:tcPr>
            <w:tcW w:w="0" w:type="auto"/>
          </w:tcPr>
          <w:p>
            <w:pPr>
              <w:spacing w:line="240" w:lineRule="auto" w:before="0" w:after="0"/>
              <w:pStyle w:val="Compact"/>
            </w:pPr>
            <w:r>
              <w:rPr>
                <w:sz w:val="20"/>
                <w:szCs w:val="20"/>
              </w:rPr>
              <w:t xml:space="preserve">1977-092A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35790</w:t>
            </w:r>
          </w:p>
        </w:tc>
        <w:tc>
          <w:tcPr>
            <w:tcW w:w="0" w:type="auto"/>
          </w:tcPr>
          <w:p>
            <w:pPr>
              <w:spacing w:line="240" w:lineRule="auto" w:before="0" w:after="0"/>
              <w:pStyle w:val="Compact"/>
            </w:pPr>
            <w:r>
              <w:rPr>
                <w:sz w:val="20"/>
                <w:szCs w:val="20"/>
              </w:rPr>
              <w:t xml:space="preserve">7.586</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NASA HOOSF 16e Sec.1.2 (Ekran 2 first known GEO fragmentation, battery explosion 25 Jun 1978, 5 pieces cataloged) p.4; covariates HOOSF 16e owner CIS, dry mass 1970 kg, alt 35790 km, cause Battery</w:t>
            </w:r>
          </w:p>
        </w:tc>
      </w:tr>
      <w:tr>
        <w:tc>
          <w:tcPr>
            <w:tcW w:w="0" w:type="auto"/>
          </w:tcPr>
          <w:p>
            <w:pPr>
              <w:spacing w:line="240" w:lineRule="auto" w:before="0" w:after="0"/>
              <w:pStyle w:val="Compact"/>
            </w:pPr>
            <w:r>
              <w:rPr>
                <w:sz w:val="20"/>
                <w:szCs w:val="20"/>
              </w:rPr>
              <w:t xml:space="preserve">NOAA 3 R/B</w:t>
            </w:r>
          </w:p>
        </w:tc>
        <w:tc>
          <w:tcPr>
            <w:tcW w:w="0" w:type="auto"/>
          </w:tcPr>
          <w:p>
            <w:pPr>
              <w:spacing w:line="240" w:lineRule="auto" w:before="0" w:after="0"/>
              <w:pStyle w:val="Compact"/>
            </w:pPr>
            <w:r>
              <w:rPr>
                <w:sz w:val="20"/>
                <w:szCs w:val="20"/>
              </w:rPr>
              <w:t xml:space="preserve">1973-086B</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1515</w:t>
            </w:r>
          </w:p>
        </w:tc>
        <w:tc>
          <w:tcPr>
            <w:tcW w:w="0" w:type="auto"/>
          </w:tcPr>
          <w:p>
            <w:pPr>
              <w:spacing w:line="240" w:lineRule="auto" w:before="0" w:after="0"/>
              <w:pStyle w:val="Compact"/>
            </w:pPr>
            <w:r>
              <w:rPr>
                <w:sz w:val="20"/>
                <w:szCs w:val="20"/>
              </w:rPr>
              <w:t xml:space="preserve">6.733</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NASA HOOSF 16e fragment list (Delta second-stage propulsion breakup); ~75 cataloged per ESA DISCOSweb record; covariates HOOSF 16e owner US, dry mass 840 kg, alt 1515 km, cause Propulsion</w:t>
            </w:r>
          </w:p>
        </w:tc>
      </w:tr>
      <w:tr>
        <w:tc>
          <w:tcPr>
            <w:tcW w:w="0" w:type="auto"/>
          </w:tcPr>
          <w:p>
            <w:pPr>
              <w:spacing w:line="240" w:lineRule="auto" w:before="0" w:after="0"/>
              <w:pStyle w:val="Compact"/>
            </w:pPr>
            <w:r>
              <w:rPr>
                <w:sz w:val="20"/>
                <w:szCs w:val="20"/>
              </w:rPr>
              <w:t xml:space="preserve">Cosmos 1654</w:t>
            </w:r>
          </w:p>
        </w:tc>
        <w:tc>
          <w:tcPr>
            <w:tcW w:w="0" w:type="auto"/>
          </w:tcPr>
          <w:p>
            <w:pPr>
              <w:spacing w:line="240" w:lineRule="auto" w:before="0" w:after="0"/>
              <w:pStyle w:val="Compact"/>
            </w:pPr>
            <w:r>
              <w:rPr>
                <w:sz w:val="20"/>
                <w:szCs w:val="20"/>
              </w:rPr>
              <w:t xml:space="preserve">1985-039A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4.19</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8.648</w:t>
            </w:r>
          </w:p>
        </w:tc>
        <w:tc>
          <w:tcPr>
            <w:tcW w:w="0" w:type="auto"/>
          </w:tcPr>
          <w:p>
            <w:pPr>
              <w:spacing w:line="240" w:lineRule="auto" w:before="0" w:after="0"/>
              <w:pStyle w:val="Compact"/>
            </w:pPr>
            <w:r>
              <w:rPr>
                <w:sz w:val="20"/>
                <w:szCs w:val="20"/>
              </w:rPr>
              <w:t xml:space="preserve">5700</w:t>
            </w:r>
          </w:p>
        </w:tc>
        <w:tc>
          <w:tcPr>
            <w:tcW w:w="0" w:type="auto"/>
          </w:tcPr>
          <w:p>
            <w:pPr>
              <w:spacing w:line="240" w:lineRule="auto" w:before="0" w:after="0"/>
              <w:pStyle w:val="Compact"/>
            </w:pPr>
            <w:r>
              <w:rPr>
                <w:sz w:val="20"/>
                <w:szCs w:val="20"/>
              </w:rPr>
              <w:t xml:space="preserve">NASA HOOSF 16e fragment list (Cosmos 1654 deliberate breakup, RORSAT-class); ~66 cataloged per ESA DISCOSweb record; covariates HOOSF 16e owner CIS, dry mass 5700 kg, alt 200 km, cause Deliberate</w:t>
            </w:r>
          </w:p>
        </w:tc>
      </w:tr>
      <w:tr>
        <w:tc>
          <w:tcPr>
            <w:tcW w:w="0" w:type="auto"/>
          </w:tcPr>
          <w:p>
            <w:pPr>
              <w:spacing w:line="240" w:lineRule="auto" w:before="0" w:after="0"/>
              <w:pStyle w:val="Compact"/>
            </w:pPr>
            <w:r>
              <w:rPr>
                <w:sz w:val="20"/>
                <w:szCs w:val="20"/>
              </w:rPr>
              <w:t xml:space="preserve">Cosmos 1220</w:t>
            </w:r>
          </w:p>
        </w:tc>
        <w:tc>
          <w:tcPr>
            <w:tcW w:w="0" w:type="auto"/>
          </w:tcPr>
          <w:p>
            <w:pPr>
              <w:spacing w:line="240" w:lineRule="auto" w:before="0" w:after="0"/>
              <w:pStyle w:val="Compact"/>
            </w:pPr>
            <w:r>
              <w:rPr>
                <w:sz w:val="20"/>
                <w:szCs w:val="20"/>
              </w:rPr>
              <w:t xml:space="preserve">1980-089A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3.611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875</w:t>
            </w:r>
          </w:p>
        </w:tc>
        <w:tc>
          <w:tcPr>
            <w:tcW w:w="0" w:type="auto"/>
          </w:tcPr>
          <w:p>
            <w:pPr>
              <w:spacing w:line="240" w:lineRule="auto" w:before="0" w:after="0"/>
              <w:pStyle w:val="Compact"/>
            </w:pPr>
            <w:r>
              <w:rPr>
                <w:sz w:val="20"/>
                <w:szCs w:val="20"/>
              </w:rPr>
              <w:t xml:space="preserve">8.006</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NASA HOOSF 16e fragment list (Cosmos 1220 unknown-cause breakup); ~37 cataloged per ESA DISCOSweb record; covariates HOOSF 16e owner CIS, dry mass 3000 kg, alt 875 km, cause Unknown</w:t>
            </w:r>
          </w:p>
        </w:tc>
      </w:tr>
      <w:tr>
        <w:tc>
          <w:tcPr>
            <w:tcW w:w="0" w:type="auto"/>
          </w:tcPr>
          <w:p>
            <w:pPr>
              <w:spacing w:line="240" w:lineRule="auto" w:before="0" w:after="0"/>
              <w:pStyle w:val="Compact"/>
            </w:pPr>
            <w:r>
              <w:rPr>
                <w:sz w:val="20"/>
                <w:szCs w:val="20"/>
              </w:rPr>
              <w:t xml:space="preserve">CBERS-1 R/B</w:t>
            </w:r>
          </w:p>
        </w:tc>
        <w:tc>
          <w:tcPr>
            <w:tcW w:w="0" w:type="auto"/>
          </w:tcPr>
          <w:p>
            <w:pPr>
              <w:spacing w:line="240" w:lineRule="auto" w:before="0" w:after="0"/>
              <w:pStyle w:val="Compact"/>
            </w:pPr>
            <w:r>
              <w:rPr>
                <w:sz w:val="20"/>
                <w:szCs w:val="20"/>
              </w:rPr>
              <w:t xml:space="preserve">1999-057C</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4.22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741</w:t>
            </w:r>
          </w:p>
        </w:tc>
        <w:tc>
          <w:tcPr>
            <w:tcW w:w="0" w:type="auto"/>
          </w:tcPr>
          <w:p>
            <w:pPr>
              <w:spacing w:line="240" w:lineRule="auto" w:before="0" w:after="0"/>
              <w:pStyle w:val="Compact"/>
            </w:pPr>
            <w:r>
              <w:rPr>
                <w:sz w:val="20"/>
                <w:szCs w:val="20"/>
              </w:rPr>
              <w:t xml:space="preserve">7.438</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NASA HOOSF 16e p.442 (CBERS-1/SACI-1 R/B propulsion breakup Mar 2000, ~68 cataloged); covariates HOOSF 16e owner PRC, dry mass 1700 kg, alt 741 km, cause Propulsion; China not party to 1972 Liability Convention claims forum</w:t>
            </w:r>
          </w:p>
        </w:tc>
      </w:tr>
      <w:tr>
        <w:tc>
          <w:tcPr>
            <w:tcW w:w="0" w:type="auto"/>
          </w:tcPr>
          <w:p>
            <w:pPr>
              <w:spacing w:line="240" w:lineRule="auto" w:before="0" w:after="0"/>
              <w:pStyle w:val="Compact"/>
            </w:pPr>
            <w:r>
              <w:rPr>
                <w:sz w:val="20"/>
                <w:szCs w:val="20"/>
              </w:rPr>
              <w:t xml:space="preserve">Cosmos 970</w:t>
            </w:r>
          </w:p>
        </w:tc>
        <w:tc>
          <w:tcPr>
            <w:tcW w:w="0" w:type="auto"/>
          </w:tcPr>
          <w:p>
            <w:pPr>
              <w:spacing w:line="240" w:lineRule="auto" w:before="0" w:after="0"/>
              <w:pStyle w:val="Compact"/>
            </w:pPr>
            <w:r>
              <w:rPr>
                <w:sz w:val="20"/>
                <w:szCs w:val="20"/>
              </w:rPr>
              <w:t xml:space="preserve">1977-121A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4.111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1135</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fragment list (Cosmos 970 deliberate breakup); ~61 cataloged per ESA DISCOSweb record; covariates HOOSF 16e owner CIS, dry mass 1400 kg, alt 1135 km, cause Deliberate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log_frag</w:t>
            </w:r>
          </w:p>
        </w:tc>
        <w:tc>
          <w:tcPr>
            <w:tcW w:w="0" w:type="auto"/>
          </w:tcPr>
          <w:p>
            <w:pPr>
              <w:spacing w:line="240" w:lineRule="auto" w:before="0" w:after="0"/>
              <w:pStyle w:val="Compact"/>
            </w:pPr>
            <w:r>
              <w:rPr>
                <w:sz w:val="20"/>
                <w:szCs w:val="20"/>
              </w:rPr>
              <w:t xml:space="preserve">Natural log of the number of cataloged debris fragments produced by event i (dependent variable)</w:t>
            </w:r>
          </w:p>
        </w:tc>
        <w:tc>
          <w:tcPr>
            <w:tcW w:w="0" w:type="auto"/>
          </w:tcPr>
          <w:p>
            <w:pPr>
              <w:spacing w:line="240" w:lineRule="auto" w:before="0" w:after="0"/>
              <w:pStyle w:val="Compact"/>
            </w:pPr>
            <w:r>
              <w:rPr>
                <w:sz w:val="20"/>
                <w:szCs w:val="20"/>
              </w:rPr>
              <w:t xml:space="preserve">NASA Orbital Debris Quarterly News Top Ten Satellite Breakups table (v28i1, 2024); NASA History of On-orbit Satellite Fragmentations 16th ed. (NASA/TP-20220019160); ESA DISCOSweb event records</w:t>
            </w:r>
          </w:p>
        </w:tc>
      </w:tr>
      <w:tr>
        <w:tc>
          <w:tcPr>
            <w:tcW w:w="0" w:type="auto"/>
          </w:tcPr>
          <w:p>
            <w:pPr>
              <w:spacing w:line="240" w:lineRule="auto" w:before="0" w:after="0"/>
              <w:pStyle w:val="Compact"/>
            </w:pPr>
            <w:r>
              <w:rPr>
                <w:sz w:val="20"/>
                <w:szCs w:val="20"/>
              </w:rPr>
              <w:t xml:space="preserve">deliberate</w:t>
            </w:r>
          </w:p>
        </w:tc>
        <w:tc>
          <w:tcPr>
            <w:tcW w:w="0" w:type="auto"/>
          </w:tcPr>
          <w:p>
            <w:pPr>
              <w:spacing w:line="240" w:lineRule="auto" w:before="0" w:after="0"/>
              <w:pStyle w:val="Compact"/>
            </w:pPr>
            <w:r>
              <w:rPr>
                <w:sz w:val="20"/>
                <w:szCs w:val="20"/>
              </w:rPr>
              <w:t xml:space="preserve">Indicator = 1 if the fragmentation was deliberate (anti-satellite test or intentional destruction), 0 otherwise</w:t>
            </w:r>
          </w:p>
        </w:tc>
        <w:tc>
          <w:tcPr>
            <w:tcW w:w="0" w:type="auto"/>
          </w:tcPr>
          <w:p>
            <w:pPr>
              <w:spacing w:line="240" w:lineRule="auto" w:before="0" w:after="0"/>
              <w:pStyle w:val="Compact"/>
            </w:pPr>
            <w:r>
              <w:rPr>
                <w:sz w:val="20"/>
                <w:szCs w:val="20"/>
              </w:rPr>
              <w:t xml:space="preserve">NASA HOOSF 16e per-event Assessed Cause field</w:t>
            </w:r>
          </w:p>
        </w:tc>
      </w:tr>
      <w:tr>
        <w:tc>
          <w:tcPr>
            <w:tcW w:w="0" w:type="auto"/>
          </w:tcPr>
          <w:p>
            <w:pPr>
              <w:spacing w:line="240" w:lineRule="auto" w:before="0" w:after="0"/>
              <w:pStyle w:val="Compact"/>
            </w:pPr>
            <w:r>
              <w:rPr>
                <w:sz w:val="20"/>
                <w:szCs w:val="20"/>
              </w:rPr>
              <w:t xml:space="preserve">liab_party</w:t>
            </w:r>
          </w:p>
        </w:tc>
        <w:tc>
          <w:tcPr>
            <w:tcW w:w="0" w:type="auto"/>
          </w:tcPr>
          <w:p>
            <w:pPr>
              <w:spacing w:line="240" w:lineRule="auto" w:before="0" w:after="0"/>
              <w:pStyle w:val="Compact"/>
            </w:pPr>
            <w:r>
              <w:rPr>
                <w:sz w:val="20"/>
                <w:szCs w:val="20"/>
              </w:rPr>
              <w:t xml:space="preserve">Indicator = 1 if the owning state was a party to the 1972 Convention on International Liability for Damage Caused by Space Objects with access to its claims process at the time of the event, 0 otherwise</w:t>
            </w:r>
          </w:p>
        </w:tc>
        <w:tc>
          <w:tcPr>
            <w:tcW w:w="0" w:type="auto"/>
          </w:tcPr>
          <w:p>
            <w:pPr>
              <w:spacing w:line="240" w:lineRule="auto" w:before="0" w:after="0"/>
              <w:pStyle w:val="Compact"/>
            </w:pPr>
            <w:r>
              <w:rPr>
                <w:sz w:val="20"/>
                <w:szCs w:val="20"/>
              </w:rPr>
              <w:t xml:space="preserve">UNOOSA status of international agreements; owning state from NASA HOOSF 16e Owner field</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Orbital altitude of the parent body at the time of the event, in kilometers</w:t>
            </w:r>
          </w:p>
        </w:tc>
        <w:tc>
          <w:tcPr>
            <w:tcW w:w="0" w:type="auto"/>
          </w:tcPr>
          <w:p>
            <w:pPr>
              <w:spacing w:line="240" w:lineRule="auto" w:before="0" w:after="0"/>
              <w:pStyle w:val="Compact"/>
            </w:pPr>
            <w:r>
              <w:rPr>
                <w:sz w:val="20"/>
                <w:szCs w:val="20"/>
              </w:rPr>
              <w:t xml:space="preserve">NASA HOOSF 16e per-event Altitude field</w:t>
            </w:r>
          </w:p>
        </w:tc>
      </w:tr>
      <w:tr>
        <w:tc>
          <w:tcPr>
            <w:tcW w:w="0" w:type="auto"/>
          </w:tcPr>
          <w:p>
            <w:pPr>
              <w:spacing w:line="240" w:lineRule="auto" w:before="0" w:after="0"/>
              <w:pStyle w:val="Compact"/>
            </w:pPr>
            <w:r>
              <w:rPr>
                <w:sz w:val="20"/>
                <w:szCs w:val="20"/>
              </w:rPr>
              <w:t xml:space="preserve">log_drymass_kg</w:t>
            </w:r>
          </w:p>
        </w:tc>
        <w:tc>
          <w:tcPr>
            <w:tcW w:w="0" w:type="auto"/>
          </w:tcPr>
          <w:p>
            <w:pPr>
              <w:spacing w:line="240" w:lineRule="auto" w:before="0" w:after="0"/>
              <w:pStyle w:val="Compact"/>
            </w:pPr>
            <w:r>
              <w:rPr>
                <w:sz w:val="20"/>
                <w:szCs w:val="20"/>
              </w:rPr>
              <w:t xml:space="preserve">Natural log of the parent body dry mass in kilograms (proxy for parent size and fragment-generation potential)</w:t>
            </w:r>
          </w:p>
        </w:tc>
        <w:tc>
          <w:tcPr>
            <w:tcW w:w="0" w:type="auto"/>
          </w:tcPr>
          <w:p>
            <w:pPr>
              <w:spacing w:line="240" w:lineRule="auto" w:before="0" w:after="0"/>
              <w:pStyle w:val="Compact"/>
            </w:pPr>
            <w:r>
              <w:rPr>
                <w:sz w:val="20"/>
                <w:szCs w:val="20"/>
              </w:rPr>
              <w:t xml:space="preserve">NASA HOOSF 16e per-event Dry Mass field</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6.829</w:t>
            </w:r>
          </w:p>
        </w:tc>
        <w:tc>
          <w:tcPr>
            <w:tcW w:w="0" w:type="auto"/>
          </w:tcPr>
          <w:p>
            <w:pPr>
              <w:spacing w:line="240" w:lineRule="auto" w:before="0" w:after="0"/>
              <w:pStyle w:val="Compact"/>
            </w:pPr>
            <w:r>
              <w:rPr>
                <w:sz w:val="20"/>
                <w:szCs w:val="20"/>
              </w:rPr>
              <w:t xml:space="preserve">1.726</w:t>
            </w:r>
          </w:p>
        </w:tc>
        <w:tc>
          <w:tcPr>
            <w:tcW w:w="0" w:type="auto"/>
          </w:tcPr>
          <w:p>
            <w:pPr>
              <w:spacing w:line="240" w:lineRule="auto" w:before="0" w:after="0"/>
              <w:pStyle w:val="Compact"/>
            </w:pPr>
            <w:r>
              <w:rPr>
                <w:sz w:val="20"/>
                <w:szCs w:val="20"/>
              </w:rPr>
              <w:t xml:space="preserve">3.9566</w:t>
            </w:r>
          </w:p>
        </w:tc>
        <w:tc>
          <w:tcPr>
            <w:tcW w:w="0" w:type="auto"/>
          </w:tcPr>
          <w:p>
            <w:pPr>
              <w:spacing w:line="240" w:lineRule="auto" w:before="0" w:after="0"/>
              <w:pStyle w:val="Compact"/>
            </w:pPr>
            <w:r>
              <w:rPr>
                <w:sz w:val="20"/>
                <w:szCs w:val="20"/>
              </w:rPr>
              <w:t xml:space="preserve">7.602e-05</w:t>
            </w:r>
          </w:p>
        </w:tc>
        <w:tc>
          <w:tcPr>
            <w:tcW w:w="0" w:type="auto"/>
          </w:tcPr>
          <w:p>
            <w:pPr>
              <w:spacing w:line="240" w:lineRule="auto" w:before="0" w:after="0"/>
              <w:pStyle w:val="Compact"/>
            </w:pPr>
            <w:r>
              <w:rPr>
                <w:sz w:val="20"/>
                <w:szCs w:val="20"/>
              </w:rPr>
              <w:t xml:space="preserve">[3.4462, 10.2118]</w:t>
            </w:r>
          </w:p>
        </w:tc>
      </w:tr>
      <w:tr>
        <w:tc>
          <w:tcPr>
            <w:tcW w:w="0" w:type="auto"/>
          </w:tcPr>
          <w:p>
            <w:pPr>
              <w:spacing w:line="240" w:lineRule="auto" w:before="0" w:after="0"/>
              <w:pStyle w:val="Compact"/>
            </w:pPr>
            <w:r>
              <w:rPr>
                <w:sz w:val="20"/>
                <w:szCs w:val="20"/>
              </w:rPr>
              <w:t xml:space="preserve">deliberate</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0.5379</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0.9966</w:t>
            </w:r>
          </w:p>
        </w:tc>
        <w:tc>
          <w:tcPr>
            <w:tcW w:w="0" w:type="auto"/>
          </w:tcPr>
          <w:p>
            <w:pPr>
              <w:spacing w:line="240" w:lineRule="auto" w:before="0" w:after="0"/>
              <w:pStyle w:val="Compact"/>
            </w:pPr>
            <w:r>
              <w:rPr>
                <w:sz w:val="20"/>
                <w:szCs w:val="20"/>
              </w:rPr>
              <w:t xml:space="preserve">[-1.0565, 1.0519]</w:t>
            </w:r>
          </w:p>
        </w:tc>
      </w:tr>
      <w:tr>
        <w:tc>
          <w:tcPr>
            <w:tcW w:w="0" w:type="auto"/>
          </w:tcPr>
          <w:p>
            <w:pPr>
              <w:spacing w:line="240" w:lineRule="auto" w:before="0" w:after="0"/>
              <w:pStyle w:val="Compact"/>
            </w:pPr>
            <w:r>
              <w:rPr>
                <w:sz w:val="20"/>
                <w:szCs w:val="20"/>
              </w:rPr>
              <w:t xml:space="preserve">liab_party</w:t>
            </w:r>
          </w:p>
        </w:tc>
        <w:tc>
          <w:tcPr>
            <w:tcW w:w="0" w:type="auto"/>
          </w:tcPr>
          <w:p>
            <w:pPr>
              <w:spacing w:line="240" w:lineRule="auto" w:before="0" w:after="0"/>
              <w:pStyle w:val="Compact"/>
            </w:pPr>
            <w:r>
              <w:rPr>
                <w:sz w:val="20"/>
                <w:szCs w:val="20"/>
              </w:rPr>
              <w:t xml:space="preserve">0.1661</w:t>
            </w:r>
          </w:p>
        </w:tc>
        <w:tc>
          <w:tcPr>
            <w:tcW w:w="0" w:type="auto"/>
          </w:tcPr>
          <w:p>
            <w:pPr>
              <w:spacing w:line="240" w:lineRule="auto" w:before="0" w:after="0"/>
              <w:pStyle w:val="Compact"/>
            </w:pPr>
            <w:r>
              <w:rPr>
                <w:sz w:val="20"/>
                <w:szCs w:val="20"/>
              </w:rPr>
              <w:t xml:space="preserve">0.6814</w:t>
            </w:r>
          </w:p>
        </w:tc>
        <w:tc>
          <w:tcPr>
            <w:tcW w:w="0" w:type="auto"/>
          </w:tcPr>
          <w:p>
            <w:pPr>
              <w:spacing w:line="240" w:lineRule="auto" w:before="0" w:after="0"/>
              <w:pStyle w:val="Compact"/>
            </w:pPr>
            <w:r>
              <w:rPr>
                <w:sz w:val="20"/>
                <w:szCs w:val="20"/>
              </w:rPr>
              <w:t xml:space="preserve">0.2438</w:t>
            </w:r>
          </w:p>
        </w:tc>
        <w:tc>
          <w:tcPr>
            <w:tcW w:w="0" w:type="auto"/>
          </w:tcPr>
          <w:p>
            <w:pPr>
              <w:spacing w:line="240" w:lineRule="auto" w:before="0" w:after="0"/>
              <w:pStyle w:val="Compact"/>
            </w:pPr>
            <w:r>
              <w:rPr>
                <w:sz w:val="20"/>
                <w:szCs w:val="20"/>
              </w:rPr>
              <w:t xml:space="preserve">0.8074</w:t>
            </w:r>
          </w:p>
        </w:tc>
        <w:tc>
          <w:tcPr>
            <w:tcW w:w="0" w:type="auto"/>
          </w:tcPr>
          <w:p>
            <w:pPr>
              <w:spacing w:line="240" w:lineRule="auto" w:before="0" w:after="0"/>
              <w:pStyle w:val="Compact"/>
            </w:pPr>
            <w:r>
              <w:rPr>
                <w:sz w:val="20"/>
                <w:szCs w:val="20"/>
              </w:rPr>
              <w:t xml:space="preserve">[-1.1694, 1.5017]</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-8.593e-05</w:t>
            </w:r>
          </w:p>
        </w:tc>
        <w:tc>
          <w:tcPr>
            <w:tcW w:w="0" w:type="auto"/>
          </w:tcPr>
          <w:p>
            <w:pPr>
              <w:spacing w:line="240" w:lineRule="auto" w:before="0" w:after="0"/>
              <w:pStyle w:val="Compact"/>
            </w:pPr>
            <w:r>
              <w:rPr>
                <w:sz w:val="20"/>
                <w:szCs w:val="20"/>
              </w:rPr>
              <w:t xml:space="preserve">2.714e-05</w:t>
            </w:r>
          </w:p>
        </w:tc>
        <w:tc>
          <w:tcPr>
            <w:tcW w:w="0" w:type="auto"/>
          </w:tcPr>
          <w:p>
            <w:pPr>
              <w:spacing w:line="240" w:lineRule="auto" w:before="0" w:after="0"/>
              <w:pStyle w:val="Compact"/>
            </w:pPr>
            <w:r>
              <w:rPr>
                <w:sz w:val="20"/>
                <w:szCs w:val="20"/>
              </w:rPr>
              <w:t xml:space="preserve">-3.1662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[-0.0001391, -3.274e-05]</w:t>
            </w:r>
          </w:p>
        </w:tc>
      </w:tr>
      <w:tr>
        <w:tc>
          <w:tcPr>
            <w:tcW w:w="0" w:type="auto"/>
          </w:tcPr>
          <w:p>
            <w:pPr>
              <w:spacing w:line="240" w:lineRule="auto" w:before="0" w:after="0"/>
              <w:pStyle w:val="Compact"/>
            </w:pPr>
            <w:r>
              <w:rPr>
                <w:sz w:val="20"/>
                <w:szCs w:val="20"/>
              </w:rPr>
              <w:t xml:space="preserve">log_drymass_kg</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0.2141</w:t>
            </w:r>
          </w:p>
        </w:tc>
        <w:tc>
          <w:tcPr>
            <w:tcW w:w="0" w:type="auto"/>
          </w:tcPr>
          <w:p>
            <w:pPr>
              <w:spacing w:line="240" w:lineRule="auto" w:before="0" w:after="0"/>
              <w:pStyle w:val="Compact"/>
            </w:pPr>
            <w:r>
              <w:rPr>
                <w:sz w:val="20"/>
                <w:szCs w:val="20"/>
              </w:rPr>
              <w:t xml:space="preserve">-1.1364</w:t>
            </w:r>
          </w:p>
        </w:tc>
        <w:tc>
          <w:tcPr>
            <w:tcW w:w="0" w:type="auto"/>
          </w:tcPr>
          <w:p>
            <w:pPr>
              <w:spacing w:line="240" w:lineRule="auto" w:before="0" w:after="0"/>
              <w:pStyle w:val="Compact"/>
            </w:pPr>
            <w:r>
              <w:rPr>
                <w:sz w:val="20"/>
                <w:szCs w:val="20"/>
              </w:rPr>
              <w:t xml:space="preserve">0.2558</w:t>
            </w:r>
          </w:p>
        </w:tc>
        <w:tc>
          <w:tcPr>
            <w:tcW w:w="0" w:type="auto"/>
          </w:tcPr>
          <w:p>
            <w:pPr>
              <w:spacing w:line="240" w:lineRule="auto" w:before="0" w:after="0"/>
              <w:pStyle w:val="Compact"/>
            </w:pPr>
            <w:r>
              <w:rPr>
                <w:sz w:val="20"/>
                <w:szCs w:val="20"/>
              </w:rPr>
              <w:t xml:space="preserve">[-0.6631, 0.1764]</w:t>
            </w:r>
          </w:p>
        </w:tc>
      </w:tr>
    </w:tbl>
    <w:p>
      <w:pPr>
        <w:pStyle w:val="BodyText"/>
      </w:pPr>
      <w:r>
        <w:t xml:space="preserve">Fit: N = 28 R2 = 0.2383 R2_adj = 0.1058 F = 5.6491 F_p = 0.0026</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1016/j.actaastro.2024.05.026" TargetMode="External" /><Relationship Type="http://schemas.openxmlformats.org/officeDocument/2006/relationships/hyperlink" Id="rId73" Target="https://doi.org/10.1016/j.actaastro.2025.01.042" TargetMode="External" /><Relationship Type="http://schemas.openxmlformats.org/officeDocument/2006/relationships/hyperlink" Id="rId71" Target="https://doi.org/10.1080/10242694.2023.2208020"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4.05.026" TargetMode="External" /><Relationship Type="http://schemas.openxmlformats.org/officeDocument/2006/relationships/hyperlink" Id="rId73" Target="https://doi.org/10.1016/j.actaastro.2025.01.042" TargetMode="External" /><Relationship Type="http://schemas.openxmlformats.org/officeDocument/2006/relationships/hyperlink" Id="rId71" Target="https://doi.org/10.1080/10242694.2023.22080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2026-06-26T16:46:06Z</dcterms:created>
  <dcterms:modified xsi:type="dcterms:W3CDTF">2026-06-26T16:46:06Z</dcterms:modified>
</cp:coreProperties>
</file>

<file path=docProps/custom.xml><?xml version="1.0" encoding="utf-8"?>
<Properties xmlns="http://schemas.openxmlformats.org/officeDocument/2006/custom-properties" xmlns:vt="http://schemas.openxmlformats.org/officeDocument/2006/docPropsVTypes"/>
</file>