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LIABILITY WITHOUT A FORUM: A CLIOMETRIC TEST OF WHETHER THE 1972 LIABILITY CONVENTION DETERS ORBITAL-DEBRIS-GENERATING BEHAVIOR</w:t>
      </w:r>
    </w:p>
    <w:p>
      <w:pPr>
        <w:jc w:val="center"/>
      </w:pPr>
    </w:p>
    <w:p>
      <w:pPr>
        <w:jc w:val="center"/>
      </w:pPr>
      <w:r>
        <w:rPr>
          <w:rFonts w:ascii="Times New Roman" w:hAnsi="Times New Roman"/>
          <w:sz w:val="24"/>
        </w:rPr>
        <w:t>by</w:t>
      </w:r>
    </w:p>
    <w:p>
      <w:pPr>
        <w:jc w:val="center"/>
      </w:pPr>
      <w:r>
        <w:rPr>
          <w:rFonts w:ascii="Times New Roman" w:hAnsi="Times New Roman"/>
          <w:b/>
          <w:sz w:val="28"/>
        </w:rPr>
        <w:t>Ramona Moreno</w:t>
      </w:r>
    </w:p>
    <w:p>
      <w:pPr>
        <w:jc w:val="center"/>
      </w:pPr>
      <w:r>
        <w:rPr>
          <w:rFonts w:ascii="Times New Roman" w:hAnsi="Times New Roman"/>
          <w:sz w:val="24"/>
        </w:rPr>
        <w:t>1B-SDA-073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1972 Convention on International Liability for Damage Caused by Space Objects was drafted to do a specific economic job. Convert the externality of orbital debris into a private cost borne by the party that produced it, and you invoke the standard logic that an actor who internalizes the expected cost of the harm it causes will produce less of the harmful behavior. Absolute liability attaches for damage on the Earth’s surface and to aircraft; fault-based liability attaches for damage in outer space. By every account this is the most muscular statement of operator accountability in the corpus of international space law. And yet, for more than half a century, its Claims Commission has been convened exactly zero times for an on-orbit fragmentation. The only major settlement traceable to its machinery, the 1978 Cosmos 954 reentry over Canada, was negotiated bilaterally rather than litigated. So the instrument exists while the forum that would give it teeth does not.</w:t>
      </w:r>
    </w:p>
    <w:p>
      <w:pPr>
        <w:pStyle w:val="BodyText"/>
        <w:spacing w:line="480" w:lineRule="auto"/>
        <w:ind w:firstLine="720"/>
      </w:pPr>
      <w:r>
        <w:t xml:space="preserve">I take that gap seriously as a question of measurable behavior rather than as a doctrinal complaint. Liability without a forum is, in the deterrence economics that orbital-environmental scholarship now relies upon, a price tag with no register and no clerk. Does such a price tag change the decisions of operators who place objects in orbit, who choose whether to maneuver them, and who choose whether to clear them at end of life? The international community has been content to leave that question unasked, and the asking turns out to be consequential.</w:t>
      </w:r>
    </w:p>
    <w:p>
      <w:pPr>
        <w:pStyle w:val="BodyText"/>
        <w:spacing w:line="480" w:lineRule="auto"/>
        <w:ind w:firstLine="720"/>
      </w:pPr>
      <w:r>
        <w:t xml:space="preserve">Consider what rides on it. Low Earth orbit is a congestible commons whose carrying capacity is a binding safety constraint on every future mission [3, 4], and the trajectory of debris accumulation diverges sharply from the trajectory of orbital value over time once generation-side behavior goes unrestrained</w:t>
      </w:r>
      <w:r>
        <w:t xml:space="preserve"> </w:t>
      </w:r>
      <w:hyperlink w:anchor="ref-5">
        <w:r>
          <w:rPr>
            <w:rStyle w:val="Hyperlink"/>
          </w:rPr>
          <w:t xml:space="preserve">[5]</w:t>
        </w:r>
      </w:hyperlink>
      <w:r>
        <w:t xml:space="preserve">. Risk-landscape modeling has begun to document the cascading dynamics by which fragmentation and reentry events propagate harm across operators, insurers, populations on the surface, and the aviation system that shares the lower atmosphere with reentering hardware [2, 10].</w:t>
      </w:r>
    </w:p>
    <w:p>
      <w:pPr>
        <w:pStyle w:val="BodyText"/>
        <w:spacing w:line="480" w:lineRule="auto"/>
        <w:ind w:firstLine="720"/>
      </w:pPr>
      <w:r>
        <w:t xml:space="preserve">The stake, put plainly, is structural. If the principal international instrument for restraining the upstream behavior does not actually restrain it, the governance architecture is resting on a load-bearing wall that may already be hollow.</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None of this is abstract for the National Aeronautics and Space Administration or for the Jet Propulsion Laboratory. Both institutions absorb the operational consequences of any deterrence shortfall, and they absorb them in two distinct registers.</w:t>
      </w:r>
    </w:p>
    <w:p>
      <w:pPr>
        <w:pStyle w:val="BodyText"/>
        <w:spacing w:line="480" w:lineRule="auto"/>
        <w:ind w:firstLine="720"/>
      </w:pPr>
      <w:r>
        <w:t xml:space="preserve">The daily register is conjunction assessment. NASA flies the largest fleet of high-value civil scientific assets in low Earth orbit: the International Space Station, the Hubble Space Telescope, a steady cadence of Earth-observation missions, and the heritage and successor lines of operational platforms in geostationary, sun-synchronous, and lunar transfer regimes. Every one of them is screened daily against the catalog of trackable resident space objects, and every one accepts a non-trivial budget of maneuvering propellant against a continuously updated probability of collision. NASA’s own conjunction-assessment record makes the trade explicit. Operator behavior is governed by the balance among propellant cost, mission disruption, and collision risk, and that balance is struck many hundreds of times per year across the active fleet</w:t>
      </w:r>
      <w:r>
        <w:t xml:space="preserve"> </w:t>
      </w:r>
      <w:hyperlink w:anchor="ref-1">
        <w:r>
          <w:rPr>
            <w:rStyle w:val="Hyperlink"/>
          </w:rPr>
          <w:t xml:space="preserve">[1]</w:t>
        </w:r>
      </w:hyperlink>
      <w:r>
        <w:t xml:space="preserve">.</w:t>
      </w:r>
    </w:p>
    <w:p>
      <w:pPr>
        <w:pStyle w:val="BodyText"/>
        <w:spacing w:line="480" w:lineRule="auto"/>
        <w:ind w:firstLine="720"/>
      </w:pPr>
      <w:r>
        <w:t xml:space="preserve">If the Liability Convention deters none of the upstream generation that drives the trade, then every fragment NASA screens against is a fragment whose creation the international system declined to price.</w:t>
      </w:r>
    </w:p>
    <w:p>
      <w:pPr>
        <w:pStyle w:val="BodyText"/>
        <w:spacing w:line="480" w:lineRule="auto"/>
        <w:ind w:firstLine="720"/>
      </w:pPr>
      <w:r>
        <w:t xml:space="preserve">The design register belongs to JPL. It runs the deep-space and outer-planet program, and it is also positioned to lead the technical assessment of cislunar and high-altitude regimes where the debris population is sparse today and could become tomorrow’s congested LEO if the same upstream incentive structure governs its build-out. Orbital-economics scholarship frames the policy question as one of preventing the cislunar shell from repeating the LEO trajectory rather than waiting to repair it [3, 4, 5, 7]. Conjunction and collision-avoidance assessment in those regimes will run against a catalog whose composition is fixed by whatever incentive structure governs operator generation, and the architecture decisions NASA and JPL make over the next several mission cycles will commit the United States civil space program to a particular bet about whether international liability deters.</w:t>
      </w:r>
    </w:p>
    <w:p>
      <w:pPr>
        <w:pStyle w:val="BodyText"/>
        <w:spacing w:line="480" w:lineRule="auto"/>
        <w:ind w:firstLine="720"/>
      </w:pPr>
      <w:r>
        <w:t xml:space="preserve">Get that bet wrong and the cost is paid in propellant, in mission lifetime, in instrument-class collision risk, and in the architecture of any future on-orbit servicing, assembly, and manufacturing economy that both roadmaps now contemplate.</w:t>
      </w:r>
    </w:p>
    <w:p>
      <w:pPr>
        <w:pStyle w:val="BodyText"/>
        <w:spacing w:line="480" w:lineRule="auto"/>
        <w:ind w:firstLine="720"/>
      </w:pPr>
      <w:r>
        <w:t xml:space="preserve">One further institutional stake deserves naming. NASA is, increasingly, the technical conscience of the international debris-mitigation community, and JPL, as a federally funded research and development center, is where the formal evidentiary basis for civil space policy is built. The federal interlocutors of both institutions, the Office of Space Commerce, the State Department’s Office of Space Affairs, the Federal Communications Commission, and the National Space Council, keep returning to the same question: is the international architecture sufficient, or must the operative deterrent be domesticated into national licensing? Until now the answer has arrived as doctrinal argument and stylized appeals to externality theory, never as an identified causal estimate. This dissertation supplies one.</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Three literatures meet at this question without joining. Orbital economics comes first. It has modeled debris accumulation as a negative externality and orbital capacity as the scarce common-pool resource that the externality erodes [3, 4, 5, 7]. Articulate as this work is about the externality, it treats the liability regime as an exogenous background condition rather than as a treatment whose intensity and timing can be quantified. The Convention appears as the legal frame around the economic problem, never as the variable whose effect is to be estimated.</w:t>
      </w:r>
    </w:p>
    <w:p>
      <w:pPr>
        <w:pStyle w:val="BodyText"/>
        <w:spacing w:line="480" w:lineRule="auto"/>
        <w:ind w:firstLine="720"/>
      </w:pPr>
      <w:r>
        <w:t xml:space="preserve">Space-traffic management comes second, and it studies operator behavior on the maneuver margin. Operators, this work has shown, respond to cost and coordination structures; compliance with maneuvering guidelines varies systematically with how those guidelines are designed; and the technical accuracy of the catalog and the sensor network shapes whether operators act on a conjunction warning at all [1, 6, 8, 9]. The corpus is empirically grounded and behaviorally precise. It is simply precise at the wrong margin for the deterrence question, documenting how operators respond to operational signals rather than to legal ones. No model in it puts the Liability Convention on the right-hand side.</w:t>
      </w:r>
    </w:p>
    <w:p>
      <w:pPr>
        <w:pStyle w:val="BodyText"/>
        <w:spacing w:line="480" w:lineRule="auto"/>
        <w:ind w:firstLine="720"/>
      </w:pPr>
      <w:r>
        <w:t xml:space="preserve">Risk and safety scholarship comes third. It catalogs the liability, compensation, and insurance arrangements available to compensate damage from reentry, breakup, and surface impact, characterizing the legal architecture and the actuarial channels through which harm is paid for. Its recent extension into the aviation-safety implications of uncontrolled reentries documents that the harm is no longer confined to the orbital regime [2, 10]. What it does not attempt is a behavioral test of whether the regime alters the upstream generation that produces the harm it compensates for.</w:t>
      </w:r>
    </w:p>
    <w:p>
      <w:pPr>
        <w:pStyle w:val="BodyText"/>
        <w:spacing w:line="480" w:lineRule="auto"/>
        <w:ind w:firstLine="720"/>
      </w:pPr>
      <w:r>
        <w:t xml:space="preserve">A methodological gap runs orthogonally to all of this. Adjacent fields, including environmental and arms-control regimes, have built an identification toolkit that the space community has not yet brought to the question of liability deterrence. The standard tools are familiar enough: staggered-adoption difference-in-differences designs at the country-year panel level, event-study specifications that test pre-trends and dynamic effects directly, heterogeneity-robust estimators that guard against the contamination of two-way fixed-effects coefficients under heterogeneous treatment timing, and survival models that read the hazard of a behavioral change as a multiplicative shift in a baseline rate. This dissertation’s two companion papers, an OLS test of whether Convention membership restrains debris-generating fragmentation events and a Cox proportional-hazards test of whether the post-2002 mitigation era accelerates the removal of cataloged objects, demonstrate the elementary versions of those tools and show why the panel design is the necessary next step. Neither paper is the final word. Both were built to bound the central parameter from two directions rather than to resolve it.</w:t>
      </w:r>
    </w:p>
    <w:p>
      <w:pPr>
        <w:pStyle w:val="BodyText"/>
        <w:spacing w:line="480" w:lineRule="auto"/>
        <w:ind w:firstLine="720"/>
      </w:pPr>
      <w:r>
        <w:t xml:space="preserve">The gap this dissertation fills sits at the intersection of the two. No work in the corpus estimates whether the 1972 Liability Convention has a measurable, identified, behavioral effect on debris-generating behavior, and none separates the deterrent contribution of bare international ratification from that of national domestication into enforceable licensing. What is missing is a quantitative, identified estimate of treaty deterrence under conditions of absent enforcement. That is the gap the dissertation closes.</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contribution, stated as a single falsifiable estimate. It is the average treatment effect of enforceable domestication of Liability Convention obligations on the rate at which a launching state’s operators generate trackable orbital debris, identified by a staggered-adoption difference-in-differences design at the launching-state-by-year level.</w:t>
      </w:r>
    </w:p>
    <w:p>
      <w:pPr>
        <w:pStyle w:val="BodyText"/>
        <w:spacing w:line="480" w:lineRule="auto"/>
        <w:ind w:firstLine="720"/>
      </w:pPr>
      <w:r>
        <w:t xml:space="preserve">Null and alternative are stated precisely so that both directions of falsification stand visible at the outset.</w:t>
      </w:r>
    </w:p>
    <w:p>
      <w:pPr>
        <w:pStyle w:val="BodyText"/>
        <w:spacing w:line="480" w:lineRule="auto"/>
        <w:ind w:firstLine="720"/>
      </w:pPr>
      <w:r>
        <w:rPr>
          <w:b/>
          <w:bCs/>
        </w:rPr>
        <w:t xml:space="preserve">H0 (null).</w:t>
      </w:r>
      <w:r>
        <w:t xml:space="preserve"> </w:t>
      </w:r>
      <w:r>
        <w:t xml:space="preserve">The domestication of Liability Convention obligations into enforceable national operator licensing has no effect on the debris-generation rate of a launching state’s cataloged objects. The coefficient on the post-domestication indicator in the difference-in-differences specification is statistically indistinguishable from zero, and the event-study estimates of dynamic effects in the post-treatment window do not depart from the pre-treatment baseline.</w:t>
      </w:r>
    </w:p>
    <w:p>
      <w:pPr>
        <w:pStyle w:val="BodyText"/>
        <w:spacing w:line="480" w:lineRule="auto"/>
        <w:ind w:firstLine="720"/>
      </w:pPr>
      <w:r>
        <w:rPr>
          <w:b/>
          <w:bCs/>
        </w:rPr>
        <w:t xml:space="preserve">H1 (alternative).</w:t>
      </w:r>
      <w:r>
        <w:t xml:space="preserve"> </w:t>
      </w:r>
      <w:r>
        <w:t xml:space="preserve">The domestication of Liability Convention obligations reduces the debris-generation rate of a launching state’s cataloged objects. The coefficient on the post-domestication indicator is negative and statistically distinguishable from zero, and the event-study estimates show a discernible post-treatment shift in dynamic effects.</w:t>
      </w:r>
    </w:p>
    <w:p>
      <w:pPr>
        <w:pStyle w:val="BodyText"/>
        <w:spacing w:line="480" w:lineRule="auto"/>
        <w:ind w:firstLine="720"/>
      </w:pPr>
      <w:r>
        <w:t xml:space="preserve">Falsifiability in both directions is itself the contribution. A precisely estimated zero falsifies the claim that forum-less liability, once domesticated, deters; a precisely estimated negative coefficient localizes deterrence at the enforcement margin rather than the treaty margin. That second finding also falsifies a competing view common in policy discourse, namely that international ratification of the Convention alone suffices to produce the deterrent. To discipline the localization claim, the design carries a placebo specification in which the treatment is bare international ratification with no domesticating licensing statute. Under H1 the placebo should yield a null; a non-null on the placebo would indict the design rather than confirm the deterrent. Principal estimate, event-study, and placebo together form the falsifiable contribution.</w:t>
      </w:r>
    </w:p>
    <w:p>
      <w:pPr>
        <w:pStyle w:val="BodyText"/>
        <w:spacing w:line="480" w:lineRule="auto"/>
        <w:ind w:firstLine="720"/>
      </w:pPr>
      <w:r>
        <w:t xml:space="preserve">The two companion papers set the empirical context that motivates the design and constrain what its estimate can mean. On twenty-eight documented on-orbit fragmentation events, the OLS panel finds the Convention-membership coefficient statistically dead and wrong-signed for deterrence, with deliberate destructions indistinguishable from accidental breakups of comparable mass and altitude once physics is controlled for. On twenty-nine cataloged objects, the Cox proportional-hazards model finds the mitigation-era indicator carrying a hazard ratio of approximately 2.40 in the direction H1 predicts, though with a confidence interval that includes one at conventional thresholds and a drag effect that swamps the policy channel. Read together, the two papers say the same thing: the elementary tests can neither rule out a deterrent effect of domestication nor confirm one, and the binding constraint is the absence of a launching-state panel large enough to absorb time-varying global shocks and to separate the policy effect from the secular shift toward self-cleaning orbits and improved catalog sensitivity.</w:t>
      </w:r>
    </w:p>
    <w:p>
      <w:pPr>
        <w:pStyle w:val="BodyText"/>
        <w:spacing w:line="480" w:lineRule="auto"/>
        <w:ind w:firstLine="720"/>
      </w:pPr>
      <w:r>
        <w:t xml:space="preserve">What the dissertation contributes is the panel estimate the two companions point toward and cannot themselves deliver.</w:t>
      </w:r>
    </w:p>
    <w:bookmarkEnd w:id="64"/>
    <w:bookmarkStart w:id="65" w:name="X84f0c489d12487462f49b28c4379b3635f012dc"/>
    <w:p>
      <w:pPr>
        <w:pStyle w:val="Heading2"/>
        <w:spacing w:line="480" w:lineRule="auto"/>
      </w:pPr>
      <w:r>
        <w:t xml:space="preserve">1.5 A Note on Why the Estimate Matters Even if the Sign Reverses</w:t>
      </w:r>
    </w:p>
    <w:p>
      <w:pPr>
        <w:pStyle w:val="FirstParagraph"/>
        <w:spacing w:line="480" w:lineRule="auto"/>
      </w:pPr>
      <w:r>
        <w:t xml:space="preserve">This dissertation is built to be useful regardless of which way the estimate breaks. Three readings of the result are policy-actionable.</w:t>
      </w:r>
    </w:p>
    <w:p>
      <w:pPr>
        <w:pStyle w:val="BodyText"/>
        <w:spacing w:line="480" w:lineRule="auto"/>
        <w:ind w:firstLine="720"/>
      </w:pPr>
      <w:r>
        <w:t xml:space="preserve">Suppose domestication carries a negative and significant coefficient. Then the operative deterrent is national licensing rather than the Convention itself, the federal interlocutors of NASA and JPL are right to invest in domestic enforcement architectures, and cislunar governance should be designed around state-level enforcement rather than around an international claims forum that the data show to be epiphenomenal.</w:t>
      </w:r>
    </w:p>
    <w:p>
      <w:pPr>
        <w:pStyle w:val="BodyText"/>
        <w:spacing w:line="480" w:lineRule="auto"/>
        <w:ind w:firstLine="720"/>
      </w:pPr>
      <w:r>
        <w:t xml:space="preserve">Suppose instead the coefficient is statistically indistinguishable from zero. Then neither the Convention nor its domesticated forms restrains debris-generating behavior at the margin the catalog can observe, and the international community faces a choice: build a compulsory forum that gives the treaty teeth, as the literature on active debris removal under international law has begun to argue</w:t>
      </w:r>
      <w:r>
        <w:t xml:space="preserve"> </w:t>
      </w:r>
      <w:hyperlink w:anchor="ref-27">
        <w:r>
          <w:rPr>
            <w:rStyle w:val="Hyperlink"/>
          </w:rPr>
          <w:t xml:space="preserve">[27]</w:t>
        </w:r>
      </w:hyperlink>
      <w:r>
        <w:t xml:space="preserve">, or lean on the technical mitigation, traffic-management practice, and reputational and insurance channels that have done the actual restraining to date [6, 8, 9]. Environmental governance offers a useful analogy in the Montreal Protocol, which succeeded by binding compliance to a credible enforcement and trade-restriction architecture rather than to a forum that depended on consensual recourse</w:t>
      </w:r>
      <w:r>
        <w:t xml:space="preserve"> </w:t>
      </w:r>
      <w:hyperlink w:anchor="ref-28">
        <w:r>
          <w:rPr>
            <w:rStyle w:val="Hyperlink"/>
          </w:rPr>
          <w:t xml:space="preserve">[28]</w:t>
        </w:r>
      </w:hyperlink>
      <w:r>
        <w:t xml:space="preserve">.</w:t>
      </w:r>
    </w:p>
    <w:p>
      <w:pPr>
        <w:pStyle w:val="BodyText"/>
        <w:spacing w:line="480" w:lineRule="auto"/>
        <w:ind w:firstLine="720"/>
      </w:pPr>
      <w:r>
        <w:t xml:space="preserve">Suppose, finally, the placebo on bare ratification carries a non-null coefficient where the design expects a null. Now the implication is methodological rather than substantive. Such a result indicts the design’s parallel-trends assumption or its identification strategy, and it demands either an alternative comparison structure or an explicit treatment of pre-treatment differential trends. That is no failure of the dissertation. It is a substantive contribution to the cliometric assessment of space-law instruments, which has lacked a published placebo of this kind.</w:t>
      </w:r>
    </w:p>
    <w:p>
      <w:pPr>
        <w:pStyle w:val="BodyText"/>
        <w:spacing w:line="480" w:lineRule="auto"/>
        <w:ind w:firstLine="720"/>
      </w:pPr>
      <w:r>
        <w:t xml:space="preserve">The dissertation thus yields a usable answer in all three states of the world, and the value of the answer holds independent of which state is realized.</w:t>
      </w:r>
    </w:p>
    <w:bookmarkEnd w:id="65"/>
    <w:bookmarkStart w:id="66" w:name="roadmap"/>
    <w:p>
      <w:pPr>
        <w:pStyle w:val="Heading2"/>
        <w:spacing w:line="480" w:lineRule="auto"/>
      </w:pPr>
      <w:r>
        <w:t xml:space="preserve">1.6 Roadmap</w:t>
      </w:r>
    </w:p>
    <w:p>
      <w:pPr>
        <w:pStyle w:val="FirstParagraph"/>
        <w:spacing w:line="480" w:lineRule="auto"/>
      </w:pPr>
      <w:r>
        <w:t xml:space="preserve">What follows is organized this way.</w:t>
      </w:r>
    </w:p>
    <w:p>
      <w:pPr>
        <w:pStyle w:val="BodyText"/>
        <w:spacing w:line="480" w:lineRule="auto"/>
        <w:ind w:firstLine="720"/>
      </w:pPr>
      <w:r>
        <w:rPr>
          <w:b/>
          <w:bCs/>
        </w:rPr>
        <w:t xml:space="preserve">Chapter 2</w:t>
      </w:r>
      <w:r>
        <w:t xml:space="preserve"> </w:t>
      </w:r>
      <w:r>
        <w:t xml:space="preserve">reviews the three literatures that meet at the question. It develops the externality framing of the orbital debris problem in detail, integrating the orbital-economics treatment of carrying capacity [3, 4, 5] with the behavioral evidence from the space-traffic-management corpus on operator response to operational signals [1, 6, 8, 9] and with the risk-landscape characterization of how harm propagates through the orbital, atmospheric, and surface regimes [2, 10]. Where the existing literature answers, and where it falls silent, is made precise there, and the dissertation’s contribution is located at the empirical gap.</w:t>
      </w:r>
    </w:p>
    <w:p>
      <w:pPr>
        <w:pStyle w:val="BodyText"/>
        <w:spacing w:line="480" w:lineRule="auto"/>
        <w:ind w:firstLine="720"/>
      </w:pPr>
      <w:r>
        <w:rPr>
          <w:b/>
          <w:bCs/>
        </w:rPr>
        <w:t xml:space="preserve">Chapter 3</w:t>
      </w:r>
      <w:r>
        <w:t xml:space="preserve"> </w:t>
      </w:r>
      <w:r>
        <w:t xml:space="preserve">builds the theoretical model that turns the deterrence claim into a testable hypothesis. It treats the operator as a cost minimizer who chooses debris-generating behavior against expected enforcement, works out the comparative statics under forum-less and forum-backed liability regimes, and derives the prediction that domestication should shift the cost calculus discontinuously while bare ratification should not. Parsimonious by design, the model states its assumptions explicitly, so the empirical test reads as a test of the model’s bite rather than as a free-standing reduced-form exercise.</w:t>
      </w:r>
    </w:p>
    <w:p>
      <w:pPr>
        <w:pStyle w:val="BodyText"/>
        <w:spacing w:line="480" w:lineRule="auto"/>
        <w:ind w:firstLine="720"/>
      </w:pPr>
      <w:r>
        <w:rPr>
          <w:b/>
          <w:bCs/>
        </w:rPr>
        <w:t xml:space="preserve">Chapter 4</w:t>
      </w:r>
      <w:r>
        <w:t xml:space="preserve"> </w:t>
      </w:r>
      <w:r>
        <w:t xml:space="preserve">presents the data. It documents the launching-state-by-year panel drawn from the United States Space Force public catalog distributed through Space-Track.org, including the international-designator and country-of-registry fields that let objects be attributed to launching states. It sets out the treatment-timing variable built from the United Nations Office for Outer Space Affairs national space law collection, with explicit coding rules for what counts as a domesticating licensing statute. It records the placebo variable from the UNOOSA treaty-status tables and the exposure covariates from the orbital-economics source set [3, 4, 5]. Provenance traceability is a first-order analytic requirement of the design here, not documentation hygiene.</w:t>
      </w:r>
    </w:p>
    <w:p>
      <w:pPr>
        <w:pStyle w:val="BodyText"/>
        <w:spacing w:line="480" w:lineRule="auto"/>
        <w:ind w:firstLine="720"/>
      </w:pPr>
      <w:r>
        <w:rPr>
          <w:b/>
          <w:bCs/>
        </w:rPr>
        <w:t xml:space="preserve">Chapter 5</w:t>
      </w:r>
      <w:r>
        <w:t xml:space="preserve"> </w:t>
      </w:r>
      <w:r>
        <w:t xml:space="preserve">presents the OLS panel of fragmentation events, the dissertation’s first companion paper. It establishes a baseline fact: Convention membership carries no measurable association with the number of fragments an event produces, and deliberate destructions are indistinguishable from accidental ones once physics is controlled for. That finding fixes bare ratification as the null reference against which the domestication estimate must later be read.</w:t>
      </w:r>
    </w:p>
    <w:p>
      <w:pPr>
        <w:pStyle w:val="BodyText"/>
        <w:spacing w:line="480" w:lineRule="auto"/>
        <w:ind w:firstLine="720"/>
      </w:pPr>
      <w:r>
        <w:rPr>
          <w:b/>
          <w:bCs/>
        </w:rPr>
        <w:t xml:space="preserve">Chapter 6</w:t>
      </w:r>
      <w:r>
        <w:t xml:space="preserve"> </w:t>
      </w:r>
      <w:r>
        <w:t xml:space="preserve">presents the Cox proportional-hazards survival analysis, the second companion paper. Its work is to document the substantial but imprecisely estimated hazard ratio on the mitigation-era indicator, the dominant role of the drag control, and the residual orbit-selection concern that motivates the panel design.</w:t>
      </w:r>
    </w:p>
    <w:p>
      <w:pPr>
        <w:pStyle w:val="BodyText"/>
        <w:spacing w:line="480" w:lineRule="auto"/>
        <w:ind w:firstLine="720"/>
      </w:pPr>
      <w:r>
        <w:rPr>
          <w:b/>
          <w:bCs/>
        </w:rPr>
        <w:t xml:space="preserve">Chapter 7</w:t>
      </w:r>
      <w:r>
        <w:t xml:space="preserve"> </w:t>
      </w:r>
      <w:r>
        <w:t xml:space="preserve">presents the principal contribution: the staggered-adoption difference-in-differences estimate of the average treatment effect of domestication, the event-study specification that tests pre-trends and dynamic effects, the heterogeneity-robust estimator that guards against the bias of two-way fixed effects under heterogeneous timing, and the placebo specification on bare ratification. Principal coefficient, confidence interval, dynamic profile, and placebo result appear here, and the chapter states plainly which of the three readings of Section 1.5 the evidence supports.</w:t>
      </w:r>
    </w:p>
    <w:p>
      <w:pPr>
        <w:pStyle w:val="BodyText"/>
        <w:spacing w:line="480" w:lineRule="auto"/>
        <w:ind w:firstLine="720"/>
      </w:pPr>
      <w:r>
        <w:rPr>
          <w:b/>
          <w:bCs/>
        </w:rPr>
        <w:t xml:space="preserve">Chapter 8</w:t>
      </w:r>
      <w:r>
        <w:t xml:space="preserve"> </w:t>
      </w:r>
      <w:r>
        <w:t xml:space="preserve">addresses the threats to validity. Its subjects are measurement and detection drift in the catalog, the attribution of fragmentation debris to the parent object’s registry, the parallel-trends assumption and its event-study diagnostic, the simultaneity concern that domestication may respond to a state’s own debris record, and the spatial-spillover concern that one state’s enforcement may push behavior into a non-enforcing flag of convenience. Every threat is paired with the specific diagnostic the design uses to bound it.</w:t>
      </w:r>
    </w:p>
    <w:p>
      <w:pPr>
        <w:pStyle w:val="BodyText"/>
        <w:spacing w:line="480" w:lineRule="auto"/>
        <w:ind w:firstLine="720"/>
      </w:pPr>
      <w:r>
        <w:rPr>
          <w:b/>
          <w:bCs/>
        </w:rPr>
        <w:t xml:space="preserve">Chapter 9</w:t>
      </w:r>
      <w:r>
        <w:t xml:space="preserve"> </w:t>
      </w:r>
      <w:r>
        <w:t xml:space="preserve">translates the principal estimate into policy implications for NASA and JPL, for the federal interlocutors that depend on their technical assessments, and for the international governance community weighing whether to invest in a compulsory forum, in stronger national enforcement, or in the technical and reputational channels the evidence already documents as load-bearing. Here the empirical estimate meets the architectural decisions that the United States civil space program will make in the next several mission cycles.</w:t>
      </w:r>
    </w:p>
    <w:p>
      <w:pPr>
        <w:pStyle w:val="BodyText"/>
        <w:spacing w:line="480" w:lineRule="auto"/>
        <w:ind w:firstLine="720"/>
      </w:pPr>
      <w:r>
        <w:rPr>
          <w:b/>
          <w:bCs/>
        </w:rPr>
        <w:t xml:space="preserve">Chapter 10</w:t>
      </w:r>
      <w:r>
        <w:t xml:space="preserve"> </w:t>
      </w:r>
      <w:r>
        <w:t xml:space="preserve">concludes. It restates the falsifiable contribution, the estimate, and the policy reading, then names the questions a confirmed or rejected null opens for later research, among them the design of a credible attribution and adjudication architecture for on-orbit damage and the cliometric assessment of treaty effectiveness across the broader corpus of international space law.</w:t>
      </w:r>
    </w:p>
    <w:p>
      <w:pPr>
        <w:pStyle w:val="BodyText"/>
        <w:spacing w:line="480" w:lineRule="auto"/>
        <w:ind w:firstLine="720"/>
      </w:pPr>
      <w:r>
        <w:t xml:space="preserve">Narrowly described, the dissertation is a single identified estimate of a single behavioral parameter. Broadly described, it is a test of whether the international architecture of space law has, in the matter that matters most for the orbital commons, been deterring or pretending to. Two papers precede the principal estimate and establish that the elementary tests cannot resolve that question. The design that follows is built to resolve it, and the remaining chapters execute that design.</w:t>
      </w:r>
    </w:p>
    <w:bookmarkEnd w:id="66"/>
    <w:bookmarkEnd w:id="67"/>
    <w:bookmarkStart w:id="85" w:name="chapter-2.-literature-review"/>
    <w:p>
      <w:pPr>
        <w:pStyle w:val="Heading1"/>
        <w:spacing w:line="480" w:lineRule="auto"/>
      </w:pPr>
      <w:r>
        <w:t xml:space="preserve">Chapter 2. Literature Review</w:t>
      </w:r>
    </w:p>
    <w:bookmarkStart w:id="68" w:name="orientation-and-argument-of-the-chapter"/>
    <w:p>
      <w:pPr>
        <w:pStyle w:val="Heading2"/>
        <w:spacing w:line="480" w:lineRule="auto"/>
      </w:pPr>
      <w:r>
        <w:t xml:space="preserve">2.1 Orientation and Argument of the Chapter</w:t>
      </w:r>
    </w:p>
    <w:p>
      <w:pPr>
        <w:pStyle w:val="FirstParagraph"/>
        <w:spacing w:line="480" w:lineRule="auto"/>
      </w:pPr>
      <w:r>
        <w:t xml:space="preserve">This dissertation sits at an unjoined seam in the scholarship on outer space. On one side stands a mature and fast-maturing technical and economic literature on orbital debris, a body of work that has come to treat the orbital environment as a congestible commons, that has begun to quantify the externalities and the carrying capacity at stake, and that has built an increasingly sophisticated operational vocabulary for collision avoidance, post-mission disposal, and active debris removal. On the other side stands the cliometric and applied-econometric tradition that has, across three decades, refined a set of identification strategies for testing whether legal regimes change measurable behavior, chief among them the staggered difference-in-differences and survival-analytic toolkits this dissertation draws on. These two literatures rarely meet. The technical side treats the 1972 Convention on International Liability for Damage Caused by Space Objects as exogenous background; the methodological side has, with vanishingly few exceptions, declined to treat orbital debris as a behavioral outcome amenable to identified estimation.</w:t>
      </w:r>
    </w:p>
    <w:p>
      <w:pPr>
        <w:pStyle w:val="BodyText"/>
        <w:spacing w:line="480" w:lineRule="auto"/>
        <w:ind w:firstLine="720"/>
      </w:pPr>
      <w:r>
        <w:t xml:space="preserve">I survey each literature in turn below, distill what each has established and what each still owes, and locate the precise inferential gap that the empirical chapters address. My argument is simple enough to state now. The technical literature has supplied the dependent variable and the causal theory; the methodological literature has supplied the estimator; the join has simply not been performed. Two empirical papers already developed within this dissertation, an ordinary least squares panel of fragmentation events and a Cox proportional-hazards model of orbital tenancy, are early instances of that join, and the staggered difference-in-differences design proposed in the prospectus is its principal extension. I close by making the gap explicit and binding it to the falsifiable hypotheses set out in Chapter 1.</w:t>
      </w:r>
    </w:p>
    <w:bookmarkEnd w:id="68"/>
    <w:bookmarkStart w:id="75" w:name="X9e4033bb93b29e3bf6d6912f20b3c7f8b357954"/>
    <w:p>
      <w:pPr>
        <w:pStyle w:val="Heading2"/>
        <w:spacing w:line="480" w:lineRule="auto"/>
      </w:pPr>
      <w:r>
        <w:t xml:space="preserve">2.2 The Technical and Economic Literature on Orbital Debris</w:t>
      </w:r>
    </w:p>
    <w:bookmarkStart w:id="69" w:name="X469c14c5bae8ad2630324b790d210046d73d8e6"/>
    <w:p>
      <w:pPr>
        <w:pStyle w:val="Heading3"/>
        <w:spacing w:line="480" w:lineRule="auto"/>
      </w:pPr>
      <w:r>
        <w:t xml:space="preserve">2.2.1 The Commons Framing and the Carrying-Capacity Turn</w:t>
      </w:r>
    </w:p>
    <w:p>
      <w:pPr>
        <w:pStyle w:val="FirstParagraph"/>
        <w:spacing w:line="480" w:lineRule="auto"/>
      </w:pPr>
      <w:r>
        <w:t xml:space="preserve">Modern orbital-debris scholarship has an intellectual centre of gravity, and it is the framing of low Earth orbit, and increasingly of cislunar space, as a congestible common-pool resource. This framing is not merely metaphorical. The orbital-economics work in the corpus consulted here treats the orbital environment as a resource with a bounded carrying capacity, where each occupied object-year imposes a measurable collision externality on every other user [3, 4, 11, 12]. Stilwell and colleagues, in two closely linked papers, develop the carrying-capacity construct first into a policy variable suitable for international constructs</w:t>
      </w:r>
      <w:r>
        <w:t xml:space="preserve"> </w:t>
      </w:r>
      <w:hyperlink w:anchor="ref-3">
        <w:r>
          <w:rPr>
            <w:rStyle w:val="Hyperlink"/>
          </w:rPr>
          <w:t xml:space="preserve">[3]</w:t>
        </w:r>
      </w:hyperlink>
      <w:r>
        <w:t xml:space="preserve"> </w:t>
      </w:r>
      <w:r>
        <w:t xml:space="preserve">and then into a more granular orbital-classification scheme that distinguishes regimes by their disposal economics and their congestion profile [4, 12]. That classification matters twice over for any deterrence-style empirical exercise. It supplies a coherent dependent-variable space, since debris counts, fragment generation, and orbital tenancy can each be partitioned by orbital regime while the partition stays internally consistent with the construct used to evaluate policy.</w:t>
      </w:r>
    </w:p>
    <w:p>
      <w:pPr>
        <w:pStyle w:val="BodyText"/>
        <w:spacing w:line="480" w:lineRule="auto"/>
        <w:ind w:firstLine="720"/>
      </w:pPr>
      <w:r>
        <w:t xml:space="preserve">And it disciplines the controls that any identified estimate must include, because the binding physical constraints differ sharply across regimes.</w:t>
      </w:r>
    </w:p>
    <w:p>
      <w:pPr>
        <w:pStyle w:val="BodyText"/>
        <w:spacing w:line="480" w:lineRule="auto"/>
        <w:ind w:firstLine="720"/>
      </w:pPr>
      <w:r>
        <w:t xml:space="preserve">Alongside this work sits Weinzierl’s broader framing of space as an economic frontier, a baseline reminder that the debris problem is, at root, a problem of property rules and externality pricing in an environment where neither has been satisfactorily constructed [5, 19]. What that framing offers here is less any specific empirical claim than a way of positioning the liability regime, as one of a small number of candidate institutional mechanisms by which the externality could in principle be internalized. Stilwell’s carrying-capacity work and Weinzierl’s frontier framing converge on one point: the orbital commons is governed by an institutional architecture that has not yet shown it can price the externality at issue. Out of that synthesis falls the dissertation’s central empirical question, whether the 1972 Convention does any of the pricing at all.</w:t>
      </w:r>
    </w:p>
    <w:p>
      <w:pPr>
        <w:pStyle w:val="BodyText"/>
        <w:spacing w:line="480" w:lineRule="auto"/>
        <w:ind w:firstLine="720"/>
      </w:pPr>
      <w:r>
        <w:t xml:space="preserve">Two further pieces refine the commons framing in ways that bear on identification. Architectural and socio-technological work catalogued as SD03 in the Space Economy Papers corpus argues that norms of space use are not exogenous to the technological architectures operators choose but coevolve with them</w:t>
      </w:r>
      <w:r>
        <w:t xml:space="preserve"> </w:t>
      </w:r>
      <w:hyperlink w:anchor="ref-7">
        <w:r>
          <w:rPr>
            <w:rStyle w:val="Hyperlink"/>
          </w:rPr>
          <w:t xml:space="preserve">[7]</w:t>
        </w:r>
      </w:hyperlink>
      <w:r>
        <w:t xml:space="preserve">. That warns the empirical analyst of something specific: a regime indicator may pick up not only the legal rule but also the cohort of operators whose architectures are co-determined with that rule. Dailey, Stilwell, and colleagues make the same point through a different lens in their fisheries-Kobe-plot adaptation</w:t>
      </w:r>
      <w:r>
        <w:t xml:space="preserve"> </w:t>
      </w:r>
      <w:hyperlink w:anchor="ref-13">
        <w:r>
          <w:rPr>
            <w:rStyle w:val="Hyperlink"/>
          </w:rPr>
          <w:t xml:space="preserve">[13]</w:t>
        </w:r>
      </w:hyperlink>
      <w:r>
        <w:t xml:space="preserve">. Mapping debris generation onto the fisheries-mortality-versus-stock diagram, that paper supplies an analytic vocabulary in which the deterrent effect of a liability rule has a precise location in the management plane, while making equally clear that the location is unidentified absent variation in the rule that is exogenous to operator choice.</w:t>
      </w:r>
    </w:p>
    <w:p>
      <w:pPr>
        <w:pStyle w:val="BodyText"/>
        <w:spacing w:line="480" w:lineRule="auto"/>
        <w:ind w:firstLine="720"/>
      </w:pPr>
      <w:r>
        <w:t xml:space="preserve">The burden this places on any deterrence test runs high. Variation in the legal treatment must be argued to be at least conditionally exogenous to the operators and orbital regimes whose behavior is being measured.</w:t>
      </w:r>
    </w:p>
    <w:bookmarkEnd w:id="69"/>
    <w:bookmarkStart w:id="70" w:name="X266d80f268062e4a6e7bd2f9f606ca6fc4afd7b"/>
    <w:p>
      <w:pPr>
        <w:pStyle w:val="Heading3"/>
        <w:spacing w:line="480" w:lineRule="auto"/>
      </w:pPr>
      <w:r>
        <w:t xml:space="preserve">2.2.2 Operational Behavior: Conjunction Assessment, Maneuvering, and Compliance</w:t>
      </w:r>
    </w:p>
    <w:p>
      <w:pPr>
        <w:pStyle w:val="FirstParagraph"/>
        <w:spacing w:line="480" w:lineRule="auto"/>
      </w:pPr>
      <w:r>
        <w:t xml:space="preserve">A second strand of the technical literature asks what operators actually do in response to collision risk and to the rules that surround it. Newman and Mashiku’s synthesis of conjunction-assessment best practices represents the operational state of the art at a leading civil space agency, and it documents that operator behavior is responsive to threshold-driven risk metrics, to coordination structures, and to the accuracy of the underlying surveillance data</w:t>
      </w:r>
      <w:r>
        <w:t xml:space="preserve"> </w:t>
      </w:r>
      <w:hyperlink w:anchor="ref-1">
        <w:r>
          <w:rPr>
            <w:rStyle w:val="Hyperlink"/>
          </w:rPr>
          <w:t xml:space="preserve">[1]</w:t>
        </w:r>
      </w:hyperlink>
      <w:r>
        <w:t xml:space="preserve">. Operators maneuver when probability of collision crosses an institutionally defined threshold; they decline when the cost of doing so exceeds an institutionally defined tolerance for risk. Borowitz, Gunter, and colleagues make the point quantitative. Their 2024 study models compliance with maneuvering guidelines and the resulting consequences for the space-traffic-management system</w:t>
      </w:r>
      <w:r>
        <w:t xml:space="preserve"> </w:t>
      </w:r>
      <w:hyperlink w:anchor="ref-6">
        <w:r>
          <w:rPr>
            <w:rStyle w:val="Hyperlink"/>
          </w:rPr>
          <w:t xml:space="preserve">[6]</w:t>
        </w:r>
      </w:hyperlink>
      <w:r>
        <w:t xml:space="preserve">, while their 2021 study examines guidelines for potential collision maneuvers and what broader adoption would imply for the future debris environment</w:t>
      </w:r>
      <w:r>
        <w:t xml:space="preserve"> </w:t>
      </w:r>
      <w:hyperlink w:anchor="ref-8">
        <w:r>
          <w:rPr>
            <w:rStyle w:val="Hyperlink"/>
          </w:rPr>
          <w:t xml:space="preserve">[8]</w:t>
        </w:r>
      </w:hyperlink>
      <w:r>
        <w:t xml:space="preserve">. Alfano, Oltrogge, and Arona then bound the inferential question from below, clarifying the positional and dimensional accuracy on which any sustainable rule-based behavior must rest</w:t>
      </w:r>
      <w:r>
        <w:t xml:space="preserve"> </w:t>
      </w:r>
      <w:hyperlink w:anchor="ref-9">
        <w:r>
          <w:rPr>
            <w:rStyle w:val="Hyperlink"/>
          </w:rPr>
          <w:t xml:space="preserve">[9]</w:t>
        </w:r>
      </w:hyperlink>
      <w:r>
        <w:t xml:space="preserve">.</w:t>
      </w:r>
    </w:p>
    <w:p>
      <w:pPr>
        <w:pStyle w:val="BodyText"/>
        <w:spacing w:line="480" w:lineRule="auto"/>
        <w:ind w:firstLine="720"/>
      </w:pPr>
      <w:r>
        <w:t xml:space="preserve">Two implications for the present design follow. Operator behavior is plainly elastic to costs and to coordination architectures, which opens a behavioral channel through which a liability rule could in principle act if it were a binding cost. And the operational literature has pinned down which behaviors are most responsive, maneuver frequency, conjunction thresholds, post-mission disposal practice, and which are most rigid, orbit selection at the architectural level. A test for liability deterrence must therefore land on outcomes that are at least in principle elastic. Debris generation per fragmentation event, debris counts per launching state, and orbital tenancy all sit on that elastic margin; orbit selection sits largely on the rigid one. So the dissertation defines its outcomes on the elastic margin.</w:t>
      </w:r>
    </w:p>
    <w:p>
      <w:pPr>
        <w:pStyle w:val="BodyText"/>
        <w:spacing w:line="480" w:lineRule="auto"/>
        <w:ind w:firstLine="720"/>
      </w:pPr>
      <w:r>
        <w:t xml:space="preserve">A complementary strand drives home that operational compliance, not legal exhortation, is what carries observable behavioral content. McKnight and Maclay frame space-environment management as a common-sense exercise in controlling residual orbital-debris risk through technically grounded mitigation choices</w:t>
      </w:r>
      <w:r>
        <w:t xml:space="preserve"> </w:t>
      </w:r>
      <w:hyperlink w:anchor="ref-20">
        <w:r>
          <w:rPr>
            <w:rStyle w:val="Hyperlink"/>
          </w:rPr>
          <w:t xml:space="preserve">[20]</w:t>
        </w:r>
      </w:hyperlink>
      <w:r>
        <w:t xml:space="preserve">, and Verspieren documents Air Force compliance with the United States Orbital Debris Mitigation Standard Practices in detail</w:t>
      </w:r>
      <w:r>
        <w:t xml:space="preserve"> </w:t>
      </w:r>
      <w:hyperlink w:anchor="ref-21">
        <w:r>
          <w:rPr>
            <w:rStyle w:val="Hyperlink"/>
          </w:rPr>
          <w:t xml:space="preserve">[21]</w:t>
        </w:r>
      </w:hyperlink>
      <w:r>
        <w:t xml:space="preserve">. Between them they establish that compliance with mitigation is partial, that it varies by operator and over time, and that the binding constraints are operational and economic rather than diplomatic. Tuttle, McKnight, and Maclay then carry the compliance picture into the active-debris-removal architecture, refining target-selection logic for removal missions against a residual catalog the mitigation regime has manifestly not cleared</w:t>
      </w:r>
      <w:r>
        <w:t xml:space="preserve"> </w:t>
      </w:r>
      <w:hyperlink w:anchor="ref-29">
        <w:r>
          <w:rPr>
            <w:rStyle w:val="Hyperlink"/>
          </w:rPr>
          <w:t xml:space="preserve">[29]</w:t>
        </w:r>
      </w:hyperlink>
      <w:r>
        <w:t xml:space="preserve">. Tarantino’s account of the Air Force’s internal handling of the active-debris-removal question rounds this out, a useful institutional artifact showing how the operational community has framed the problem from inside</w:t>
      </w:r>
      <w:r>
        <w:t xml:space="preserve"> </w:t>
      </w:r>
      <w:hyperlink w:anchor="ref-30">
        <w:r>
          <w:rPr>
            <w:rStyle w:val="Hyperlink"/>
          </w:rPr>
          <w:t xml:space="preserve">[30]</w:t>
        </w:r>
      </w:hyperlink>
      <w:r>
        <w:t xml:space="preserve">.</w:t>
      </w:r>
    </w:p>
    <w:bookmarkEnd w:id="70"/>
    <w:bookmarkStart w:id="71" w:name="Xd0bc62320f5053803a14e0f84587f9fa25a95f9"/>
    <w:p>
      <w:pPr>
        <w:pStyle w:val="Heading3"/>
        <w:spacing w:line="480" w:lineRule="auto"/>
      </w:pPr>
      <w:r>
        <w:t xml:space="preserve">2.2.3 Reentry, Aviation Safety, and the Risk Landscape</w:t>
      </w:r>
    </w:p>
    <w:p>
      <w:pPr>
        <w:pStyle w:val="FirstParagraph"/>
        <w:spacing w:line="480" w:lineRule="auto"/>
      </w:pPr>
      <w:r>
        <w:t xml:space="preserve">A third strand treats orbital debris not as a closed system but as one that intersects with terrestrial risk through uncontrolled reentry. Canonical here is Hook, Wright, Byers, and Boley’s analysis of uncontrolled reentries and aviation safety [2, 35]. Their estimates of the probabilistic burden that uncontrolled reentries place on aircraft and on populated areas are the most disciplined attempt in the recent corpus to quantify the terrestrial component of the harm the 1972 Convention’s absolute-liability provision was designed to address. The paper earns its place here twice over. It identifies a non-trivial probability of harm that would in principle trigger absolute liability under the Convention, which makes the dormancy of the claims process empirically salient rather than merely doctrinal.</w:t>
      </w:r>
    </w:p>
    <w:p>
      <w:pPr>
        <w:pStyle w:val="BodyText"/>
        <w:spacing w:line="480" w:lineRule="auto"/>
        <w:ind w:firstLine="720"/>
      </w:pPr>
      <w:r>
        <w:t xml:space="preserve">And it documents that the operator-level behavior most directly relevant to reentry risk, controlled deorbit versus uncontrolled reentry of upper stages, varies sharply across operators and has not been brought into line by the existing liability instrument.</w:t>
      </w:r>
    </w:p>
    <w:p>
      <w:pPr>
        <w:pStyle w:val="BodyText"/>
        <w:spacing w:line="480" w:lineRule="auto"/>
        <w:ind w:firstLine="720"/>
      </w:pPr>
      <w:r>
        <w:t xml:space="preserve">Trucco, Paravano, and Locatelli frame the risk landscape under the contemporary space-economy boom, and their work supplies the broader integrative picture [10, 37]. They argue that the dynamics of risk shift as the economy scales, and they separate risks the existing institutional architecture is plausibly equipped to handle from risks it is not. Their treatment underwrites a key premise here: the deterrence question is not a static doctrinal exercise but a dynamic empirical one, the institutional architecture tested against a moving target. Colombo and colleagues on space-capacity management [16, 38] and Muciaccia and colleagues on environmental impact</w:t>
      </w:r>
      <w:r>
        <w:t xml:space="preserve"> </w:t>
      </w:r>
      <w:hyperlink w:anchor="ref-17">
        <w:r>
          <w:rPr>
            <w:rStyle w:val="Hyperlink"/>
          </w:rPr>
          <w:t xml:space="preserve">[17]</w:t>
        </w:r>
      </w:hyperlink>
      <w:r>
        <w:t xml:space="preserve"> </w:t>
      </w:r>
      <w:r>
        <w:t xml:space="preserve">complete the picture, the former joining capacity management to traffic management as overlapping operational disciplines, the latter formalizing how missions accumulate environmental impact across their life cycle. Muciaccia’s analysis earns its place because it shows explicitly that adherence to disposal strategies, rather than launch counts themselves, is the largest single contributor to long-run sustainability of the orbital environment.</w:t>
      </w:r>
    </w:p>
    <w:p>
      <w:pPr>
        <w:pStyle w:val="BodyText"/>
        <w:spacing w:line="480" w:lineRule="auto"/>
        <w:ind w:firstLine="720"/>
      </w:pPr>
      <w:r>
        <w:t xml:space="preserve">That result frames the survival analysis in the companion paper. If disposal practice is the most consequential margin, orbital tenancy is the natural survival outcome on which to test the behavioral content of a domesticated liability rule.</w:t>
      </w:r>
    </w:p>
    <w:bookmarkEnd w:id="71"/>
    <w:bookmarkStart w:id="72" w:name="X7530385dfd8569a0601aa2571e198005d03b447"/>
    <w:p>
      <w:pPr>
        <w:pStyle w:val="Heading3"/>
        <w:spacing w:line="480" w:lineRule="auto"/>
      </w:pPr>
      <w:r>
        <w:t xml:space="preserve">2.2.4 Physics, Detection, and the Measurement Apparatus</w:t>
      </w:r>
    </w:p>
    <w:p>
      <w:pPr>
        <w:pStyle w:val="FirstParagraph"/>
        <w:spacing w:line="480" w:lineRule="auto"/>
      </w:pPr>
      <w:r>
        <w:t xml:space="preserve">A fourth strand carries less direct theoretical weight yet constrains every empirical exercise in this area. Niccolai and Mengali’s decay-time work</w:t>
      </w:r>
      <w:r>
        <w:t xml:space="preserve"> </w:t>
      </w:r>
      <w:hyperlink w:anchor="ref-22">
        <w:r>
          <w:rPr>
            <w:rStyle w:val="Hyperlink"/>
          </w:rPr>
          <w:t xml:space="preserve">[22]</w:t>
        </w:r>
      </w:hyperlink>
      <w:r>
        <w:t xml:space="preserve"> </w:t>
      </w:r>
      <w:r>
        <w:t xml:space="preserve">supplies the physical baseline against which any behavioral signal must be distinguished: low-perigee objects decay quickly under atmospheric drag, and any survival-analytic exercise that fails to control for the drag regime risks attributing physics to policy. Reinforcing the point that the engineering substrate underlying any catalog entry is itself a moving methodological target are the thermal-correlation work of Garmendia and Anglada</w:t>
      </w:r>
      <w:r>
        <w:t xml:space="preserve"> </w:t>
      </w:r>
      <w:hyperlink w:anchor="ref-31">
        <w:r>
          <w:rPr>
            <w:rStyle w:val="Hyperlink"/>
          </w:rPr>
          <w:t xml:space="preserve">[31]</w:t>
        </w:r>
      </w:hyperlink>
      <w:r>
        <w:t xml:space="preserve"> </w:t>
      </w:r>
      <w:r>
        <w:t xml:space="preserve">and the pose-estimation work of Khalil, Wang, and Aouf</w:t>
      </w:r>
      <w:r>
        <w:t xml:space="preserve"> </w:t>
      </w:r>
      <w:hyperlink w:anchor="ref-36">
        <w:r>
          <w:rPr>
            <w:rStyle w:val="Hyperlink"/>
          </w:rPr>
          <w:t xml:space="preserve">[36]</w:t>
        </w:r>
      </w:hyperlink>
      <w:r>
        <w:t xml:space="preserve">, both of which anticipate a successor regime of in-space servicing. Varela and colleagues on streak detection</w:t>
      </w:r>
      <w:r>
        <w:t xml:space="preserve"> </w:t>
      </w:r>
      <w:hyperlink w:anchor="ref-23">
        <w:r>
          <w:rPr>
            <w:rStyle w:val="Hyperlink"/>
          </w:rPr>
          <w:t xml:space="preserve">[23]</w:t>
        </w:r>
      </w:hyperlink>
      <w:r>
        <w:t xml:space="preserve"> </w:t>
      </w:r>
      <w:r>
        <w:t xml:space="preserve">and Phelps and colleagues on spectral orientation</w:t>
      </w:r>
      <w:r>
        <w:t xml:space="preserve"> </w:t>
      </w:r>
      <w:hyperlink w:anchor="ref-25">
        <w:r>
          <w:rPr>
            <w:rStyle w:val="Hyperlink"/>
          </w:rPr>
          <w:t xml:space="preserve">[25]</w:t>
        </w:r>
      </w:hyperlink>
      <w:r>
        <w:t xml:space="preserve"> </w:t>
      </w:r>
      <w:r>
        <w:t xml:space="preserve">illustrate something further, that the sensitivity of the surveillance apparatus has changed materially over the very panel periods any cliometric exercise must use. Ghilardi, Furfaro, and Reddy carry the same machine-learning approach into cislunar object detection</w:t>
      </w:r>
      <w:r>
        <w:t xml:space="preserve"> </w:t>
      </w:r>
      <w:hyperlink w:anchor="ref-26">
        <w:r>
          <w:rPr>
            <w:rStyle w:val="Hyperlink"/>
          </w:rPr>
          <w:t xml:space="preserve">[26]</w:t>
        </w:r>
      </w:hyperlink>
      <w:r>
        <w:t xml:space="preserve">, widening the catalog beyond the regimes for which the older surveillance assumptions hold. Add these up and the implication is stark. The catalog is not a stable instrument over time; some part of any apparent secular trend in debris counts is detection improvement rather than operator behavior; and year fixed effects are necessary but not by themselves sufficient against that drift.</w:t>
      </w:r>
    </w:p>
    <w:bookmarkEnd w:id="72"/>
    <w:bookmarkStart w:id="73" w:name="Xe82bbcd522a72d877f461a1659e5bba80c6451b"/>
    <w:p>
      <w:pPr>
        <w:pStyle w:val="Heading3"/>
        <w:spacing w:line="480" w:lineRule="auto"/>
      </w:pPr>
      <w:r>
        <w:t xml:space="preserve">2.2.5 The Legal and Governance Side of the Technical Literature</w:t>
      </w:r>
    </w:p>
    <w:p>
      <w:pPr>
        <w:pStyle w:val="FirstParagraph"/>
        <w:spacing w:line="480" w:lineRule="auto"/>
      </w:pPr>
      <w:r>
        <w:t xml:space="preserve">A small number of pieces speak directly to the legal architecture in which the technical questions sit. Steele’s analysis of whether international law provides a basis for actively removing space debris</w:t>
      </w:r>
      <w:r>
        <w:t xml:space="preserve"> </w:t>
      </w:r>
      <w:hyperlink w:anchor="ref-27">
        <w:r>
          <w:rPr>
            <w:rStyle w:val="Hyperlink"/>
          </w:rPr>
          <w:t xml:space="preserve">[27]</w:t>
        </w:r>
      </w:hyperlink>
      <w:r>
        <w:t xml:space="preserve"> </w:t>
      </w:r>
      <w:r>
        <w:t xml:space="preserve">is a careful doctrinal treatment that arrives at a substantially negative conclusion: the existing international architecture, including the 1972 Convention, does not by itself provide a workable basis for active removal of third-party debris. Doctrinal as the argument is, its implication is empirical. Whatever behavioral response we observe in the data must be sought at the level of national domestication of the international instrument, or at the level of operational compliance regimes, and not in the international instrument standing alone. Zhang and Balakrishnan reach a complementary conclusion by analogy, comparing orbital debris to ozone depletion</w:t>
      </w:r>
      <w:r>
        <w:t xml:space="preserve"> </w:t>
      </w:r>
      <w:hyperlink w:anchor="ref-28">
        <w:r>
          <w:rPr>
            <w:rStyle w:val="Hyperlink"/>
          </w:rPr>
          <w:t xml:space="preserve">[28]</w:t>
        </w:r>
      </w:hyperlink>
      <w:r>
        <w:t xml:space="preserve">. In the ozone case their treatment of the Montreal Protocol identifies two operative variables, the binding domestic adoption of the international instrument and the enforceability of that adoption against firms.</w:t>
      </w:r>
    </w:p>
    <w:p>
      <w:pPr>
        <w:pStyle w:val="BodyText"/>
        <w:spacing w:line="480" w:lineRule="auto"/>
        <w:ind w:firstLine="720"/>
      </w:pPr>
      <w:r>
        <w:t xml:space="preserve">Their analogy lands squarely on the dissertation’s identification strategy: the proper unit of treatment for an empirical deterrence test is not international ratification but the national-licensing event that makes the international obligation enforceable against operators.</w:t>
      </w:r>
    </w:p>
    <w:p>
      <w:pPr>
        <w:pStyle w:val="BodyText"/>
        <w:spacing w:line="480" w:lineRule="auto"/>
        <w:ind w:firstLine="720"/>
      </w:pPr>
      <w:r>
        <w:t xml:space="preserve">Bongers and Torres enter at a different angle, with a defense-economics treatment of anti-satellite weapons and orbital debris</w:t>
      </w:r>
      <w:r>
        <w:t xml:space="preserve"> </w:t>
      </w:r>
      <w:hyperlink w:anchor="ref-14">
        <w:r>
          <w:rPr>
            <w:rStyle w:val="Hyperlink"/>
          </w:rPr>
          <w:t xml:space="preserve">[14]</w:t>
        </w:r>
      </w:hyperlink>
      <w:r>
        <w:t xml:space="preserve">. They model anti-satellite debris generation as a deliberate, strategically chosen externality, distinct from the accidental fragmentation that dominates the catalog. That matters substantively, because it gives the empirical chapters a theoretical basis for separating deliberate from accidental events in the fragmentation regression, and methodologically, because it warns that a regime indicator may fail to deter precisely those events whose generating mechanism is strategic rather than incidental. Cirkovic and Wood embed the same problem in a broader sustainability literature through their planetary-boundaries framework</w:t>
      </w:r>
      <w:r>
        <w:t xml:space="preserve"> </w:t>
      </w:r>
      <w:hyperlink w:anchor="ref-32">
        <w:r>
          <w:rPr>
            <w:rStyle w:val="Hyperlink"/>
          </w:rPr>
          <w:t xml:space="preserve">[32]</w:t>
        </w:r>
      </w:hyperlink>
      <w:r>
        <w:t xml:space="preserve">, supplying the longest-horizon framing against which deterrence-style estimates can be calibrated. Long and Chen on laser utilization in outer space</w:t>
      </w:r>
      <w:r>
        <w:t xml:space="preserve"> </w:t>
      </w:r>
      <w:hyperlink w:anchor="ref-33">
        <w:r>
          <w:rPr>
            <w:rStyle w:val="Hyperlink"/>
          </w:rPr>
          <w:t xml:space="preserve">[33]</w:t>
        </w:r>
      </w:hyperlink>
      <w:r>
        <w:t xml:space="preserve"> </w:t>
      </w:r>
      <w:r>
        <w:t xml:space="preserve">and Graham, Thangavel, and Martin on legal liability for artificial intelligence in space</w:t>
      </w:r>
      <w:r>
        <w:t xml:space="preserve"> </w:t>
      </w:r>
      <w:hyperlink w:anchor="ref-34">
        <w:r>
          <w:rPr>
            <w:rStyle w:val="Hyperlink"/>
          </w:rPr>
          <w:t xml:space="preserve">[34]</w:t>
        </w:r>
      </w:hyperlink>
      <w:r>
        <w:t xml:space="preserve"> </w:t>
      </w:r>
      <w:r>
        <w:t xml:space="preserve">then place the existing liability architecture against the next generation of operational technologies it has not yet been adapted to govern. Each piece points the same way. The 1972 Convention is increasingly asked to do work it was not designed to do, and whether it does any of that work, even in its original ambit, has never been answered with anything close to the analytic discipline the rest of the technical literature applies to its own questions.</w:t>
      </w:r>
    </w:p>
    <w:bookmarkEnd w:id="73"/>
    <w:bookmarkStart w:id="74" w:name="X968c5a25b5cec0b0c781f9cfef92442c25d990c"/>
    <w:p>
      <w:pPr>
        <w:pStyle w:val="Heading3"/>
        <w:spacing w:line="480" w:lineRule="auto"/>
      </w:pPr>
      <w:r>
        <w:t xml:space="preserve">2.2.6 What the Technical and Economic Literature Has Established and What It Owes</w:t>
      </w:r>
    </w:p>
    <w:p>
      <w:pPr>
        <w:pStyle w:val="FirstParagraph"/>
        <w:spacing w:line="480" w:lineRule="auto"/>
      </w:pPr>
      <w:r>
        <w:t xml:space="preserve">Read as a whole, the technical and economic literature has established a coherent set of facts. The orbital environment is a congestible commons with a measurable carrying capacity [3, 4, 11, 12, 19]. Debris is a negative externality whose generating mechanism is partly accidental and partly strategic [14, 35, 38]. Operator behavior on the relevant margins, conjunction-driven maneuvers, post-mission disposal, active-removal target selection, is empirically responsive to costs and to coordination structures [1, 6, 8, 9, 29]. Compliance with mitigation guidelines is partial and operator-specific, its binding constraints operational and economic rather than diplomatic [20, 21]. The terrestrial-risk channel the 1972 Convention’s absolute-liability provision was designed to address is non-trivial and is not being suppressed by the existing instrument [2, 35, 37]. The catalog is no time-invariant instrument, so any panel exercise must absorb detection drift through fixed effects and through sensitivity restrictions on object size [23, 25, 26]. And the international legal architecture is doctrinally insufficient to support behaviorally consequential debris management without national domestication [27, 28].</w:t>
      </w:r>
    </w:p>
    <w:p>
      <w:pPr>
        <w:pStyle w:val="BodyText"/>
        <w:spacing w:line="480" w:lineRule="auto"/>
        <w:ind w:firstLine="720"/>
      </w:pPr>
      <w:r>
        <w:t xml:space="preserve">What this literature owes, by its own internal logic, is an identified estimate of the behavioral effect of the legal instrument it has so thoroughly characterized. It has the dependent variable, the causal theory, the relevant controls, the institutional analogues, and the operational margins on which a behavioral signal would be detectable. What it lacks is a single piece of work in the consulted corpus bringing the difference-in-differences toolkit, or any comparable identification strategy, to bear on whether the 1972 Convention does any of the deterrence work economic theory predicts a liability rule should do. That gap is the dissertation’s home.</w:t>
      </w:r>
    </w:p>
    <w:bookmarkEnd w:id="74"/>
    <w:bookmarkEnd w:id="75"/>
    <w:bookmarkStart w:id="81" w:name="Xfeb8106b3a70af15b9dbeb0c31e935a77e548b1"/>
    <w:p>
      <w:pPr>
        <w:pStyle w:val="Heading2"/>
        <w:spacing w:line="480" w:lineRule="auto"/>
      </w:pPr>
      <w:r>
        <w:t xml:space="preserve">2.3 The Cliometric and Applied-Econometric Literature on Legal-Regime Effects</w:t>
      </w:r>
    </w:p>
    <w:p>
      <w:pPr>
        <w:pStyle w:val="FirstParagraph"/>
        <w:spacing w:line="480" w:lineRule="auto"/>
      </w:pPr>
      <w:r>
        <w:t xml:space="preserve">The second literature this chapter must survey is the cliometric and applied-econometric tradition that has, across three decades, refined the toolkit on which the present work rests. Given the design adopted here, its relevant subset comprises four overlapping bodies of work. One develops the modern staggered difference-in-differences estimator and its heterogeneity-robust variants. One extends survival analysis to legal-regime treatments. One treats catalog-style administrative records as panel data with measurable detection drift. And one treats environmental treaties as natural experiments amenable to behavioral testing. The corpus this dissertation cites from does not include the foundational methodological references in their original form, and the pool restricts citation to the consolidated reference list set out for this candidate. So the chapter engages the methodological literature through the pool pieces that themselves draw on, or methodologically parallel, that broader tradition, and synthesizes the relevant principles at the appropriate level of doctrinal abstraction.</w:t>
      </w:r>
    </w:p>
    <w:bookmarkStart w:id="76" w:name="Xb7e0db107c5e764b27b7c5354b17f6f94d8ac8d"/>
    <w:p>
      <w:pPr>
        <w:pStyle w:val="Heading3"/>
        <w:spacing w:line="480" w:lineRule="auto"/>
      </w:pPr>
      <w:r>
        <w:t xml:space="preserve">2.3.1 Staggered Difference-in-Differences and Its Disciplines</w:t>
      </w:r>
    </w:p>
    <w:p>
      <w:pPr>
        <w:pStyle w:val="FirstParagraph"/>
        <w:spacing w:line="480" w:lineRule="auto"/>
      </w:pPr>
      <w:r>
        <w:t xml:space="preserve">Difference-in-differences is the natural workhorse for any question in which a legal regime enters into force at different times in different jurisdictions and in which the analyst can credibly invoke a parallel-trends assumption for the outcome absent treatment. Analysts have long used it to estimate the behavioral effect of environmental regulation on emissions, of labor-law changes on employment, and of trade-agreement entries on flows. Recent econometric work has imposed well-known lessons on the basic two-way-fixed-effects implementation, and those lessons bind the present design. Under heterogeneous treatment effects and staggered timing, the canonical two-way-fixed-effects estimator can be biased, because already-treated units serve as comparison units for newly-treated ones and the implicit weights can turn negative. So the identification strategy set out in Chapter 1 and elaborated in the prospectus adopts a heterogeneity-robust estimator, a stacked or cohort-time aggregation, and reports an event-study specification to inspect pre-trends and dynamic effects. A placebo on bare ratification, contrasted with domestication, supplies the second discipline.</w:t>
      </w:r>
    </w:p>
    <w:p>
      <w:pPr>
        <w:pStyle w:val="BodyText"/>
        <w:spacing w:line="480" w:lineRule="auto"/>
        <w:ind w:firstLine="720"/>
      </w:pPr>
      <w:r>
        <w:t xml:space="preserve">Three principles carry over from this tradition into the dissertation. First, the unit of treatment must be defined at the level where behavior is plausibly elastic to the rule. Bare international ratification fails that test when there is no compulsory forum and no domestic conduit to operators, an analytic point Steele</w:t>
      </w:r>
      <w:r>
        <w:t xml:space="preserve"> </w:t>
      </w:r>
      <w:hyperlink w:anchor="ref-27">
        <w:r>
          <w:rPr>
            <w:rStyle w:val="Hyperlink"/>
          </w:rPr>
          <w:t xml:space="preserve">[27]</w:t>
        </w:r>
      </w:hyperlink>
      <w:r>
        <w:t xml:space="preserve"> </w:t>
      </w:r>
      <w:r>
        <w:t xml:space="preserve">establishes doctrinally and Zhang and Balakrishnan</w:t>
      </w:r>
      <w:r>
        <w:t xml:space="preserve"> </w:t>
      </w:r>
      <w:hyperlink w:anchor="ref-28">
        <w:r>
          <w:rPr>
            <w:rStyle w:val="Hyperlink"/>
          </w:rPr>
          <w:t xml:space="preserve">[28]</w:t>
        </w:r>
      </w:hyperlink>
      <w:r>
        <w:t xml:space="preserve"> </w:t>
      </w:r>
      <w:r>
        <w:t xml:space="preserve">establish through the ozone analogy. Domestication into national licensing passes it, because the licensing event is what converts the international obligation into an enforceable operator-level constraint. Second, the comparison group must be defensible. Staggered domestication provides a within-state, over-time comparison whose validity rests on parallel trends in debris generation absent domestication, and the event-study leads test that directly. Third, the design must include a falsification the theory predicts should come back null. Bare ratification is that falsification. Ratification absent enforcement should not bend behavior under the dissertation’s deterrence theory, so a non-null finding at that margin would indict the design.</w:t>
      </w:r>
    </w:p>
    <w:bookmarkEnd w:id="76"/>
    <w:bookmarkStart w:id="77" w:name="Xae81c34b3dcec98f612f59b1c54bf50543301ef"/>
    <w:p>
      <w:pPr>
        <w:pStyle w:val="Heading3"/>
        <w:spacing w:line="480" w:lineRule="auto"/>
      </w:pPr>
      <w:r>
        <w:t xml:space="preserve">2.3.2 Survival Analysis of Regime-Treated Durations</w:t>
      </w:r>
    </w:p>
    <w:p>
      <w:pPr>
        <w:pStyle w:val="FirstParagraph"/>
        <w:spacing w:line="480" w:lineRule="auto"/>
      </w:pPr>
      <w:r>
        <w:t xml:space="preserve">A second methodological strand bears on the companion survival paper. Cox proportional-hazards estimation is the canonical strategy when the outcome is the duration until an event, here orbital decay or deorbit, and the analyst wants to characterize the multiplicative shift in the hazard rate a treatment indicator induces while leaving the baseline hazard unspecified. The specification carries well-known disciplines: the baseline must be plausibly common after controls, the proportionality assumption must be defended against the alternative of time-varying effects, and right-censoring must be informative only conditional on the controls. The companion paper operationalizes each in the way the cliometric tradition recommends. The mitigation-era indicator stands in for domesticated mitigation obligations; the drag-regime indicator absorbs the atmospheric channel that has nothing to do with policy</w:t>
      </w:r>
      <w:r>
        <w:t xml:space="preserve"> </w:t>
      </w:r>
      <w:hyperlink w:anchor="ref-22">
        <w:r>
          <w:rPr>
            <w:rStyle w:val="Hyperlink"/>
          </w:rPr>
          <w:t xml:space="preserve">[22]</w:t>
        </w:r>
      </w:hyperlink>
      <w:r>
        <w:t xml:space="preserve">; the large-body indicator separates the mass channel from the era channel; and right-censoring at the catalog snapshot date is handled by the estimator rather than by discarding long-lived objects.</w:t>
      </w:r>
    </w:p>
    <w:p>
      <w:pPr>
        <w:pStyle w:val="BodyText"/>
        <w:spacing w:line="480" w:lineRule="auto"/>
        <w:ind w:firstLine="720"/>
      </w:pPr>
      <w:r>
        <w:t xml:space="preserve">This strand carries a further design implication. Where the policy treatment shifts the entry mix of treated units, here placing mitigation-era objects disproportionately in self-cleaning orbits, the policy effect and the orbit-selection effect can be confounded, and a within-event survival estimator cannot fully resolve it. The proper response, which the companion paper concedes and the broader cliometric literature directs, is to bound the parameter from a second direction: estimate, in a launching-state panel, whether the same treatment changes the rate at which debris enters the catalog in the first place. That is exactly what the prospectus design does [3, 4, 5]. The two papers together bound the parameter from the entry side and the removal side, and the dissertation’s central contribution is to perform that join with the identification rigor the methodological tradition demands.</w:t>
      </w:r>
    </w:p>
    <w:bookmarkEnd w:id="77"/>
    <w:bookmarkStart w:id="78" w:name="X2a1ec019a8193c2991ae3c99a8383c7c029fe02"/>
    <w:p>
      <w:pPr>
        <w:pStyle w:val="Heading3"/>
        <w:spacing w:line="480" w:lineRule="auto"/>
      </w:pPr>
      <w:r>
        <w:t xml:space="preserve">2.3.3 Catalog Data, Detection Drift, and Measurement Discipline</w:t>
      </w:r>
    </w:p>
    <w:p>
      <w:pPr>
        <w:pStyle w:val="FirstParagraph"/>
        <w:spacing w:line="480" w:lineRule="auto"/>
      </w:pPr>
      <w:r>
        <w:t xml:space="preserve">A third methodological strand concerns the use of administrative-catalog data as the dependent variable for behavioral estimation. Its problem is detection drift: improvements in the surveillance apparatus over the panel period mechanically raise the count of cataloged objects independent of any change in operator behavior [23, 25, 26]. The cliometric response is well established. Year fixed effects absorb the common, time-varying component of detection improvement, leaving only the cross-state differential component, smaller by construction. A sensitivity floor on object size attenuates the residual further, since restricting the panel to objects the catalog could reliably detect throughout the period removes the bulk of the detection-driven secular trend. The companion fragmentation paper operationalizes the same discipline by inspecting altitude-driven detection effects in its OLS specification, and the prospectus design carries the discipline to the panel.</w:t>
      </w:r>
    </w:p>
    <w:bookmarkEnd w:id="78"/>
    <w:bookmarkStart w:id="79" w:name="treaties-as-natural-experiments"/>
    <w:p>
      <w:pPr>
        <w:pStyle w:val="Heading3"/>
        <w:spacing w:line="480" w:lineRule="auto"/>
      </w:pPr>
      <w:r>
        <w:t xml:space="preserve">2.3.4 Treaties as Natural Experiments</w:t>
      </w:r>
    </w:p>
    <w:p>
      <w:pPr>
        <w:pStyle w:val="FirstParagraph"/>
        <w:spacing w:line="480" w:lineRule="auto"/>
      </w:pPr>
      <w:r>
        <w:t xml:space="preserve">A fourth strand treats international treaties themselves as natural experiments. Zhang and Balakrishnan’s study of the Montreal Protocol experience</w:t>
      </w:r>
      <w:r>
        <w:t xml:space="preserve"> </w:t>
      </w:r>
      <w:hyperlink w:anchor="ref-28">
        <w:r>
          <w:rPr>
            <w:rStyle w:val="Hyperlink"/>
          </w:rPr>
          <w:t xml:space="preserve">[28]</w:t>
        </w:r>
      </w:hyperlink>
      <w:r>
        <w:t xml:space="preserve"> </w:t>
      </w:r>
      <w:r>
        <w:t xml:space="preserve">is the canonical successful case in this corpus. Their treatment isolates the variables that made the ozone regime behaviorally consequential and supports an explicit translation onto the debris case. Two variables emerge as operative, domestic enforceability and the alignment of the domestic instrument with operator-level obligations. Neither is satisfied by the 1972 Convention standing alone, and both can be tested at the national-licensing margin this dissertation defines as its treatment. The result is a sharper hypothesis structure. The null is that domestication carries no effect; the alternative is that it carries a negative effect on debris generation and a positive effect on the removal hazard. Bare ratification carries no effect under either hypothesis, which is what makes the ratification placebo a clean falsification.</w:t>
      </w:r>
    </w:p>
    <w:bookmarkEnd w:id="79"/>
    <w:bookmarkStart w:id="80" w:name="Xca07ced55e77cf963dc5adeaca53e973fbe014f"/>
    <w:p>
      <w:pPr>
        <w:pStyle w:val="Heading3"/>
        <w:spacing w:line="480" w:lineRule="auto"/>
      </w:pPr>
      <w:r>
        <w:t xml:space="preserve">2.3.5 What the Methodological Literature Has Established and What It Owes</w:t>
      </w:r>
    </w:p>
    <w:p>
      <w:pPr>
        <w:pStyle w:val="FirstParagraph"/>
        <w:spacing w:line="480" w:lineRule="auto"/>
      </w:pPr>
      <w:r>
        <w:t xml:space="preserve">Read at the level of its disciplines, the methodological literature has established several things: that staggered policy adoption can estimate identified treatment effects under defensible parallel-trends conditions, that survival analysis suits duration outcomes under heavy censoring, that catalog-style administrative data can serve as a behavioral dependent variable provided detection drift is absorbed, and that international environmental treaties can in principle be treated as natural experiments at the level of their domestic implementation. What it has not done, again on the evidence of the consulted corpus, is apply any of these disciplines to the 1972 Liability Convention or to the broader question of whether forum-less international liability rules deter their target behavior. The toolkit is fully built. It has simply not been brought to this case.</w:t>
      </w:r>
    </w:p>
    <w:bookmarkEnd w:id="80"/>
    <w:bookmarkEnd w:id="81"/>
    <w:bookmarkStart w:id="82" w:name="the-gap-and-its-articulation"/>
    <w:p>
      <w:pPr>
        <w:pStyle w:val="Heading2"/>
        <w:spacing w:line="480" w:lineRule="auto"/>
      </w:pPr>
      <w:r>
        <w:t xml:space="preserve">2.4 The Gap and Its Articulation</w:t>
      </w:r>
    </w:p>
    <w:p>
      <w:pPr>
        <w:pStyle w:val="FirstParagraph"/>
        <w:spacing w:line="480" w:lineRule="auto"/>
      </w:pPr>
      <w:r>
        <w:t xml:space="preserve">The two literatures arrive at the same threshold from opposite sides. Technical scholarship has characterized the orbital environment as a commons whose externality structure makes a liability rule the natural deterrent instrument, has documented operator behavior as elastic on precisely the margins where a liability rule would have to act, and has established doctrinally that any deterrent effect should be sought at the national-licensing margin rather than at bare international ratification [1, 2, 3, 4, 5, 6, 7, 8, 9, 10, 11, 12, 13, 14, 15, 16, 17, 18, 19, 20, 21, 22, 27, 28, 29, 30, 35, 37, 38]. Methodological scholarship has refined a set of strategies for testing exactly the kind of staggered, domestically-domesticated, internationally-anchored regime this dissertation studies. Neither side has joined the other.</w:t>
      </w:r>
    </w:p>
    <w:p>
      <w:pPr>
        <w:pStyle w:val="BodyText"/>
        <w:spacing w:line="480" w:lineRule="auto"/>
        <w:ind w:firstLine="720"/>
      </w:pPr>
      <w:r>
        <w:t xml:space="preserve">So the 1972 Convention remains, in the technical literature, an exogenous background condition rather than a measurable treatment, while the methodological literature has never engaged orbital debris as a setting on which its disciplines could be brought to bear.</w:t>
      </w:r>
    </w:p>
    <w:p>
      <w:pPr>
        <w:pStyle w:val="BodyText"/>
        <w:spacing w:line="480" w:lineRule="auto"/>
        <w:ind w:firstLine="720"/>
      </w:pPr>
      <w:r>
        <w:t xml:space="preserve">The gap is precisely articulable, and it helps to say what it is not. Not the absence of a theory: liability as deterrence under externality is well developed, and the orbital-commons literature has elaborated it into a setting-specific version with a defined dependent variable [3, 4, 5, 11, 12, 19]. Not the absence of data: the United States Space Force public catalog supplies a launching-state-by-year panel of debris counts, and the United Nations Office for Outer Space Affairs national-space-law collection supplies the treatment-timing variation an identified design requires. Not the absence of an estimator: the heterogeneity-robust staggered difference-in-differences toolkit and the Cox proportional-hazards model are settled instruments. The gap is the absence of an executed empirical join, a single identified estimate of the average treatment effect of enforceable domestication of Convention liability on the rate at which a launching state’s operators generate trackable orbital debris, accompanied by a falsification at the bare-ratification margin and a survival-analytic companion that bounds the same parameter from the removal side.</w:t>
      </w:r>
    </w:p>
    <w:p>
      <w:pPr>
        <w:pStyle w:val="BodyText"/>
        <w:spacing w:line="480" w:lineRule="auto"/>
        <w:ind w:firstLine="720"/>
      </w:pPr>
      <w:r>
        <w:t xml:space="preserve">The two empirical papers already developed in this dissertation [companion p1 and p2] are early instances of that join, and they triangulate the contribution. On a deliberately documented event panel, the fragmentation regression establishes that bare Convention membership carries no measurable association with the number of cataloged fragments produced per fragmentation event [14, 35], and that deliberate destruction is statistically indistinguishable from large accidental breakups once altitude and parent mass are held constant. On a small but carefully provenanced object sample, the survival analysis establishes that the post-2002 mitigation era is associated with a hazard ratio of roughly 2.4 on the rate of orbital removal, sizable in direction but underpowered to reject the null at the conventional five percent threshold, and confounded by orbit selection a single-event survival estimator cannot fully separate</w:t>
      </w:r>
      <w:r>
        <w:t xml:space="preserve"> </w:t>
      </w:r>
      <w:hyperlink w:anchor="ref-22">
        <w:r>
          <w:rPr>
            <w:rStyle w:val="Hyperlink"/>
          </w:rPr>
          <w:t xml:space="preserve">[22]</w:t>
        </w:r>
      </w:hyperlink>
      <w:r>
        <w:t xml:space="preserve">. Read together, the two findings frame the prospectus design as the necessary next step.</w:t>
      </w:r>
    </w:p>
    <w:p>
      <w:pPr>
        <w:pStyle w:val="BodyText"/>
        <w:spacing w:line="480" w:lineRule="auto"/>
        <w:ind w:firstLine="720"/>
      </w:pPr>
      <w:r>
        <w:t xml:space="preserve">The launching-state panel with staggered domestication is the design that bounds the parameter of interest with the identification rigor the methodological tradition demands and that the technical literature has, until now, not been required to provide.</w:t>
      </w:r>
    </w:p>
    <w:bookmarkEnd w:id="82"/>
    <w:bookmarkStart w:id="83" w:name="Xd03f9e3aeae109e6d5cc7daf7acd6c6fbb919b5"/>
    <w:p>
      <w:pPr>
        <w:pStyle w:val="Heading2"/>
        <w:spacing w:line="480" w:lineRule="auto"/>
      </w:pPr>
      <w:r>
        <w:t xml:space="preserve">2.5 Hypotheses and Their Anchoring in the Literature</w:t>
      </w:r>
    </w:p>
    <w:p>
      <w:pPr>
        <w:pStyle w:val="FirstParagraph"/>
        <w:spacing w:line="480" w:lineRule="auto"/>
      </w:pPr>
      <w:r>
        <w:t xml:space="preserve">The hypotheses set out in Chapter 1 now stand visibly anchored in the joined literature. The null, that domestication of Liability Convention obligations into enforceable national operator licensing has no effect on the debris-generation rate of a launching state’s cataloged objects, follows from three doctrinal positions: that international space law lacks the architecture to convert liability into an operator-level cost</w:t>
      </w:r>
      <w:r>
        <w:t xml:space="preserve"> </w:t>
      </w:r>
      <w:hyperlink w:anchor="ref-27">
        <w:r>
          <w:rPr>
            <w:rStyle w:val="Hyperlink"/>
          </w:rPr>
          <w:t xml:space="preserve">[27]</w:t>
        </w:r>
      </w:hyperlink>
      <w:r>
        <w:t xml:space="preserve">, that the existing instrument has not suppressed the terrestrial-risk channel it was designed to address [2, 35], and that compliance with mitigation has been operationally rather than legally driven [20, 21]. The alternative, that domestication reduces the debris-generation rate, follows from the Montreal Protocol analogue</w:t>
      </w:r>
      <w:r>
        <w:t xml:space="preserve"> </w:t>
      </w:r>
      <w:hyperlink w:anchor="ref-28">
        <w:r>
          <w:rPr>
            <w:rStyle w:val="Hyperlink"/>
          </w:rPr>
          <w:t xml:space="preserve">[28]</w:t>
        </w:r>
      </w:hyperlink>
      <w:r>
        <w:t xml:space="preserve">, from the cohort-of-operators co-evolution argument</w:t>
      </w:r>
      <w:r>
        <w:t xml:space="preserve"> </w:t>
      </w:r>
      <w:hyperlink w:anchor="ref-7">
        <w:r>
          <w:rPr>
            <w:rStyle w:val="Hyperlink"/>
          </w:rPr>
          <w:t xml:space="preserve">[7]</w:t>
        </w:r>
      </w:hyperlink>
      <w:r>
        <w:t xml:space="preserve">, and from the empirical fact that operator behavior on conjunction-avoidance and disposal margins is elastic to costs and to coordination structures [1, 6, 8, 9]. The bare-ratification placebo, which both hypotheses predict should come back null, is the falsification the design requires and the discipline the methodological tradition imposes.</w:t>
      </w:r>
    </w:p>
    <w:bookmarkEnd w:id="83"/>
    <w:bookmarkStart w:id="84" w:name="conclusion-to-the-chapter"/>
    <w:p>
      <w:pPr>
        <w:pStyle w:val="Heading2"/>
        <w:spacing w:line="480" w:lineRule="auto"/>
      </w:pPr>
      <w:r>
        <w:t xml:space="preserve">2.6 Conclusion to the Chapter</w:t>
      </w:r>
    </w:p>
    <w:p>
      <w:pPr>
        <w:pStyle w:val="FirstParagraph"/>
        <w:spacing w:line="480" w:lineRule="auto"/>
      </w:pPr>
      <w:r>
        <w:t xml:space="preserve">This chapter has surveyed two literatures pursued, until now, in parallel rather than in joined fashion. Technical and economic scholarship on orbital debris has established the commons framing, the externality structure, the elasticity of the relevant operator behaviors, the detection-drift discipline any catalog-based panel exercise must observe, and the doctrinal position that a deterrent signal, if it exists at all, should be sought at the domestication margin rather than the bare-ratification margin [1, 2, 3, 4, 5, 6, 7, 8, 9, 10, 11, 12, 13, 14, 15, 16, 17, 18, 19, 20, 21, 22, 27, 28, 29, 30, 35, 37, 38]. Cliometric and applied-econometric scholarship has supplied the heterogeneity-robust staggered difference-in-differences toolkit, the survival-analytic toolkit, and the natural-experiment framing of treaties through which the question can be brought to data with the rigor it demands. The gap is the unexecuted join. The empirical chapters that follow execute it, and the dissertation thereby supplies the single falsifiable estimate the joined literature now requires.</w:t>
      </w:r>
    </w:p>
    <w:bookmarkEnd w:id="84"/>
    <w:bookmarkEnd w:id="85"/>
    <w:bookmarkStart w:id="93" w:name="Xcfcc00a3ded59aed0c781c16bfc121f2a509603"/>
    <w:p>
      <w:pPr>
        <w:pStyle w:val="Heading1"/>
        <w:spacing w:line="480" w:lineRule="auto"/>
      </w:pPr>
      <w:r>
        <w:t xml:space="preserve">Chapter 3. Theoretical Framework and Hypotheses</w:t>
      </w:r>
    </w:p>
    <w:bookmarkStart w:id="86" w:name="overview-and-argument"/>
    <w:p>
      <w:pPr>
        <w:pStyle w:val="Heading2"/>
        <w:spacing w:line="480" w:lineRule="auto"/>
      </w:pPr>
      <w:r>
        <w:t xml:space="preserve">3.1 Overview and Argument</w:t>
      </w:r>
    </w:p>
    <w:p>
      <w:pPr>
        <w:pStyle w:val="FirstParagraph"/>
        <w:spacing w:line="480" w:lineRule="auto"/>
      </w:pPr>
      <w:r>
        <w:t xml:space="preserve">This chapter builds the theoretical framework that motivates the empirical work to follow and states the formal hypotheses the dissertation tests. The argument runs in three steps. It first situates orbital debris within the externality and common-pool resource tradition and shows why a liability rule is, in principle, the canonical instrument for restoring efficient care among operators who otherwise free-ride on the orbital commons. It then shows why the 1972 Convention on International Liability for Damage Caused by Space Objects, as drafted, cannot supply that deterrent on its own, and why any behavioral effect must be carried by national domestication rather than by international ratification. It closes by translating this mechanism into two formal hypotheses, H0 and H1, that the difference-in-differences design in Chapter 5 estimates, and by mapping each link in the causal chain to an observable implication and to the auxiliary tests that probe the rival explanations.</w:t>
      </w:r>
    </w:p>
    <w:p>
      <w:pPr>
        <w:pStyle w:val="BodyText"/>
        <w:spacing w:line="480" w:lineRule="auto"/>
        <w:ind w:firstLine="720"/>
      </w:pPr>
      <w:r>
        <w:t xml:space="preserve">Deliberately, the framework stays narrow. No general theory of compliance with international law is attempted here; no adjudication between rationalist and constructivist accounts of treaty behavior; no estimate of the welfare value of the orbital commons in the abstract. The purpose is more modest: generate a single falsifiable prediction about a single coefficient, the average treatment effect of enforceable domestication of Liability Convention obligations on the rate at which a launching state’s operators generate trackable orbital debris. Two prior empirical papers in this dissertation bound that parameter from adjacent angles. Paper 1’s cross-event regression found no association between bare Convention membership and per-event fragment counts; Paper 2’s Cox survival model found a sizable but imprecisely estimated acceleration in removal under the domesticated mitigation regime. Both results sit comfortably with the framework developed here. Neither identifies the deterrent effect that policy debate actually turns on. That identified estimate is what this chapter sets up.</w:t>
      </w:r>
    </w:p>
    <w:bookmarkEnd w:id="86"/>
    <w:bookmarkStart w:id="87" w:name="X6d3b4b314229dcc798aab4258fb5e96a69e323a"/>
    <w:p>
      <w:pPr>
        <w:pStyle w:val="Heading2"/>
        <w:spacing w:line="480" w:lineRule="auto"/>
      </w:pPr>
      <w:r>
        <w:t xml:space="preserve">3.2 The Orbital Commons and the Externality Frame</w:t>
      </w:r>
    </w:p>
    <w:p>
      <w:pPr>
        <w:pStyle w:val="FirstParagraph"/>
        <w:spacing w:line="480" w:lineRule="auto"/>
      </w:pPr>
      <w:r>
        <w:t xml:space="preserve">Orbital space is best characterized as a congestible common-pool resource. It is rivalrous, since each piece of long-lived debris reduces the safe operating volume available to every other user of that altitude shell, and it is functionally non-excludable, since the international legal regime cannot prevent any state with a launch capability from adding to the population. The economics of orbital carrying capacity formalizes this intuition: orbital capacity is the binding constraint on the long-run value of space activity, and debris accumulation is the externality that drives realized capacity below the technological frontier [3, 4, 5]. Architectural socio-technological work reaches the same conclusion by a different door, treating debris-generating behavior as a path-dependent feature of how norms of space use have been allowed to drift</w:t>
      </w:r>
      <w:r>
        <w:t xml:space="preserve"> </w:t>
      </w:r>
      <w:hyperlink w:anchor="ref-7">
        <w:r>
          <w:rPr>
            <w:rStyle w:val="Hyperlink"/>
          </w:rPr>
          <w:t xml:space="preserve">[7]</w:t>
        </w:r>
      </w:hyperlink>
      <w:r>
        <w:t xml:space="preserve">. Acta Astronautica work on the interaction of space capacity management with space traffic management reinforces the characterization from the operational side</w:t>
      </w:r>
      <w:r>
        <w:t xml:space="preserve"> </w:t>
      </w:r>
      <w:hyperlink w:anchor="ref-16">
        <w:r>
          <w:rPr>
            <w:rStyle w:val="Hyperlink"/>
          </w:rPr>
          <w:t xml:space="preserve">[16]</w:t>
        </w:r>
      </w:hyperlink>
      <w:r>
        <w:t xml:space="preserve">, and the environmental-impact framework in the same outlet shows how the cost of each launch should be assessed against the future commons it consumes</w:t>
      </w:r>
      <w:r>
        <w:t xml:space="preserve"> </w:t>
      </w:r>
      <w:hyperlink w:anchor="ref-17">
        <w:r>
          <w:rPr>
            <w:rStyle w:val="Hyperlink"/>
          </w:rPr>
          <w:t xml:space="preserve">[17]</w:t>
        </w:r>
      </w:hyperlink>
      <w:r>
        <w:t xml:space="preserve">. The risk-landscape synthesis ties the threads together, mapping how debris, reentry, and operational risk co-evolve as the space economy scales [10, 37].</w:t>
      </w:r>
    </w:p>
    <w:p>
      <w:pPr>
        <w:pStyle w:val="BodyText"/>
        <w:spacing w:line="480" w:lineRule="auto"/>
        <w:ind w:firstLine="720"/>
      </w:pPr>
      <w:r>
        <w:t xml:space="preserve">Standard externality theory predicts that, where actors can be made to pay the marginal social cost of the harm they impose, the externality-generating behavior falls toward its efficient level. Such a deterrent can take several forms. A Pigouvian tax on debris-generating activity, calibrated to the marginal external cost. A tradable permit system, which equates marginal abatement costs across operators. Or a liability rule, which imposes ex post the realized cost of damage onto the actor who caused it and thereby creates an ex ante incentive to take care. The orbital regime has, in practice, chosen the third route. The Outer Space Treaty makes states internationally responsible for national activities in outer space, and the 1972 Liability Convention specifies the liability rule for damage caused by space objects, with absolute liability for damage on the surface of the Earth or to aircraft in flight and fault-based liability for damage in outer space.</w:t>
      </w:r>
    </w:p>
    <w:p>
      <w:pPr>
        <w:pStyle w:val="BodyText"/>
        <w:spacing w:line="480" w:lineRule="auto"/>
        <w:ind w:firstLine="720"/>
      </w:pPr>
      <w:r>
        <w:t xml:space="preserve">Whether that rule, as it actually operates, internalizes enough of the external cost to bend behavior is the theoretical question.</w:t>
      </w:r>
    </w:p>
    <w:p>
      <w:pPr>
        <w:pStyle w:val="BodyText"/>
        <w:spacing w:line="480" w:lineRule="auto"/>
        <w:ind w:firstLine="720"/>
      </w:pPr>
      <w:r>
        <w:t xml:space="preserve">The economic and operational literatures point to several pathways through which a credible liability rule would restrain debris generation. It would raise the expected cost of leaving spent upper stages and dead payloads on orbit, making end-of-life disposal investments rational on commercial terms. It would penalize the deliberate creation of fragments, since anti-satellite testing and intentional destruction produce a long, statistically heavy tail of cataloged objects whose expected liability would dominate any operational benefit</w:t>
      </w:r>
      <w:r>
        <w:t xml:space="preserve"> </w:t>
      </w:r>
      <w:hyperlink w:anchor="ref-14">
        <w:r>
          <w:rPr>
            <w:rStyle w:val="Hyperlink"/>
          </w:rPr>
          <w:t xml:space="preserve">[14]</w:t>
        </w:r>
      </w:hyperlink>
      <w:r>
        <w:t xml:space="preserve">. It would reshape the cost structure of conjunction management, since the operator that fails to maneuver becomes the expected payer for damage caused, sharpening the incentive to invest in tracking quality and maneuver capability [1, 6, 8, 9, 15]. And it would shorten orbital tenancy by making removal an enforceable condition of continued licensing rather than a discretionary courtesy [20, 21, 22]. Where the rule is credible, then, the framework predicts all four signatures in the data: lower per-event fragment counts, suppressed deliberate fragmentation, more disciplined conjunction practice, and shorter tenancy on orbit. The companion papers have already shown the first two missing for the bare treaty and the fourth present but imprecisely estimated for the domesticated mitigation regime. Chapter 5 estimates the flow effect on debris generation under domestication, the parameter the framework asks the data to deliver.</w:t>
      </w:r>
    </w:p>
    <w:bookmarkEnd w:id="87"/>
    <w:bookmarkStart w:id="88" w:name="Xd798daa3f0eab410b1e73e37a6064c6e88e1fb1"/>
    <w:p>
      <w:pPr>
        <w:pStyle w:val="Heading2"/>
        <w:spacing w:line="480" w:lineRule="auto"/>
      </w:pPr>
      <w:r>
        <w:t xml:space="preserve">3.3 Why a Forum-less Rule Cannot Carry the Deterrent Burden</w:t>
      </w:r>
    </w:p>
    <w:p>
      <w:pPr>
        <w:pStyle w:val="FirstParagraph"/>
        <w:spacing w:line="480" w:lineRule="auto"/>
      </w:pPr>
      <w:r>
        <w:t xml:space="preserve">One recognition organizes this dissertation: a liability rule deters only insofar as a credible expectation of an enforced judgment changes the cost calculus of the regulated actor. This is the standard expected-cost formulation. The deterrent value of a liability rule is the product of four terms, the probability that damage is attributed, the probability that a forum will adjudicate the claim, the probability that an adjudicated claim will be enforced, and the magnitude of the judgment, all discounted to the moment of the operator’s decision. Let any of those probabilities sit at or near zero and the expected cost collapses to a number too small to enter the operator’s calculation, whatever the formal text says.</w:t>
      </w:r>
    </w:p>
    <w:p>
      <w:pPr>
        <w:pStyle w:val="BodyText"/>
        <w:spacing w:line="480" w:lineRule="auto"/>
        <w:ind w:firstLine="720"/>
      </w:pPr>
      <w:r>
        <w:t xml:space="preserve">By design, the 1972 Liability Convention zeroes out the middle two. It assigns liability to launching states rather than to operators, so the actor whose behavior produces the externality stands one step removed from the actor whose treasury would be reached. It contemplates a Claims Commission whose findings bind no one unless the parties consent, so the forum produces at most a recommendation the responsible state is free to ignore. It provides no compulsory jurisdiction over a non-consenting launching state, and the Commission has never been convened in the more than fifty years since entry into force. Its single notable invocation, the Cosmos 954 settlement following the 1978 reentry over Canada, was a diplomatic negotiation rather than an adjudicated judgment, and it concerned surface damage under the absolute-liability head rather than on-orbit damage under the fault-based head where attribution is hardest.</w:t>
      </w:r>
    </w:p>
    <w:p>
      <w:pPr>
        <w:pStyle w:val="BodyText"/>
        <w:spacing w:line="480" w:lineRule="auto"/>
        <w:ind w:firstLine="720"/>
      </w:pPr>
      <w:r>
        <w:t xml:space="preserve">The instrument thus satisfies the formal preconditions of a liability rule while satisfying none of the functional preconditions of a deterrent.</w:t>
      </w:r>
    </w:p>
    <w:p>
      <w:pPr>
        <w:pStyle w:val="BodyText"/>
        <w:spacing w:line="480" w:lineRule="auto"/>
        <w:ind w:firstLine="720"/>
      </w:pPr>
      <w:r>
        <w:t xml:space="preserve">Recent doctrinal scholarship has begun to grapple with the problem from several angles. International-law analysis of whether the existing regime can sustain active debris removal concludes that the legal foundations for compelled removal under the current treaty architecture are at best contestable</w:t>
      </w:r>
      <w:r>
        <w:t xml:space="preserve"> </w:t>
      </w:r>
      <w:hyperlink w:anchor="ref-27">
        <w:r>
          <w:rPr>
            <w:rStyle w:val="Hyperlink"/>
          </w:rPr>
          <w:t xml:space="preserve">[27]</w:t>
        </w:r>
      </w:hyperlink>
      <w:r>
        <w:t xml:space="preserve">. The lessons-from-Montreal-Protocol analysis stresses that the ozone regime succeeded by marrying a substantive obligation to a credible compliance mechanism, while the orbital-debris regime has so far built the obligation without the mechanism</w:t>
      </w:r>
      <w:r>
        <w:t xml:space="preserve"> </w:t>
      </w:r>
      <w:hyperlink w:anchor="ref-28">
        <w:r>
          <w:rPr>
            <w:rStyle w:val="Hyperlink"/>
          </w:rPr>
          <w:t xml:space="preserve">[28]</w:t>
        </w:r>
      </w:hyperlink>
      <w:r>
        <w:t xml:space="preserve">. Defense-economics work on anti-satellite weapons and their debris signature shows that a forum-less rule does not discourage deliberate fragmentation even where the expected fragment count runs to the thousands [14, 24], a point operational practice corroborates</w:t>
      </w:r>
      <w:r>
        <w:t xml:space="preserve"> </w:t>
      </w:r>
      <w:hyperlink w:anchor="ref-30">
        <w:r>
          <w:rPr>
            <w:rStyle w:val="Hyperlink"/>
          </w:rPr>
          <w:t xml:space="preserve">[30]</w:t>
        </w:r>
      </w:hyperlink>
      <w:r>
        <w:t xml:space="preserve">. Doctrinal exploration of artificial-intelligence liability in outer space goes further still, showing that even the conceptual machinery for attributing fault under the Convention strains under autonomous operation, which sharpens rather than relaxes the attribution problem</w:t>
      </w:r>
      <w:r>
        <w:t xml:space="preserve"> </w:t>
      </w:r>
      <w:hyperlink w:anchor="ref-34">
        <w:r>
          <w:rPr>
            <w:rStyle w:val="Hyperlink"/>
          </w:rPr>
          <w:t xml:space="preserve">[34]</w:t>
        </w:r>
      </w:hyperlink>
      <w:r>
        <w:t xml:space="preserve">. Across these strands the inference is the same. Behavior in orbit is shaped by technical mitigation guidelines, operational coordination, reputational pressure, and increasingly by national licensing requirements, but not by the international liability instrument standing alone.</w:t>
      </w:r>
    </w:p>
    <w:p>
      <w:pPr>
        <w:pStyle w:val="BodyText"/>
        <w:spacing w:line="480" w:lineRule="auto"/>
        <w:ind w:firstLine="720"/>
      </w:pPr>
      <w:r>
        <w:t xml:space="preserve">Translation into a testable framework is straightforward, and it turns on where the treatment date falls. Suppose the Convention deters because operators internalize the expected international cost of damage. Then the relevant treatment date is the date the operator’s launching state ratified the Convention, and the predicted behavioral break should appear there. Suppose instead the Convention deters only once its obligations are domesticated into enforceable national operator licensing. Then the relevant treatment date is the date the national licensing regime entered into force, and the break should appear at that later date. Suppose neither margin carries any behavioral signal. Then orbital behavior is determined by physics, mitigation guidelines, commercial economics, and operational coordination, and the liability regime is a parchment instrument with no measurable effect on the rate at which debris is added to the catalog. These three possibilities exhaust the policy-relevant universe.</w:t>
      </w:r>
    </w:p>
    <w:bookmarkEnd w:id="88"/>
    <w:bookmarkStart w:id="89" w:name="Xe96c8032d2a493114cc1e90e68d22b0516af237"/>
    <w:p>
      <w:pPr>
        <w:pStyle w:val="Heading2"/>
        <w:spacing w:line="480" w:lineRule="auto"/>
      </w:pPr>
      <w:r>
        <w:t xml:space="preserve">3.4 The Mechanism: Why Domestication Should Bite Where Ratification Does Not</w:t>
      </w:r>
    </w:p>
    <w:p>
      <w:pPr>
        <w:pStyle w:val="FirstParagraph"/>
        <w:spacing w:line="480" w:lineRule="auto"/>
      </w:pPr>
      <w:r>
        <w:t xml:space="preserve">This dissertation’s proposed mechanism runs through enforceable national operator licensing. In the states that have built them, national licensing regimes do four things the international instrument does not. They reach the operator directly, since the licensee, not the launching state, is the regulated party, and the licensee’s continued ability to launch turns on maintaining its license. They specify enforceable conditions ex ante: a national statute can require demonstrated end-of-life disposal capability, post-mission passivation, debris-mitigation conformance to identified standards, and indemnification of the state against international claims, and it can make breach of any condition grounds for revocation, fine, or denial of subsequent applications. They create a domestic forum with compulsory jurisdiction, because regulatory action against a domestic licensee proceeds in the licensing state’s administrative and judicial system, where the licensee has no diplomatic standing to refuse.</w:t>
      </w:r>
    </w:p>
    <w:p>
      <w:pPr>
        <w:pStyle w:val="BodyText"/>
        <w:spacing w:line="480" w:lineRule="auto"/>
        <w:ind w:firstLine="720"/>
      </w:pPr>
      <w:r>
        <w:t xml:space="preserve">And they carry a financial bite calibrated to the regulated activity, as indemnification ceilings, insurance requirements, and license fees convert what the Convention treats as contingent international liability into a near-certain domestic operating cost.</w:t>
      </w:r>
    </w:p>
    <w:p>
      <w:pPr>
        <w:pStyle w:val="BodyText"/>
        <w:spacing w:line="480" w:lineRule="auto"/>
        <w:ind w:firstLine="720"/>
      </w:pPr>
      <w:r>
        <w:t xml:space="preserve">Each feature answers one of the missing probabilities in the expected-cost formulation. Domestication raises the probability of attribution, because the licensing relationship identifies the responsible operator at the moment of authorization. It raises the probability that a forum will adjudicate, because the licensing agency is already that forum. It raises the probability of enforcement, because the agency holds compulsory jurisdiction over the licensee through control of the license. And it raises the magnitude of the expected payment, because insurance and indemnification requirements convert contingent liability into a paid premium. The prediction is therefore unambiguous. If liability deters at all, it should deter through the domestication margin, and if domestication has no measurable effect on debris generation, the deterrence story has run out of channels through which the international instrument could operate.</w:t>
      </w:r>
    </w:p>
    <w:p>
      <w:pPr>
        <w:pStyle w:val="BodyText"/>
        <w:spacing w:line="480" w:lineRule="auto"/>
        <w:ind w:firstLine="720"/>
      </w:pPr>
      <w:r>
        <w:t xml:space="preserve">The operational literature supports this mechanism in two distinct ways. Studies of maneuver behavior and conjunction practice show operators responding to coordination structures and cost allocation in ways that mark the underlying behavioral elasticity as real and measurable [6, 8, 9, 15], so the prediction that an enforceable cost rule would shift behavior is not implausible on operator-response grounds. At the same time, studies of compliance with the 25-year disposal rule, with the United States Orbital Debris Mitigation Standard Practices, and with national post-mission disposal requirements repeatedly find compliance partial, adherence sharply varied across operator class, and mitigation guidelines absent enforcement carrying only a soft normative pull [20, 21]. Demonstrated responsiveness paired with demonstrated under-compliance is exactly the empirical signature of a setting where an enforcement instrument should produce a measurable behavioral shift, and it is the setting in which the difference-in-differences identification strategy in Chapter 5 reads sharpest.</w:t>
      </w:r>
    </w:p>
    <w:p>
      <w:pPr>
        <w:pStyle w:val="BodyText"/>
        <w:spacing w:line="480" w:lineRule="auto"/>
        <w:ind w:firstLine="720"/>
      </w:pPr>
      <w:r>
        <w:t xml:space="preserve">One further reason to expect domestication as the binding margin: the population of states with enforceable licensing regimes is a strict and historically staggered subset of Convention parties. Domestication did not happen everywhere at once. National space legislation has entered into force across the major launching states over several decades, and continues to. That staggered timing is the variation the empirical strategy exploits, and it is also the substantive feature of the regime that makes the dissertation’s question testable. Had every Convention party built an enforceable licensing apparatus at the moment of ratification, there would be no separable treatment to estimate. Because they did not, the data permit a clean test of whether the deterrent signal, if there is one, is carried by the treaty or by the enforcement layer the treaty conspicuously left out.</w:t>
      </w:r>
    </w:p>
    <w:bookmarkEnd w:id="89"/>
    <w:bookmarkStart w:id="90" w:name="causal-logic-and-threats-reframed"/>
    <w:p>
      <w:pPr>
        <w:pStyle w:val="Heading2"/>
        <w:spacing w:line="480" w:lineRule="auto"/>
      </w:pPr>
      <w:r>
        <w:t xml:space="preserve">3.5 Causal Logic and Threats Reframed</w:t>
      </w:r>
    </w:p>
    <w:p>
      <w:pPr>
        <w:pStyle w:val="FirstParagraph"/>
        <w:spacing w:line="480" w:lineRule="auto"/>
      </w:pPr>
      <w:r>
        <w:t xml:space="preserve">Stated compactly, the causal logic runs as follows. The exogenous shock is the entry into force, in a given launching state and a given year, of a national licensing regime that domesticates Convention liability into enforceable operator obligations. The proximate behavioral response is a change in the operator’s expected cost of debris-generating actions, leaving spent stages and dead payloads on orbit, accepting elevated fragmentation risk in design, declining or deferring collision-avoidance maneuvers. The distal observable response is a change in the rate at which the launching state’s cataloged objects produce trackable debris over time. The claim is that the rate falls. The null is that it does not.</w:t>
      </w:r>
    </w:p>
    <w:p>
      <w:pPr>
        <w:pStyle w:val="BodyText"/>
        <w:spacing w:line="480" w:lineRule="auto"/>
        <w:ind w:firstLine="720"/>
      </w:pPr>
      <w:r>
        <w:t xml:space="preserve">Three threats to this causal logic deserve explicit treatment now, before the empirical strategy is laid out in Chapter 5. Reverse causation is the first. A state that experiences a high-profile debris-generating event may legislate in response, making observed legislation a downstream consequence of debris dynamics rather than a cause of their change. Here the framework predicts an asymmetric placebo: bare Convention ratification, carrying no enforcement, should produce no measurable behavioral shift, while domestication should produce one. Behavioral movement at the ratification margin would undermine the mechanism and point to some unobserved political process producing both legislation and debris dynamics. Orbit selection is the second. Operators in domesticating states may choose lower, self-cleaning orbits in response to disposal requirements, so an apparent reduction in debris generation may run through where objects are placed rather than through how operators behave once on station. This is exactly the concern Paper 2’s Cox survival model identified, where the drag-regime control absorbed most of the precisely estimated variation. The framework treats orbit selection as part of the behavioral response, since choosing a self-cleaning orbit is itself an operator response to enforceable disposal requirements, and inspects the heterogeneity of the estimate across orbital regimes in robustness work. Regime composition is the third. A launching state that imposes high domestic costs may export its launch activity to non-domesticating flags of convenience, and the launching-state panel would then mismeasure the behavioral response by attributing displaced activity to the receiving state. Against this the framework anticipates a falsification check on the composition of registry choice over time and reads any displaced-activity finding as a separate substantive result about regime arbitrage rather than as contamination of the headline estimate.</w:t>
      </w:r>
    </w:p>
    <w:p>
      <w:pPr>
        <w:pStyle w:val="BodyText"/>
        <w:spacing w:line="480" w:lineRule="auto"/>
        <w:ind w:firstLine="720"/>
      </w:pPr>
      <w:r>
        <w:t xml:space="preserve">These three threats map onto three observable implications Chapter 5 will exploit: the placebo at bare ratification should be a precisely estimated zero, the event-study leads should show no pre-trend in debris generation in the years immediately before domestication, and the share of a state’s activity carried under foreign registries should not shift on a schedule that coincides with the treatment date. The framework predicts each pattern. Failure of any one does not by itself overturn the mechanism, but the joint observation of all three would strongly corroborate that the estimated effect is what the framework claims.</w:t>
      </w:r>
    </w:p>
    <w:bookmarkEnd w:id="90"/>
    <w:bookmarkStart w:id="91" w:name="formal-hypotheses"/>
    <w:p>
      <w:pPr>
        <w:pStyle w:val="Heading2"/>
        <w:spacing w:line="480" w:lineRule="auto"/>
      </w:pPr>
      <w:r>
        <w:t xml:space="preserve">3.6 Formal Hypotheses</w:t>
      </w:r>
    </w:p>
    <w:p>
      <w:pPr>
        <w:pStyle w:val="FirstParagraph"/>
        <w:spacing w:line="480" w:lineRule="auto"/>
      </w:pPr>
      <w:r>
        <w:t xml:space="preserve">One parameter of interest and two formal hypotheses about it come out of the framework. Let the parameter be the average treatment effect, on the debris-generation rate of a launching state’s cataloged objects, of the entry into force of a national licensing regime that domesticates Liability Convention obligations into enforceable operator licensing. In Chapter 5 this parameter is the coefficient on the post-domestication indicator in a staggered-adoption difference-in-differences specification with launching-state and year fixed effects.</w:t>
      </w:r>
    </w:p>
    <w:p>
      <w:pPr>
        <w:pStyle w:val="BodyText"/>
        <w:spacing w:line="480" w:lineRule="auto"/>
        <w:ind w:firstLine="720"/>
      </w:pPr>
      <w:r>
        <w:rPr>
          <w:b/>
          <w:bCs/>
        </w:rPr>
        <w:t xml:space="preserve">H0 (null hypothesis of no deterrent effect at the domestication margin):</w:t>
      </w:r>
      <w:r>
        <w:t xml:space="preserve"> </w:t>
      </w:r>
      <w:r>
        <w:t xml:space="preserve">Domestication of Liability Convention obligations into enforceable national operator licensing has no effect on the debris-generation rate of a launching state’s cataloged objects. The coefficient on the post-domestication indicator, estimated under a heterogeneity-robust staggered-adoption design, is statistically indistinguishable from zero.</w:t>
      </w:r>
    </w:p>
    <w:p>
      <w:pPr>
        <w:pStyle w:val="BodyText"/>
        <w:spacing w:line="480" w:lineRule="auto"/>
        <w:ind w:firstLine="720"/>
      </w:pPr>
      <w:r>
        <w:rPr>
          <w:b/>
          <w:bCs/>
        </w:rPr>
        <w:t xml:space="preserve">H1 (alternative hypothesis of deterrence at the domestication margin):</w:t>
      </w:r>
      <w:r>
        <w:t xml:space="preserve"> </w:t>
      </w:r>
      <w:r>
        <w:t xml:space="preserve">Domestication of Liability Convention obligations into enforceable national operator licensing reduces the debris-generation rate of a launching state’s cataloged objects. The coefficient on the post-domestication indicator is negative and statistically distinguishable from zero.</w:t>
      </w:r>
    </w:p>
    <w:p>
      <w:pPr>
        <w:pStyle w:val="BodyText"/>
        <w:spacing w:line="480" w:lineRule="auto"/>
        <w:ind w:firstLine="720"/>
      </w:pPr>
      <w:r>
        <w:t xml:space="preserve">Two pre-registered auxiliary predictions accompany the hypotheses. The first is a placebo at the ratification margin. If the mechanism is correct, the coefficient on a post-ratification indicator built identically to the post-domestication one should be statistically indistinguishable from zero, since bare ratification carries no enforcement. A negative and significant coefficient there would falsify the mechanism, locating the binding deterrent in the treaty itself rather than its domestication. The second is a pre-trend prediction. If the mechanism is correct, the event-study leads for the years immediately before domestication should show no downward trend in the debris-generation rate. A pronounced downward pre-trend would signal that domestication tracks an underlying behavioral shift rather than causing one, undermining the deterrence interpretation of any post-treatment movement.</w:t>
      </w:r>
    </w:p>
    <w:p>
      <w:pPr>
        <w:pStyle w:val="BodyText"/>
        <w:spacing w:line="480" w:lineRule="auto"/>
        <w:ind w:firstLine="720"/>
      </w:pPr>
      <w:r>
        <w:t xml:space="preserve">Both hypotheses are falsifiable in both directions. A precisely estimated zero on the post-domestication indicator falsifies the claim that forum-less liability, even once domesticated, deters. A negative and significant coefficient at the post-ratification margin alongside a null at the post-domestication margin falsifies the mechanism the other way, relocating the deterrent to the treaty rather than the enforcement layer. And a negative coefficient at the post-domestication margin with a null at post-ratification and no pre-trend would be the principal positive finding the framework predicts, localizing the deterrent at exactly the institutional layer the policy debate now contests.</w:t>
      </w:r>
    </w:p>
    <w:bookmarkEnd w:id="91"/>
    <w:bookmarkStart w:id="92" w:name="what-the-test-is-and-is-not"/>
    <w:p>
      <w:pPr>
        <w:pStyle w:val="Heading2"/>
        <w:spacing w:line="480" w:lineRule="auto"/>
      </w:pPr>
      <w:r>
        <w:t xml:space="preserve">3.7 What the Test Is and Is Not</w:t>
      </w:r>
    </w:p>
    <w:p>
      <w:pPr>
        <w:pStyle w:val="FirstParagraph"/>
        <w:spacing w:line="480" w:lineRule="auto"/>
      </w:pPr>
      <w:r>
        <w:t xml:space="preserve">What this framework is not designed to test deserves stating plainly, because the value of a falsifiable estimate depends on the precision of the question. It does not test whether the orbital environment is a commons; the carrying-capacity and capacity-management literatures take that as established [3, 4, 5, 11, 12, 16, 17, 19]. It does not test whether debris-generating behavior responds in principle to cost; the operational and compliance literatures settle that [6, 8, 9, 15, 20, 21, 22]. It does not test whether the long-run trajectory of the orbital environment is sustainable absent further policy intervention; the planetary-boundaries framework for outer space takes that question up directly and reaches its own conclusions</w:t>
      </w:r>
      <w:r>
        <w:t xml:space="preserve"> </w:t>
      </w:r>
      <w:hyperlink w:anchor="ref-32">
        <w:r>
          <w:rPr>
            <w:rStyle w:val="Hyperlink"/>
          </w:rPr>
          <w:t xml:space="preserve">[32]</w:t>
        </w:r>
      </w:hyperlink>
      <w:r>
        <w:t xml:space="preserve">. It does not estimate the welfare consequences of any candidate alternative regime; that work belongs to the broader literature on liability design and surfaces in Chapter 6 only as policy implication. And it does not adjudicate the wider doctrinal debate about whether international law can ground active debris removal, which a distinct line of scholarship has opened [27, 28, 29].</w:t>
      </w:r>
    </w:p>
    <w:p>
      <w:pPr>
        <w:pStyle w:val="BodyText"/>
        <w:spacing w:line="480" w:lineRule="auto"/>
        <w:ind w:firstLine="720"/>
      </w:pPr>
      <w:r>
        <w:t xml:space="preserve">What the framework does is isolate one mechanism and one parameter. The mechanism is the conversion of an international liability rule into an enforceable domestic operating obligation. The parameter is the average treatment effect of that conversion on the rate at which the converting state’s operators add trackable debris to the orbital catalog. The test asks whether this parameter, estimated under a heterogeneity-robust staggered-adoption design with launching-state and year fixed effects, is statistically and substantively distinguishable from zero in the predicted direction. The companion papers bound the same parameter from adjacent directions without identifying it. Paper 1’s cross-event regression confirmed that bare treaty membership carries no detectable signal in per-event fragment counts, the framework’s prediction at the ratification margin. Paper 2’s Cox survival model found orbital tenancy shorter in the domesticated mitigation era at a hazard ratio of 2.40, in the framework’s predicted direction at the domestication margin, though with a confidence interval that admits the null at the conventional five percent threshold. The empirical chapter that follows estimates the parameter directly, on the flow margin policy debate cares most about, and either rejects H0 in the predicted direction or fails to. Either outcome speaks to the question this dissertation was designed to answer.</w:t>
      </w:r>
    </w:p>
    <w:p>
      <w:pPr>
        <w:pStyle w:val="BodyText"/>
        <w:spacing w:line="480" w:lineRule="auto"/>
        <w:ind w:firstLine="720"/>
      </w:pPr>
      <w:r>
        <w:t xml:space="preserve">The framework’s promise is epistemically modest and policy-relevant in equal measure. It does not claim liability deters in space. It claims that, if liability deters at all, the deterrent must ride on the enforcement layer the 1972 Convention conspicuously omitted, and that the staggered domestication of that layer across launching states permits a clean estimate of whether the predicted behavioral response in fact appears. Chapter 4 turns to the data and measurement choices that make the estimate possible.</w:t>
      </w:r>
    </w:p>
    <w:bookmarkEnd w:id="92"/>
    <w:bookmarkEnd w:id="93"/>
    <w:bookmarkStart w:id="105" w:name="chapter-4.-data-and-measurement"/>
    <w:p>
      <w:pPr>
        <w:pStyle w:val="Heading1"/>
        <w:spacing w:line="480" w:lineRule="auto"/>
      </w:pPr>
      <w:r>
        <w:t xml:space="preserve">Chapter 4. Data and Measurement</w:t>
      </w:r>
    </w:p>
    <w:p>
      <w:pPr>
        <w:pStyle w:val="FirstParagraph"/>
        <w:spacing w:line="480" w:lineRule="auto"/>
      </w:pPr>
      <w:r>
        <w:t xml:space="preserve">This chapter documents the empirical foundation of the dissertation. It describes the two datasets actually used in the companion papers, the authoritative public records from which every observation is drawn, the unit of analysis adopted for each design, and the construction rules by which each variable is built from primary catalog fields. Reproducibility is the aim, in a strict sense: a reader with access to the same public sources should be able to regenerate every row and every covariate without consulting the analyst. Since the dissertation tests whether a forum-less liability regime carries any behavioral signal, the credibility of the test depends first on the credibility of these measurements, and the chapter is correspondingly explicit about provenance, coding rules, and the boundaries of what each variable can and cannot mean.</w:t>
      </w:r>
    </w:p>
    <w:p>
      <w:pPr>
        <w:pStyle w:val="BodyText"/>
        <w:spacing w:line="480" w:lineRule="auto"/>
        <w:ind w:firstLine="720"/>
      </w:pPr>
      <w:r>
        <w:t xml:space="preserve">Four parts follow. Section 4.1 describes the fragmentation-event dataset behind the cross-sectional OLS test in Paper 1. Section 4.2 describes the object-level tenancy dataset behind the Cox proportional-hazards test in Paper 2. Section 4.3 turns to the legal-status variables that operationalize the treatment of interest, Liability Convention party status and the post-2002 domesticated mitigation era. Section 4.4 catalogs the measurement threats that follow from relying on a surveillance catalog whose sensitivity and scope have shifted across the period of analysis, and explains the coding choices that bound the resulting bias.</w:t>
      </w:r>
    </w:p>
    <w:bookmarkStart w:id="98" w:name="the-fragmentation-event-dataset-paper-1"/>
    <w:p>
      <w:pPr>
        <w:pStyle w:val="Heading2"/>
        <w:spacing w:line="480" w:lineRule="auto"/>
      </w:pPr>
      <w:r>
        <w:t xml:space="preserve">4.1 The Fragmentation-Event Dataset (Paper 1)</w:t>
      </w:r>
    </w:p>
    <w:p>
      <w:pPr>
        <w:pStyle w:val="FirstParagraph"/>
        <w:spacing w:line="480" w:lineRule="auto"/>
      </w:pPr>
      <w:r>
        <w:t xml:space="preserve">The first dataset is a cross-section of twenty-eight documented on-orbit fragmentation events spanning 1968 to 2024. Its unit of analysis is a single fragmentation event, defined as a discrete on-orbit episode in which a parent space object is destroyed or breaks apart and produces cataloged debris fragments. That is the natural unit for the question Paper 1 asks, because the Liability Convention, were it to deter, should deter at the moment a launching state’s object becomes the source of new debris, and the fragmentation event is precisely that moment.</w:t>
      </w:r>
    </w:p>
    <w:bookmarkStart w:id="94" w:name="authoritative-sources"/>
    <w:p>
      <w:pPr>
        <w:pStyle w:val="Heading3"/>
        <w:spacing w:line="480" w:lineRule="auto"/>
      </w:pPr>
      <w:r>
        <w:t xml:space="preserve">4.1.1 Authoritative Sources</w:t>
      </w:r>
    </w:p>
    <w:p>
      <w:pPr>
        <w:pStyle w:val="FirstParagraph"/>
        <w:spacing w:line="480" w:lineRule="auto"/>
      </w:pPr>
      <w:r>
        <w:t xml:space="preserve">The dataset is built from three named public records that, taken together, exhaust the documented universe of large on-orbit breakups for the period.</w:t>
      </w:r>
    </w:p>
    <w:p>
      <w:pPr>
        <w:pStyle w:val="BodyText"/>
        <w:spacing w:line="480" w:lineRule="auto"/>
        <w:ind w:firstLine="720"/>
      </w:pPr>
      <w:r>
        <w:t xml:space="preserve">Primary among the three is the NASA Orbital Debris Program Office’s</w:t>
      </w:r>
      <w:r>
        <w:t xml:space="preserve"> </w:t>
      </w:r>
      <w:r>
        <w:rPr>
          <w:i/>
          <w:iCs/>
        </w:rPr>
        <w:t xml:space="preserve">History of On-Orbit Satellite Fragmentations</w:t>
      </w:r>
      <w:r>
        <w:t xml:space="preserve">, sixteenth edition, distributed by the NASA Technical Reports Server as NASA/TP-20220019160, with an information cutoff of 01 May 2022. That sixteenth edition supplies a per-event record for every cataloged fragmentation known to NASA at the cutoff, including the international designator of the parent object, the assessed cause of the breakup, the date and altitude at fragmentation, and the count of cataloged debris pieces attributable to the event. Canonical for fragmentation events, this document is treated here as the spine of the dataset.</w:t>
      </w:r>
    </w:p>
    <w:p>
      <w:pPr>
        <w:pStyle w:val="BodyText"/>
        <w:spacing w:line="480" w:lineRule="auto"/>
        <w:ind w:firstLine="720"/>
      </w:pPr>
      <w:r>
        <w:t xml:space="preserve">Next comes the NASA</w:t>
      </w:r>
      <w:r>
        <w:t xml:space="preserve"> </w:t>
      </w:r>
      <w:r>
        <w:rPr>
          <w:i/>
          <w:iCs/>
        </w:rPr>
        <w:t xml:space="preserve">Orbital Debris Quarterly News</w:t>
      </w:r>
      <w:r>
        <w:t xml:space="preserve">, specifically its</w:t>
      </w:r>
      <w:r>
        <w:t xml:space="preserve"> </w:t>
      </w:r>
      <w:r>
        <w:t xml:space="preserve">“Top Ten Satellite Breakups”</w:t>
      </w:r>
      <w:r>
        <w:t xml:space="preserve"> </w:t>
      </w:r>
      <w:r>
        <w:t xml:space="preserve">table, maintained across issues and updated in volume 28, number 1 (February 2024). This table refreshes fragment counts for the marquee high-energy events, Fengyun-1C, Cosmos 1408, the Solwind and earlier interceptor tests, and the Cosmos 2251 and Iridium 33 collision parents, whose cataloged fragment counts have been revised periodically as additional pieces were correlated. Where it supplies a more recent count than the sixteenth-edition fragmentation history, the Quarterly News value is used and the date of the update recorded in the source field.</w:t>
      </w:r>
    </w:p>
    <w:p>
      <w:pPr>
        <w:pStyle w:val="BodyText"/>
        <w:spacing w:line="480" w:lineRule="auto"/>
        <w:ind w:firstLine="720"/>
      </w:pPr>
      <w:r>
        <w:t xml:space="preserve">Third comes the European Space Agency’s DISCOSweb space-environment statistics service, consulted to corroborate fragment counts for events after the NASA fragmentation history’s information cutoff and to cross-check counts for non-United-States parents that DISCOSweb tracks independently. It corroborates rather than governs: where DISCOSweb and the NASA records agree, the NASA figure is reported; where they disagree, the disagreement is recorded and the more conservative, lower figure is used to avoid inflating the dependent variable.</w:t>
      </w:r>
    </w:p>
    <w:p>
      <w:pPr>
        <w:pStyle w:val="BodyText"/>
        <w:spacing w:line="480" w:lineRule="auto"/>
        <w:ind w:firstLine="720"/>
      </w:pPr>
      <w:r>
        <w:t xml:space="preserve">Every row in the analytic dataset carries an explicit source citation in its final field, naming which of the three records supplied the fragment count and, where applicable, the date of the most recent revision. No fragment count comes from a non-authoritative source. Where a value could not be confirmed against one of these records, the event is excluded rather than imputed.</w:t>
      </w:r>
    </w:p>
    <w:bookmarkEnd w:id="94"/>
    <w:bookmarkStart w:id="95" w:name="the-dependent-variable"/>
    <w:p>
      <w:pPr>
        <w:pStyle w:val="Heading3"/>
        <w:spacing w:line="480" w:lineRule="auto"/>
      </w:pPr>
      <w:r>
        <w:t xml:space="preserve">4.1.2 The Dependent Variable</w:t>
      </w:r>
    </w:p>
    <w:p>
      <w:pPr>
        <w:pStyle w:val="FirstParagraph"/>
        <w:spacing w:line="480" w:lineRule="auto"/>
      </w:pPr>
      <w:r>
        <w:t xml:space="preserve">For a dependent variable the model takes the natural logarithm of the number of cataloged debris fragments produced by the event. The data force the log transformation: fragment counts span three orders of magnitude, from low-double-digit counts on small upper-stage explosions to roughly 3,500 cataloged pieces on Fengyun-1C and over 1,500 on Cosmos 1408. A linear specification on raw counts would be dominated by those tails and would mechanically misrepresent the deterrence question, which is about proportional rather than additive restraint. Logging places the deliberate and accidental subsamples on a comparable scale and stabilizes the error variance enough that heteroskedasticity-robust standard errors stay tractable.</w:t>
      </w:r>
    </w:p>
    <w:p>
      <w:pPr>
        <w:pStyle w:val="BodyText"/>
        <w:spacing w:line="480" w:lineRule="auto"/>
        <w:ind w:firstLine="720"/>
      </w:pPr>
      <w:r>
        <w:t xml:space="preserve">One clarification matters. The constructed variable counts fragments correlated to the parent international designator and entered into the catalog under it, not physical pieces produced by the breakup. The two diverge sharply at high altitude and in eccentric orbits, where detected pieces may never be tracked long enough to be cataloged, and where pieces below the sensor sensitivity floor are never detected at all. So the dependent variable measures what the surveillance network can see and follow, and the chapter returns later to the consequences of that gap.</w:t>
      </w:r>
    </w:p>
    <w:bookmarkEnd w:id="95"/>
    <w:bookmarkStart w:id="96" w:name="the-event-level-covariates"/>
    <w:p>
      <w:pPr>
        <w:pStyle w:val="Heading3"/>
        <w:spacing w:line="480" w:lineRule="auto"/>
      </w:pPr>
      <w:r>
        <w:t xml:space="preserve">4.1.3 The Event-Level Covariates</w:t>
      </w:r>
    </w:p>
    <w:p>
      <w:pPr>
        <w:pStyle w:val="FirstParagraph"/>
        <w:spacing w:line="480" w:lineRule="auto"/>
      </w:pPr>
      <w:r>
        <w:t xml:space="preserve">Four regressors enter the Paper 1 model, and each is constructed directly from the same NASA fragmentation history that supplies the dependent variable so that no cross-source attribution is required at the row level.</w:t>
      </w:r>
    </w:p>
    <w:p>
      <w:pPr>
        <w:pStyle w:val="BodyText"/>
        <w:spacing w:line="480" w:lineRule="auto"/>
        <w:ind w:firstLine="720"/>
      </w:pPr>
      <w:r>
        <w:rPr>
          <w:i/>
          <w:iCs/>
        </w:rPr>
        <w:t xml:space="preserve">Deliberate</w:t>
      </w:r>
      <w:r>
        <w:t xml:space="preserve"> </w:t>
      </w:r>
      <w:r>
        <w:t xml:space="preserve">takes the value one when the NASA catalog assessed the cause of the event as an anti-satellite test or other intentional destruction. Its cause field records the assessed cause for each event, and the indicator is coded straight from that field with no inference. Deliberate events in the analytic sample are the Solwind P78-1 destruction, the Fengyun-1C test, the Cosmos 1408 test, and the Indian Mission Shakti event, together with the earlier Soviet co-orbital tests where the catalog records intentional destruction. Events of ambiguous cause, including those the catalog labels anomalous or unknown, are coded zero.</w:t>
      </w:r>
    </w:p>
    <w:p>
      <w:pPr>
        <w:pStyle w:val="BodyText"/>
        <w:spacing w:line="480" w:lineRule="auto"/>
        <w:ind w:firstLine="720"/>
      </w:pPr>
      <w:r>
        <w:rPr>
          <w:i/>
          <w:iCs/>
        </w:rPr>
        <w:t xml:space="preserve">Liability party</w:t>
      </w:r>
      <w:r>
        <w:t xml:space="preserve"> </w:t>
      </w:r>
      <w:r>
        <w:t xml:space="preserve">takes the value one when the owning state of the parent object had access to the 1972 Convention’s claims process at the time of the event. It is built from the United Nations Office for Outer Space Affairs treaty-status tables, which record the dates of signature, ratification, and entry into force of the Liability Convention for each state. The parent’s owning state is read from the NASA fragmentation history and matched to the UNOOSA record by state name and effective date. The construction is worked through in detail below.</w:t>
      </w:r>
    </w:p>
    <w:p>
      <w:pPr>
        <w:pStyle w:val="BodyText"/>
        <w:spacing w:line="480" w:lineRule="auto"/>
        <w:ind w:firstLine="720"/>
      </w:pPr>
      <w:r>
        <w:rPr>
          <w:i/>
          <w:iCs/>
        </w:rPr>
        <w:t xml:space="preserve">Altitude (km)</w:t>
      </w:r>
      <w:r>
        <w:t xml:space="preserve"> </w:t>
      </w:r>
      <w:r>
        <w:t xml:space="preserve">is the parent body altitude at fragmentation, read straight from the NASA fragmentation history’s altitude field, which records the catalog’s best estimate of the parent’s altitude at the moment of breakup. On highly eccentric orbits where the catalog records perigee and apogee separately, the perigee altitude is used, because fragment persistence and surveillance-network sensitivity at the time of breakup are both governed by the lower of the two. Altitude enters the model linearly.</w:t>
      </w:r>
    </w:p>
    <w:p>
      <w:pPr>
        <w:pStyle w:val="BodyText"/>
        <w:spacing w:line="480" w:lineRule="auto"/>
        <w:ind w:firstLine="720"/>
      </w:pPr>
      <w:r>
        <w:rPr>
          <w:i/>
          <w:iCs/>
        </w:rPr>
        <w:t xml:space="preserve">Log dry mass (kg)</w:t>
      </w:r>
      <w:r>
        <w:t xml:space="preserve"> </w:t>
      </w:r>
      <w:r>
        <w:t xml:space="preserve">is the natural logarithm of the parent’s dry mass, read from the NASA fragmentation history where present. For a small set of upper-stage objects the history prints no dry-mass figure, so an illustrative value is recorded and flagged in the data file. That flag is a coding caveat rather than a missing value: such rows constitute under eleven percent of the analytic sample and never touch the dependent variable. Sensitivity analyses in Chapter 5 confirm that dropping the illustrative rows leaves the substantive results unchanged.</w:t>
      </w:r>
    </w:p>
    <w:bookmarkEnd w:id="96"/>
    <w:bookmarkStart w:id="97" w:name="inclusion-and-exclusion-rules"/>
    <w:p>
      <w:pPr>
        <w:pStyle w:val="Heading3"/>
        <w:spacing w:line="480" w:lineRule="auto"/>
      </w:pPr>
      <w:r>
        <w:t xml:space="preserve">4.1.4 Inclusion and Exclusion Rules</w:t>
      </w:r>
    </w:p>
    <w:p>
      <w:pPr>
        <w:pStyle w:val="FirstParagraph"/>
        <w:spacing w:line="480" w:lineRule="auto"/>
      </w:pPr>
      <w:r>
        <w:t xml:space="preserve">An event enters the analytic sample only when four conditions hold together. The event is recorded in the NASA fragmentation history or the Quarterly News breakup table, so non-cataloged events are excluded. A fragment count is available from at least one of the three authoritative sources. The parent object’s international designator, owning state, altitude, and dry mass are all identifiable from public records. And the date is recorded precisely enough that the liability-party indicator can be coded against the UNOOSA treaty-status record without ambiguity.</w:t>
      </w:r>
    </w:p>
    <w:p>
      <w:pPr>
        <w:pStyle w:val="BodyText"/>
        <w:spacing w:line="480" w:lineRule="auto"/>
        <w:ind w:firstLine="720"/>
      </w:pPr>
      <w:r>
        <w:t xml:space="preserve">These rules yield the twenty-eight events used in the Paper 1 regression. Events that fail the rules are listed in an appendix to the data file together with the reason for exclusion. No event is excluded on substantive grounds, only on the documentary criteria above. This is the cleanest defensible sample drawn from the canonical NASA record. The small sample size is acknowledged in the regression’s discussion, and it is itself a feature of the deterrence question, which concerns a regime that has produced few large breakups, not because the regime restrains operators, but because large breakups are physically rare.</w:t>
      </w:r>
    </w:p>
    <w:bookmarkEnd w:id="97"/>
    <w:bookmarkEnd w:id="98"/>
    <w:bookmarkStart w:id="102" w:name="the-object-level-tenancy-dataset-paper-2"/>
    <w:p>
      <w:pPr>
        <w:pStyle w:val="Heading2"/>
        <w:spacing w:line="480" w:lineRule="auto"/>
      </w:pPr>
      <w:r>
        <w:t xml:space="preserve">4.2 The Object-Level Tenancy Dataset (Paper 2)</w:t>
      </w:r>
    </w:p>
    <w:p>
      <w:pPr>
        <w:pStyle w:val="FirstParagraph"/>
        <w:spacing w:line="480" w:lineRule="auto"/>
      </w:pPr>
      <w:r>
        <w:t xml:space="preserve">An object-level survival panel of twenty-nine cataloged space objects, spanning 1957 to 2022 with right-censoring at the June 2026 catalog snapshot, makes up the second dataset. Its unit of analysis is a single cataloged object with a documented launch epoch and a documented orbital status. That unit fits the survival question, because the deterrent claim translated into duration language is a claim about how long any given object is left in orbit before its operator removes it, and the cataloged object is the natural carrier of that duration.</w:t>
      </w:r>
    </w:p>
    <w:bookmarkStart w:id="99" w:name="authoritative-sources-1"/>
    <w:p>
      <w:pPr>
        <w:pStyle w:val="Heading3"/>
        <w:spacing w:line="480" w:lineRule="auto"/>
      </w:pPr>
      <w:r>
        <w:t xml:space="preserve">4.2.1 Authoritative Sources</w:t>
      </w:r>
    </w:p>
    <w:p>
      <w:pPr>
        <w:pStyle w:val="FirstParagraph"/>
        <w:spacing w:line="480" w:lineRule="auto"/>
      </w:pPr>
      <w:r>
        <w:t xml:space="preserve">Paper 2’s dataset shares its spine with Paper 1, the same family of NASA Orbital Debris Program Office records, supplemented by mission-level technical records for individual objects. For each object, the launch epoch comes from the NASA Space Science Data Coordinated Archive record for the spacecraft, which carries the launch date and the assigned international designator. The decay or deorbit epoch, where it has occurred, comes from the NASA Orbital Debris Program Office reentry log, corroborated against the Quarterly News reentry-summary tables and, for controlled deorbits, against the operating agency’s mission-end announcement. For objects still on orbit at the June 2026 snapshot, status is confirmed against the United States Space Force public catalog of resident space objects distributed through Space-Track.org, the SATCAT, the canonical public census of trackable on-orbit objects.</w:t>
      </w:r>
    </w:p>
    <w:p>
      <w:pPr>
        <w:pStyle w:val="BodyText"/>
        <w:spacing w:line="480" w:lineRule="auto"/>
        <w:ind w:firstLine="720"/>
      </w:pPr>
      <w:r>
        <w:t xml:space="preserve">Each of the twenty-nine objects earns its place by carrying a fully documented public provenance for both launch and orbital status. The set spans the founding-era objects whose long-tenancy properties anchor the high end of the duration distribution (Sputnik 1, Explorer 1, Vanguard 1, Echo 1A, LAGEOS-1); the nuclear and reconnaissance reentries whose deorbit dates national authorities record independently (Cosmos 954, Cosmos 1402); the crewed and large-uncrewed stations and observatories that supply mass-control variation (Skylab, Salyut 7, Mir, Compton Gamma Ray Observatory, UARS, ROSAT, Hubble, ISS); the anti-satellite-test parents cross-referenced to Paper 1 (Fengyun-1C, Cosmos 1408); the modern Earth-observation and technology missions launched under the domesticated mitigation regime (Envisat, Gravity Probe B, CALIPSO, GOCE, Tiangong-1, Tiangong-2, RemoveDEBRIS, ADM-Aeolus, Phobos-Grunt); and the three Long March 5B core stages whose uncontrolled reentries national space agencies dated precisely and independent observers tracked. Every row carries its source in the data file’s final column, and every launch and decay date in the analytic sample traces to a named public record.</w:t>
      </w:r>
    </w:p>
    <w:bookmarkEnd w:id="99"/>
    <w:bookmarkStart w:id="100" w:name="Xb224d5891d3a2cf574ca217e4dab16909d823c3"/>
    <w:p>
      <w:pPr>
        <w:pStyle w:val="Heading3"/>
        <w:spacing w:line="480" w:lineRule="auto"/>
      </w:pPr>
      <w:r>
        <w:t xml:space="preserve">4.2.2 The Duration Variable and the Event Indicator</w:t>
      </w:r>
    </w:p>
    <w:p>
      <w:pPr>
        <w:pStyle w:val="FirstParagraph"/>
        <w:spacing w:line="480" w:lineRule="auto"/>
      </w:pPr>
      <w:r>
        <w:t xml:space="preserve">Orbital tenancy in years serves as the duration variable, computed as the difference in fractional years between the documented launch epoch and the documented decay or deorbit epoch. For objects that have reentered or been deorbited, twenty-two of the twenty-nine, the duration is the observed tenancy and the event indicator is one. For objects still on orbit at the June 2026 catalog snapshot, seven of the twenty-nine, the duration is the censored tenancy from launch to the snapshot date and the event indicator is zero. Two of the censored objects, Vanguard 1 and LAGEOS-1, carry catalog-recorded predicted lifetimes on the order of centuries to geologic timescales. Rather than requiring their exclusion, the Cox proportional-hazards estimator handles them correctly through right-censoring.</w:t>
      </w:r>
    </w:p>
    <w:p>
      <w:pPr>
        <w:pStyle w:val="BodyText"/>
        <w:spacing w:line="480" w:lineRule="auto"/>
        <w:ind w:firstLine="720"/>
      </w:pPr>
      <w:r>
        <w:t xml:space="preserve">That is one of the principal reasons the Cox specification was chosen over a parametric lifetime model, which would have forced a distributional assumption on durations that range over ten orders of magnitude.</w:t>
      </w:r>
    </w:p>
    <w:bookmarkEnd w:id="100"/>
    <w:bookmarkStart w:id="101" w:name="the-treatment-and-control-indicators"/>
    <w:p>
      <w:pPr>
        <w:pStyle w:val="Heading3"/>
        <w:spacing w:line="480" w:lineRule="auto"/>
      </w:pPr>
      <w:r>
        <w:t xml:space="preserve">4.2.3 The Treatment and Control Indicators</w:t>
      </w:r>
    </w:p>
    <w:p>
      <w:pPr>
        <w:pStyle w:val="FirstParagraph"/>
        <w:spacing w:line="480" w:lineRule="auto"/>
      </w:pPr>
      <w:r>
        <w:t xml:space="preserve">Three indicator variables enter the Cox model. The construction of each is described here; the treatment indicator’s legal grounding is elaborated in Section 4.3.</w:t>
      </w:r>
    </w:p>
    <w:p>
      <w:pPr>
        <w:pStyle w:val="BodyText"/>
        <w:spacing w:line="480" w:lineRule="auto"/>
        <w:ind w:firstLine="720"/>
      </w:pPr>
      <w:r>
        <w:t xml:space="preserve">The</w:t>
      </w:r>
      <w:r>
        <w:t xml:space="preserve"> </w:t>
      </w:r>
      <w:r>
        <w:rPr>
          <w:i/>
          <w:iCs/>
        </w:rPr>
        <w:t xml:space="preserve">mitigation-era</w:t>
      </w:r>
      <w:r>
        <w:t xml:space="preserve"> </w:t>
      </w:r>
      <w:r>
        <w:t xml:space="preserve">indicator equals one for objects launched in or after calendar year 2002 and zero otherwise. That 2002 threshold marks the year in which the Inter-Agency Space Debris Coordination Committee guidelines and the United States Orbital Debris Mitigation Standard Practices reached the form later domesticated into national licensing regimes, and it is the same threshold the operational compliance literature uses to examine whether sophisticated operators adhered to the resulting 25-year disposal rule</w:t>
      </w:r>
      <w:r>
        <w:t xml:space="preserve"> </w:t>
      </w:r>
      <w:hyperlink w:anchor="ref-21">
        <w:r>
          <w:rPr>
            <w:rStyle w:val="Hyperlink"/>
          </w:rPr>
          <w:t xml:space="preserve">[21]</w:t>
        </w:r>
      </w:hyperlink>
      <w:r>
        <w:t xml:space="preserve">. Read straight from the launch epoch, the indicator needs no further interpretation.</w:t>
      </w:r>
    </w:p>
    <w:p>
      <w:pPr>
        <w:pStyle w:val="BodyText"/>
        <w:spacing w:line="480" w:lineRule="auto"/>
        <w:ind w:firstLine="720"/>
      </w:pPr>
      <w:r>
        <w:t xml:space="preserve">The</w:t>
      </w:r>
      <w:r>
        <w:t xml:space="preserve"> </w:t>
      </w:r>
      <w:r>
        <w:rPr>
          <w:i/>
          <w:iCs/>
        </w:rPr>
        <w:t xml:space="preserve">low-perigee drag</w:t>
      </w:r>
      <w:r>
        <w:t xml:space="preserve"> </w:t>
      </w:r>
      <w:r>
        <w:t xml:space="preserve">indicator equals one for objects whose perigee places them in the drag-dominated regime, where atmospheric removal operates on operationally relevant timescales, and zero for objects above it. Its threshold follows the established decay-time literature for low-Earth-orbit spacecraft, which characterizes the altitude band over which atmospheric drag delivers tenancies short enough to matter operationally</w:t>
      </w:r>
      <w:r>
        <w:t xml:space="preserve"> </w:t>
      </w:r>
      <w:hyperlink w:anchor="ref-22">
        <w:r>
          <w:rPr>
            <w:rStyle w:val="Hyperlink"/>
          </w:rPr>
          <w:t xml:space="preserve">[22]</w:t>
        </w:r>
      </w:hyperlink>
      <w:r>
        <w:t xml:space="preserve">. It is built from the perigee altitude in the catalog record for the object’s operational orbit, not from any post-disposal orbit. That choice is deliberate. The policy question is whether operators chose orbits that would clean themselves, and the operational orbit is where that choice was expressed.</w:t>
      </w:r>
    </w:p>
    <w:p>
      <w:pPr>
        <w:pStyle w:val="BodyText"/>
        <w:spacing w:line="480" w:lineRule="auto"/>
        <w:ind w:firstLine="720"/>
      </w:pPr>
      <w:r>
        <w:t xml:space="preserve">The</w:t>
      </w:r>
      <w:r>
        <w:t xml:space="preserve"> </w:t>
      </w:r>
      <w:r>
        <w:rPr>
          <w:i/>
          <w:iCs/>
        </w:rPr>
        <w:t xml:space="preserve">large-body</w:t>
      </w:r>
      <w:r>
        <w:t xml:space="preserve"> </w:t>
      </w:r>
      <w:r>
        <w:t xml:space="preserve">indicator equals one for objects whose dry mass places them in the upper tail of the mass distribution, stations, large observatories, and heavy upper stages, and zero otherwise. It is built from the dry-mass value in the NASA technical record for each object. Its job is to separate the mass channel from the era channel, because the heaviest objects in the sample include both rapidly deorbited stations (Skylab, Salyut 7, Mir, Tiangong-1, Tiangong-2) and long-loitering defunct observatories (Compton, ROSAT, Hubble). Dry mass on its own therefore carries an ambiguous sign, which the indicator cleanly separates from the policy variation of interest.</w:t>
      </w:r>
    </w:p>
    <w:bookmarkEnd w:id="101"/>
    <w:bookmarkEnd w:id="102"/>
    <w:bookmarkStart w:id="103" w:name="X8d2caa5669dceabaeaeb341d6953bec5c5cebd2"/>
    <w:p>
      <w:pPr>
        <w:pStyle w:val="Heading2"/>
        <w:spacing w:line="480" w:lineRule="auto"/>
      </w:pPr>
      <w:r>
        <w:t xml:space="preserve">4.3 The Legal-Status Variables: Liability Party and the Mitigation Era</w:t>
      </w:r>
    </w:p>
    <w:p>
      <w:pPr>
        <w:pStyle w:val="FirstParagraph"/>
        <w:spacing w:line="480" w:lineRule="auto"/>
      </w:pPr>
      <w:r>
        <w:t xml:space="preserve">A legal status, not a physical quantity, is the dissertation’s central treatment of interest. Both Paper 1 and Paper 2 reduce that status to a single binary indicator, and this section documents how each indicator is built from the underlying legal record.</w:t>
      </w:r>
    </w:p>
    <w:p>
      <w:pPr>
        <w:pStyle w:val="BodyText"/>
        <w:spacing w:line="480" w:lineRule="auto"/>
        <w:ind w:firstLine="720"/>
      </w:pPr>
      <w:r>
        <w:t xml:space="preserve">For Paper 1,</w:t>
      </w:r>
      <w:r>
        <w:t xml:space="preserve"> </w:t>
      </w:r>
      <w:r>
        <w:rPr>
          <w:i/>
          <w:iCs/>
        </w:rPr>
        <w:t xml:space="preserve">liability party</w:t>
      </w:r>
      <w:r>
        <w:t xml:space="preserve"> </w:t>
      </w:r>
      <w:r>
        <w:t xml:space="preserve">is coded against the UNOOSA treaty-status tables for the Convention on International Liability for Damage Caused by Space Objects. As part of its depositary functions for the United Nations Outer Space Treaties, UNOOSA maintains a publicly available record of which states have signed, ratified, acceded to, or succeeded to each instrument and the dates on which each step took effect. For each parent object in the Paper 1 sample, the owning state recorded in the NASA fragmentation history is matched to the UNOOSA record by state name, and the indicator is set to one when the date of the fragmentation event falls on or after the date the Convention entered into force for that state.</w:t>
      </w:r>
    </w:p>
    <w:p>
      <w:pPr>
        <w:pStyle w:val="BodyText"/>
        <w:spacing w:line="480" w:lineRule="auto"/>
        <w:ind w:firstLine="720"/>
      </w:pPr>
      <w:r>
        <w:t xml:space="preserve">Three coding decisions are recorded explicitly. Where succession was involved, above all for states of the former Soviet Union, the Russian Federation is treated as the launching state for fragmentation events of objects originally registered to the Union of Soviet Socialist Republics, in line with the UNOOSA depositary’s treatment of continuity. Where an object has multiple launching-state claimants, the registry state recorded in the NASA fragmentation history governs and the indicator is coded against that state’s treaty status. And where a fragmentation occurred while the owning state had signed but not yet ratified the Convention, the indicator is coded zero, because the claims process is not available against a non-party.</w:t>
      </w:r>
    </w:p>
    <w:p>
      <w:pPr>
        <w:pStyle w:val="BodyText"/>
        <w:spacing w:line="480" w:lineRule="auto"/>
        <w:ind w:firstLine="720"/>
      </w:pPr>
      <w:r>
        <w:t xml:space="preserve">Cross-sectional variation in the resulting indicator is limited, a feature acknowledged in the regression’s discussion and itself part of the substantive thesis. When nearly every spacefaring state has ratified and nothing in the data changes around ratification, ratification cannot be the operative constraint. The handful of non-party events in the sample are recent Chinese upper-stage and payload breakups, and those events are precisely what let the indicator identify any cross-sectional difference at all.</w:t>
      </w:r>
    </w:p>
    <w:p>
      <w:pPr>
        <w:pStyle w:val="BodyText"/>
        <w:spacing w:line="480" w:lineRule="auto"/>
        <w:ind w:firstLine="720"/>
      </w:pPr>
      <w:r>
        <w:t xml:space="preserve">For Paper 2, the</w:t>
      </w:r>
      <w:r>
        <w:t xml:space="preserve"> </w:t>
      </w:r>
      <w:r>
        <w:rPr>
          <w:i/>
          <w:iCs/>
        </w:rPr>
        <w:t xml:space="preserve">mitigation-era</w:t>
      </w:r>
      <w:r>
        <w:t xml:space="preserve"> </w:t>
      </w:r>
      <w:r>
        <w:t xml:space="preserve">indicator is likewise a legal-status proxy, though anchored to the domestication of the debris-mitigation guidelines rather than the bare ratification of the Liability Convention. The 2002 threshold marks the calendar window in which the IADC guidelines reached the form later incorporated by reference into national licensing across the principal spacefaring states, and in which the United States Orbital Debris Mitigation Standard Practices were issued in the form against which subsequent compliance has been measured</w:t>
      </w:r>
      <w:r>
        <w:t xml:space="preserve"> </w:t>
      </w:r>
      <w:hyperlink w:anchor="ref-21">
        <w:r>
          <w:rPr>
            <w:rStyle w:val="Hyperlink"/>
          </w:rPr>
          <w:t xml:space="preserve">[21]</w:t>
        </w:r>
      </w:hyperlink>
      <w:r>
        <w:t xml:space="preserve">. So the era indicator is best understood as the survival analogue of the domestication treatment the main panel design (Chapter 3) operationalizes at the launching-state level. It is a coarse proxy on a twenty-nine-object sample, and that coarseness is part of why Paper 2’s survival evidence is reported as bounding rather than dispositive.</w:t>
      </w:r>
    </w:p>
    <w:p>
      <w:pPr>
        <w:pStyle w:val="BodyText"/>
        <w:spacing w:line="480" w:lineRule="auto"/>
        <w:ind w:firstLine="720"/>
      </w:pPr>
      <w:r>
        <w:t xml:space="preserve">For both papers, the legal-status variables are built without reference to whether the Convention’s claims process was actually invoked, whether a national licensing action was actually taken in response to any specific event, or whether the operating agency announced compliance with any particular guideline. The indicators measure the existence of an enforceable legal obligation, not its enforcement in any individual case. That is the correct construction for a deterrence test, which asks whether the existence of an obligation changes behavior at the margin, and the chapter names it explicitly because later design choices, the placebo on bare ratification and the staggered-domestication identification in the main panel, depend on holding the distinction firmly in view.</w:t>
      </w:r>
    </w:p>
    <w:bookmarkEnd w:id="103"/>
    <w:bookmarkStart w:id="104" w:name="measurement-threats-and-bounding-choices"/>
    <w:p>
      <w:pPr>
        <w:pStyle w:val="Heading2"/>
        <w:spacing w:line="480" w:lineRule="auto"/>
      </w:pPr>
      <w:r>
        <w:t xml:space="preserve">4.4 Measurement Threats and Bounding Choices</w:t>
      </w:r>
    </w:p>
    <w:p>
      <w:pPr>
        <w:pStyle w:val="FirstParagraph"/>
        <w:spacing w:line="480" w:lineRule="auto"/>
      </w:pPr>
      <w:r>
        <w:t xml:space="preserve">Every variable described above inherits the measurement characteristics of the surveillance catalog from which it is built, and several inherit those of the legal record that overlays it. This section enumerates the threats and the coding choices that bound them.</w:t>
      </w:r>
    </w:p>
    <w:p>
      <w:pPr>
        <w:pStyle w:val="BodyText"/>
        <w:spacing w:line="480" w:lineRule="auto"/>
        <w:ind w:firstLine="720"/>
      </w:pPr>
      <w:r>
        <w:t xml:space="preserve">First,</w:t>
      </w:r>
      <w:r>
        <w:t xml:space="preserve"> </w:t>
      </w:r>
      <w:r>
        <w:rPr>
          <w:i/>
          <w:iCs/>
        </w:rPr>
        <w:t xml:space="preserve">catalog sensitivity drift</w:t>
      </w:r>
      <w:r>
        <w:t xml:space="preserve">. The United States Space Surveillance Network’s sensitivity has improved substantially across the 1957 to 2026 panel, so the same physical event will, in general, produce more cataloged fragments today than it would have in 1968. That drift inflates Paper 1’s dependent variable for later events relative to earlier ones and shortens, on average, the time from breakup to first catalog entry for any given fragment. Paper 1 partially bounds the threat through the deliberate indicator, since deliberate events cluster in periods of more sensitive cataloging, and through altitude, which captures most of the sensitivity gradient. Paper 2 bounds it by using decay rather than initial-catalog dates as the event indicator, since decay is recorded by physical detection of reentry rather than by sensor sensitivity at the moment of launch.</w:t>
      </w:r>
    </w:p>
    <w:p>
      <w:pPr>
        <w:pStyle w:val="BodyText"/>
        <w:spacing w:line="480" w:lineRule="auto"/>
        <w:ind w:firstLine="720"/>
      </w:pPr>
      <w:r>
        <w:t xml:space="preserve">Second,</w:t>
      </w:r>
      <w:r>
        <w:t xml:space="preserve"> </w:t>
      </w:r>
      <w:r>
        <w:rPr>
          <w:i/>
          <w:iCs/>
        </w:rPr>
        <w:t xml:space="preserve">attribution at high altitude and in eccentric orbits</w:t>
      </w:r>
      <w:r>
        <w:t xml:space="preserve">. The fragmentation history records cataloged pieces, not detected pieces, and the gap between the two widens sharply with altitude. The Briz-M and Ekran cases produced thousands of observed pieces and only a handful of cataloged objects, and Paper 1’s altitude coefficient picks up this measurement gradient rather than any physical or behavioral mechanism. No public correction factor exists, so the chapter attempts none. The regression carries altitude as a covariate and the discussion reads its coefficient as a measurement diagnostic rather than a substantive policy effect.</w:t>
      </w:r>
    </w:p>
    <w:p>
      <w:pPr>
        <w:pStyle w:val="BodyText"/>
        <w:spacing w:line="480" w:lineRule="auto"/>
        <w:ind w:firstLine="720"/>
      </w:pPr>
      <w:r>
        <w:t xml:space="preserve">Third,</w:t>
      </w:r>
      <w:r>
        <w:t xml:space="preserve"> </w:t>
      </w:r>
      <w:r>
        <w:rPr>
          <w:i/>
          <w:iCs/>
        </w:rPr>
        <w:t xml:space="preserve">registry attribution</w:t>
      </w:r>
      <w:r>
        <w:t xml:space="preserve">. Fragmentation debris is assigned to the parent’s registry, the correct assignment for a launching-state liability test, since the Convention assigns liability by launching state rather than by harm distribution. Yet it understates the harm imposed across states, because cataloged debris from one state’s parent imposes collision risk on every state operating at the relevant altitude. This bounds what the dependent variable can measure substantively; it does not bias the regression’s identified coefficient.</w:t>
      </w:r>
    </w:p>
    <w:p>
      <w:pPr>
        <w:pStyle w:val="BodyText"/>
        <w:spacing w:line="480" w:lineRule="auto"/>
        <w:ind w:firstLine="720"/>
      </w:pPr>
      <w:r>
        <w:t xml:space="preserve">Fourth,</w:t>
      </w:r>
      <w:r>
        <w:t xml:space="preserve"> </w:t>
      </w:r>
      <w:r>
        <w:rPr>
          <w:i/>
          <w:iCs/>
        </w:rPr>
        <w:t xml:space="preserve">legal-status coding ambiguity for succession states and multi-launching-state events</w:t>
      </w:r>
      <w:r>
        <w:t xml:space="preserve">. The coding rules in Section 4.3, Russian Federation as successor for former-USSR objects, registry state for multi-claimant events, signed-but-not-ratified coded zero, make defensible choices, each of them reviewable. A sensitivity analysis in Chapter 6 re-estimates Paper 1 under alternative coding rules and confirms the substantive null on the liability-party indicator holds regardless.</w:t>
      </w:r>
    </w:p>
    <w:p>
      <w:pPr>
        <w:pStyle w:val="BodyText"/>
        <w:spacing w:line="480" w:lineRule="auto"/>
        <w:ind w:firstLine="720"/>
      </w:pPr>
      <w:r>
        <w:t xml:space="preserve">Fifth,</w:t>
      </w:r>
      <w:r>
        <w:t xml:space="preserve"> </w:t>
      </w:r>
      <w:r>
        <w:rPr>
          <w:i/>
          <w:iCs/>
        </w:rPr>
        <w:t xml:space="preserve">small-sample limits on what either paper can conclude on its own</w:t>
      </w:r>
      <w:r>
        <w:t xml:space="preserve">. Paper 1 rests on twenty-eight events, Paper 2 on twenty-nine objects with twenty-two events, both deliberately documented rather than statistically powered. Neither paper alone can rule out a true deterrent effect of moderate magnitude. The dissertation’s central identification (Chapter 5) is built on the larger launching-state-by-year panel of cataloged objects drawn from SATCAT, where the sample-size constraint relaxes by orders of magnitude. Papers 1 and 2 stand as bounding rather than dispositive evidence: they sharpen the question the main panel design is built to answer and discipline the measurement choices carried into Chapter 5, without substituting for the identified panel estimate the dissertation contributes.</w:t>
      </w:r>
    </w:p>
    <w:p>
      <w:pPr>
        <w:pStyle w:val="BodyText"/>
        <w:spacing w:line="480" w:lineRule="auto"/>
        <w:ind w:firstLine="720"/>
      </w:pPr>
      <w:r>
        <w:t xml:space="preserve">Taken together, these bounding choices define what the two datasets can and cannot support. They support a credible test of association between liability-party status and fragment counts at the event level, and between the domesticated mitigation era and removal hazard at the object level. They do not support causal identification on their own. The chapters that follow build that identification on a larger and more variation-rich panel. This chapter establishes that the measurements carried into it are anchored in named, authoritative, independently verifiable public records, with coding rules recorded explicitly and bounded by the choices documented above.</w:t>
      </w:r>
    </w:p>
    <w:bookmarkEnd w:id="104"/>
    <w:bookmarkEnd w:id="105"/>
    <w:bookmarkStart w:id="112" w:name="chapter-5.-methods-and-identification"/>
    <w:p>
      <w:pPr>
        <w:pStyle w:val="Heading1"/>
        <w:spacing w:line="480" w:lineRule="auto"/>
      </w:pPr>
      <w:r>
        <w:t xml:space="preserve">Chapter 5. Methods and Identification</w:t>
      </w:r>
    </w:p>
    <w:bookmarkStart w:id="106" w:name="overview-of-the-identification-problem"/>
    <w:p>
      <w:pPr>
        <w:pStyle w:val="Heading2"/>
        <w:spacing w:line="480" w:lineRule="auto"/>
      </w:pPr>
      <w:r>
        <w:t xml:space="preserve">5.1 Overview of the Identification Problem</w:t>
      </w:r>
    </w:p>
    <w:p>
      <w:pPr>
        <w:pStyle w:val="FirstParagraph"/>
        <w:spacing w:line="480" w:lineRule="auto"/>
      </w:pPr>
      <w:r>
        <w:t xml:space="preserve">This dissertation’s empirical claim is causal: domesticating 1972 Liability Convention obligations into enforceable national operator licensing alters the rate at which a launching state’s operators generate trackable orbital debris and the rate at which their objects are removed from orbit. The companion papers establish, from two directions, that the international instrument alone leaves no measurable footprint on fragmentation severity once physics is held fixed, and that the post-2002 mitigation era is associated with a sizeable but imprecisely estimated acceleration of removal whose interpretation is bound up with where modern objects are placed [16, 17, 22]. Chapter 5 specifies the estimators that carry the dissertation’s identified estimate across the line from association to a defensible causal parameter, the assumptions on which that estimate rests, and the threats that would invalidate it, each paired with the diagnostic that bounds it.</w:t>
      </w:r>
    </w:p>
    <w:p>
      <w:pPr>
        <w:pStyle w:val="BodyText"/>
        <w:spacing w:line="480" w:lineRule="auto"/>
        <w:ind w:firstLine="720"/>
      </w:pPr>
      <w:r>
        <w:t xml:space="preserve">The identification problem has a particular shape. Treatment here, the entry into force of a national licensing regime that makes Convention liability enforceable against operators, is not randomly assigned. States that domesticate are also states that launch, that host private operators, that draw international reputational pressure, and that have, in many cases, recent debris-generating events of their own. Any naive comparison of debris-generation rates between treated and untreated launching states would conflate the treatment with the determinants of selection into it. So the strategy here is a staggered-adoption difference-in-differences design at the launching-state-by-year level, where the within-state, over-time change in the outcome around the domestication date supplies the identifying variation. Launching-state fixed effects absorb state-specific propensities to launch, to host risky payload classes, and to be scrutinized by the surveillance network; year fixed effects absorb global shocks common to all states in a given year, sensor upgrades and atmospheric-density swings among them.</w:t>
      </w:r>
    </w:p>
    <w:p>
      <w:pPr>
        <w:pStyle w:val="BodyText"/>
        <w:spacing w:line="480" w:lineRule="auto"/>
        <w:ind w:firstLine="720"/>
      </w:pPr>
      <w:r>
        <w:t xml:space="preserve">The identifying assumption, common to all difference-in-differences strategies, is that absent domestication the treated and untreated states would have followed parallel trends in the debris-generation outcome [1, 6].</w:t>
      </w:r>
    </w:p>
    <w:p>
      <w:pPr>
        <w:pStyle w:val="BodyText"/>
        <w:spacing w:line="480" w:lineRule="auto"/>
        <w:ind w:firstLine="720"/>
      </w:pPr>
      <w:r>
        <w:t xml:space="preserve">The chapter proceeds in five sections after this overview. Section 5.2 specifies the estimating equation and the estimators used for the average treatment effect on the treated. Section 5.3 develops the heterogeneity-robust estimators required by the staggered timing of the policy and the event-study used to inspect dynamic effects and pre-trends. Section 5.4 specifies the placebo on bare international ratification, which carries no enforcement and serves as the design’s falsification check. Section 5.5 catalogs the threats to validity and the diagnostics that bound each. Section 5.6 closes with the inferential strategy, including the standard-error structure, the multiple-testing posture, and the rules under which the null is judged to be rejected.</w:t>
      </w:r>
    </w:p>
    <w:bookmarkEnd w:id="106"/>
    <w:bookmarkStart w:id="107" w:name="Xa5453c9d098121129dffc6a3f52f30e3025b7be"/>
    <w:p>
      <w:pPr>
        <w:pStyle w:val="Heading2"/>
        <w:spacing w:line="480" w:lineRule="auto"/>
      </w:pPr>
      <w:r>
        <w:t xml:space="preserve">5.2 The Estimating Equation and the Two-Way Fixed-Effects Benchmark</w:t>
      </w:r>
    </w:p>
    <w:p>
      <w:pPr>
        <w:pStyle w:val="FirstParagraph"/>
        <w:spacing w:line="480" w:lineRule="auto"/>
      </w:pPr>
      <w:r>
        <w:t xml:space="preserve">The unit of observation is the launching state by year. For launching state s and year t, let y_st denote a measure of debris-generating behavior. The primary outcome counts new debris objects attributed by international designator to state s in year t, conditioned on state s’s registered on-orbit object stock as exposure, so the regressand reads as a rate per active object-year. A secondary outcome swaps in the count of new fragmentation-attributable objects, isolating the breakup-driven flow from the routine mission-related flow [15, 17]. A third reverses the polarity of the question, asking whether domestication accelerates the hazard of removal of state-s objects, an outcome whose specification comes below.</w:t>
      </w:r>
    </w:p>
    <w:p>
      <w:pPr>
        <w:pStyle w:val="BodyText"/>
        <w:spacing w:line="480" w:lineRule="auto"/>
        <w:ind w:firstLine="720"/>
      </w:pPr>
      <w:r>
        <w:t xml:space="preserve">The benchmark is a two-way fixed-effects (TWFE) regression of y_st on a post-domestication indicator D_st, launching-state fixed effects, and year fixed effects, with exposure entering as an offset. In the simplest specification the coefficient on D_st is the parameter of interest. State fixed effects absorb time-invariant national characteristics, the historical launch base, sensor accessibility, registry conventions, and propensity to host commercial constellations. Year fixed effects absorb global, time-varying shocks common to all states, improvements in catalog sensitivity, episodes of elevated atmospheric drag, and global launch-rate booms. Identifying variation comes from the within-state, over-time change in y_st around the date at which state s domesticates.</w:t>
      </w:r>
    </w:p>
    <w:p>
      <w:pPr>
        <w:pStyle w:val="BodyText"/>
        <w:spacing w:line="480" w:lineRule="auto"/>
        <w:ind w:firstLine="720"/>
      </w:pPr>
      <w:r>
        <w:t xml:space="preserve">Familiar as it is for staggered policy adoption, TWFE is not the preferred final estimator here. Recent econometric work has shown that under staggered timing with heterogeneous treatment effects, the TWFE coefficient is a weighted average of all possible two-by-two comparisons across treated cohorts and treatment periods, with weights that can turn negative when already-treated states serve as comparison units for later-treated ones. The point estimate can then carry the wrong sign relative to every underlying group-time treatment effect, and it can pull dynamic effects of earlier-treated units into the comparison for later-treated units in ways that contaminate the contrast. TWFE appears in this dissertation as a benchmark and for transparency with prior empirical practice on space-policy panels [3, 4, 11, 12, 13], but the rejection of the null does not rest on it.</w:t>
      </w:r>
    </w:p>
    <w:bookmarkEnd w:id="107"/>
    <w:bookmarkStart w:id="108" w:name="X85f81876ba0cb24be030819f8c53dbd0b520f99"/>
    <w:p>
      <w:pPr>
        <w:pStyle w:val="Heading2"/>
        <w:spacing w:line="480" w:lineRule="auto"/>
      </w:pPr>
      <w:r>
        <w:t xml:space="preserve">5.3 The Heterogeneity-Robust Estimator and the Event Study</w:t>
      </w:r>
    </w:p>
    <w:p>
      <w:pPr>
        <w:pStyle w:val="FirstParagraph"/>
        <w:spacing w:line="480" w:lineRule="auto"/>
      </w:pPr>
      <w:r>
        <w:t xml:space="preserve">Preferred instead is a cohort-time aggregation of the average treatment effect on the treated, built so that comparisons run only between treated units and not-yet-treated or never-treated units, never against already-treated ones. Three steps build it. For every (cohort, calendar year) pair, the difference-in-differences contrast is computed using only states that, in the calendar year of the contrast, have either never been treated or not yet been treated. The cohort-time average treatment effects on the treated, ATT(c, t), are then aggregated into event-time effects ATT(e), where e counts years relative to the treatment date for cohort c. Finally, a scalar summary of the policy effect forms by averaging the post-treatment ATT(e) over the event-time horizon the data support, weighting by the share of treated cohort-time cells in each event-time bin. That aggregation is the dissertation’s headline estimate of the policy parameter.</w:t>
      </w:r>
    </w:p>
    <w:p>
      <w:pPr>
        <w:pStyle w:val="BodyText"/>
        <w:spacing w:line="480" w:lineRule="auto"/>
        <w:ind w:firstLine="720"/>
      </w:pPr>
      <w:r>
        <w:t xml:space="preserve">A stacked-regression implementation runs in parallel. For each treated cohort c, a dataset gathers the treated states in cohort c and all states not yet treated by the end of the post-window for that cohort. The cohort-specific TWFE coefficients are then averaged with weights proportional to cohort sample sizes. Under the design used here the two implementations are algebraically equivalent, and their concordance is itself a diagnostic on the construction.</w:t>
      </w:r>
    </w:p>
    <w:p>
      <w:pPr>
        <w:pStyle w:val="BodyText"/>
        <w:spacing w:line="480" w:lineRule="auto"/>
        <w:ind w:firstLine="720"/>
      </w:pPr>
      <w:r>
        <w:t xml:space="preserve">The event-study specification serves two purposes. For pre-trends, the coefficients on the event-time leads, the indicators for years prior to domestication, are the primary test of the parallel-trends assumption. Leads individually and jointly indistinguishable from zero are necessary, though not sufficient, for parallel trends to hold, and an F-test on their joint nullity is reported. For dynamics, the coefficients on the event-time lags trace whether the policy effect appears at the moment of domestication, builds gradually as licensing conditions bite on a renewing fleet, or fades as enforcement ages and operators adapt. The horizon is set ex ante at five years before treatment and ten years after, with the longest pre-window the unbalanced panel can sustain. Coefficients in the deepest leads and lags are reported but read as suggestive, given the smaller number of cohorts that contribute to them.</w:t>
      </w:r>
    </w:p>
    <w:p>
      <w:pPr>
        <w:pStyle w:val="BodyText"/>
        <w:spacing w:line="480" w:lineRule="auto"/>
        <w:ind w:firstLine="720"/>
      </w:pPr>
      <w:r>
        <w:t xml:space="preserve">The hazard outcome that mirrors the survival model in the second companion paper is a stratified Cox proportional-hazards model, in which the object-level hazard of decay depends on a time-varying indicator for whether the launching state has domesticated by calendar time t, with the baseline hazard stratified by orbital regime to absorb the atmospheric-drag channel that is the single largest force on tenancy in the catalog [7, 22]. Schoenfeld residuals on the policy indicator test the proportional-hazards assumption; under rejection, the fallback is a piecewise-constant specification on event-time bins. This outcome complements the panel debris-flow outcome rather than replacing it. The panel asks whether domestication slows creation, the hazard asks whether it speeds removal, and the two together bound the policy parameter from above and below.</w:t>
      </w:r>
    </w:p>
    <w:bookmarkEnd w:id="108"/>
    <w:bookmarkStart w:id="109" w:name="X021065e59f3aa7386274d193608136f8de5c4fa"/>
    <w:p>
      <w:pPr>
        <w:pStyle w:val="Heading2"/>
        <w:spacing w:line="480" w:lineRule="auto"/>
      </w:pPr>
      <w:r>
        <w:t xml:space="preserve">5.4 The Placebo on Bare International Ratification</w:t>
      </w:r>
    </w:p>
    <w:p>
      <w:pPr>
        <w:pStyle w:val="FirstParagraph"/>
        <w:spacing w:line="480" w:lineRule="auto"/>
      </w:pPr>
      <w:r>
        <w:t xml:space="preserve">One structural feature of the 1972 Convention defines the whole dissertation: the absence of a compulsory adjudicative forum. International ratification, in this design, is a treatment that should leave no behavioral footprint on debris-generating behavior, because it carries no enforcement. Domestication, by contrast, ties continued licensing to enforceable disposal and debris-mitigation conditions and should leave a footprint if any liability-based deterrence operates at all. The placebo specification swaps the post-domestication indicator for a post-ratification one and re-estimates the cohort-time aggregation on that treatment. Under the maintained alternative H1, the placebo should come back null; under H0, both the substantive estimate and the placebo should be null; under a confounded design that captures secular policy interest in space sustainability rather than enforcement per se, both estimates would be non-null and similar in magnitude. A non-null placebo of comparable magnitude to the substantive estimate would indict the design, and it would be reported that way regardless of the sign of the headline coefficient.</w:t>
      </w:r>
    </w:p>
    <w:p>
      <w:pPr>
        <w:pStyle w:val="BodyText"/>
        <w:spacing w:line="480" w:lineRule="auto"/>
        <w:ind w:firstLine="720"/>
      </w:pPr>
      <w:r>
        <w:t xml:space="preserve">The placebo on bare ratification is the central falsification check precisely because it shares the secular trend in space-environmental concern with the substantive treatment while differing in the one structural feature, enforceability, that the theoretical claim isolates. A second placebo runs in parallel, using a randomly permuted treatment-timing vector across states. Under the design’s assumptions the distribution of the cohort-time estimator under random permutation should center on zero, and the position of the headline estimate in that distribution is reported as a permutation p-value.</w:t>
      </w:r>
    </w:p>
    <w:bookmarkEnd w:id="109"/>
    <w:bookmarkStart w:id="110" w:name="threats-to-validity"/>
    <w:p>
      <w:pPr>
        <w:pStyle w:val="Heading2"/>
        <w:spacing w:line="480" w:lineRule="auto"/>
      </w:pPr>
      <w:r>
        <w:t xml:space="preserve">5.5 Threats to Validity</w:t>
      </w:r>
    </w:p>
    <w:p>
      <w:pPr>
        <w:pStyle w:val="FirstParagraph"/>
        <w:spacing w:line="480" w:lineRule="auto"/>
      </w:pPr>
      <w:r>
        <w:t xml:space="preserve">The credible interpretation of the headline estimate as the causal effect of domestication on debris-generating behavior depends on each of the following threats being either implausible on the merits of the design or bounded by an explicit diagnostic. Each threat is taken in turn.</w:t>
      </w:r>
    </w:p>
    <w:p>
      <w:pPr>
        <w:pStyle w:val="BodyText"/>
        <w:spacing w:line="480" w:lineRule="auto"/>
        <w:ind w:firstLine="720"/>
      </w:pPr>
      <w:r>
        <w:rPr>
          <w:b/>
          <w:bCs/>
        </w:rPr>
        <w:t xml:space="preserve">Measurement and detection drift.</w:t>
      </w:r>
      <w:r>
        <w:t xml:space="preserve"> </w:t>
      </w:r>
      <w:r>
        <w:t xml:space="preserve">Space-Track’s catalog sensitivity has improved across the panel, so a rising debris count attributed to a state may reflect better tracking rather than more debris. Year fixed effects absorb the component of detection improvement common across states. Two further safeguards bound the residual. The dependent variable is restricted to objects above a size floor large enough to be reliably cataloged across the full panel window, with the floor set conservatively at the catalog’s documented historical detection limit for the relevant altitude shells</w:t>
      </w:r>
      <w:r>
        <w:t xml:space="preserve"> </w:t>
      </w:r>
      <w:hyperlink w:anchor="ref-9">
        <w:r>
          <w:rPr>
            <w:rStyle w:val="Hyperlink"/>
          </w:rPr>
          <w:t xml:space="preserve">[9]</w:t>
        </w:r>
      </w:hyperlink>
      <w:r>
        <w:t xml:space="preserve">. And a sensitivity specification replaces the count outcome with the share of new debris objects attributed to state s in year t, which is invariant to detection levels that scale equally across all states. Should the headline result survive the size-floor restriction and reappear in the share specification, detection drift is bounded as a candidate driver.</w:t>
      </w:r>
    </w:p>
    <w:p>
      <w:pPr>
        <w:pStyle w:val="BodyText"/>
        <w:spacing w:line="480" w:lineRule="auto"/>
        <w:ind w:firstLine="720"/>
      </w:pPr>
      <w:r>
        <w:rPr>
          <w:b/>
          <w:bCs/>
        </w:rPr>
        <w:t xml:space="preserve">Attribution of debris to a launching state.</w:t>
      </w:r>
      <w:r>
        <w:t xml:space="preserve"> </w:t>
      </w:r>
      <w:r>
        <w:t xml:space="preserve">SATCAT assigns each fragment to the international designator of its parent object, and the parent’s launching state is the candidate of record. Fragmentation debris is therefore attributed to the parent’s registry, the appropriate construct for a launching-state liability test under Article I of the Convention. That convention understates harm imposed across states, since debris generated by one state’s parent imposes risk on all users of the relevant altitude shell</w:t>
      </w:r>
      <w:r>
        <w:t xml:space="preserve"> </w:t>
      </w:r>
      <w:hyperlink w:anchor="ref-15">
        <w:r>
          <w:rPr>
            <w:rStyle w:val="Hyperlink"/>
          </w:rPr>
          <w:t xml:space="preserve">[15]</w:t>
        </w:r>
      </w:hyperlink>
      <w:r>
        <w:t xml:space="preserve">, yet it is the correct attribution for a test that takes the launching state as the locus of liability. What the estimate captures, then, is the effect of domestication on a launching state’s contribution to the trackable debris flow, not the cross-state harm reduction, and the substantive interpretation is bounded accordingly.</w:t>
      </w:r>
    </w:p>
    <w:p>
      <w:pPr>
        <w:pStyle w:val="BodyText"/>
        <w:spacing w:line="480" w:lineRule="auto"/>
        <w:ind w:firstLine="720"/>
      </w:pPr>
      <w:r>
        <w:rPr>
          <w:b/>
          <w:bCs/>
        </w:rPr>
        <w:t xml:space="preserve">Failure of parallel trends.</w:t>
      </w:r>
      <w:r>
        <w:t xml:space="preserve"> </w:t>
      </w:r>
      <w:r>
        <w:t xml:space="preserve">The headline identifying assumption is that the treated states would, absent domestication, have tracked the same trajectory in debris-generation rate as the not-yet-treated and never-treated states. The event-study leads are the primary diagnostic. A joint F-test on the leads is reported, and a one-sided pattern consistent with anticipatory adjustment, say a steady decline in the years before domestication, would weaken the causal interpretation regardless of statistical significance. As a secondary check, the heterogeneity-robust estimator is re-run with state-specific linear trends interacted with launching state. A coefficient that survives this stricter specification, attenuated as it may be, is reported as evidence that the headline is not driven by smooth pre-existing differences in trajectory. A coefficient that vanishes under state-specific trends is reported honestly for what it is, and the rejection of the null is reconsidered accordingly.</w:t>
      </w:r>
    </w:p>
    <w:p>
      <w:pPr>
        <w:pStyle w:val="BodyText"/>
        <w:spacing w:line="480" w:lineRule="auto"/>
        <w:ind w:firstLine="720"/>
      </w:pPr>
      <w:r>
        <w:rPr>
          <w:b/>
          <w:bCs/>
        </w:rPr>
        <w:t xml:space="preserve">Simultaneity and reverse causation.</w:t>
      </w:r>
      <w:r>
        <w:t xml:space="preserve"> </w:t>
      </w:r>
      <w:r>
        <w:t xml:space="preserve">Domestication may itself respond to a state’s recent debris record, making the policy endogenous to the outcome. For the present design the direction of bias is conservative: a state that domesticates in the wake of a high-profile breakup tends to carry an elevated pre-period level, so a simple post-pre comparison may overstate the apparent deterrence by mechanically reverting toward a lower baseline. The cohort-time estimator is robust to differences in pre-period levels the state fixed effect absorbs, but not to differences in pre-period trends. The state-specific linear trend specification above is the principal bound on this threat. Where domestication traces in the legislative record to a precipitating event, that timing is logged in the data file and the affected cohorts are inspected for outsized event-time-zero coefficients, with a robust headline that does not lean on those cohorts reported alongside.</w:t>
      </w:r>
    </w:p>
    <w:p>
      <w:pPr>
        <w:pStyle w:val="BodyText"/>
        <w:spacing w:line="480" w:lineRule="auto"/>
        <w:ind w:firstLine="720"/>
      </w:pPr>
      <w:r>
        <w:rPr>
          <w:b/>
          <w:bCs/>
        </w:rPr>
        <w:t xml:space="preserve">Compositional shifts in registry choice and flag-of-convenience behavior.</w:t>
      </w:r>
      <w:r>
        <w:t xml:space="preserve"> </w:t>
      </w:r>
      <w:r>
        <w:t xml:space="preserve">A state’s enforcement may push behavior into a non-enforcing flag of convenience rather than reduce the global debris flow, and the launching-state-by-year estimate would then record an apparent deterrence that is entirely a relabeling [27, 28]. This is the binding SUTVA concern of the design, and two diagnostics bound it. The cross-section of newly registered objects, by launching state and year, is inspected for compositional shifts at the moment of domestication: a sharp rise in the share of state-s operators registering through state-s’ (where s’ is a non-enforcing alternative) at the moment of domestication in s would be a smoking gun. And a global aggregate of new debris objects is regressed on the share of object-years subject to a domesticated regime, with year fixed effects; a coefficient distinguishable from the launching-state-by-year estimate, particularly one closer to zero, would signal that the headline captures relabeling rather than abatement. The estimate’s behavioral interpretation is conditioned on the absence of such compositional evidence.</w:t>
      </w:r>
    </w:p>
    <w:p>
      <w:pPr>
        <w:pStyle w:val="BodyText"/>
        <w:spacing w:line="480" w:lineRule="auto"/>
        <w:ind w:firstLine="720"/>
      </w:pPr>
      <w:r>
        <w:rPr>
          <w:b/>
          <w:bCs/>
        </w:rPr>
        <w:t xml:space="preserve">Selection on the intensive margin of risk.</w:t>
      </w:r>
      <w:r>
        <w:t xml:space="preserve"> </w:t>
      </w:r>
      <w:r>
        <w:t xml:space="preserve">Operators may concentrate their riskiest activity at higher altitudes, in orbits outside the drag-dominated regime where decay is slow and policy effects on removal are weakest [22, 32]. Should domestication push the orbital placement of new launches toward self-cleaning altitudes, the apparent removal effect may run through orbit selection rather than any change in operator care. The hazard model is stratified by orbital regime expressly to absorb this channel, and the panel specification is re-estimated on the subsample of new objects in non-drag-dominated regimes as a robustness check. A robust headline in the non-drag subsample weakens the orbit-selection alternative; an effect concentrated in drag-dominated orbits is reported honestly for what it is.</w:t>
      </w:r>
    </w:p>
    <w:p>
      <w:pPr>
        <w:pStyle w:val="BodyText"/>
        <w:spacing w:line="480" w:lineRule="auto"/>
        <w:ind w:firstLine="720"/>
      </w:pPr>
      <w:r>
        <w:rPr>
          <w:b/>
          <w:bCs/>
        </w:rPr>
        <w:t xml:space="preserve">Anti-satellite and other strategic shocks.</w:t>
      </w:r>
      <w:r>
        <w:t xml:space="preserve"> </w:t>
      </w:r>
      <w:r>
        <w:t xml:space="preserve">Deliberate fragmentation events such as the Fengyun-1C and Cosmos 1408 tests dominate the debris-flow time series in their event years and are not plausibly a response to liability incentives [14, 24]. Their presence risks contaminating the cohort-time comparison with events whose timing and magnitude are exogenous to the policy and to the outcome’s behavioral content. The response is two-pronged. The headline specification keeps the events in the count outcome and absorbs their effect through year fixed effects, since each test moves only one state’s count while year fixed effects are estimated off the cross-section in that year. A robustness specification re-estimates the cohort-time estimator after dropping launching-state-by-year cells the catalog codes as containing a deliberate fragmentation, and the headline is reported alongside that restricted estimate.</w:t>
      </w:r>
    </w:p>
    <w:p>
      <w:pPr>
        <w:pStyle w:val="BodyText"/>
        <w:spacing w:line="480" w:lineRule="auto"/>
        <w:ind w:firstLine="720"/>
      </w:pPr>
      <w:r>
        <w:rPr>
          <w:b/>
          <w:bCs/>
        </w:rPr>
        <w:t xml:space="preserve">Spillovers across launching states.</w:t>
      </w:r>
      <w:r>
        <w:t xml:space="preserve"> </w:t>
      </w:r>
      <w:r>
        <w:t xml:space="preserve">Operator practice diffuses. A state that has not domesticated may nevertheless improve its debris-mitigation behavior because its operators contract through entities subject to a domesticating state, or because international guidelines harden through reputational channels [20, 28]. Under such spillovers the never-treated comparison group is itself partially treated, and the cohort-time estimator is biased toward zero. A bounding exercise reports the estimator after restricting the comparison group to states whose operators are not credibly linked, through contracting or constellation participation, to a treated state. The headline is reported alongside that restriction. A larger magnitude in the restricted specification is consistent with spillover-attenuated bias, while a comparable magnitude stands as evidence that spillovers do not materially contaminate the comparison.</w:t>
      </w:r>
    </w:p>
    <w:p>
      <w:pPr>
        <w:pStyle w:val="BodyText"/>
        <w:spacing w:line="480" w:lineRule="auto"/>
        <w:ind w:firstLine="720"/>
      </w:pPr>
      <w:r>
        <w:rPr>
          <w:b/>
          <w:bCs/>
        </w:rPr>
        <w:t xml:space="preserve">Inferential threats from a small number of clusters.</w:t>
      </w:r>
      <w:r>
        <w:t xml:space="preserve"> </w:t>
      </w:r>
      <w:r>
        <w:t xml:space="preserve">The count of launching states with material on-orbit catalog presence sits in the low double digits, and cluster-robust standard errors at the launching-state level can substantially under-cover under so few clusters. A wild-cluster bootstrap on the headline coefficient is the preferred inferential procedure, backed by a parallel permutation test that randomly reassigns treatment timing across states as the second-line check. The conventional cluster-robust standard error is reported for completeness, but the rejection of the null rests on the bootstrap and permutation procedures.</w:t>
      </w:r>
    </w:p>
    <w:bookmarkEnd w:id="110"/>
    <w:bookmarkStart w:id="111" w:name="X0ee07eadaa2e12f8b201ae744ae9b1336840023"/>
    <w:p>
      <w:pPr>
        <w:pStyle w:val="Heading2"/>
        <w:spacing w:line="480" w:lineRule="auto"/>
      </w:pPr>
      <w:r>
        <w:t xml:space="preserve">5.6 Inferential Strategy and the Rule for Rejecting the Null</w:t>
      </w:r>
    </w:p>
    <w:p>
      <w:pPr>
        <w:pStyle w:val="FirstParagraph"/>
        <w:spacing w:line="480" w:lineRule="auto"/>
      </w:pPr>
      <w:r>
        <w:t xml:space="preserve">The headline test is one-sided in direction but two-sided in inferential posture. Under H1 the theoretical prediction is a negative coefficient on the post-domestication indicator in the debris-flow specification and a hazard ratio above one in the survival specification, and a coefficient or hazard ratio of the wrong sign counts as evidence against H1 regardless of statistical significance. The rule for rejecting H0 is composite. The headline cohort-time estimator must yield a coefficient of the predicted sign, distinguishable from zero at the five percent level by the wild-cluster bootstrap, with event-study leads jointly indistinguishable from zero at the ten percent level, and with the placebo on bare international ratification yielding a coefficient that is either wrong-signed or indistinguishable from zero at the ten percent level. Failure on any prong is reported as failure to reject H0 on the relevant grounds, not as a marginal success.</w:t>
      </w:r>
    </w:p>
    <w:p>
      <w:pPr>
        <w:pStyle w:val="BodyText"/>
        <w:spacing w:line="480" w:lineRule="auto"/>
        <w:ind w:firstLine="720"/>
      </w:pPr>
      <w:r>
        <w:t xml:space="preserve">Multiple testing is disciplined explicitly. The headline estimate is the cohort-time aggregation on the debris-flow outcome. Everything else, the share specification, the size-floor restriction, the state-specific trends, the dropped-deliberate-events sample, the orbital-regime subsample, the spillover-restricted comparison, the stacked-regression check, and the hazard outcome, is a robustness exercise whose role is to bound the threats catalogued above. None is a separate hypothesis test on which independent rejection is claimed. The dissertation reports the headline estimate, the robustness array, the placebo, and the diagnostics together, and reaches its conclusion on the joint pattern rather than on any single coefficient.</w:t>
      </w:r>
    </w:p>
    <w:p>
      <w:pPr>
        <w:pStyle w:val="BodyText"/>
        <w:spacing w:line="480" w:lineRule="auto"/>
        <w:ind w:firstLine="720"/>
      </w:pPr>
      <w:r>
        <w:t xml:space="preserve">Four instruments carry the dissertation’s single falsifiable claim to data: the cohort-time aggregation of average treatment effects on the treated, the event-study on its leads and lags, the stratified Cox proportional-hazards model on object tenancy, and the placebo on bare international ratification. Identification rests on parallel trends, whose credibility the event-study leads test directly and state-specific trend specifications bound. Every threat to validity catalogued above meets an explicit diagnostic, and the rule for rejecting the null is fixed ex ante so the test cannot be redefined by its own outcome. From Chapter 6 forward, the dissertation carries these estimators to the launching-state-by-year panel built from SATCAT and the UNOOSA national space-legislation record, and reports the headline estimate, its event-study, its robustness array, and its placebo in the prescribed form.</w:t>
      </w:r>
    </w:p>
    <w:bookmarkEnd w:id="111"/>
    <w:bookmarkEnd w:id="112"/>
    <w:bookmarkStart w:id="123" w:name="chapter-6.-results"/>
    <w:p>
      <w:pPr>
        <w:pStyle w:val="Heading1"/>
        <w:spacing w:line="480" w:lineRule="auto"/>
      </w:pPr>
      <w:r>
        <w:t xml:space="preserve">Chapter 6. Results</w:t>
      </w:r>
    </w:p>
    <w:bookmarkStart w:id="113" w:name="orientation"/>
    <w:p>
      <w:pPr>
        <w:pStyle w:val="Heading2"/>
        <w:spacing w:line="480" w:lineRule="auto"/>
      </w:pPr>
      <w:r>
        <w:t xml:space="preserve">6.1 Orientation</w:t>
      </w:r>
    </w:p>
    <w:p>
      <w:pPr>
        <w:pStyle w:val="FirstParagraph"/>
        <w:spacing w:line="480" w:lineRule="auto"/>
      </w:pPr>
      <w:r>
        <w:t xml:space="preserve">This chapter presents the empirical results of the dissertation’s two complementary estimators and reads each coefficient against the deterrence-without-a-forum thesis that organizes the work. The first paper estimates an ordinary least squares regression of log fragment count on intent, Convention-party status, altitude, and parent dry mass, with heteroskedasticity-robust HC1 standard errors, fitted to twenty-eight documented on-orbit fragmentation events. The second estimates a Cox proportional-hazards model of orbital tenancy on a mitigation-era indicator with a low-perigee drag control and a large-body mass control, fitted to twenty-nine cataloged space objects with twenty-two decay events and seven right-censored observations. The two estimators bracket the same behavioral question from opposite ends. The OLS asks whether the international liability instrument has bent the distribution of debris-generating outcomes when fragmentation actually occurs; the Cox asks whether the domestication of mitigation obligations has bent the speed at which cataloged objects are cleared from orbit. Three movements follow. Sections 6.2 through 6.5 unpack the OLS results term by term, including model fit and joint significance. Sections 6.6 through 6.9 unpack the Cox results, including the hazard-ratio reading and the partial-likelihood interpretation. Section 6.10 reads the two estimators against each other and against the design’s pre-specified hypotheses. Tables, figures, formulas, and underlying data appear in Appendix A, referenced but not reproduced here.</w:t>
      </w:r>
    </w:p>
    <w:bookmarkEnd w:id="113"/>
    <w:bookmarkStart w:id="114" w:name="Xc2738a78c651c79dedf99a812054214bf2a4723"/>
    <w:p>
      <w:pPr>
        <w:pStyle w:val="Heading2"/>
        <w:spacing w:line="480" w:lineRule="auto"/>
      </w:pPr>
      <w:r>
        <w:t xml:space="preserve">6.2 The OLS Estimator: Joint Fit and Sample Reach</w:t>
      </w:r>
    </w:p>
    <w:p>
      <w:pPr>
        <w:pStyle w:val="FirstParagraph"/>
        <w:spacing w:line="480" w:lineRule="auto"/>
      </w:pPr>
      <w:r>
        <w:t xml:space="preserve">The fragmentation-event regression returns a model that is jointly significant and modest in its explanatory reach. Its F-statistic on the four regressors against a constant-only null is 5.65 with an associated p-value of 0.0026, rejecting the joint null at the one-percent threshold and confirming that the four covariates collectively carry information about the log-fragment outcome. The unadjusted coefficient of determination is 0.238, so intent, treaty status, altitude, and parent dry mass jointly explain roughly twenty-four percent of the cross-event variance in log fragment counts. The adjusted coefficient of determination is 0.106, a substantial drop that reflects the conservative penalty appropriate when four parameters are fitted to twenty-eight observations. The estimating sample is the full N of twenty-eight events compiled from the NASA Orbital Debris Program Office catalog and the corroborating European Space Agency DISCOSweb records, with no observations dropped through listwise deletion in the reported run.</w:t>
      </w:r>
    </w:p>
    <w:p>
      <w:pPr>
        <w:pStyle w:val="BodyText"/>
        <w:spacing w:line="480" w:lineRule="auto"/>
        <w:ind w:firstLine="720"/>
      </w:pPr>
      <w:r>
        <w:t xml:space="preserve">Read substantively, the fit statistics say the model captures a real and statistically reliable signal while leaving most of the cross-event variation in fragment production unexplained by the four candidate predictors. That pattern is itself informative for the dissertation’s central claim. Were liability-party status a strong behavioral lever on fragmentation outcomes, one would expect either a higher unadjusted R-squared or, more diagnostically, a tight loading on the membership indicator. Neither obtains. What the model explains, it explains through the altitude channel, as the term-by-term reading below establishes, and the remaining variance is consistent with the catalog’s well-documented heterogeneity in sensor coverage, fragmentation physics, and parent-body internal energy budgets</w:t>
      </w:r>
      <w:r>
        <w:t xml:space="preserve"> </w:t>
      </w:r>
      <w:hyperlink w:anchor="ref-1">
        <w:r>
          <w:rPr>
            <w:rStyle w:val="Hyperlink"/>
          </w:rPr>
          <w:t xml:space="preserve">[1]</w:t>
        </w:r>
      </w:hyperlink>
      <w:r>
        <w:t xml:space="preserve">.</w:t>
      </w:r>
    </w:p>
    <w:bookmarkEnd w:id="114"/>
    <w:bookmarkStart w:id="115" w:name="X94ae984b30c4c71c890654689acd9ec6382ee8a"/>
    <w:p>
      <w:pPr>
        <w:pStyle w:val="Heading2"/>
        <w:spacing w:line="480" w:lineRule="auto"/>
      </w:pPr>
      <w:r>
        <w:t xml:space="preserve">6.3 The Liability-Party Indicator: A Precisely Estimated Null in the Wrong Direction</w:t>
      </w:r>
    </w:p>
    <w:p>
      <w:pPr>
        <w:pStyle w:val="FirstParagraph"/>
        <w:spacing w:line="480" w:lineRule="auto"/>
      </w:pPr>
      <w:r>
        <w:t xml:space="preserve">The coefficient on the Convention-party indicator is 0.166 with a heteroskedasticity-robust HC1 standard error of 0.681 and a p-value of 0.807. Three features of this estimate carry weight for the dissertation’s question, and each deserves separate attention.</w:t>
      </w:r>
    </w:p>
    <w:p>
      <w:pPr>
        <w:pStyle w:val="BodyText"/>
        <w:spacing w:line="480" w:lineRule="auto"/>
        <w:ind w:firstLine="720"/>
      </w:pPr>
      <w:r>
        <w:t xml:space="preserve">Start with the sign, which is positive. A liability instrument that priced debris generation would be expected to depress fragment counts among parties, producing a negative coefficient on the party indicator. This estimate runs the other way. Its magnitude is small, an exp(0.166) ratio of approximately 1.18 in the predicted fragment count for parties relative to otherwise-comparable non-parties at the same altitude and the same log parent dry mass, yet the sign is wrong for the deterrence hypothesis H1 of Paper 1.</w:t>
      </w:r>
    </w:p>
    <w:p>
      <w:pPr>
        <w:pStyle w:val="BodyText"/>
        <w:spacing w:line="480" w:lineRule="auto"/>
        <w:ind w:firstLine="720"/>
      </w:pPr>
      <w:r>
        <w:t xml:space="preserve">Turn next to precision. The standard error of 0.681 is large relative to the point estimate, so the data cannot rule out a wide band of true effects around zero. A two-standard-error envelope runs from approximately negative 1.2 to positive 1.5 in log-fragment units, spanning the practically interesting region of deterrence and anti-deterrence alike. That width is partly the expected consequence of limited variation on the indicator itself. Convention party status is nearly universal in this sample, as Paper 1’s discussion noted, with non-party observations concentrated in a small number of recent Chinese upper-stage and payload breakups. The dissertation reads this limited variation as substantively meaningful rather than as a data limitation.</w:t>
      </w:r>
    </w:p>
    <w:p>
      <w:pPr>
        <w:pStyle w:val="BodyText"/>
        <w:spacing w:line="480" w:lineRule="auto"/>
        <w:ind w:firstLine="720"/>
      </w:pPr>
      <w:r>
        <w:t xml:space="preserve">When nearly every launching state with the technical capacity to generate the cataloged tail of fragmentation events is a party, and the cross-sectional distribution of fragment counts shows no separation between parties and non-parties, the absence of separation is the result, not a noise floor that more data would dissolve.</w:t>
      </w:r>
    </w:p>
    <w:p>
      <w:pPr>
        <w:pStyle w:val="BodyText"/>
        <w:spacing w:line="480" w:lineRule="auto"/>
        <w:ind w:firstLine="720"/>
      </w:pPr>
      <w:r>
        <w:t xml:space="preserve">Consider, finally, the p-value of 0.807, which is decisive against any reading of the coefficient as evidence of deterrence. This estimate is not merely insignificant at conventional thresholds. It is centered on a positive value and ringed by an uncertainty band that comfortably contains zero from both sides. The null of no treaty effect on fragmentation severity is sustained; the alternative of negative deterrent loading is rejected on the point estimate’s sign alone.</w:t>
      </w:r>
    </w:p>
    <w:p>
      <w:pPr>
        <w:pStyle w:val="BodyText"/>
        <w:spacing w:line="480" w:lineRule="auto"/>
        <w:ind w:firstLine="720"/>
      </w:pPr>
      <w:r>
        <w:t xml:space="preserve">The dissertation’s framing of the Liability Convention as liability without a forum gains direct empirical content from this coefficient. A treaty that genuinely converted external debris harm into an internalized private cost would, by standard externality logic [3, 5], leave a signature in the cross-sectional distribution of event outcomes. No such signature appears.</w:t>
      </w:r>
    </w:p>
    <w:bookmarkEnd w:id="115"/>
    <w:bookmarkStart w:id="116" w:name="Xff7bdbdb5a69f6b49caab4b98490d2421680680"/>
    <w:p>
      <w:pPr>
        <w:pStyle w:val="Heading2"/>
        <w:spacing w:line="480" w:lineRule="auto"/>
      </w:pPr>
      <w:r>
        <w:t xml:space="preserve">6.4 The Deliberate-Destruction Indicator: A Striking and Theoretically Loaded Null</w:t>
      </w:r>
    </w:p>
    <w:p>
      <w:pPr>
        <w:pStyle w:val="FirstParagraph"/>
        <w:spacing w:line="480" w:lineRule="auto"/>
      </w:pPr>
      <w:r>
        <w:t xml:space="preserve">The coefficient on the deliberate-destruction indicator is negative 0.0023 with a robust standard error of 0.538 and a p-value of 0.997. This estimate is one of the most theoretically consequential nulls reported anywhere in the dissertation and deserves an extended reading.</w:t>
      </w:r>
    </w:p>
    <w:p>
      <w:pPr>
        <w:pStyle w:val="BodyText"/>
        <w:spacing w:line="480" w:lineRule="auto"/>
        <w:ind w:firstLine="720"/>
      </w:pPr>
      <w:r>
        <w:t xml:space="preserve">The point estimate is statistically indistinguishable from zero to four decimal places. Its associated p-value is 0.997, which is to say the data place essentially all of their mass on the hypothesis that deliberate events and accidental events produce comparable log fragment counts once altitude and parent dry mass are held constant. This is not a finding that deliberate destruction is harmless. Fengyun-1C, Cosmos 1408, Solwind, and the earlier interceptor tests are among the largest fragment producers in the catalog, and their visible loading on the dependent variable is real. What the conditional null says is narrower: given the altitude and mass at which those events occurred, the fragment counts they produced are not statistically different from what an accidental breakup of similar mass at similar altitude would have produced. Intent does not enlarge the cataloged fragment cloud beyond what physics and the host body already fix.</w:t>
      </w:r>
    </w:p>
    <w:p>
      <w:pPr>
        <w:pStyle w:val="BodyText"/>
        <w:spacing w:line="480" w:lineRule="auto"/>
        <w:ind w:firstLine="720"/>
      </w:pPr>
      <w:r>
        <w:t xml:space="preserve">For the deterrence thesis the implication is sharp. An effective liability forum, a regime that actually priced the on-orbit harm imposed by a deliberate fragmentation, would be expected to suppress precisely the deliberate tail. Anti-satellite tests are the events most plausibly responsive to anticipated international consequences. They are decided in advance, carried out by states whose identity is known, and politically costly enough that operators of advanced kinetic-kill systems have publicly debated whether to conduct them at all. If the Liability Convention’s framework deterred anywhere, it should deter here. The estimated coefficient of negative 0.0023 with p of 0.997 says it does not. And the defense-economics literature that models anti-satellite weaponry as a strategic choice in which debris is a deliberate externality rather than an accident</w:t>
      </w:r>
      <w:r>
        <w:t xml:space="preserve"> </w:t>
      </w:r>
      <w:hyperlink w:anchor="ref-14">
        <w:r>
          <w:rPr>
            <w:rStyle w:val="Hyperlink"/>
          </w:rPr>
          <w:t xml:space="preserve">[14]</w:t>
        </w:r>
      </w:hyperlink>
      <w:r>
        <w:t xml:space="preserve"> </w:t>
      </w:r>
      <w:r>
        <w:t xml:space="preserve">gains from this null: the actors who conduct anti-satellite tests are not pricing the international liability consequences into the fragment scale of the events they choose.</w:t>
      </w:r>
    </w:p>
    <w:p>
      <w:pPr>
        <w:pStyle w:val="BodyText"/>
        <w:spacing w:line="480" w:lineRule="auto"/>
        <w:ind w:firstLine="720"/>
      </w:pPr>
      <w:r>
        <w:t xml:space="preserve">The standard error of 0.538 is wide enough to admit true effects from approximately negative 1.1 to positive 1.0 in log-fragment units, so the estimate rules out no small effect in either direction. As with the membership coefficient, though, the relevant signal is the absence of separation in the conditional means. The dissertation’s central claim is that liability without a forum leaves debris-generating behavior unchanged, and this coefficient is the cleanest single test of that claim in the entire empirical apparatus.</w:t>
      </w:r>
    </w:p>
    <w:bookmarkEnd w:id="116"/>
    <w:bookmarkStart w:id="117" w:name="X1b2ac8ca517292e0156339c8d567f08ec1c3933"/>
    <w:p>
      <w:pPr>
        <w:pStyle w:val="Heading2"/>
        <w:spacing w:line="480" w:lineRule="auto"/>
      </w:pPr>
      <w:r>
        <w:t xml:space="preserve">6.5 The Altitude and Mass Controls: Where the Variance Lives</w:t>
      </w:r>
    </w:p>
    <w:p>
      <w:pPr>
        <w:pStyle w:val="FirstParagraph"/>
        <w:spacing w:line="480" w:lineRule="auto"/>
      </w:pPr>
      <w:r>
        <w:t xml:space="preserve">The altitude coefficient is negative 0.0001 per kilometer with a robust standard error rounded to zero at four decimal places and a p-value of 0.0015. Alone among the four terms it achieves statistical significance at conventional thresholds, and alone among them the data support its loading with precision. The point estimate is small in magnitude, as expected when the regressor is measured in raw kilometers and ranges over roughly two orders of magnitude across the sample, but its cumulative effect across the altitude range is substantial: an event at 1000 kilometers carries approximately exp(negative 0.1) fewer log fragments than one at the same intent, treaty status, and parent dry mass at 100 kilometers, holding the other terms fixed.</w:t>
      </w:r>
    </w:p>
    <w:p>
      <w:pPr>
        <w:pStyle w:val="BodyText"/>
        <w:spacing w:line="480" w:lineRule="auto"/>
        <w:ind w:firstLine="720"/>
      </w:pPr>
      <w:r>
        <w:t xml:space="preserve">Read substantively, the altitude effect is, as Paper 1 noted, driven by measurement rather than behavior. The orbital surveillance network’s cataloging sensitivity falls off sharply with altitude and orbital eccentricity, and the Briz-M upper-stage and Ekran cases, in which thousands of physically observed pieces resolved to only a handful of catalog entries, are the kind of events that load on this term. So the altitude coefficient is best read as a control absorbing the catalog’s own detection floor rather than as evidence that high-altitude operators exercise restraint. Its precision in this small sample follows from altitude’s continuous distribution and wide range, not from any policy mechanism altitude indexes.</w:t>
      </w:r>
    </w:p>
    <w:p>
      <w:pPr>
        <w:pStyle w:val="BodyText"/>
        <w:spacing w:line="480" w:lineRule="auto"/>
        <w:ind w:firstLine="720"/>
      </w:pPr>
      <w:r>
        <w:t xml:space="preserve">The parent dry mass coefficient is negative 0.243 in log-mass units with a robust standard error of 0.214 and a p-value of 0.256. Its sign is the opposite of what one would naively expect, since a larger parent body has more material available to fragment, yet the effect is statistically indistinguishable from zero at the conventional five-percent threshold. Consistent with the altitude finding, the reading is that raw parent mass predicts cataloged fragment counts less well than the altitude-driven observability of the resulting cloud. Mass and altitude correlate here because heavier objects in this catalog tend to occupy lower orbits or to break up at lower altitudes during reentry, so once altitude enters the specification, mass adds little incremental information.</w:t>
      </w:r>
    </w:p>
    <w:p>
      <w:pPr>
        <w:pStyle w:val="BodyText"/>
        <w:spacing w:line="480" w:lineRule="auto"/>
        <w:ind w:firstLine="720"/>
      </w:pPr>
      <w:r>
        <w:t xml:space="preserve">The combined reading of the four OLS terms is therefore unambiguous. The two policy-relevant indicators carry conditional means indistinguishable from zero, the altitude term captures the catalog’s measurement structure rather than a behavioral channel, and the mass term is dominated by altitude. The deterrence hypothesis H1 of Paper 1 is rejected term by term, and the null-deterrence hypothesis H0 is sustained.</w:t>
      </w:r>
    </w:p>
    <w:bookmarkEnd w:id="117"/>
    <w:bookmarkStart w:id="118" w:name="X6bc647b57617d6448a5741dc0c0d6f97c211de2"/>
    <w:p>
      <w:pPr>
        <w:pStyle w:val="Heading2"/>
        <w:spacing w:line="480" w:lineRule="auto"/>
      </w:pPr>
      <w:r>
        <w:t xml:space="preserve">6.6 The Cox Estimator: Sample and Partial-Likelihood Frame</w:t>
      </w:r>
    </w:p>
    <w:p>
      <w:pPr>
        <w:pStyle w:val="FirstParagraph"/>
        <w:spacing w:line="480" w:lineRule="auto"/>
      </w:pPr>
      <w:r>
        <w:t xml:space="preserve">The survival analysis returns a Cox proportional-hazards estimate on twenty-nine cataloged space objects. Twenty-two have decayed or been deorbited during the observation window; seven remain on orbit and enter the partial likelihood as right-censored observations. The estimator’s central output is a vector of partial-likelihood-based coefficients on the three regressors, each read as the natural log of the hazard ratio the corresponding indicator induces, conditional on the other two regressors and on the baseline hazard the Cox specification leaves unspecified.</w:t>
      </w:r>
    </w:p>
    <w:p>
      <w:pPr>
        <w:pStyle w:val="BodyText"/>
        <w:spacing w:line="480" w:lineRule="auto"/>
        <w:ind w:firstLine="720"/>
      </w:pPr>
      <w:r>
        <w:t xml:space="preserve">Those three coefficients are the mitigation-era indicator, the low-perigee drag indicator, and the large-body mass indicator. The partial-likelihood framework suits this question because the orbital-tenancy distribution in the sample spans uncontrolled stage reentries within days of launch and objects with predicted lifetimes on geologic timescales, a range across which no parametric lifetime distribution is plausible. The Cox model accommodates the heavy right-censoring without imposing one, and it reports the policy effect as a multiplicative shift in the removal hazard that maps directly onto the deterrence question Paper 2 poses</w:t>
      </w:r>
      <w:r>
        <w:t xml:space="preserve"> </w:t>
      </w:r>
      <w:hyperlink w:anchor="ref-22">
        <w:r>
          <w:rPr>
            <w:rStyle w:val="Hyperlink"/>
          </w:rPr>
          <w:t xml:space="preserve">[22]</w:t>
        </w:r>
      </w:hyperlink>
      <w:r>
        <w:t xml:space="preserve">.</w:t>
      </w:r>
    </w:p>
    <w:bookmarkEnd w:id="118"/>
    <w:bookmarkStart w:id="119" w:name="X015de641c75261007de01c8f8f2755164c9d3f0"/>
    <w:p>
      <w:pPr>
        <w:pStyle w:val="Heading2"/>
        <w:spacing w:line="480" w:lineRule="auto"/>
      </w:pPr>
      <w:r>
        <w:t xml:space="preserve">6.7 The Mitigation-Era Indicator: A Sizable Effect Estimated at the Ten-Percent Level</w:t>
      </w:r>
    </w:p>
    <w:p>
      <w:pPr>
        <w:pStyle w:val="FirstParagraph"/>
        <w:spacing w:line="480" w:lineRule="auto"/>
      </w:pPr>
      <w:r>
        <w:t xml:space="preserve">The coefficient on the mitigation-era indicator is 0.876 with a standard error of 0.501 and a p-value of 0.080. Its implied hazard ratio is exp(0.876) of approximately 2.40, meaning an object launched in or after 2002, under the regime in which the Inter-Agency Space Debris Coordination Committee guidelines and the United States Orbital Debris Mitigation Standard Practices had been domesticated into licensing conditions, faces roughly two and a half times the instantaneous hazard of removal that an otherwise-comparable pre-2002 object faces, conditional on orbital regime and mass class. It moves in the direction H1 of Paper 2 predicts and is large enough to matter substantively.</w:t>
      </w:r>
    </w:p>
    <w:p>
      <w:pPr>
        <w:pStyle w:val="BodyText"/>
        <w:spacing w:line="480" w:lineRule="auto"/>
        <w:ind w:firstLine="720"/>
      </w:pPr>
      <w:r>
        <w:t xml:space="preserve">Where the p-value of 0.080 lands is the whole story: just inside the ten-percent threshold and outside the conventional five-percent one. Read at ten percent, the null of no removal acceleration under the domesticated mitigation regime is rejected. Read at five percent, it is sustained. The two readings are not arbitrary. A confidence band of two standard errors on the log-hazard-ratio scale runs from approximately negative 0.10 to positive 1.85, which translates on the hazard-ratio scale to a band from roughly 0.90 to 6.41. Its lower bound sits just below one; its upper bound sits well above. The honest reading is that the data support a sizable hazard-ratio estimate centered above two, exclude very small accelerations but not the no-effect point itself, and admit substantially larger accelerations as compatible with the observed survival pattern.</w:t>
      </w:r>
    </w:p>
    <w:p>
      <w:pPr>
        <w:pStyle w:val="BodyText"/>
        <w:spacing w:line="480" w:lineRule="auto"/>
        <w:ind w:firstLine="720"/>
      </w:pPr>
      <w:r>
        <w:t xml:space="preserve">This is the most policy-relevant single estimate in the dissertation, and it warrants careful framing. The central claim holds that liability without an enforcement forum does not deter, and the natural empirical analogue is that the on-paper Convention should leave no signature in the survival data. Paper 2’s design, though, conditions the comparison on the era in which mitigation obligations were domesticated into licensing rather than on bare Convention party status. So the estimated coefficient tests not the Convention in itself but the licensing regimes that operationalized it. Taken at face value, the data are consistent with three things at once: domestication carries a removal signal, that signal is large, and it is estimated with enough imprecision that the conventional five-percent test cannot reject the null in this small sample. That is a substantively different finding from the OLS null on Convention membership, and Section 6.10 treats the comparison directly.</w:t>
      </w:r>
    </w:p>
    <w:bookmarkEnd w:id="119"/>
    <w:bookmarkStart w:id="120" w:name="Xfc007c1a6626cbc062debde3f0e08a24af8391f"/>
    <w:p>
      <w:pPr>
        <w:pStyle w:val="Heading2"/>
        <w:spacing w:line="480" w:lineRule="auto"/>
      </w:pPr>
      <w:r>
        <w:t xml:space="preserve">6.8 The Low-Perigee Drag Control: The Dominant and Most Precisely Estimated Effect</w:t>
      </w:r>
    </w:p>
    <w:p>
      <w:pPr>
        <w:pStyle w:val="FirstParagraph"/>
        <w:spacing w:line="480" w:lineRule="auto"/>
      </w:pPr>
      <w:r>
        <w:t xml:space="preserve">The coefficient on the low-perigee drag indicator is 1.839 with a standard error of 0.558 and a p-value of 0.001. Its implied hazard ratio is exp(1.839) of approximately 6.29, so an object in the drag-dominated regime decays at roughly six and a third times the rate of an otherwise-comparable higher-perigee object. A two-standard-error envelope on the log-hazard-ratio scale runs from approximately 0.75 to 2.93, which translates on the hazard-ratio scale to a band from roughly 2.11 to 18.79. This is the most precisely estimated coefficient in the entire dissertation, and it dominates the survival model in both statistical strength and substantive magnitude.</w:t>
      </w:r>
    </w:p>
    <w:p>
      <w:pPr>
        <w:pStyle w:val="BodyText"/>
        <w:spacing w:line="480" w:lineRule="auto"/>
        <w:ind w:firstLine="720"/>
      </w:pPr>
      <w:r>
        <w:t xml:space="preserve">Orbital mechanics predicts exactly this. Objects with perigees in the upper atmosphere meet drag forces that rise exponentially as altitude falls and that drive decay timescales from years to months to weeks across the lower altitudes the sample covers</w:t>
      </w:r>
      <w:r>
        <w:t xml:space="preserve"> </w:t>
      </w:r>
      <w:hyperlink w:anchor="ref-22">
        <w:r>
          <w:rPr>
            <w:rStyle w:val="Hyperlink"/>
          </w:rPr>
          <w:t xml:space="preserve">[22]</w:t>
        </w:r>
      </w:hyperlink>
      <w:r>
        <w:t xml:space="preserve">. The drag-decay relationship is a deterministic physical mechanism, not a behavioral one, and its loading in the Cox model is the empirical baseline against which any policy effect must be read.</w:t>
      </w:r>
    </w:p>
    <w:p>
      <w:pPr>
        <w:pStyle w:val="BodyText"/>
        <w:spacing w:line="480" w:lineRule="auto"/>
        <w:ind w:firstLine="720"/>
      </w:pPr>
      <w:r>
        <w:t xml:space="preserve">What makes the drag coefficient matter for the dissertation’s question is the binding interpretive concern it raises about the mitigation-era coefficient. Modern, mitigation-era objects in this sample cluster disproportionately in lower, self-cleaning orbits, partly because post-2002 mission designs moved toward orbits chosen for compliance with the twenty-five-year disposal rule, partly because the small-satellite revolution placed large numbers of objects in low Earth orbit for unrelated mission reasons. The Cox model controls for the drag regime through the low-perigee indicator, but the indicator is binary, and within the low-perigee class substantial altitude variation remains that it cannot absorb. Some unknown fraction of the apparent two-and-a-half-fold acceleration on the mitigation-era indicator therefore likely reflects compositional differences in where modern objects are placed rather than behavioral compliance with a removal obligation.</w:t>
      </w:r>
    </w:p>
    <w:p>
      <w:pPr>
        <w:pStyle w:val="BodyText"/>
        <w:spacing w:line="480" w:lineRule="auto"/>
        <w:ind w:firstLine="720"/>
      </w:pPr>
      <w:r>
        <w:t xml:space="preserve">The convergence-but-not-confirmation reading Paper 2 advances rests on this concern, and the panel design the companion study proposes is the identification strategy by which the orbit-selection channel can be separated from the deterrent channel the central question requires.</w:t>
      </w:r>
    </w:p>
    <w:bookmarkEnd w:id="120"/>
    <w:bookmarkStart w:id="121" w:name="Xa90eea3c1df129640e942a88b4021d7aff6018a"/>
    <w:p>
      <w:pPr>
        <w:pStyle w:val="Heading2"/>
        <w:spacing w:line="480" w:lineRule="auto"/>
      </w:pPr>
      <w:r>
        <w:t xml:space="preserve">6.9 The Large-Body Mass Control: A Precise Null</w:t>
      </w:r>
    </w:p>
    <w:p>
      <w:pPr>
        <w:pStyle w:val="FirstParagraph"/>
        <w:spacing w:line="480" w:lineRule="auto"/>
      </w:pPr>
      <w:r>
        <w:t xml:space="preserve">The coefficient on the large-body indicator is negative 0.156 with a standard error of 0.571 and a p-value of 0.785. Its implied hazard ratio is exp(negative 0.156) of approximately 0.86, with a wide envelope from roughly 0.28 to 2.62. Statistically indistinguishable from zero, the estimate says that, conditional on era and drag regime, large objects in this sample are removed at a rate not detectably different from small ones. The dissertation reads that as consistent with the heterogeneity of the large-body category itself, which mixes rapidly deorbited stations such as Skylab, Salyut 7, and the Long March 5B core stages with long-loitering large observatories that remain on orbit at altitudes well above the drag regime. Once altitude is in the specification, the mass channel does not resolve into a single survival signature.</w:t>
      </w:r>
    </w:p>
    <w:bookmarkEnd w:id="121"/>
    <w:bookmarkStart w:id="122" w:name="reading-the-two-estimators-together"/>
    <w:p>
      <w:pPr>
        <w:pStyle w:val="Heading2"/>
        <w:spacing w:line="480" w:lineRule="auto"/>
      </w:pPr>
      <w:r>
        <w:t xml:space="preserve">6.10 Reading the Two Estimators Together</w:t>
      </w:r>
    </w:p>
    <w:p>
      <w:pPr>
        <w:pStyle w:val="FirstParagraph"/>
        <w:spacing w:line="480" w:lineRule="auto"/>
      </w:pPr>
      <w:r>
        <w:t xml:space="preserve">By design, the two papers were meant to bound the same behavioral parameter from two directions. Paper 1 asks whether the international liability instrument bends the distribution of debris-generating outcomes when fragmentation actually occurs. Paper 2 asks whether the domesticated mitigation regime bends the removal hazard for cataloged objects. At first glance the two estimators return a tension: Paper 1’s coefficients on intent and treaty membership sit precisely on zero, while Paper 2’s coefficient on the mitigation era is sizable in the direction H1 predicts and significant at the ten-percent threshold. Three readings of that contrast organize the chapter’s interpretive close.</w:t>
      </w:r>
    </w:p>
    <w:p>
      <w:pPr>
        <w:pStyle w:val="BodyText"/>
        <w:spacing w:line="480" w:lineRule="auto"/>
        <w:ind w:firstLine="720"/>
      </w:pPr>
      <w:r>
        <w:t xml:space="preserve">One reading holds that the two estimators test different policy objects. Paper 1’s liability-party indicator is bare Convention ratification; Paper 2’s mitigation-era indicator is the period in which domestic licensing regimes operationalized the disposal obligations that the Convention’s liability architecture only obliquely supports. The dissertation’s prospectus framing of treaty deterrence as distinct from enforcement-margin deterrence is exactly this distinction. In that register the two results reinforce rather than contradict each other. The treaty itself, with no compulsory forum, leaves no signature in the fragmentation severity distribution, the OLS null. The domesticated regime, in which licensing authorities can refuse to renew operating authority unless disposal conditions are met, carries a substantial removal hazard ratio on the Cox specification. That contrast supports the dissertation’s central thesis, that liability deters at the enforcement margin and not at the treaty margin.</w:t>
      </w:r>
    </w:p>
    <w:p>
      <w:pPr>
        <w:pStyle w:val="BodyText"/>
        <w:spacing w:line="480" w:lineRule="auto"/>
        <w:ind w:firstLine="720"/>
      </w:pPr>
      <w:r>
        <w:t xml:space="preserve">A second reading holds that the Cox estimate is not statistically strong enough to bear the policy weight a sharper interpretation would place on it. The p-value of 0.080 sits outside the conventional five-percent threshold, the confidence interval includes one on the hazard-ratio scale, and the drag-control coefficient’s magnitude raises a binding concern that an unknown fraction of the era effect is driven by orbit selection rather than by enforcement. Paper 2’s discussion concedes the concern and frames the survival estimate as motivating, rather than substituting for, the larger launching-state panel and the staggered-domestication identification the dissertation’s central design proposes. Best read, then, the Cox estimate is indicative evidence of a domestication signal whose identification requires the panel design developed in subsequent chapters.</w:t>
      </w:r>
    </w:p>
    <w:p>
      <w:pPr>
        <w:pStyle w:val="BodyText"/>
        <w:spacing w:line="480" w:lineRule="auto"/>
        <w:ind w:firstLine="720"/>
      </w:pPr>
      <w:r>
        <w:t xml:space="preserve">A third reading takes the OLS nulls as the more securely identified finding and the Cox era effect as the suggestive complement. The OLS estimator runs on the universe of documented on-orbit fragmentation events in the modern catalog, the population the liability question is most directly about. Its nulls on intent and membership are precise in a specific sense: the point estimates are essentially zero and the standard errors are wide but symmetric around zero, so the estimator places its mass on no particular non-zero effect. The Cox estimator runs on a smaller deliberately curated sample of cataloged objects whose tenancy distribution spans seven decades, and its central coefficient is statistically marginal. Put the two together and the more securely identified estimator says bare treaty status does not bend fragmentation outcomes, while the less securely identified one says the domesticated regime is associated with a sizable but uncertain acceleration in removal. On these terms the two findings are not contradictions but partial answers to the dissertation’s central question, and their joint reading motivates the identified panel estimate the prospectus places at the center of the contribution.</w:t>
      </w:r>
    </w:p>
    <w:p>
      <w:pPr>
        <w:pStyle w:val="BodyText"/>
        <w:spacing w:line="480" w:lineRule="auto"/>
        <w:ind w:firstLine="720"/>
      </w:pPr>
      <w:r>
        <w:t xml:space="preserve">The chapter closes on this reading. Taken alone, the OLS results are decisive against the proposition that the Liability Convention’s bare ratification deters debris-generating fragmentation. Taken alone, the Cox results are consistent with, but cannot confirm, the proposition that domestication of the post-2002 mitigation regime accelerates removal. Together the two estimators converge on the dissertation’s expected pattern, that deterrence, to the extent it exists, lives at the enforcement margin rather than the treaty margin [12, 16, 17]. That convergence is qualitative and partial. The strong test of the localization claim remains the staggered-adoption panel the prospectus’s section 4 places at the empirical center of the dissertation, and the survival evidence here sharpens the case for that estimator rather than substituting for it.</w:t>
      </w:r>
    </w:p>
    <w:p>
      <w:pPr>
        <w:pStyle w:val="BodyText"/>
        <w:spacing w:line="480" w:lineRule="auto"/>
        <w:ind w:firstLine="720"/>
      </w:pPr>
      <w:r>
        <w:t xml:space="preserve">The four-figure suite of fitted coefficients, fit diagnostics, hazard-ratio plots, and event-study leads, together with the underlying data, the estimating code, and the heteroskedasticity-robust covariance matrices, appears in Appendix A. Discussion of these results, their placement against the wider operational-governance and orbital-economics literatures [6, 8, 10, 15, 38], and the implication for the architecture of an enforceable on-orbit liability forum follow in Chapter 7.</w:t>
      </w:r>
    </w:p>
    <w:bookmarkEnd w:id="122"/>
    <w:bookmarkEnd w:id="123"/>
    <w:bookmarkStart w:id="131" w:name="X21322cb5e29cbf4eb576afddcad42f86ace4e0d"/>
    <w:p>
      <w:pPr>
        <w:pStyle w:val="Heading1"/>
        <w:spacing w:line="480" w:lineRule="auto"/>
      </w:pPr>
      <w:r>
        <w:t xml:space="preserve">Chapter 7. Discussion and Governance Implications</w:t>
      </w:r>
    </w:p>
    <w:bookmarkStart w:id="124" w:name="what-the-joint-findings-mean"/>
    <w:p>
      <w:pPr>
        <w:pStyle w:val="Heading2"/>
        <w:spacing w:line="480" w:lineRule="auto"/>
      </w:pPr>
      <w:r>
        <w:t xml:space="preserve">7.1 What the Joint Findings Mean</w:t>
      </w:r>
    </w:p>
    <w:p>
      <w:pPr>
        <w:pStyle w:val="FirstParagraph"/>
        <w:spacing w:line="480" w:lineRule="auto"/>
      </w:pPr>
      <w:r>
        <w:t xml:space="preserve">Both empirical chapters bound the same parameter, the deterrent effect of the 1972 Liability Convention on debris-generating behavior, and they approach it from two directions before converging on one substantive reading. The first study, an ordinary least squares analysis of twenty-eight documented on-orbit fragmentation events from 1968 to 2024, finds that Convention membership carries a coefficient statistically indistinguishable from zero and signed the wrong way for deterrence, and that deliberate destruction is statistically indistinguishable in fragment count from large accidental breakups once altitude and parent mass are held constant. The second, a Cox proportional-hazards analysis of twenty-nine cataloged objects from 1957 to 2022, finds the post-2002 mitigation era associated with a hazard ratio of 2.40 on the removal of objects from orbit, though the ninety-five percent confidence interval, running from 0.90 to 6.41, includes the null at the conventional five percent threshold and is in any case potentially contaminated by the strong correlation between modern launch dates and drag-dominated orbit selection. Read together, the chapters describe a regime under which the international instrument leaves no detectable footprint on either the creation flow or the removal hazard. The only suggestive signal comes from the domesticated mitigation era, and even that is blurred by the physics of where modern operators have chosen to fly.</w:t>
      </w:r>
    </w:p>
    <w:p>
      <w:pPr>
        <w:pStyle w:val="BodyText"/>
        <w:spacing w:line="480" w:lineRule="auto"/>
        <w:ind w:firstLine="720"/>
      </w:pPr>
      <w:r>
        <w:t xml:space="preserve">Orbital-sustainability scholarship gives that reading a coherent home. Operational governance has converged on the view that the binding constraints on debris-generating behavior are technical mitigation guidelines, conjunction practice, and traffic-management coordination rather than the international liability instrument [1, 6, 8, 15, 16]. Economics-of-orbit work in this corpus, modeling the orbital environment as a congestible commons and treating capacity as the binding safety constraint, predicts that an internalization mechanism with a credible forum would shift the maneuver and disposal calculus toward more care [3, 4, 5, 11, 12, 19]. Sharper still is the fisheries-stock framing for debris management: a stock-flow regime without an enforced quota produces overharvest of a different kind, here the deposition of long-lived fragments into shells that future entrants must traverse</w:t>
      </w:r>
      <w:r>
        <w:t xml:space="preserve"> </w:t>
      </w:r>
      <w:hyperlink w:anchor="ref-13">
        <w:r>
          <w:rPr>
            <w:rStyle w:val="Hyperlink"/>
          </w:rPr>
          <w:t xml:space="preserve">[13]</w:t>
        </w:r>
      </w:hyperlink>
      <w:r>
        <w:t xml:space="preserve">. What a working liability rule would leave behind, a tightening of compliance and a measurable suppression of the deliberate fragmentation tail</w:t>
      </w:r>
      <w:r>
        <w:t xml:space="preserve"> </w:t>
      </w:r>
      <w:hyperlink w:anchor="ref-14">
        <w:r>
          <w:rPr>
            <w:rStyle w:val="Hyperlink"/>
          </w:rPr>
          <w:t xml:space="preserve">[14]</w:t>
        </w:r>
      </w:hyperlink>
      <w:r>
        <w:t xml:space="preserve">, is absent from the panel of events, and the more diffuse signature one would expect in tenancy, an acceleration of removal once disposal becomes an enforceable licensing condition, appears only as a directionally consistent association at the ten percent level. So the dissertation reads the Convention as a price without a collection mechanism, leaving restraint to the technical, reputational, and procurement channels where it has in fact accumulated.</w:t>
      </w:r>
    </w:p>
    <w:bookmarkEnd w:id="124"/>
    <w:bookmarkStart w:id="125" w:name="implications-for-nasa-program-management"/>
    <w:p>
      <w:pPr>
        <w:pStyle w:val="Heading2"/>
        <w:spacing w:line="480" w:lineRule="auto"/>
      </w:pPr>
      <w:r>
        <w:t xml:space="preserve">7.2 Implications for NASA Program Management</w:t>
      </w:r>
    </w:p>
    <w:p>
      <w:pPr>
        <w:pStyle w:val="FirstParagraph"/>
        <w:spacing w:line="480" w:lineRule="auto"/>
      </w:pPr>
      <w:r>
        <w:t xml:space="preserve">Several specific implications follow for NASA program management, and each rests on the empirical reading above rather than on a normative preference about the international regime. First, NASA cannot lean on the 1972 Convention to substitute for internal mitigation and disposal discipline, because the evidence shows ratification alone does not bend the behavior of any launching state, the United States included. NASA’s debris-mitigation posture has been built program by program under the Orbital Debris Mitigation Standard Practices and the conjunction-assessment procedures developed by the Conjunction Assessment Risk Analysis office and its operational counterparts, and the empirical record points to that internal discipline, not the treaty, as the operative restraint</w:t>
      </w:r>
      <w:r>
        <w:t xml:space="preserve"> </w:t>
      </w:r>
      <w:hyperlink w:anchor="ref-1">
        <w:r>
          <w:rPr>
            <w:rStyle w:val="Hyperlink"/>
          </w:rPr>
          <w:t xml:space="preserve">[1]</w:t>
        </w:r>
      </w:hyperlink>
      <w:r>
        <w:t xml:space="preserve">. The consequence for program management is direct.</w:t>
      </w:r>
    </w:p>
    <w:p>
      <w:pPr>
        <w:pStyle w:val="BodyText"/>
        <w:spacing w:line="480" w:lineRule="auto"/>
        <w:ind w:firstLine="720"/>
      </w:pPr>
      <w:r>
        <w:t xml:space="preserve">Existing conjunction-assessment, end-of-mission-disposal, and design-for-demise practices are load-bearing for the agency’s footprint in the orbital environment and deserve to be treated that way in resource decisions, not as discretionary overhead to be relaxed when schedule or mass pressure mounts.</w:t>
      </w:r>
    </w:p>
    <w:p>
      <w:pPr>
        <w:pStyle w:val="BodyText"/>
        <w:spacing w:line="480" w:lineRule="auto"/>
        <w:ind w:firstLine="720"/>
      </w:pPr>
      <w:r>
        <w:t xml:space="preserve">A second implication touches how NASA frames its mission-class trade studies for missions that operate in or transit the shells where these findings bite hardest. the fragmentation chapter shows altitude to be the only statistically significant predictor of cataloged fragment count among the four covariates, with a small but precisely estimated negative coefficient that reflects the catalog’s sensitivity falloff at higher orbits rather than any physical restraint. For trade studies the practical reading is that higher-altitude operations face a measurement gap as well as a physical persistence problem, so fragmentation risks at those altitudes are systematically understated in any planning analysis that uses cataloged-fragment counts as a proxy for harm</w:t>
      </w:r>
      <w:r>
        <w:t xml:space="preserve"> </w:t>
      </w:r>
      <w:hyperlink w:anchor="ref-9">
        <w:r>
          <w:rPr>
            <w:rStyle w:val="Hyperlink"/>
          </w:rPr>
          <w:t xml:space="preserve">[9]</w:t>
        </w:r>
      </w:hyperlink>
      <w:r>
        <w:t xml:space="preserve">. the survival chapter shows the apparent acceleration of removal in the mitigation era to be at least partly an artifact of where modern operators fly, and the corollary for NASA is that orbit selection is itself a behavioral lever the agency already exercises and should keep modeling explicitly. Self-cleaning orbits do not substitute for compliance with disposal practice</w:t>
      </w:r>
      <w:r>
        <w:t xml:space="preserve"> </w:t>
      </w:r>
      <w:hyperlink w:anchor="ref-21">
        <w:r>
          <w:rPr>
            <w:rStyle w:val="Hyperlink"/>
          </w:rPr>
          <w:t xml:space="preserve">[21]</w:t>
        </w:r>
      </w:hyperlink>
      <w:r>
        <w:t xml:space="preserve">. They are an independent and quantifiable contribution to the agency’s sustainability footprint that program managers can either claim credit for or, if missions move higher, recognize as a debt disposal practice must repay.</w:t>
      </w:r>
    </w:p>
    <w:p>
      <w:pPr>
        <w:pStyle w:val="BodyText"/>
        <w:spacing w:line="480" w:lineRule="auto"/>
        <w:ind w:firstLine="720"/>
      </w:pPr>
      <w:r>
        <w:t xml:space="preserve">A third implication is procurement-shaped. The dissertation’s central reading, that restraint travels through enforceable national licensing rather than international ratification, applies inside the agency as contractual debris-mitigation obligations on prime contractors and partners. NASA’s flow-down of the Orbital Debris Mitigation Standard Practices into contracts and partnerships is a domestic enforcement mechanism in the same family as a national licensing regime, and the empirical association in the survival chapter, attenuated as it is, points to that as the channel through which behavior actually moves. Program offices should therefore treat the debris-mitigation language in solicitations, statements of work, and partnership instruments as the operative governance surface rather than boilerplate, and stand ready to audit compliance with the same seriousness the agency already applies to safety-of-flight and planetary-protection requirements</w:t>
      </w:r>
      <w:r>
        <w:t xml:space="preserve"> </w:t>
      </w:r>
      <w:hyperlink w:anchor="ref-20">
        <w:r>
          <w:rPr>
            <w:rStyle w:val="Hyperlink"/>
          </w:rPr>
          <w:t xml:space="preserve">[20]</w:t>
        </w:r>
      </w:hyperlink>
      <w:r>
        <w:t xml:space="preserve">. Compliance scholarship shows adherence has historically been partial even among sophisticated operators</w:t>
      </w:r>
      <w:r>
        <w:t xml:space="preserve"> </w:t>
      </w:r>
      <w:hyperlink w:anchor="ref-21">
        <w:r>
          <w:rPr>
            <w:rStyle w:val="Hyperlink"/>
          </w:rPr>
          <w:t xml:space="preserve">[21]</w:t>
        </w:r>
      </w:hyperlink>
      <w:r>
        <w:t xml:space="preserve">, which is precisely the failure mode these chapters cannot detect at the international level and detect only weakly at the domestic level. The remedy is internal. Audit, measure, and report against the standard rather than assume compliance because the standard exists.</w:t>
      </w:r>
    </w:p>
    <w:p>
      <w:pPr>
        <w:pStyle w:val="BodyText"/>
        <w:spacing w:line="480" w:lineRule="auto"/>
        <w:ind w:firstLine="720"/>
      </w:pPr>
      <w:r>
        <w:t xml:space="preserve">A fourth implication concerns NASA’s role in standards development. Since the behavioral signal rides on operational and technical guidelines rather than on the treaty, the agency’s contributions to the Inter-Agency Space Debris Coordination Committee, to standards bodies, and to bilateral and multilateral coordination on conjunction practice are best understood as the principal vehicle by which the United States actually projects debris discipline into the global environment. The collision-avoidance and capacity-management literatures cited in the survival chapter make this argument from the operational side [15, 16, 17], and the empirical reading here supplies its evidentiary foundation. Resourcing that standards work, including the staff time it draws from program offices, deserves evaluation as a sustainability investment rather than institutional overhead.</w:t>
      </w:r>
    </w:p>
    <w:bookmarkEnd w:id="125"/>
    <w:bookmarkStart w:id="126"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operates as a federally funded research and development center for NASA and as the lead implementing institution for many of the agency’s missions that transit, dwell in, or deliver assets to congested orbital regions. Three implications of the empirical findings bear directly on JPL decision-making in that role.</w:t>
      </w:r>
    </w:p>
    <w:p>
      <w:pPr>
        <w:pStyle w:val="BodyText"/>
        <w:spacing w:line="480" w:lineRule="auto"/>
        <w:ind w:firstLine="720"/>
      </w:pPr>
      <w:r>
        <w:t xml:space="preserve">First, JPL’s mission design and mission assurance processes should treat the debris-mitigation flow-downs from agency policy as load-bearing constraints with the same standing as planetary-protection or safety-of-flight requirements. The empirical record locates the operative deterrent in the bundle of technical and licensing obligations a launching state actually enforces, not the international treaty from which those obligations are nominally derived. Mission concept reviews, preliminary design reviews, and critical design reviews are exactly where a credible disposal posture is established or quietly traded away, and the findings here argue for treating that trade as a sustainability decision with measurable downstream consequences rather than a manageable program risk to be retired by waiver. The conjunction-assessment best practices the agency has developed with the Space Force belong to this same load-bearing structure</w:t>
      </w:r>
      <w:r>
        <w:t xml:space="preserve"> </w:t>
      </w:r>
      <w:hyperlink w:anchor="ref-1">
        <w:r>
          <w:rPr>
            <w:rStyle w:val="Hyperlink"/>
          </w:rPr>
          <w:t xml:space="preserve">[1]</w:t>
        </w:r>
      </w:hyperlink>
      <w:r>
        <w:t xml:space="preserve">, and JPL’s operations teams are well placed to carry the practice across the mission lifecycle from cruise through end of mission.</w:t>
      </w:r>
    </w:p>
    <w:p>
      <w:pPr>
        <w:pStyle w:val="BodyText"/>
        <w:spacing w:line="480" w:lineRule="auto"/>
        <w:ind w:firstLine="720"/>
      </w:pPr>
      <w:r>
        <w:t xml:space="preserve">A second implication concerns JPL’s strategic posture as a partner in active debris removal and on-orbit servicing concepts. Orbital-economics scholarship treats the debris stock as a slow-moving capital problem bearing on the carrying capacity available to future missions [3, 4, 11, 12]. The active-debris-removal literature in this corpus describes a refinement of removal strategies and the institutional posture required to make removal credible [27, 29, 30]. The empirical chapters do not evaluate removal economics directly, yet their joint reading informs the strategic case for JPL involvement. If the international liability instrument does not deter debris generation and the domesticated mitigation era only weakly accelerates removal, then the debris-stock problem will be solved, if at all, through technical and procurement instruments JPL can credibly help design and demonstrate.</w:t>
      </w:r>
    </w:p>
    <w:p>
      <w:pPr>
        <w:pStyle w:val="BodyText"/>
        <w:spacing w:line="480" w:lineRule="auto"/>
        <w:ind w:firstLine="720"/>
      </w:pPr>
      <w:r>
        <w:t xml:space="preserve">Its history of demanding mission concepts and its experience with autonomous rendezvous, proximity operations, and pose estimation</w:t>
      </w:r>
      <w:r>
        <w:t xml:space="preserve"> </w:t>
      </w:r>
      <w:hyperlink w:anchor="ref-36">
        <w:r>
          <w:rPr>
            <w:rStyle w:val="Hyperlink"/>
          </w:rPr>
          <w:t xml:space="preserve">[36]</w:t>
        </w:r>
      </w:hyperlink>
      <w:r>
        <w:t xml:space="preserve"> </w:t>
      </w:r>
      <w:r>
        <w:t xml:space="preserve">position it to contribute substantively to both the engineering and the architectural questions a credible removal regime will require, including the attribution and verification practices that make any removal claim legible to a forum that does not yet exist [27, 28].</w:t>
      </w:r>
    </w:p>
    <w:p>
      <w:pPr>
        <w:pStyle w:val="BodyText"/>
        <w:spacing w:line="480" w:lineRule="auto"/>
        <w:ind w:firstLine="720"/>
      </w:pPr>
      <w:r>
        <w:t xml:space="preserve">A third implication is internal to JPL’s portfolio choices. Since higher-altitude operations face both a persistence problem and a measurement problem, the laboratory’s mission selection should treat fragmentation risk in those shells as systematically underrepresented in catalog-based analyses</w:t>
      </w:r>
      <w:r>
        <w:t xml:space="preserve"> </w:t>
      </w:r>
      <w:hyperlink w:anchor="ref-9">
        <w:r>
          <w:rPr>
            <w:rStyle w:val="Hyperlink"/>
          </w:rPr>
          <w:t xml:space="preserve">[9]</w:t>
        </w:r>
      </w:hyperlink>
      <w:r>
        <w:t xml:space="preserve">. That bears on staging choices, on rideshare risk acceptance, on the choice between active deorbit and passive decay for end-of-mission disposal, and on the analytic rigor demanded of missions whose mishap modes would deposit fragments into shells from which they will not naturally clear. The companion finding that the only well-estimated control in the survival model was the drag regime matters here too, because it identifies orbit selection as the principal channel through which removal hazard varies in the data.</w:t>
      </w:r>
    </w:p>
    <w:p>
      <w:pPr>
        <w:pStyle w:val="BodyText"/>
        <w:spacing w:line="480" w:lineRule="auto"/>
        <w:ind w:firstLine="720"/>
      </w:pPr>
      <w:r>
        <w:t xml:space="preserve">Any JPL mission whose architecture places fragments at altitudes that are not drag-dominated has thereby assumed, on the agency’s behalf, a long-duration external cost the international liability regime will not internalize and the laboratory’s own engineering practice must manage.</w:t>
      </w:r>
    </w:p>
    <w:bookmarkEnd w:id="126"/>
    <w:bookmarkStart w:id="127" w:name="Xfb4b80c2584056347302c968837651b1a2f628c"/>
    <w:p>
      <w:pPr>
        <w:pStyle w:val="Heading2"/>
        <w:spacing w:line="480" w:lineRule="auto"/>
      </w:pPr>
      <w:r>
        <w:t xml:space="preserve">7.4 Implications for Inter-Agency and International Coordination</w:t>
      </w:r>
    </w:p>
    <w:p>
      <w:pPr>
        <w:pStyle w:val="FirstParagraph"/>
        <w:spacing w:line="480" w:lineRule="auto"/>
      </w:pPr>
      <w:r>
        <w:t xml:space="preserve">The findings bear on NASA and JPL coordination with the Department of War, the Department of Commerce Office of Space Commerce, the Federal Aviation Administration, and the Department of State, each of which carries a portion of the United States licensing, traffic-management, and treaty-coordination function. If the empirical record supports the reading that domestication of mitigation obligations into enforceable national licensing carries whatever behavioral signal exists, then inter-agency dialogue should orient around the design and operation of that licensing layer rather than the renegotiation or supplementation of the international instrument. Risk-landscape work in this corpus argues that the dynamics of the space economy demand an integrated treatment of risk crossing traditional policy boundaries [10, 37], and the convergent finding here is that the integration has to happen at the domestic enforcement layer to do any work.</w:t>
      </w:r>
    </w:p>
    <w:p>
      <w:pPr>
        <w:pStyle w:val="BodyText"/>
        <w:spacing w:line="480" w:lineRule="auto"/>
        <w:ind w:firstLine="720"/>
      </w:pPr>
      <w:r>
        <w:t xml:space="preserve">International coordination, in turn, is best understood not as a substitute for the inadequate liability forum but as the venue where the technical and procurement standards that actually carry restraint are made interoperable. Compliance work on maneuvering guidelines [6, 8] and on the accuracy requirements for traffic coordination</w:t>
      </w:r>
      <w:r>
        <w:t xml:space="preserve"> </w:t>
      </w:r>
      <w:hyperlink w:anchor="ref-9">
        <w:r>
          <w:rPr>
            <w:rStyle w:val="Hyperlink"/>
          </w:rPr>
          <w:t xml:space="preserve">[9]</w:t>
        </w:r>
      </w:hyperlink>
      <w:r>
        <w:t xml:space="preserve"> </w:t>
      </w:r>
      <w:r>
        <w:t xml:space="preserve">supports this reading, as does the more recent work on space capacity management as a complement to traffic management</w:t>
      </w:r>
      <w:r>
        <w:t xml:space="preserve"> </w:t>
      </w:r>
      <w:hyperlink w:anchor="ref-16">
        <w:r>
          <w:rPr>
            <w:rStyle w:val="Hyperlink"/>
          </w:rPr>
          <w:t xml:space="preserve">[16]</w:t>
        </w:r>
      </w:hyperlink>
      <w:r>
        <w:t xml:space="preserve">. That the Convention’s deterrent footprint is absent should not be read as a counsel of despair about international cooperation. It is evidence that the cooperation that matters is operational and standards-based, built around mitigation, disposal, and conjunction practice, and that the United States has a strong interest in continuing to lead in those venues whether or not the liability instrument is ever supplemented with a forum that could give it deterrent teeth.</w:t>
      </w:r>
    </w:p>
    <w:bookmarkEnd w:id="127"/>
    <w:bookmarkStart w:id="128" w:name="limitations"/>
    <w:p>
      <w:pPr>
        <w:pStyle w:val="Heading2"/>
        <w:spacing w:line="480" w:lineRule="auto"/>
      </w:pPr>
      <w:r>
        <w:t xml:space="preserve">7.5 Limitations</w:t>
      </w:r>
    </w:p>
    <w:p>
      <w:pPr>
        <w:pStyle w:val="FirstParagraph"/>
        <w:spacing w:line="480" w:lineRule="auto"/>
      </w:pPr>
      <w:r>
        <w:t xml:space="preserve">Several limitations of the empirical strategy require explicit acknowledgment, and each shapes the confidence with which the policy implications above can be drawn.</w:t>
      </w:r>
    </w:p>
    <w:p>
      <w:pPr>
        <w:pStyle w:val="BodyText"/>
        <w:spacing w:line="480" w:lineRule="auto"/>
        <w:ind w:firstLine="720"/>
      </w:pPr>
      <w:r>
        <w:t xml:space="preserve">Statistical power comes first. the fragmentation chapter rests on twenty-eight documented fragmentation events, the survival chapter on twenty-nine cataloged objects with twenty-two decay events. These are small samples by the standards of econometric inference, and the null results in the fragmentation chapter carry correspondingly wide confidence intervals. Its argument that a wide interval centered on zero with a wrong-signed point estimate for membership is not evidence of hidden deterrence is defensible, yet it is no substitute for the larger launching-state panel the prospectus envisions and this dissertation does not deliver. the survival chapter motivates that panel as the next step in the research program, and the limitations of the present samples should be read as an argument for the extension, not against it.</w:t>
      </w:r>
    </w:p>
    <w:p>
      <w:pPr>
        <w:pStyle w:val="BodyText"/>
        <w:spacing w:line="480" w:lineRule="auto"/>
        <w:ind w:firstLine="720"/>
      </w:pPr>
      <w:r>
        <w:t xml:space="preserve">Measurement comes second. Cataloged fragment counts understate true debris production, most of all at high altitude where the surveillance network’s sensitivity falls off, and the fragmentation chapter’s altitude coefficient reflects that measurement gradient as much as any physical attribute of higher-altitude events. Streak-detection work and studies of the limits of resolved object characterization in cislunar space confirm that catalog completeness is itself a function of sensor coverage and processing capacity [23, 25, 26], and the survival chapter’s tenancy outcome inherits the same measurement structure through its dependence on the catalog’s decay records. Detection improvements over the panel period are partially absorbed by the time-invariant nature of the fragmentation chapter’s specification and by the proportional-hazards structure of the survival chapter, though neither absorbs them fully. Extracting behavioral inferences from these data over a longer panel would require modeling detection capability explicitly rather than treating the catalog as a transparent record of the orbital environment.</w:t>
      </w:r>
    </w:p>
    <w:p>
      <w:pPr>
        <w:pStyle w:val="BodyText"/>
        <w:spacing w:line="480" w:lineRule="auto"/>
        <w:ind w:firstLine="720"/>
      </w:pPr>
      <w:r>
        <w:t xml:space="preserve">Attribution comes third. the fragmentation chapter assigns debris to the parent object’s launching state, appropriate for a liability test but an understatement of the harm any given event imposes across states. The Liability Convention itself defines the launching state in terms that admit ambiguity for joint launches and registered transfers, and the empirical strategy here does not resolve that ambiguity. the survival chapter’s tenancy outcome is launch-state-blind by construction, which sidesteps the attribution problem at the cost of being unable to localize the policy effect to particular national regimes.</w:t>
      </w:r>
    </w:p>
    <w:p>
      <w:pPr>
        <w:pStyle w:val="BodyText"/>
        <w:spacing w:line="480" w:lineRule="auto"/>
        <w:ind w:firstLine="720"/>
      </w:pPr>
      <w:r>
        <w:t xml:space="preserve">Separating policy effects from orbit-selection effects comes fourth, a difficulty the survival chapter discusses at length and the prospectus panel design is meant to address through year fixed effects and event-study leads. The Cox model with a single drag indicator cannot fully absorb the secular shift toward self-cleaning orbits that coincides with the mitigation era, so the convergent suggestive evidence on tenancy reads as motivating the staggered-adoption identification rather than substituting for it.</w:t>
      </w:r>
    </w:p>
    <w:p>
      <w:pPr>
        <w:pStyle w:val="BodyText"/>
        <w:spacing w:line="480" w:lineRule="auto"/>
        <w:ind w:firstLine="720"/>
      </w:pPr>
      <w:r>
        <w:t xml:space="preserve">Generalizability of the institutional reading comes fifth. The finding that domestication, not ratification, is the operative channel rests on the inference that licensing regimes vary in their enforcement teeth and that the United States regime sits closer to the enforcement end of that distribution than the paper-norm end. That inference is consistent with the available case literature on compliance and with Verspieren’s analysis of United States Air Force compliance with the Orbital Debris Mitigation Standard Practices</w:t>
      </w:r>
      <w:r>
        <w:t xml:space="preserve"> </w:t>
      </w:r>
      <w:hyperlink w:anchor="ref-21">
        <w:r>
          <w:rPr>
            <w:rStyle w:val="Hyperlink"/>
          </w:rPr>
          <w:t xml:space="preserve">[21]</w:t>
        </w:r>
      </w:hyperlink>
      <w:r>
        <w:t xml:space="preserve">, though it is not directly tested here. Distinguishing enforcement quality across national licensing regimes would require constructing an enforcement index and testing interactions, neither of which this dissertation undertakes.</w:t>
      </w:r>
    </w:p>
    <w:p>
      <w:pPr>
        <w:pStyle w:val="BodyText"/>
        <w:spacing w:line="480" w:lineRule="auto"/>
        <w:ind w:firstLine="720"/>
      </w:pPr>
      <w:r>
        <w:t xml:space="preserve">Sixth, the dissertation says little about the deliberate fragmentation tail beyond observing that intent is not penalized in the data once altitude and parent mass are held constant. Work on anti-satellite weapons and orbital debris treats deliberate fragmentation as a strategic choice with its own logic [14, 24], and any liability instrument hoping to deter that tail would have to address strategic considerations outside the present empirical strategy. The finding that a working liability forum would be expected to suppress the deliberate tail and does not is best read as a diagnostic of the forum-less regime, not a prediction about how strategic actors would respond to a forum that had teeth.</w:t>
      </w:r>
    </w:p>
    <w:bookmarkEnd w:id="128"/>
    <w:bookmarkStart w:id="129" w:name="directions-for-future-research"/>
    <w:p>
      <w:pPr>
        <w:pStyle w:val="Heading2"/>
        <w:spacing w:line="480" w:lineRule="auto"/>
      </w:pPr>
      <w:r>
        <w:t xml:space="preserve">7.6 Directions for Future Research</w:t>
      </w:r>
    </w:p>
    <w:p>
      <w:pPr>
        <w:pStyle w:val="FirstParagraph"/>
        <w:spacing w:line="480" w:lineRule="auto"/>
      </w:pPr>
      <w:r>
        <w:t xml:space="preserve">Most immediate is the launching-state-by-year panel and the staggered-adoption difference-in-differences specification described in the prospectus, motivated by the convergent but individually inconclusive evidence assembled here. That extension calls for a fuller construction of the panel from the United States Space Force public catalog of resident space objects and the United Nations Office for Outer Space Affairs national space law collection, and it would deliver the identified estimate of the deterrent effect of enforceable domestication that these two chapters bound but do not produce. The prospectus is explicit about the threats such a design must address, detection drift, attribution, parallel trends, simultaneity, and flag-of-convenience concerns among them, and the empirical exercises in the fragmentation and survival chapters give a quantitative sense of how each appears in the data the panel would draw on.</w:t>
      </w:r>
    </w:p>
    <w:p>
      <w:pPr>
        <w:pStyle w:val="BodyText"/>
        <w:spacing w:line="480" w:lineRule="auto"/>
        <w:ind w:firstLine="720"/>
      </w:pPr>
      <w:r>
        <w:t xml:space="preserve">A second direction is an enforcement-quality index for national licensing regimes, built around the operative legal features that translate Convention obligations into actionable conditions on operators. Such an index would draw on the texts of national space-legislation statutes and on the procedural posture of national regulators, allowing the identification of interaction effects between enforcement quality and the domestication treatment. Space-policy work in this corpus suggests the index would need to be sensitive to the architecture of licensing rather than its mere existence [4, 7, 12], and the strategy proposed here would treat that architecture as a measurable variable rather than a binary on or off.</w:t>
      </w:r>
    </w:p>
    <w:p>
      <w:pPr>
        <w:pStyle w:val="BodyText"/>
        <w:spacing w:line="480" w:lineRule="auto"/>
        <w:ind w:firstLine="720"/>
      </w:pPr>
      <w:r>
        <w:t xml:space="preserve">A third direction is explicit modeling of the relationship between orbit selection and licensing-induced behavior, which the survival chapter identifies as the binding interpretive challenge for tenancy-based survival models. The decay-time literature parameterizes the physical clearance channel</w:t>
      </w:r>
      <w:r>
        <w:t xml:space="preserve"> </w:t>
      </w:r>
      <w:hyperlink w:anchor="ref-22">
        <w:r>
          <w:rPr>
            <w:rStyle w:val="Hyperlink"/>
          </w:rPr>
          <w:t xml:space="preserve">[22]</w:t>
        </w:r>
      </w:hyperlink>
      <w:r>
        <w:t xml:space="preserve">, and combining it with a model of the operator’s choice over orbital altitude conditional on the licensing regime under which the mission was authorized would separate the physical and behavioral channels the present design cannot fully disentangle. Environmental-impact evaluation for space missions</w:t>
      </w:r>
      <w:r>
        <w:t xml:space="preserve"> </w:t>
      </w:r>
      <w:hyperlink w:anchor="ref-17">
        <w:r>
          <w:rPr>
            <w:rStyle w:val="Hyperlink"/>
          </w:rPr>
          <w:t xml:space="preserve">[17]</w:t>
        </w:r>
      </w:hyperlink>
      <w:r>
        <w:t xml:space="preserve"> </w:t>
      </w:r>
      <w:r>
        <w:t xml:space="preserve">supplies the natural metric for the combined effect.</w:t>
      </w:r>
    </w:p>
    <w:p>
      <w:pPr>
        <w:pStyle w:val="BodyText"/>
        <w:spacing w:line="480" w:lineRule="auto"/>
        <w:ind w:firstLine="720"/>
      </w:pPr>
      <w:r>
        <w:t xml:space="preserve">A fourth direction is integrating liability regimes with the active-debris-removal architectures and on-orbit servicing instruments that have emerged in the last decade. The active-debris-removal literature argues that removal is becoming technically credible but institutionally undersupplied [27, 29, 30], and the integration question is whether a domesticated liability regime that priced the future external cost of debris could create demand for removal services the present regime does not. The Montreal Protocol analogy offers one institutional model for that integration</w:t>
      </w:r>
      <w:r>
        <w:t xml:space="preserve"> </w:t>
      </w:r>
      <w:hyperlink w:anchor="ref-28">
        <w:r>
          <w:rPr>
            <w:rStyle w:val="Hyperlink"/>
          </w:rPr>
          <w:t xml:space="preserve">[28]</w:t>
        </w:r>
      </w:hyperlink>
      <w:r>
        <w:t xml:space="preserve">, the planetary-boundaries framing another</w:t>
      </w:r>
      <w:r>
        <w:t xml:space="preserve"> </w:t>
      </w:r>
      <w:hyperlink w:anchor="ref-32">
        <w:r>
          <w:rPr>
            <w:rStyle w:val="Hyperlink"/>
          </w:rPr>
          <w:t xml:space="preserve">[32]</w:t>
        </w:r>
      </w:hyperlink>
      <w:r>
        <w:t xml:space="preserve">. A research program pursuing this direction would benefit from coordination with engineering and economic analyses of removal cost structures and from explicit modeling of the procurement instruments through which agencies might create that demand.</w:t>
      </w:r>
    </w:p>
    <w:p>
      <w:pPr>
        <w:pStyle w:val="BodyText"/>
        <w:spacing w:line="480" w:lineRule="auto"/>
        <w:ind w:firstLine="720"/>
      </w:pPr>
      <w:r>
        <w:t xml:space="preserve">A fifth direction concerns the regulatory treatment of emerging technologies whose liability implications the 1972 instrument captures poorly. Work in this corpus on artificial intelligence in space operations</w:t>
      </w:r>
      <w:r>
        <w:t xml:space="preserve"> </w:t>
      </w:r>
      <w:hyperlink w:anchor="ref-34">
        <w:r>
          <w:rPr>
            <w:rStyle w:val="Hyperlink"/>
          </w:rPr>
          <w:t xml:space="preserve">[34]</w:t>
        </w:r>
      </w:hyperlink>
      <w:r>
        <w:t xml:space="preserve"> </w:t>
      </w:r>
      <w:r>
        <w:t xml:space="preserve">and on the use of lasers in outer space</w:t>
      </w:r>
      <w:r>
        <w:t xml:space="preserve"> </w:t>
      </w:r>
      <w:hyperlink w:anchor="ref-33">
        <w:r>
          <w:rPr>
            <w:rStyle w:val="Hyperlink"/>
          </w:rPr>
          <w:t xml:space="preserve">[33]</w:t>
        </w:r>
      </w:hyperlink>
      <w:r>
        <w:t xml:space="preserve"> </w:t>
      </w:r>
      <w:r>
        <w:t xml:space="preserve">raises liability questions the Convention’s drafters did not anticipate and the present strategy does not address. Future research could ask whether the same domestication-versus-ratification distinction drawn here applies to these emerging domains, and whether the operational and licensing channels that carry restraint in the debris context are likely to carry it in the artificial-intelligence and laser contexts as well.</w:t>
      </w:r>
    </w:p>
    <w:p>
      <w:pPr>
        <w:pStyle w:val="BodyText"/>
        <w:spacing w:line="480" w:lineRule="auto"/>
        <w:ind w:firstLine="720"/>
      </w:pPr>
      <w:r>
        <w:t xml:space="preserve">A sixth direction is a research design capable of examining the deliberate fragmentation tail directly. the fragmentation chapter’s finding that intent goes unpenalized in the data is informative, yet the small number of deliberate events and their strategic nature leave standard econometric strategies poorly suited to the problem. A mixed-methods design pairing the available quantitative evidence on fragment counts and altitudes with case studies of national decision-making around anti-satellite tests, drawing on the international-perspectives literature</w:t>
      </w:r>
      <w:r>
        <w:t xml:space="preserve"> </w:t>
      </w:r>
      <w:hyperlink w:anchor="ref-24">
        <w:r>
          <w:rPr>
            <w:rStyle w:val="Hyperlink"/>
          </w:rPr>
          <w:t xml:space="preserve">[24]</w:t>
        </w:r>
      </w:hyperlink>
      <w:r>
        <w:t xml:space="preserve">, could deliver a more textured account of the deterrent gap in the deliberate tail than the regression-based strategy adopted here.</w:t>
      </w:r>
    </w:p>
    <w:bookmarkEnd w:id="129"/>
    <w:bookmarkStart w:id="130" w:name="closing"/>
    <w:p>
      <w:pPr>
        <w:pStyle w:val="Heading2"/>
        <w:spacing w:line="480" w:lineRule="auto"/>
      </w:pPr>
      <w:r>
        <w:t xml:space="preserve">7.7 Closing</w:t>
      </w:r>
    </w:p>
    <w:p>
      <w:pPr>
        <w:pStyle w:val="FirstParagraph"/>
        <w:spacing w:line="480" w:lineRule="auto"/>
      </w:pPr>
      <w:r>
        <w:t xml:space="preserve">What the dissertation contributes is quantitative discipline to a question the operational, economic, and legal literatures have approached separately, and an empirical reading that converges on a single substantive claim. The 1972 Liability Convention does not detectably restrain the generation of trackable orbital debris, deliberate or accidental, and the domesticated mitigation era is associated with faster removal only at a level of statistical confidence this sample cannot rule a null out of. From that reading follow the implications for NASA program management, for JPL decision-making, and for the inter-agency and international coordination that surrounds them. The agency’s debris discipline is real, built through internal practice, conjunction operations, contractual flow-downs, and standards leadership rather than through the international liability instrument, and resourcing decisions that treat those internal channels as load-bearing are evidence-consistent. Next in this research program is the staggered-adoption panel the prospectus envisions, which will deliver the identified estimate these two chapters bound from either side. Until that estimate is in hand, the empirically supported reading holds: liability without a forum is liability without behavioral content, and the orbital environment is being managed, to the extent it is being managed at all, by the technical and licensing infrastructures that have grown up around the treaty rather than by the treaty itself.</w:t>
      </w:r>
    </w:p>
    <w:bookmarkEnd w:id="130"/>
    <w:bookmarkEnd w:id="131"/>
    <w:bookmarkStart w:id="191" w:name="chapter-8.-conclusion"/>
    <w:p>
      <w:pPr>
        <w:pStyle w:val="Heading1"/>
        <w:spacing w:line="480" w:lineRule="auto"/>
      </w:pPr>
      <w:r>
        <w:t xml:space="preserve">Chapter 8. Conclusion</w:t>
      </w:r>
    </w:p>
    <w:bookmarkStart w:id="132" w:name="the-argument-in-one-movement"/>
    <w:p>
      <w:pPr>
        <w:pStyle w:val="Heading2"/>
        <w:spacing w:line="480" w:lineRule="auto"/>
      </w:pPr>
      <w:r>
        <w:t xml:space="preserve">8.1 The Argument in One Movement</w:t>
      </w:r>
    </w:p>
    <w:p>
      <w:pPr>
        <w:pStyle w:val="FirstParagraph"/>
        <w:spacing w:line="480" w:lineRule="auto"/>
      </w:pPr>
      <w:r>
        <w:t xml:space="preserve">This dissertation began from a structural puzzle the 1972 Convention on International Liability for Damage Caused by Space Objects places at the center of space law without resolving. The Convention assigns absolute liability to launching states for damage on the surface of the Earth and fault-based liability for damage in outer space, yet it routes every claim through a Claims Commission that has never been convened for an on-orbit fragmentation, that issues recommendations rather than binding judgments, and that depends on the continuing consent of the parties it would discipline. In the standard language of law and economics, a liability rule with no enforced judgment is a price without a collection mechanism. Orbital-economics scholarship in this corpus has long treated debris generation as a negative externality on a congestible commons and orbital carrying capacity as the binding constraint any deterrent instrument must protect [3, 4, 5, 11, 12, 19]. The legal instrument meant to do that protecting at the international tier exists; the forum that would convert it into a behavioral cost does not. And so the dissertation set out to determine whether, in spite of that structural defect, the Convention has nevertheless left a measurable footprint in operator behavior, or whether deterrence in orbit, to the extent it exists at all, lives downstream in the national licensing regimes that domesticate Convention obligations into enforceable conditions on operators.</w:t>
      </w:r>
    </w:p>
    <w:p>
      <w:pPr>
        <w:pStyle w:val="BodyText"/>
        <w:spacing w:line="480" w:lineRule="auto"/>
        <w:ind w:firstLine="720"/>
      </w:pPr>
      <w:r>
        <w:t xml:space="preserve">The answer the empirical chapters return holds across two complementary research designs, and it is unfavorable to the international instrument. On the flow margin, the panel and cross-sectional analysis of cataloged fragmentation events finds that membership in the Liability Convention has no measurable association with the number of fragments a state’s fragmentation events produce, and that deliberate destructive acts are statistically indistinguishable in fragment count from large accidental breakups once altitude and parent dry mass are held constant. Only one covariate loads precisely, altitude, and that is a property of orbital mechanics and the sensitivity of the surveillance catalog rather than of law. On the stock margin, the Cox proportional-hazards model of orbital tenancy returns a sizable point estimate in the direction the deterrence hypothesis predicts, with the hazard ratio on the post-2002 domesticated mitigation era running to roughly two and a half.</w:t>
      </w:r>
    </w:p>
    <w:p>
      <w:pPr>
        <w:pStyle w:val="BodyText"/>
        <w:spacing w:line="480" w:lineRule="auto"/>
        <w:ind w:firstLine="720"/>
      </w:pPr>
      <w:r>
        <w:t xml:space="preserve">Yet the confidence interval includes one at conventional thresholds, and the drag control absorbs much of the variance, so the survival evidence cannot rule out that the apparent acceleration of removal under domesticated mitigation reflects where modern operators choose to fly rather than the rule that governs them.</w:t>
      </w:r>
    </w:p>
    <w:p>
      <w:pPr>
        <w:pStyle w:val="BodyText"/>
        <w:spacing w:line="480" w:lineRule="auto"/>
        <w:ind w:firstLine="720"/>
      </w:pPr>
      <w:r>
        <w:t xml:space="preserve">Read together, the two designs bound the same parameter from two directions. The fragmentation panel asks whether forum-less liability slows the creation of debris and answers no. The survival model asks whether the era of domesticated mitigation accelerates the removal of objects and answers, tentatively, yes, conditional on an orbit-selection threat that the larger identified design in the panel chapter is built to address. The convergence of the two papers, their shared inability to find evidence that the treaty itself bends behavior, and the localized, marginal evidence that domestication may bend it carry one message between them. The 1972 Liability Convention has not deterred debris-generating behavior at the international margin. Whatever deterrent signal exists in the data sits at the national licensing margin, and even there it is modest, contingent on enforcement, and hard to separate from the physics of the orbits operators happen to choose.</w:t>
      </w:r>
    </w:p>
    <w:bookmarkEnd w:id="132"/>
    <w:bookmarkStart w:id="133" w:name="synthesis-across-the-empirical-chapters"/>
    <w:p>
      <w:pPr>
        <w:pStyle w:val="Heading2"/>
        <w:spacing w:line="480" w:lineRule="auto"/>
      </w:pPr>
      <w:r>
        <w:t xml:space="preserve">8.2 Synthesis Across the Empirical Chapters</w:t>
      </w:r>
    </w:p>
    <w:p>
      <w:pPr>
        <w:pStyle w:val="FirstParagraph"/>
        <w:spacing w:line="480" w:lineRule="auto"/>
      </w:pPr>
      <w:r>
        <w:t xml:space="preserve">The flow result and the stock result usually live in separate literatures. Space-traffic-management work studies conjunction practice, maneuver compliance, and the technical accuracy required to act on warnings, and it has demonstrated that operator behavior responds to cost and coordination structure [1, 6, 8, 9, 15]. Orbital-economics work models the commons and the externality, treats orbital carrying capacity as the binding constraint, and prices debris generation as a flow against a finite stock [3, 4, 5, 7, 11, 12, 19]. Risk-and-safety work catalogs reentry hazard, breakup, and the available compensation and insurance mechanisms [2, 10, 35, 37]. International-law work asks whether existing instruments can ground active removal or any binding adjudication of on-orbit harm [27, 28]. Each strand develops in its own register, and each treats the Convention either as a background condition or as a normative ideal whose operational footprint goes unmeasured.</w:t>
      </w:r>
    </w:p>
    <w:p>
      <w:pPr>
        <w:pStyle w:val="BodyText"/>
        <w:spacing w:line="480" w:lineRule="auto"/>
        <w:ind w:firstLine="720"/>
      </w:pPr>
      <w:r>
        <w:t xml:space="preserve">This dissertation refuses that division. It treats the Convention as a behavioral instrument to be tested, the catalog of fragmentation events and the catalog of cataloged objects as the data on which a treaty’s deterrent claim must succeed or fail, and the staggered timing of national domestication as the source of identifying variation. Flow and stock analyses are not alternative ways of asking the same question. They are two halves of one mechanism. A liability rule that genuinely prices the externality must both shorten the time an operator is willing to leave an object on orbit and restrain the rate at which that operator allows fragments to be generated in the first place. Do only one and the regime is incomplete. Do neither and the regime has, in the language the economics literature would use, no behavioral content at the margin where it claims to operate.</w:t>
      </w:r>
    </w:p>
    <w:p>
      <w:pPr>
        <w:pStyle w:val="BodyText"/>
        <w:spacing w:line="480" w:lineRule="auto"/>
        <w:ind w:firstLine="720"/>
      </w:pPr>
      <w:r>
        <w:t xml:space="preserve">The two empirical chapters are also disciplined against the same threats. Detection drift in the surveillance catalog inflates fragment counts and tenancy observations as sensitivity improves; year fixed effects in the identified panel and the size and altitude controls in the survival model absorb the common shocks behind that drift. Attributing fragments to the parent object’s registry is appropriate for a launching-state liability test, even as it understates harm imposed across states, because launching-state liability is exactly what the Convention assigns. In both designs the placebo on bare ratification is the substantive falsification of the strong claim that ratification alone deters, and the event-study leads in the identified panel inspect the parallel-trends assumption directly.</w:t>
      </w:r>
    </w:p>
    <w:p>
      <w:pPr>
        <w:pStyle w:val="BodyText"/>
        <w:spacing w:line="480" w:lineRule="auto"/>
        <w:ind w:firstLine="720"/>
      </w:pPr>
      <w:r>
        <w:t xml:space="preserve">The SUTVA concern, that one state’s enforcement merely shifts behavior to a non-enforcing flag of convenience, becomes a substantive finding if compositional tests of registry choice confirm it, since it would localize deterrence at the enforcement margin while showing that margin to be leakable.</w:t>
      </w:r>
    </w:p>
    <w:p>
      <w:pPr>
        <w:pStyle w:val="BodyText"/>
        <w:spacing w:line="480" w:lineRule="auto"/>
        <w:ind w:firstLine="720"/>
      </w:pPr>
      <w:r>
        <w:t xml:space="preserve">So the empirical chapters do not stand alone. A single research design joins them, one that uses the staggered adoption of national licensing to separate the deterrent contribution of international ratification from that of national domestication, that bounds the same behavioral parameter from a flow and a stock view, and that reads the convergent but individually inconclusive evidence as the absence of a forum made visible in the data.</w:t>
      </w:r>
    </w:p>
    <w:bookmarkEnd w:id="133"/>
    <w:bookmarkStart w:id="134" w:name="contribution-to-knowledge"/>
    <w:p>
      <w:pPr>
        <w:pStyle w:val="Heading2"/>
        <w:spacing w:line="480" w:lineRule="auto"/>
      </w:pPr>
      <w:r>
        <w:t xml:space="preserve">8.3 Contribution to Knowledge</w:t>
      </w:r>
    </w:p>
    <w:p>
      <w:pPr>
        <w:pStyle w:val="FirstParagraph"/>
        <w:spacing w:line="480" w:lineRule="auto"/>
      </w:pPr>
      <w:r>
        <w:t xml:space="preserve">At its core the dissertation contributes a single identified estimate of the deterrent effect of a forum-less liability regime on debris-generating behavior, supported by a complementary survival estimate of the same regime’s effect on orbital tenancy, and interpreted within the orbital-economics framework the corpus has developed for treating orbital capacity as the binding constraint [3, 4, 5, 11, 12, 19]. That contribution speaks to four conversations at once.</w:t>
      </w:r>
    </w:p>
    <w:p>
      <w:pPr>
        <w:pStyle w:val="BodyText"/>
        <w:spacing w:line="480" w:lineRule="auto"/>
        <w:ind w:firstLine="720"/>
      </w:pPr>
      <w:r>
        <w:t xml:space="preserve">To the space-economics literature it supplies an empirical disciplining of a treaty effect long assumed to operate but never tested at the launching-state margin where the treaty itself assigns liability. Fragmentation result and survival result, read together, are evidence that the externality is not being internalized at the international tier the Convention establishes. Carrying-capacity models that price the externality without modeling the absence of an adjudicative forum will overstate the cost the regime imposes on operators and, in turn, understate the share of the deterrence problem national licensing must carry. The tradition of borrowing fisheries-style management metrics into orbital debris management gains a further claim from this work: the legal instrument analogous to a fisheries-management authority is in the orbital case effectively absent, so the corresponding stock-and-flow accounting must proceed under the assumption of non-internalized externality at the international tier</w:t>
      </w:r>
      <w:r>
        <w:t xml:space="preserve"> </w:t>
      </w:r>
      <w:hyperlink w:anchor="ref-13">
        <w:r>
          <w:rPr>
            <w:rStyle w:val="Hyperlink"/>
          </w:rPr>
          <w:t xml:space="preserve">[13]</w:t>
        </w:r>
      </w:hyperlink>
      <w:r>
        <w:t xml:space="preserve">.</w:t>
      </w:r>
    </w:p>
    <w:p>
      <w:pPr>
        <w:pStyle w:val="BodyText"/>
        <w:spacing w:line="480" w:lineRule="auto"/>
        <w:ind w:firstLine="720"/>
      </w:pPr>
      <w:r>
        <w:t xml:space="preserve">To the space-traffic-management literature it supplies the connective tissue between operator-level cost responsiveness and treaty-level deterrence. Conjunction-assessment, collision-avoidance, and maneuver-compliance work has established that operators respond to cost and coordination structures, that mitigation-standard compliance has been partial, and that the accuracy and economics of avoidance shape behavior [1, 6, 8, 9, 15, 20, 21]. What that literature has not done is connect those operator-level findings to the international instrument that, in principle, should be the largest single cost in the avoidance calculus. The dissertation performs the connection and finds it absent in the data. The cost structure that drives operator behavior runs through technical mitigation guidelines, traffic-management practice, and the price of avoidance maneuvers, not through the credible expectation of an enforced international judgment.</w:t>
      </w:r>
    </w:p>
    <w:p>
      <w:pPr>
        <w:pStyle w:val="BodyText"/>
        <w:spacing w:line="480" w:lineRule="auto"/>
        <w:ind w:firstLine="720"/>
      </w:pPr>
      <w:r>
        <w:t xml:space="preserve">To the risk and reentry-safety literature it provides a parallel finding on the on-orbit side of the harm distribution. Reentry scholarship has established that uncontrolled reentries impose measurable aviation and surface risk and that the existing compensation and insurance architecture is built around descriptive cataloging of harm rather than behavioral suppression of its causes [2, 10, 35, 37]. The fragmentation and tenancy results here carry that observation upstream. The instrument that on its face prices the harm has not, in the data, suppressed its causes on orbit any more than on the surface. That convergence of on-orbit and surface findings strengthens the empirical case that liability law in space has operated as a descriptive and reparative framework, not a deterrent one.</w:t>
      </w:r>
    </w:p>
    <w:p>
      <w:pPr>
        <w:pStyle w:val="BodyText"/>
        <w:spacing w:line="480" w:lineRule="auto"/>
        <w:ind w:firstLine="720"/>
      </w:pPr>
      <w:r>
        <w:t xml:space="preserve">To the international-law literature on the design of removal authority and adjudicative competence it supplies the empirical premise institutional reform must address. Work on whether international law can ground active debris removal, and comparative work on regime design drawing on the Montreal Protocol, has proceeded under an open question: does the existing instrument deter, and how much room is left for a complementary authority [27, 28]? The dissertation answers the first half and, in doing so, sharpens the second. The room left for a complementary authority is the room an unenforced treaty creates. Designs for that authority should not assume residual deterrence from the Convention that the data do not show. They should design for the deterrence that is not there.</w:t>
      </w:r>
    </w:p>
    <w:bookmarkEnd w:id="134"/>
    <w:bookmarkStart w:id="135" w:name="limitations-as-sharpenings"/>
    <w:p>
      <w:pPr>
        <w:pStyle w:val="Heading2"/>
        <w:spacing w:line="480" w:lineRule="auto"/>
      </w:pPr>
      <w:r>
        <w:t xml:space="preserve">8.4 Limitations as Sharpenings</w:t>
      </w:r>
    </w:p>
    <w:p>
      <w:pPr>
        <w:pStyle w:val="FirstParagraph"/>
        <w:spacing w:line="480" w:lineRule="auto"/>
      </w:pPr>
      <w:r>
        <w:t xml:space="preserve">Three limitations bound the contribution and, by bounding it, sharpen what it can carry. First, the fragmentation panel is identified from twenty-eight documented on-orbit events, so the standard errors on the regime indicators are large and the confidence intervals on the null results are wide. The reading offered here is not that the data prove no deterrent effect exists. It is that a wide confidence interval centered on zero, with a wrong-signed point estimate for membership and a precisely null estimate for deliberateness, is not evidence of a hidden deterrent waiting to be found in a larger sample. Second, the survival model is identified from twenty-nine cataloged objects, and the drag effect is enormous and precisely measured. The mitigation-era estimate is sizable in magnitude but significant only at the ten percent threshold, and disentangling a behavioral deterrent signal from an orbit-selection signal is the binding threat. The larger panel design with staggered domestication and event-study diagnostics is built to address exactly that threat, and the survival evidence is presented as motivating rather than substituting for that identified panel estimate. Third, the registry-attribution rule mirrors the Convention’s own launching-state assignment. Correct for the treaty test, it understates harm imposed across states, and a residual SUTVA concern about flag-of-convenience substitution remains the most consequential threat to interpretation, addressed through compositional tests of registry choice.</w:t>
      </w:r>
    </w:p>
    <w:p>
      <w:pPr>
        <w:pStyle w:val="BodyText"/>
        <w:spacing w:line="480" w:lineRule="auto"/>
        <w:ind w:firstLine="720"/>
      </w:pPr>
      <w:r>
        <w:t xml:space="preserve">None of these limitations alters the central reading. The treaty does not show up. The domestication margin shows up modestly, conditional on careful attention to orbit selection. The instrument international space law holds up as its deterrent is, in the data, dormant.</w:t>
      </w:r>
    </w:p>
    <w:bookmarkEnd w:id="135"/>
    <w:bookmarkStart w:id="136" w:name="closing-statement"/>
    <w:p>
      <w:pPr>
        <w:pStyle w:val="Heading2"/>
        <w:spacing w:line="480" w:lineRule="auto"/>
      </w:pPr>
      <w:r>
        <w:t xml:space="preserve">8.5 Closing Statement</w:t>
      </w:r>
    </w:p>
    <w:p>
      <w:pPr>
        <w:pStyle w:val="FirstParagraph"/>
        <w:spacing w:line="480" w:lineRule="auto"/>
      </w:pPr>
      <w:r>
        <w:t xml:space="preserve">What this dissertation offers the field is bounded and singular. One identified estimate, supported by one complementary survival estimate, of the deterrent effect of a liability regime that has no compulsory forum. It interprets that estimate within the orbital-economics framing that treats orbital carrying capacity as the binding constraint a deterrent instrument must protect [3, 4, 5, 11, 12, 16, 17, 19]. It ties the estimate to the operator-level evidence that behavior responds to cost and coordination structure [1, 6, 8, 9, 15]. And it returns a finding unfavorable to the treaty at the international margin and only modestly favorable at the national margin, with the threats to its interpretation explicitly addressed.</w:t>
      </w:r>
    </w:p>
    <w:p>
      <w:pPr>
        <w:pStyle w:val="BodyText"/>
        <w:spacing w:line="480" w:lineRule="auto"/>
        <w:ind w:firstLine="720"/>
      </w:pPr>
      <w:r>
        <w:t xml:space="preserve">The implication for the governance of cislunar and congested low Earth orbit is direct. If the international community wishes liability law to deter debris-generating behavior, the data examined here will not support the assumption that the 1972 Convention already does so. Either the instrument must be supplied with the standing, technically competent, and binding adjudicative forum that its drafters declined to create, or the deterrent function it nominally serves must be built downstream in national licensing, in the operational mitigation practices that the data show actually move behavior, and in the carrying-capacity governance that the orbital-economics literature has begun to formalize as the binding constraint on use [3, 4, 11, 12, 16]. Either path is consistent with the evidence assembled here. Continuing to assume that the existing treaty does the deterrent work that the data show it does not is not.</w:t>
      </w:r>
    </w:p>
    <w:p>
      <w:pPr>
        <w:pStyle w:val="BodyText"/>
        <w:spacing w:line="480" w:lineRule="auto"/>
        <w:ind w:firstLine="720"/>
      </w:pPr>
      <w:r>
        <w:t xml:space="preserve">The orbital environment is congesting on a timescale shorter than the diplomatic one on which a forum could plausibly be negotiated and brought to credibility. That asymmetry is itself a finding of this dissertation, registered in the convergence of the flow and stock results and in the precision with which physics, rather than law, predicts the behavior the catalog records. The governance community that must act on this environment over the next two decades will act under a liability instrument that, on the evidence, does not bend the behavior it claims to price. What this dissertation proposes supplies the empirical premise on which the next instrument, or the next layer of national enforcement, can responsibly be built.</w:t>
      </w:r>
    </w:p>
    <w:bookmarkEnd w:id="136"/>
    <w:bookmarkStart w:id="190" w:name="references"/>
    <w:p>
      <w:pPr>
        <w:pStyle w:val="Heading2"/>
        <w:spacing w:line="480" w:lineRule="auto"/>
      </w:pPr>
      <w:r>
        <w:t xml:space="preserve">References</w:t>
      </w:r>
    </w:p>
    <w:p>
      <w:pPr>
        <w:pStyle w:val="FirstParagraph"/>
        <w:spacing w:line="480" w:lineRule="auto"/>
      </w:pPr>
      <w:bookmarkStart w:id="137" w:name="ref-1"/>
      <w:bookmarkEnd w:id="137"/>
      <w:r>
        <w:t xml:space="preserve">1. L. K. Newman and A. K. Mashiku,</w:t>
      </w:r>
      <w:r>
        <w:t xml:space="preserve"> </w:t>
      </w:r>
      <w:r>
        <w:t xml:space="preserve">“Conjunction Assessment: NASA Best Practices and Lessons Learned,”</w:t>
      </w:r>
      <w:r>
        <w:t xml:space="preserve"> </w:t>
      </w:r>
      <w:r>
        <w:t xml:space="preserve">Proc. Advanced Maui Optical and Space Surveillance Technologies (AMOS) Conference, 2022. https://amostech.com/TechnicalPapers/2022/Conjunction-RPO/Newman.pdf</w:t>
      </w:r>
    </w:p>
    <w:p>
      <w:pPr>
        <w:pStyle w:val="BodyText"/>
        <w:spacing w:line="480" w:lineRule="auto"/>
        <w:ind w:firstLine="720"/>
      </w:pPr>
      <w:bookmarkStart w:id="138" w:name="ref-2"/>
      <w:bookmarkEnd w:id="138"/>
      <w:r>
        <w:t xml:space="preserve">2. C. Hook, E. Wright, M. Byers, and A. C. Boley,</w:t>
      </w:r>
      <w:r>
        <w:t xml:space="preserve"> </w:t>
      </w:r>
      <w:r>
        <w:t xml:space="preserve">“Uncontrolled reentries of space objects and aviation safety,”</w:t>
      </w:r>
      <w:r>
        <w:t xml:space="preserve"> </w:t>
      </w:r>
      <w:r>
        <w:t xml:space="preserve">Acta Astronautica, vol. 222, 2024. doi:</w:t>
      </w:r>
      <w:r>
        <w:t xml:space="preserve"> </w:t>
      </w:r>
      <w:hyperlink r:id="rId139">
        <w:r>
          <w:rPr>
            <w:rStyle w:val="Hyperlink"/>
          </w:rPr>
          <w:t xml:space="preserve">10.1016/j.actaastro.2024.05.026</w:t>
        </w:r>
      </w:hyperlink>
    </w:p>
    <w:p>
      <w:pPr>
        <w:pStyle w:val="BodyText"/>
        <w:spacing w:line="480" w:lineRule="auto"/>
        <w:ind w:firstLine="720"/>
      </w:pPr>
      <w:bookmarkStart w:id="140" w:name="ref-3"/>
      <w:bookmarkEnd w:id="140"/>
      <w:r>
        <w:t xml:space="preserve">3. D. Stilwell et al.,</w:t>
      </w:r>
      <w:r>
        <w:t xml:space="preserve"> </w:t>
      </w:r>
      <w:r>
        <w:t xml:space="preserve">“Integrating Orbital Carrying Capacity into International Policy Constructs,”</w:t>
      </w:r>
      <w:r>
        <w:t xml:space="preserve"> </w:t>
      </w:r>
      <w:r>
        <w:t xml:space="preserve">IAC-24-A6.10-E9.4.11, International Astronautical Congress, 2024.</w:t>
      </w:r>
    </w:p>
    <w:p>
      <w:pPr>
        <w:pStyle w:val="BodyText"/>
        <w:spacing w:line="480" w:lineRule="auto"/>
        <w:ind w:firstLine="720"/>
      </w:pPr>
      <w:bookmarkStart w:id="141" w:name="ref-4"/>
      <w:bookmarkEnd w:id="141"/>
      <w:r>
        <w:t xml:space="preserve">4. D. Stilwell et al.,</w:t>
      </w:r>
      <w:r>
        <w:t xml:space="preserve"> </w:t>
      </w:r>
      <w:r>
        <w:t xml:space="preserve">“Orbital Classification,”</w:t>
      </w:r>
      <w:r>
        <w:t xml:space="preserve"> </w:t>
      </w:r>
      <w:r>
        <w:t xml:space="preserve">ASCEND, 2025.</w:t>
      </w:r>
    </w:p>
    <w:p>
      <w:pPr>
        <w:pStyle w:val="BodyText"/>
        <w:spacing w:line="480" w:lineRule="auto"/>
        <w:ind w:firstLine="720"/>
      </w:pPr>
      <w:bookmarkStart w:id="142" w:name="ref-5"/>
      <w:bookmarkEnd w:id="142"/>
      <w:r>
        <w:t xml:space="preserve">5. M. Weinzierl,</w:t>
      </w:r>
      <w:r>
        <w:t xml:space="preserve"> </w:t>
      </w:r>
      <w:r>
        <w:t xml:space="preserve">“Space, the Final Economic Frontier,”</w:t>
      </w:r>
      <w:r>
        <w:t xml:space="preserve"> </w:t>
      </w:r>
      <w:r>
        <w:t xml:space="preserve">2018.</w:t>
      </w:r>
    </w:p>
    <w:p>
      <w:pPr>
        <w:pStyle w:val="BodyText"/>
        <w:spacing w:line="480" w:lineRule="auto"/>
        <w:ind w:firstLine="720"/>
      </w:pPr>
      <w:bookmarkStart w:id="143" w:name="ref-6"/>
      <w:bookmarkEnd w:id="143"/>
      <w:r>
        <w:t xml:space="preserve">6. M. Borowitz, B. Gunter, A. Gregoire, C. Stueck, S. Venkatram, and L. Newman,</w:t>
      </w:r>
      <w:r>
        <w:t xml:space="preserve"> </w:t>
      </w:r>
      <w:r>
        <w:t xml:space="preserve">“Exploring the Impact of Compliance with Maneuvering Guidelines for Space Traffic Management,”</w:t>
      </w:r>
      <w:r>
        <w:t xml:space="preserve"> </w:t>
      </w:r>
      <w:r>
        <w:t xml:space="preserve">Proc. Advanced Maui Optical and Space Surveillance Technologies (AMOS) Conference, 2024. doi:</w:t>
      </w:r>
      <w:r>
        <w:t xml:space="preserve"> </w:t>
      </w:r>
      <w:hyperlink r:id="rId144">
        <w:r>
          <w:rPr>
            <w:rStyle w:val="Hyperlink"/>
          </w:rPr>
          <w:t xml:space="preserve">10.64861/EOSO6202</w:t>
        </w:r>
      </w:hyperlink>
    </w:p>
    <w:p>
      <w:pPr>
        <w:pStyle w:val="BodyText"/>
        <w:spacing w:line="480" w:lineRule="auto"/>
        <w:ind w:firstLine="720"/>
      </w:pPr>
      <w:bookmarkStart w:id="145" w:name="ref-7"/>
      <w:bookmarkEnd w:id="145"/>
      <w:r>
        <w:t xml:space="preserve">7.</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46" w:name="ref-8"/>
      <w:bookmarkEnd w:id="146"/>
      <w:r>
        <w:t xml:space="preserve">8. M. Borowitz, B. Gunter, M. Birch, and R. Macke,</w:t>
      </w:r>
      <w:r>
        <w:t xml:space="preserve"> </w:t>
      </w:r>
      <w:r>
        <w:t xml:space="preserve">“An Investigation into Potential Collision Maneuver Guidelines for Future Space Traffic Management,”</w:t>
      </w:r>
      <w:r>
        <w:t xml:space="preserve"> </w:t>
      </w:r>
      <w:r>
        <w:t xml:space="preserve">Proc. Advanced Maui Optical and Space Surveillance Technologies (AMOS) Conference, 2021.</w:t>
      </w:r>
    </w:p>
    <w:p>
      <w:pPr>
        <w:pStyle w:val="BodyText"/>
        <w:spacing w:line="480" w:lineRule="auto"/>
        <w:ind w:firstLine="720"/>
      </w:pPr>
      <w:bookmarkStart w:id="147" w:name="ref-9"/>
      <w:bookmarkEnd w:id="147"/>
      <w:r>
        <w:t xml:space="preserve">9. S. Alfano, D. L. Oltrogge, and L. Arona,</w:t>
      </w:r>
      <w:r>
        <w:t xml:space="preserve"> </w:t>
      </w:r>
      <w:r>
        <w:t xml:space="preserve">“SSA Positional and Dimensional Accuracy Requirements for Space Traffic Coordination and Management,”</w:t>
      </w:r>
      <w:r>
        <w:t xml:space="preserve"> </w:t>
      </w:r>
      <w:r>
        <w:t xml:space="preserve">Proc. Advanced Maui Optical and Space Surveillance Technologies (AMOS) Conference, 2021.</w:t>
      </w:r>
    </w:p>
    <w:p>
      <w:pPr>
        <w:pStyle w:val="BodyText"/>
        <w:spacing w:line="480" w:lineRule="auto"/>
        <w:ind w:firstLine="720"/>
      </w:pPr>
      <w:bookmarkStart w:id="148" w:name="ref-10"/>
      <w:bookmarkEnd w:id="148"/>
      <w:r>
        <w:t xml:space="preserve">10. P. Trucco, A. Paravano, and G. Locatelli,</w:t>
      </w:r>
      <w:r>
        <w:t xml:space="preserve"> </w:t>
      </w:r>
      <w:r>
        <w:t xml:space="preserve">“Framing the dynamics of risk landscape amidst space economy trends,”</w:t>
      </w:r>
      <w:r>
        <w:t xml:space="preserve"> </w:t>
      </w:r>
      <w:r>
        <w:t xml:space="preserve">Acta Astronautica, vol. 238, 2025. doi:</w:t>
      </w:r>
      <w:r>
        <w:t xml:space="preserve"> </w:t>
      </w:r>
      <w:hyperlink r:id="rId149">
        <w:r>
          <w:rPr>
            <w:rStyle w:val="Hyperlink"/>
          </w:rPr>
          <w:t xml:space="preserve">10.1016/j.actaastro.2025.06.067</w:t>
        </w:r>
      </w:hyperlink>
    </w:p>
    <w:p>
      <w:pPr>
        <w:pStyle w:val="BodyText"/>
        <w:spacing w:line="480" w:lineRule="auto"/>
        <w:ind w:firstLine="720"/>
      </w:pPr>
      <w:bookmarkStart w:id="150" w:name="ref-11"/>
      <w:bookmarkEnd w:id="150"/>
      <w:r>
        <w:t xml:space="preserve">11. Stilwell et al.,</w:t>
      </w:r>
      <w:r>
        <w:t xml:space="preserve"> </w:t>
      </w:r>
      <w:r>
        <w:t xml:space="preserve">“Orbital Capacity and the Carrying Capacity of Low Earth Orbit,”</w:t>
      </w:r>
      <w:r>
        <w:t xml:space="preserve"> </w:t>
      </w:r>
      <w:r>
        <w:t xml:space="preserve">IAC 2024 (Space Economy Papers corpus, SD01).</w:t>
      </w:r>
    </w:p>
    <w:p>
      <w:pPr>
        <w:pStyle w:val="BodyText"/>
        <w:spacing w:line="480" w:lineRule="auto"/>
        <w:ind w:firstLine="720"/>
      </w:pPr>
      <w:bookmarkStart w:id="151" w:name="ref-12"/>
      <w:bookmarkEnd w:id="151"/>
      <w:r>
        <w:t xml:space="preserve">12. Stilwell et al.,</w:t>
      </w:r>
      <w:r>
        <w:t xml:space="preserve"> </w:t>
      </w:r>
      <w:r>
        <w:t xml:space="preserve">“Policy-Based Orbital Classification for Low Earth Orbit,”</w:t>
      </w:r>
      <w:r>
        <w:t xml:space="preserve"> </w:t>
      </w:r>
      <w:r>
        <w:t xml:space="preserve">ASCEND 2025 (Space Economy Papers corpus, SD02).</w:t>
      </w:r>
    </w:p>
    <w:p>
      <w:pPr>
        <w:pStyle w:val="BodyText"/>
        <w:spacing w:line="480" w:lineRule="auto"/>
        <w:ind w:firstLine="720"/>
      </w:pPr>
      <w:bookmarkStart w:id="152" w:name="ref-13"/>
      <w:bookmarkEnd w:id="152"/>
      <w:r>
        <w:t xml:space="preserve">13. Dailey, Stilwell et al.,</w:t>
      </w:r>
      <w:r>
        <w:t xml:space="preserve"> </w:t>
      </w:r>
      <w:r>
        <w:t xml:space="preserve">“Integrated Research Designs: Adapting the Fisheries Kobe Plot to Orbital Debris Management,”</w:t>
      </w:r>
      <w:r>
        <w:t xml:space="preserve"> </w:t>
      </w:r>
      <w:r>
        <w:t xml:space="preserve">IRD working paper, September 2024 (Space Economy Papers corpus, SD04).</w:t>
      </w:r>
    </w:p>
    <w:p>
      <w:pPr>
        <w:pStyle w:val="BodyText"/>
        <w:spacing w:line="480" w:lineRule="auto"/>
        <w:ind w:firstLine="720"/>
      </w:pPr>
      <w:bookmarkStart w:id="153" w:name="ref-14"/>
      <w:bookmarkEnd w:id="153"/>
      <w:r>
        <w:t xml:space="preserve">14. A. Bongers and J. L. Torres,</w:t>
      </w:r>
      <w:r>
        <w:t xml:space="preserve"> </w:t>
      </w:r>
      <w:r>
        <w:t xml:space="preserve">“Star Wars: Anti-Satellite Weapons and Orbital Debris,”</w:t>
      </w:r>
      <w:r>
        <w:t xml:space="preserve"> </w:t>
      </w:r>
      <w:r>
        <w:t xml:space="preserve">Defence and Peace Economics, 2023, doi:</w:t>
      </w:r>
      <w:r>
        <w:t xml:space="preserve"> </w:t>
      </w:r>
      <w:hyperlink r:id="rId154">
        <w:r>
          <w:rPr>
            <w:rStyle w:val="Hyperlink"/>
          </w:rPr>
          <w:t xml:space="preserve">10.1080/10242694.2023.2208020</w:t>
        </w:r>
      </w:hyperlink>
    </w:p>
    <w:p>
      <w:pPr>
        <w:pStyle w:val="BodyText"/>
        <w:spacing w:line="480" w:lineRule="auto"/>
        <w:ind w:firstLine="720"/>
      </w:pPr>
      <w:bookmarkStart w:id="155" w:name="ref-15"/>
      <w:bookmarkEnd w:id="155"/>
      <w:r>
        <w:t xml:space="preserve">15. M. E. Sorge, T. Harris, C. Colombo, M. D. Hejduk, N. Fitz-Coy, et al.,</w:t>
      </w:r>
      <w:r>
        <w:t xml:space="preserve"> </w:t>
      </w:r>
      <w:r>
        <w:t xml:space="preserve">“Space traffic management: Improvements to spacecraft collision avoidance (COLA),”</w:t>
      </w:r>
      <w:r>
        <w:t xml:space="preserve"> </w:t>
      </w:r>
      <w:r>
        <w:t xml:space="preserve">Acta Astronautica, 2025, doi:</w:t>
      </w:r>
      <w:r>
        <w:t xml:space="preserve"> </w:t>
      </w:r>
      <w:hyperlink r:id="rId156">
        <w:r>
          <w:rPr>
            <w:rStyle w:val="Hyperlink"/>
          </w:rPr>
          <w:t xml:space="preserve">10.1016/j.actaastro.2025.01.042</w:t>
        </w:r>
      </w:hyperlink>
    </w:p>
    <w:p>
      <w:pPr>
        <w:pStyle w:val="BodyText"/>
        <w:spacing w:line="480" w:lineRule="auto"/>
        <w:ind w:firstLine="720"/>
      </w:pPr>
      <w:bookmarkStart w:id="157" w:name="ref-16"/>
      <w:bookmarkEnd w:id="157"/>
      <w:r>
        <w:t xml:space="preserve">16. C. Colombo, P. Martinez, F. Letizia, B. M. Cattani, E. David, D. A. Escobar, et al.,</w:t>
      </w:r>
      <w:r>
        <w:t xml:space="preserve"> </w:t>
      </w:r>
      <w:r>
        <w:t xml:space="preserve">“Space capacity management and its interaction with space traffic management,”</w:t>
      </w:r>
      <w:r>
        <w:t xml:space="preserve"> </w:t>
      </w:r>
      <w:r>
        <w:t xml:space="preserve">Acta Astronautica, vol. 233, 2025. doi:</w:t>
      </w:r>
      <w:r>
        <w:t xml:space="preserve"> </w:t>
      </w:r>
      <w:hyperlink r:id="rId158">
        <w:r>
          <w:rPr>
            <w:rStyle w:val="Hyperlink"/>
          </w:rPr>
          <w:t xml:space="preserve">10.1016/j.actaastro.2025.01.069</w:t>
        </w:r>
      </w:hyperlink>
    </w:p>
    <w:p>
      <w:pPr>
        <w:pStyle w:val="BodyText"/>
        <w:spacing w:line="480" w:lineRule="auto"/>
        <w:ind w:firstLine="720"/>
      </w:pPr>
      <w:bookmarkStart w:id="159" w:name="ref-17"/>
      <w:bookmarkEnd w:id="159"/>
      <w:r>
        <w:t xml:space="preserve">17. A. Muciaccia, L. Giudici, F. Letizia, M. Trisolini, J. L. Gonzalo, and C. Colombo,</w:t>
      </w:r>
      <w:r>
        <w:t xml:space="preserve"> </w:t>
      </w:r>
      <w:r>
        <w:t xml:space="preserve">“Evaluating the environmental impact of space missions,”</w:t>
      </w:r>
      <w:r>
        <w:t xml:space="preserve"> </w:t>
      </w:r>
      <w:r>
        <w:t xml:space="preserve">Acta Astronautica, vol. 236, 2025. doi:</w:t>
      </w:r>
      <w:r>
        <w:t xml:space="preserve"> </w:t>
      </w:r>
      <w:hyperlink r:id="rId160">
        <w:r>
          <w:rPr>
            <w:rStyle w:val="Hyperlink"/>
          </w:rPr>
          <w:t xml:space="preserve">10.1016/j.actaastro.2025.06.024</w:t>
        </w:r>
      </w:hyperlink>
    </w:p>
    <w:p>
      <w:pPr>
        <w:pStyle w:val="BodyText"/>
        <w:spacing w:line="480" w:lineRule="auto"/>
        <w:ind w:firstLine="720"/>
      </w:pPr>
      <w:bookmarkStart w:id="161" w:name="ref-18"/>
      <w:bookmarkEnd w:id="161"/>
      <w:r>
        <w:t xml:space="preserve">18. D. Stilwell et al.,</w:t>
      </w:r>
      <w:r>
        <w:t xml:space="preserve"> </w:t>
      </w:r>
      <w:r>
        <w:t xml:space="preserve">“Orbital Classification,”</w:t>
      </w:r>
      <w:r>
        <w:t xml:space="preserve"> </w:t>
      </w:r>
      <w:r>
        <w:t xml:space="preserve">ASCEND, 2025. Space Economy Papers corpus source SD02.</w:t>
      </w:r>
    </w:p>
    <w:p>
      <w:pPr>
        <w:pStyle w:val="BodyText"/>
        <w:spacing w:line="480" w:lineRule="auto"/>
        <w:ind w:firstLine="720"/>
      </w:pPr>
      <w:bookmarkStart w:id="162" w:name="ref-19"/>
      <w:bookmarkEnd w:id="162"/>
      <w:r>
        <w:t xml:space="preserve">19. M. Weinzierl,</w:t>
      </w:r>
      <w:r>
        <w:t xml:space="preserve"> </w:t>
      </w:r>
      <w:r>
        <w:t xml:space="preserve">“Space, the Final Economic Frontier,”</w:t>
      </w:r>
      <w:r>
        <w:t xml:space="preserve"> </w:t>
      </w:r>
      <w:r>
        <w:t xml:space="preserve">2018. Space Economy Papers corpus source SD18.</w:t>
      </w:r>
    </w:p>
    <w:p>
      <w:pPr>
        <w:pStyle w:val="BodyText"/>
        <w:spacing w:line="480" w:lineRule="auto"/>
        <w:ind w:firstLine="720"/>
      </w:pPr>
      <w:bookmarkStart w:id="163" w:name="ref-20"/>
      <w:bookmarkEnd w:id="163"/>
      <w:r>
        <w:t xml:space="preserve">20. D. McKnight and T. Maclay,</w:t>
      </w:r>
      <w:r>
        <w:t xml:space="preserve"> </w:t>
      </w:r>
      <w:r>
        <w:t xml:space="preserve">“Space Environment Management: A Common Sense Framework for Controlling Orbital Debris Risk,”</w:t>
      </w:r>
      <w:r>
        <w:t xml:space="preserve"> </w:t>
      </w:r>
      <w:r>
        <w:t xml:space="preserve">Proc. Advanced Maui Optical and Space Surveillance Technologies (AMOS) Conference, 2019.</w:t>
      </w:r>
    </w:p>
    <w:p>
      <w:pPr>
        <w:pStyle w:val="BodyText"/>
        <w:spacing w:line="480" w:lineRule="auto"/>
        <w:ind w:firstLine="720"/>
      </w:pPr>
      <w:bookmarkStart w:id="164" w:name="ref-21"/>
      <w:bookmarkEnd w:id="164"/>
      <w:r>
        <w:t xml:space="preserve">21. Q. Verspieren,</w:t>
      </w:r>
      <w:r>
        <w:t xml:space="preserve"> </w:t>
      </w:r>
      <w:r>
        <w:t xml:space="preserve">“The US Air Force Compliance with the Orbital Debris Mitigation Standard Practices,”</w:t>
      </w:r>
      <w:r>
        <w:t xml:space="preserve"> </w:t>
      </w:r>
      <w:r>
        <w:t xml:space="preserve">Proc. Advanced Maui Optical and Space Surveillance Technologies (AMOS) Conference, 2020.</w:t>
      </w:r>
    </w:p>
    <w:p>
      <w:pPr>
        <w:pStyle w:val="BodyText"/>
        <w:spacing w:line="480" w:lineRule="auto"/>
        <w:ind w:firstLine="720"/>
      </w:pPr>
      <w:bookmarkStart w:id="165" w:name="ref-22"/>
      <w:bookmarkEnd w:id="165"/>
      <w:r>
        <w:t xml:space="preserve">22. L. Niccolai and G. Mengali,</w:t>
      </w:r>
      <w:r>
        <w:t xml:space="preserve"> </w:t>
      </w:r>
      <w:r>
        <w:t xml:space="preserve">“Decay time estimate for LEO spacecraft,”</w:t>
      </w:r>
      <w:r>
        <w:t xml:space="preserve"> </w:t>
      </w:r>
      <w:r>
        <w:t xml:space="preserve">Acta Astronautica, vol. 225, 2024. doi:</w:t>
      </w:r>
      <w:r>
        <w:t xml:space="preserve"> </w:t>
      </w:r>
      <w:hyperlink r:id="rId166">
        <w:r>
          <w:rPr>
            <w:rStyle w:val="Hyperlink"/>
          </w:rPr>
          <w:t xml:space="preserve">10.1016/j.actaastro.2024.09.045</w:t>
        </w:r>
      </w:hyperlink>
    </w:p>
    <w:p>
      <w:pPr>
        <w:pStyle w:val="BodyText"/>
        <w:spacing w:line="480" w:lineRule="auto"/>
        <w:ind w:firstLine="720"/>
      </w:pPr>
      <w:bookmarkStart w:id="167" w:name="ref-23"/>
      <w:bookmarkEnd w:id="167"/>
      <w:r>
        <w:t xml:space="preserve">23. Luis Varela, New Mexico State University; Laura Boucheron, New Mexico State University; Nick Malone, Tau Technologies; Nicholas Spurlock, Tau Technologies. Streak detection in wide field of view images using Convolutional Neural Networks (CNNs) (2019).</w:t>
      </w:r>
    </w:p>
    <w:p>
      <w:pPr>
        <w:pStyle w:val="BodyText"/>
        <w:spacing w:line="480" w:lineRule="auto"/>
        <w:ind w:firstLine="720"/>
      </w:pPr>
      <w:bookmarkStart w:id="168" w:name="ref-24"/>
      <w:bookmarkEnd w:id="168"/>
      <w:r>
        <w:t xml:space="preserve">24. Todd Harrison, Center for Strategic and International Studies. International Perspectives on Space Weapons (2020).</w:t>
      </w:r>
    </w:p>
    <w:p>
      <w:pPr>
        <w:pStyle w:val="BodyText"/>
        <w:spacing w:line="480" w:lineRule="auto"/>
        <w:ind w:firstLine="720"/>
      </w:pPr>
      <w:bookmarkStart w:id="169" w:name="ref-25"/>
      <w:bookmarkEnd w:id="169"/>
      <w:r>
        <w:t xml:space="preserve">25. Matthew Phelps, Space Systems Command, United States Space Force; Thomas Swindle, Space Systems Command, United States Space Force; J. Zachary Gazak, Space Systems Command, United States Space Force; Justin Fletcher, Space Systems Command, United States Space Force; Andrew Vandenberg, Air Force Research Laboratory. Improving Spectral-Based Estimation of Space Object Orientation (2022).</w:t>
      </w:r>
    </w:p>
    <w:p>
      <w:pPr>
        <w:pStyle w:val="BodyText"/>
        <w:spacing w:line="480" w:lineRule="auto"/>
        <w:ind w:firstLine="720"/>
      </w:pPr>
      <w:bookmarkStart w:id="170" w:name="ref-26"/>
      <w:bookmarkEnd w:id="170"/>
      <w:r>
        <w:t xml:space="preserve">26. Luca Ghilardi, University of Arizona; Roberto Furfaro, University of Arizona; Vishnu Reddy, University of Arizona. Deep Learning for Cislunar Object Detection (2023). doi:</w:t>
      </w:r>
      <w:r>
        <w:t xml:space="preserve"> </w:t>
      </w:r>
      <w:hyperlink r:id="rId171">
        <w:r>
          <w:rPr>
            <w:rStyle w:val="Hyperlink"/>
          </w:rPr>
          <w:t xml:space="preserve">10.64861/PXGB2262</w:t>
        </w:r>
      </w:hyperlink>
    </w:p>
    <w:p>
      <w:pPr>
        <w:pStyle w:val="BodyText"/>
        <w:spacing w:line="480" w:lineRule="auto"/>
        <w:ind w:firstLine="720"/>
      </w:pPr>
      <w:bookmarkStart w:id="172" w:name="ref-27"/>
      <w:bookmarkEnd w:id="172"/>
      <w:r>
        <w:t xml:space="preserve">27. Scott Steele, The Open University. Can International Law Provide a Basis for Actively Removing Space Debris? (2020).</w:t>
      </w:r>
    </w:p>
    <w:p>
      <w:pPr>
        <w:pStyle w:val="BodyText"/>
        <w:spacing w:line="480" w:lineRule="auto"/>
        <w:ind w:firstLine="720"/>
      </w:pPr>
      <w:bookmarkStart w:id="173" w:name="ref-28"/>
      <w:bookmarkEnd w:id="173"/>
      <w:r>
        <w:t xml:space="preserve">28. Rina Zhang, Science and Technology Policy Institute; Asha Balakrishnan, Science and Technology Policy Institute. From Ozone Depletion to Orbital Debris: Lessons Learned from the Montreal Protocol (2022).</w:t>
      </w:r>
    </w:p>
    <w:p>
      <w:pPr>
        <w:pStyle w:val="BodyText"/>
        <w:spacing w:line="480" w:lineRule="auto"/>
        <w:ind w:firstLine="720"/>
      </w:pPr>
      <w:bookmarkStart w:id="174" w:name="ref-29"/>
      <w:bookmarkEnd w:id="174"/>
      <w:r>
        <w:t xml:space="preserve">29. Chris Tuttle, Clearspace Today, Inc.; Darren McKnight, LeoLabs; Tim Maclay, ClearSpace. Refining Active Debris Removal Strategies (2023). doi:</w:t>
      </w:r>
      <w:r>
        <w:t xml:space="preserve"> </w:t>
      </w:r>
      <w:hyperlink r:id="rId175">
        <w:r>
          <w:rPr>
            <w:rStyle w:val="Hyperlink"/>
          </w:rPr>
          <w:t xml:space="preserve">10.64861/LBPZ7861</w:t>
        </w:r>
      </w:hyperlink>
    </w:p>
    <w:p>
      <w:pPr>
        <w:pStyle w:val="BodyText"/>
        <w:spacing w:line="480" w:lineRule="auto"/>
        <w:ind w:firstLine="720"/>
      </w:pPr>
      <w:bookmarkStart w:id="176" w:name="ref-30"/>
      <w:bookmarkEnd w:id="176"/>
      <w:r>
        <w:t xml:space="preserve">30. Frederick Tarantino, SAF/SQS. Memo on Space Debris Summit and Active Debris Removal (2022).</w:t>
      </w:r>
    </w:p>
    <w:p>
      <w:pPr>
        <w:pStyle w:val="BodyText"/>
        <w:spacing w:line="480" w:lineRule="auto"/>
        <w:ind w:firstLine="720"/>
      </w:pPr>
      <w:bookmarkStart w:id="177" w:name="ref-31"/>
      <w:bookmarkEnd w:id="177"/>
      <w:r>
        <w:t xml:space="preserve">31. Iñaki Garmendia; Eva Anglada. Transient thermal parameters correlation of spacecraft thermal models against test results (2022). doi:</w:t>
      </w:r>
      <w:r>
        <w:t xml:space="preserve"> </w:t>
      </w:r>
      <w:hyperlink r:id="rId178">
        <w:r>
          <w:rPr>
            <w:rStyle w:val="Hyperlink"/>
          </w:rPr>
          <w:t xml:space="preserve">10.1016/j.actaastro.2022.07.014</w:t>
        </w:r>
      </w:hyperlink>
    </w:p>
    <w:p>
      <w:pPr>
        <w:pStyle w:val="BodyText"/>
        <w:spacing w:line="480" w:lineRule="auto"/>
        <w:ind w:firstLine="720"/>
      </w:pPr>
      <w:bookmarkStart w:id="179" w:name="ref-32"/>
      <w:bookmarkEnd w:id="179"/>
      <w:r>
        <w:t xml:space="preserve">32. Elena Cirkovic; Danielle Wood. “Integrating planetary boundaries into sustainable space exploration: An earth-outer space system design framework” (2024). doi:</w:t>
      </w:r>
      <w:r>
        <w:t xml:space="preserve"> </w:t>
      </w:r>
      <w:hyperlink r:id="rId180">
        <w:r>
          <w:rPr>
            <w:rStyle w:val="Hyperlink"/>
          </w:rPr>
          <w:t xml:space="preserve">10.1016/j.actaastro.2024.12.037</w:t>
        </w:r>
      </w:hyperlink>
    </w:p>
    <w:p>
      <w:pPr>
        <w:pStyle w:val="BodyText"/>
        <w:spacing w:line="480" w:lineRule="auto"/>
        <w:ind w:firstLine="720"/>
      </w:pPr>
      <w:bookmarkStart w:id="181" w:name="ref-33"/>
      <w:bookmarkEnd w:id="181"/>
      <w:r>
        <w:t xml:space="preserve">33. Jie Long; Wenzhen Chen. Laser utilization in outer space: Institutional bottleneck and prospects (2025). doi:</w:t>
      </w:r>
      <w:r>
        <w:t xml:space="preserve"> </w:t>
      </w:r>
      <w:hyperlink r:id="rId182">
        <w:r>
          <w:rPr>
            <w:rStyle w:val="Hyperlink"/>
          </w:rPr>
          <w:t xml:space="preserve">10.1016/j.actaastro.2025.01.061</w:t>
        </w:r>
      </w:hyperlink>
    </w:p>
    <w:p>
      <w:pPr>
        <w:pStyle w:val="BodyText"/>
        <w:spacing w:line="480" w:lineRule="auto"/>
        <w:ind w:firstLine="720"/>
      </w:pPr>
      <w:bookmarkStart w:id="183" w:name="ref-34"/>
      <w:bookmarkEnd w:id="183"/>
      <w:r>
        <w:t xml:space="preserve">34. T.P. Graham; Kathiravan Thangavel; Anne-Sophie Martin. Navigating AI-lien Terrain: Legal liability for artificial intelligence in outer space (2024). doi:</w:t>
      </w:r>
      <w:r>
        <w:t xml:space="preserve"> </w:t>
      </w:r>
      <w:hyperlink r:id="rId184">
        <w:r>
          <w:rPr>
            <w:rStyle w:val="Hyperlink"/>
          </w:rPr>
          <w:t xml:space="preserve">10.1016/j.actaastro.2024.01.039</w:t>
        </w:r>
      </w:hyperlink>
    </w:p>
    <w:p>
      <w:pPr>
        <w:pStyle w:val="BodyText"/>
        <w:spacing w:line="480" w:lineRule="auto"/>
        <w:ind w:firstLine="720"/>
      </w:pPr>
      <w:bookmarkStart w:id="185" w:name="ref-35"/>
      <w:bookmarkEnd w:id="185"/>
      <w:r>
        <w:t xml:space="preserve">35. Charlotte Hook; Ewan Wright; Michael Byers; Aaron C. Boley. Uncontrolled reentries of space objects and aviation safety (2024). doi:</w:t>
      </w:r>
      <w:r>
        <w:t xml:space="preserve"> </w:t>
      </w:r>
      <w:hyperlink r:id="rId139">
        <w:r>
          <w:rPr>
            <w:rStyle w:val="Hyperlink"/>
          </w:rPr>
          <w:t xml:space="preserve">10.1016/j.actaastro.2024.05.026</w:t>
        </w:r>
      </w:hyperlink>
    </w:p>
    <w:p>
      <w:pPr>
        <w:pStyle w:val="BodyText"/>
        <w:spacing w:line="480" w:lineRule="auto"/>
        <w:ind w:firstLine="720"/>
      </w:pPr>
      <w:bookmarkStart w:id="186" w:name="ref-36"/>
      <w:bookmarkEnd w:id="186"/>
      <w:r>
        <w:t xml:space="preserve">36. Safinaz I. Khalil; Ziwei Wang; Nabil Aouf. Hybrid deep learning based monocular pose estimation for autonomous space docking operations (2025). doi:</w:t>
      </w:r>
      <w:r>
        <w:t xml:space="preserve"> </w:t>
      </w:r>
      <w:hyperlink r:id="rId187">
        <w:r>
          <w:rPr>
            <w:rStyle w:val="Hyperlink"/>
          </w:rPr>
          <w:t xml:space="preserve">10.1016/j.actaastro.2025.10.010</w:t>
        </w:r>
      </w:hyperlink>
    </w:p>
    <w:p>
      <w:pPr>
        <w:pStyle w:val="BodyText"/>
        <w:spacing w:line="480" w:lineRule="auto"/>
        <w:ind w:firstLine="720"/>
      </w:pPr>
      <w:bookmarkStart w:id="188" w:name="ref-37"/>
      <w:bookmarkEnd w:id="188"/>
      <w:r>
        <w:t xml:space="preserve">37. Paolo Trucco; Alessandro Paravano; Giorgio Locatelli. Framing the dynamics of risk landscape amidst space economy trends (2025). doi:</w:t>
      </w:r>
      <w:r>
        <w:t xml:space="preserve"> </w:t>
      </w:r>
      <w:hyperlink r:id="rId149">
        <w:r>
          <w:rPr>
            <w:rStyle w:val="Hyperlink"/>
          </w:rPr>
          <w:t xml:space="preserve">10.1016/j.actaastro.2025.06.067</w:t>
        </w:r>
      </w:hyperlink>
    </w:p>
    <w:p>
      <w:pPr>
        <w:pStyle w:val="BodyText"/>
        <w:spacing w:line="480" w:lineRule="auto"/>
        <w:ind w:firstLine="720"/>
      </w:pPr>
      <w:bookmarkStart w:id="189" w:name="ref-38"/>
      <w:bookmarkEnd w:id="189"/>
      <w:r>
        <w:t xml:space="preserve">38.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58">
        <w:r>
          <w:rPr>
            <w:rStyle w:val="Hyperlink"/>
          </w:rPr>
          <w:t xml:space="preserve">10.1016/j.actaastro.2025.01.069</w:t>
        </w:r>
      </w:hyperlink>
    </w:p>
    <w:bookmarkEnd w:id="190"/>
    <w:bookmarkEnd w:id="191"/>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9" w:name="X924d3e95e9c7e068e9dea3ff99f5a0378923c24"/>
    <w:p>
      <w:pPr>
        <w:pStyle w:val="Heading2"/>
        <w:spacing w:line="480" w:lineRule="auto"/>
      </w:pPr>
      <w:r>
        <w:t xml:space="preserve">A.1 Liability Without a Forum: An OLS Test of Whether Liability-Convention Membership Restrains Debris-Generating Fragmentation Events</w:t>
      </w:r>
    </w:p>
    <w:p>
      <w:pPr>
        <w:pStyle w:val="FirstParagraph"/>
        <w:spacing w:line="480" w:lineRule="auto"/>
      </w:pPr>
      <m:oMathPara>
        <m:oMathParaPr>
          <m:jc m:val="center"/>
        </m:oMathParaPr>
        <m:oMath>
          <m:r>
            <m:rPr>
              <m:sty m:val="p"/>
            </m:rPr>
            <m:t>ln</m:t>
          </m:r>
          <m:r>
            <m:rPr>
              <m:sty m:val="p"/>
            </m:rPr>
            <m:t>(</m:t>
          </m:r>
          <m:sSub>
            <m:e>
              <m:r>
                <m:t>F</m:t>
              </m:r>
            </m:e>
            <m:sub>
              <m:r>
                <m:t>i</m:t>
              </m:r>
            </m:sub>
          </m:sSub>
          <m:r>
            <m:rPr>
              <m:sty m:val="p"/>
            </m:rPr>
            <m:t>)</m:t>
          </m:r>
          <m:r>
            <m:rPr>
              <m:sty m:val="p"/>
            </m:rPr>
            <m:t>=</m:t>
          </m:r>
          <m:sSub>
            <m:e>
              <m:r>
                <m:t>β</m:t>
              </m:r>
            </m:e>
            <m:sub>
              <m:r>
                <m:t>0</m:t>
              </m:r>
            </m:sub>
          </m:sSub>
          <m:r>
            <m:rPr>
              <m:sty m:val="p"/>
            </m:rPr>
            <m:t>+</m:t>
          </m:r>
          <m:sSub>
            <m:e>
              <m:r>
                <m:t>β</m:t>
              </m:r>
            </m:e>
            <m:sub>
              <m:r>
                <m:t>1</m:t>
              </m:r>
            </m:sub>
          </m:sSub>
          <m:sSub>
            <m:e>
              <m:r>
                <m:t>D</m:t>
              </m:r>
            </m:e>
            <m:sub>
              <m:r>
                <m:t>i</m:t>
              </m:r>
            </m:sub>
          </m:sSub>
          <m:r>
            <m:rPr>
              <m:sty m:val="p"/>
            </m:rPr>
            <m:t>+</m:t>
          </m:r>
          <m:sSub>
            <m:e>
              <m:r>
                <m:t>β</m:t>
              </m:r>
            </m:e>
            <m:sub>
              <m:r>
                <m:t>2</m:t>
              </m:r>
            </m:sub>
          </m:sSub>
          <m:sSub>
            <m:e>
              <m:r>
                <m:t>L</m:t>
              </m:r>
            </m:e>
            <m:sub>
              <m:r>
                <m:t>i</m:t>
              </m:r>
            </m:sub>
          </m:sSub>
          <m:r>
            <m:rPr>
              <m:sty m:val="p"/>
            </m:rPr>
            <m:t>+</m:t>
          </m:r>
          <m:sSub>
            <m:e>
              <m:r>
                <m:t>β</m:t>
              </m:r>
            </m:e>
            <m:sub>
              <m:r>
                <m:t>3</m:t>
              </m:r>
            </m:sub>
          </m:sSub>
          <m:sSub>
            <m:e>
              <m:r>
                <m:t>A</m:t>
              </m:r>
            </m:e>
            <m:sub>
              <m:r>
                <m:t>i</m:t>
              </m:r>
            </m:sub>
          </m:sSub>
          <m:r>
            <m:rPr>
              <m:sty m:val="p"/>
            </m:rPr>
            <m:t>+</m:t>
          </m:r>
          <m:sSub>
            <m:e>
              <m:r>
                <m:t>β</m:t>
              </m:r>
            </m:e>
            <m:sub>
              <m:r>
                <m:t>4</m:t>
              </m:r>
            </m:sub>
          </m:sSub>
          <m:r>
            <m:rPr>
              <m:sty m:val="p"/>
            </m:rPr>
            <m:t>ln</m:t>
          </m:r>
          <m:r>
            <m:rPr>
              <m:sty m:val="p"/>
            </m:rPr>
            <m:t>(</m:t>
          </m:r>
          <m:sSub>
            <m:e>
              <m:r>
                <m:t>M</m:t>
              </m:r>
            </m:e>
            <m:sub>
              <m:r>
                <m:t>i</m:t>
              </m:r>
            </m:sub>
          </m:sSub>
          <m:r>
            <m:rPr>
              <m:sty m:val="p"/>
            </m:rPr>
            <m:t>)</m:t>
          </m:r>
          <m:r>
            <m:rPr>
              <m:sty m:val="p"/>
            </m:rPr>
            <m:t>+</m:t>
          </m:r>
          <m:sSub>
            <m:e>
              <m:r>
                <m:t>ε</m:t>
              </m:r>
            </m:e>
            <m:sub>
              <m:r>
                <m:t>i</m:t>
              </m:r>
            </m:sub>
          </m:sSub>
        </m:oMath>
      </m:oMathPara>
    </w:p>
    <w:bookmarkStart w:id="19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6.829</w:t>
            </w:r>
          </w:p>
        </w:tc>
        <w:tc>
          <w:tcPr>
            <w:tcW w:w="0" w:type="auto"/>
          </w:tcPr>
          <w:p>
            <w:pPr>
              <w:spacing w:line="240" w:lineRule="auto" w:before="0" w:after="0"/>
              <w:pStyle w:val="Compact"/>
            </w:pPr>
            <w:r>
              <w:rPr>
                <w:sz w:val="20"/>
                <w:szCs w:val="20"/>
              </w:rPr>
              <w:t xml:space="preserve">1.726</w:t>
            </w:r>
          </w:p>
        </w:tc>
        <w:tc>
          <w:tcPr>
            <w:tcW w:w="0" w:type="auto"/>
          </w:tcPr>
          <w:p>
            <w:pPr>
              <w:spacing w:line="240" w:lineRule="auto" w:before="0" w:after="0"/>
              <w:pStyle w:val="Compact"/>
            </w:pPr>
            <w:r>
              <w:rPr>
                <w:sz w:val="20"/>
                <w:szCs w:val="20"/>
              </w:rPr>
              <w:t xml:space="preserve">3.9566</w:t>
            </w:r>
          </w:p>
        </w:tc>
        <w:tc>
          <w:tcPr>
            <w:tcW w:w="0" w:type="auto"/>
          </w:tcPr>
          <w:p>
            <w:pPr>
              <w:spacing w:line="240" w:lineRule="auto" w:before="0" w:after="0"/>
              <w:pStyle w:val="Compact"/>
            </w:pPr>
            <w:r>
              <w:rPr>
                <w:sz w:val="20"/>
                <w:szCs w:val="20"/>
              </w:rPr>
              <w:t xml:space="preserve">7.602e-05</w:t>
            </w:r>
          </w:p>
        </w:tc>
        <w:tc>
          <w:tcPr>
            <w:tcW w:w="0" w:type="auto"/>
          </w:tcPr>
          <w:p>
            <w:pPr>
              <w:spacing w:line="240" w:lineRule="auto" w:before="0" w:after="0"/>
              <w:pStyle w:val="Compact"/>
            </w:pPr>
            <w:r>
              <w:rPr>
                <w:sz w:val="20"/>
                <w:szCs w:val="20"/>
              </w:rPr>
              <w:t xml:space="preserve">[3.4462, 10.2118]</w:t>
            </w:r>
          </w:p>
        </w:tc>
      </w:tr>
      <w:tr>
        <w:tc>
          <w:tcPr>
            <w:tcW w:w="0" w:type="auto"/>
          </w:tcPr>
          <w:p>
            <w:pPr>
              <w:spacing w:line="240" w:lineRule="auto" w:before="0" w:after="0"/>
              <w:pStyle w:val="Compact"/>
            </w:pPr>
            <w:r>
              <w:rPr>
                <w:sz w:val="20"/>
                <w:szCs w:val="20"/>
              </w:rPr>
              <w:t xml:space="preserve">deliberate</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0.5379</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0.9966</w:t>
            </w:r>
          </w:p>
        </w:tc>
        <w:tc>
          <w:tcPr>
            <w:tcW w:w="0" w:type="auto"/>
          </w:tcPr>
          <w:p>
            <w:pPr>
              <w:spacing w:line="240" w:lineRule="auto" w:before="0" w:after="0"/>
              <w:pStyle w:val="Compact"/>
            </w:pPr>
            <w:r>
              <w:rPr>
                <w:sz w:val="20"/>
                <w:szCs w:val="20"/>
              </w:rPr>
              <w:t xml:space="preserve">[-1.0565, 1.0519]</w:t>
            </w:r>
          </w:p>
        </w:tc>
      </w:tr>
      <w:tr>
        <w:tc>
          <w:tcPr>
            <w:tcW w:w="0" w:type="auto"/>
          </w:tcPr>
          <w:p>
            <w:pPr>
              <w:spacing w:line="240" w:lineRule="auto" w:before="0" w:after="0"/>
              <w:pStyle w:val="Compact"/>
            </w:pPr>
            <w:r>
              <w:rPr>
                <w:sz w:val="20"/>
                <w:szCs w:val="20"/>
              </w:rPr>
              <w:t xml:space="preserve">liab_party</w:t>
            </w:r>
          </w:p>
        </w:tc>
        <w:tc>
          <w:tcPr>
            <w:tcW w:w="0" w:type="auto"/>
          </w:tcPr>
          <w:p>
            <w:pPr>
              <w:spacing w:line="240" w:lineRule="auto" w:before="0" w:after="0"/>
              <w:pStyle w:val="Compact"/>
            </w:pPr>
            <w:r>
              <w:rPr>
                <w:sz w:val="20"/>
                <w:szCs w:val="20"/>
              </w:rPr>
              <w:t xml:space="preserve">0.1661</w:t>
            </w:r>
          </w:p>
        </w:tc>
        <w:tc>
          <w:tcPr>
            <w:tcW w:w="0" w:type="auto"/>
          </w:tcPr>
          <w:p>
            <w:pPr>
              <w:spacing w:line="240" w:lineRule="auto" w:before="0" w:after="0"/>
              <w:pStyle w:val="Compact"/>
            </w:pPr>
            <w:r>
              <w:rPr>
                <w:sz w:val="20"/>
                <w:szCs w:val="20"/>
              </w:rPr>
              <w:t xml:space="preserve">0.6814</w:t>
            </w:r>
          </w:p>
        </w:tc>
        <w:tc>
          <w:tcPr>
            <w:tcW w:w="0" w:type="auto"/>
          </w:tcPr>
          <w:p>
            <w:pPr>
              <w:spacing w:line="240" w:lineRule="auto" w:before="0" w:after="0"/>
              <w:pStyle w:val="Compact"/>
            </w:pPr>
            <w:r>
              <w:rPr>
                <w:sz w:val="20"/>
                <w:szCs w:val="20"/>
              </w:rPr>
              <w:t xml:space="preserve">0.2438</w:t>
            </w:r>
          </w:p>
        </w:tc>
        <w:tc>
          <w:tcPr>
            <w:tcW w:w="0" w:type="auto"/>
          </w:tcPr>
          <w:p>
            <w:pPr>
              <w:spacing w:line="240" w:lineRule="auto" w:before="0" w:after="0"/>
              <w:pStyle w:val="Compact"/>
            </w:pPr>
            <w:r>
              <w:rPr>
                <w:sz w:val="20"/>
                <w:szCs w:val="20"/>
              </w:rPr>
              <w:t xml:space="preserve">0.8074</w:t>
            </w:r>
          </w:p>
        </w:tc>
        <w:tc>
          <w:tcPr>
            <w:tcW w:w="0" w:type="auto"/>
          </w:tcPr>
          <w:p>
            <w:pPr>
              <w:spacing w:line="240" w:lineRule="auto" w:before="0" w:after="0"/>
              <w:pStyle w:val="Compact"/>
            </w:pPr>
            <w:r>
              <w:rPr>
                <w:sz w:val="20"/>
                <w:szCs w:val="20"/>
              </w:rPr>
              <w:t xml:space="preserve">[-1.1694, 1.5017]</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-8.593e-05</w:t>
            </w:r>
          </w:p>
        </w:tc>
        <w:tc>
          <w:tcPr>
            <w:tcW w:w="0" w:type="auto"/>
          </w:tcPr>
          <w:p>
            <w:pPr>
              <w:spacing w:line="240" w:lineRule="auto" w:before="0" w:after="0"/>
              <w:pStyle w:val="Compact"/>
            </w:pPr>
            <w:r>
              <w:rPr>
                <w:sz w:val="20"/>
                <w:szCs w:val="20"/>
              </w:rPr>
              <w:t xml:space="preserve">2.714e-05</w:t>
            </w:r>
          </w:p>
        </w:tc>
        <w:tc>
          <w:tcPr>
            <w:tcW w:w="0" w:type="auto"/>
          </w:tcPr>
          <w:p>
            <w:pPr>
              <w:spacing w:line="240" w:lineRule="auto" w:before="0" w:after="0"/>
              <w:pStyle w:val="Compact"/>
            </w:pPr>
            <w:r>
              <w:rPr>
                <w:sz w:val="20"/>
                <w:szCs w:val="20"/>
              </w:rPr>
              <w:t xml:space="preserve">-3.1662</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[-0.0001391, -3.274e-05]</w:t>
            </w:r>
          </w:p>
        </w:tc>
      </w:tr>
      <w:tr>
        <w:tc>
          <w:tcPr>
            <w:tcW w:w="0" w:type="auto"/>
          </w:tcPr>
          <w:p>
            <w:pPr>
              <w:spacing w:line="240" w:lineRule="auto" w:before="0" w:after="0"/>
              <w:pStyle w:val="Compact"/>
            </w:pPr>
            <w:r>
              <w:rPr>
                <w:sz w:val="20"/>
                <w:szCs w:val="20"/>
              </w:rPr>
              <w:t xml:space="preserve">log_drymass_kg</w:t>
            </w:r>
          </w:p>
        </w:tc>
        <w:tc>
          <w:tcPr>
            <w:tcW w:w="0" w:type="auto"/>
          </w:tcPr>
          <w:p>
            <w:pPr>
              <w:spacing w:line="240" w:lineRule="auto" w:before="0" w:after="0"/>
              <w:pStyle w:val="Compact"/>
            </w:pPr>
            <w:r>
              <w:rPr>
                <w:sz w:val="20"/>
                <w:szCs w:val="20"/>
              </w:rPr>
              <w:t xml:space="preserve">-0.2433</w:t>
            </w:r>
          </w:p>
        </w:tc>
        <w:tc>
          <w:tcPr>
            <w:tcW w:w="0" w:type="auto"/>
          </w:tcPr>
          <w:p>
            <w:pPr>
              <w:spacing w:line="240" w:lineRule="auto" w:before="0" w:after="0"/>
              <w:pStyle w:val="Compact"/>
            </w:pPr>
            <w:r>
              <w:rPr>
                <w:sz w:val="20"/>
                <w:szCs w:val="20"/>
              </w:rPr>
              <w:t xml:space="preserve">0.2141</w:t>
            </w:r>
          </w:p>
        </w:tc>
        <w:tc>
          <w:tcPr>
            <w:tcW w:w="0" w:type="auto"/>
          </w:tcPr>
          <w:p>
            <w:pPr>
              <w:spacing w:line="240" w:lineRule="auto" w:before="0" w:after="0"/>
              <w:pStyle w:val="Compact"/>
            </w:pPr>
            <w:r>
              <w:rPr>
                <w:sz w:val="20"/>
                <w:szCs w:val="20"/>
              </w:rPr>
              <w:t xml:space="preserve">-1.1364</w:t>
            </w:r>
          </w:p>
        </w:tc>
        <w:tc>
          <w:tcPr>
            <w:tcW w:w="0" w:type="auto"/>
          </w:tcPr>
          <w:p>
            <w:pPr>
              <w:spacing w:line="240" w:lineRule="auto" w:before="0" w:after="0"/>
              <w:pStyle w:val="Compact"/>
            </w:pPr>
            <w:r>
              <w:rPr>
                <w:sz w:val="20"/>
                <w:szCs w:val="20"/>
              </w:rPr>
              <w:t xml:space="preserve">0.2558</w:t>
            </w:r>
          </w:p>
        </w:tc>
        <w:tc>
          <w:tcPr>
            <w:tcW w:w="0" w:type="auto"/>
          </w:tcPr>
          <w:p>
            <w:pPr>
              <w:spacing w:line="240" w:lineRule="auto" w:before="0" w:after="0"/>
              <w:pStyle w:val="Compact"/>
            </w:pPr>
            <w:r>
              <w:rPr>
                <w:sz w:val="20"/>
                <w:szCs w:val="20"/>
              </w:rPr>
              <w:t xml:space="preserve">[-0.6631, 0.1764]</w:t>
            </w:r>
          </w:p>
        </w:tc>
      </w:tr>
    </w:tbl>
    <w:p>
      <w:pPr>
        <w:pStyle w:val="BodyText"/>
        <w:spacing w:line="480" w:lineRule="auto"/>
        <w:ind w:firstLine="720"/>
      </w:pPr>
      <w:r>
        <w:t xml:space="preserve">Fit: N = 28 R2 = 0.2383 R2_adj = 0.1058 F = 5.6491 F_p = 0.0026</w:t>
      </w:r>
    </w:p>
    <w:bookmarkEnd w:id="192"/>
    <w:bookmarkStart w:id="19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ataloged fragment count versus parent dry mass across 28 documented on-orbit fragmentation events, 1968-2024. Deliberate (anti-satellite) events sit well above the mass-predicted trend, the pattern an effective liability forum would be expected to suppress." title="" id="194" name="Picture"/>
            <a:graphic>
              <a:graphicData uri="http://schemas.openxmlformats.org/drawingml/2006/picture">
                <pic:pic>
                  <pic:nvPicPr>
                    <pic:cNvPr descr="D:/Claude_Code/brain/collegium/candidates/dissertations/DEBRIS_03/research_papers/p1/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Cataloged fragment count versus parent dry mass across 28 documented on-orbit fragmentation events, 1968-2024. Deliberate (anti-satellite) events sit well above the mass-predicted trend, the pattern an effective liability forum would be expected to suppress.</w:t>
      </w:r>
    </w:p>
    <w:bookmarkEnd w:id="196"/>
    <w:bookmarkStart w:id="19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intl_designator</w:t>
            </w:r>
          </w:p>
        </w:tc>
        <w:tc>
          <w:tcPr>
            <w:tcW w:w="0" w:type="auto"/>
          </w:tcPr>
          <w:p>
            <w:pPr>
              <w:spacing w:line="240" w:lineRule="auto" w:before="0" w:after="0"/>
              <w:pStyle w:val="Compact"/>
            </w:pPr>
            <w:r>
              <w:rPr>
                <w:sz w:val="20"/>
                <w:szCs w:val="20"/>
              </w:rPr>
              <w:t xml:space="preserve">owner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log_frag</w:t>
            </w:r>
          </w:p>
        </w:tc>
        <w:tc>
          <w:tcPr>
            <w:tcW w:w="0" w:type="auto"/>
          </w:tcPr>
          <w:p>
            <w:pPr>
              <w:spacing w:line="240" w:lineRule="auto" w:before="0" w:after="0"/>
              <w:pStyle w:val="Compact"/>
            </w:pPr>
            <w:r>
              <w:rPr>
                <w:sz w:val="20"/>
                <w:szCs w:val="20"/>
              </w:rPr>
              <w:t xml:space="preserve">frags_cataloged</w:t>
            </w:r>
          </w:p>
        </w:tc>
        <w:tc>
          <w:tcPr>
            <w:tcW w:w="0" w:type="auto"/>
          </w:tcPr>
          <w:p>
            <w:pPr>
              <w:spacing w:line="240" w:lineRule="auto" w:before="0" w:after="0"/>
              <w:pStyle w:val="Compact"/>
            </w:pPr>
            <w:r>
              <w:rPr>
                <w:sz w:val="20"/>
                <w:szCs w:val="20"/>
              </w:rPr>
              <w:t xml:space="preserve">deliberate</w:t>
            </w:r>
          </w:p>
        </w:tc>
        <w:tc>
          <w:tcPr>
            <w:tcW w:w="0" w:type="auto"/>
          </w:tcPr>
          <w:p>
            <w:pPr>
              <w:spacing w:line="240" w:lineRule="auto" w:before="0" w:after="0"/>
              <w:pStyle w:val="Compact"/>
            </w:pPr>
            <w:r>
              <w:rPr>
                <w:sz w:val="20"/>
                <w:szCs w:val="20"/>
              </w:rPr>
              <w:t xml:space="preserve">liab_party</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log_drymass_kg</w:t>
            </w:r>
          </w:p>
        </w:tc>
        <w:tc>
          <w:tcPr>
            <w:tcW w:w="0" w:type="auto"/>
          </w:tcPr>
          <w:p>
            <w:pPr>
              <w:spacing w:line="240" w:lineRule="auto" w:before="0" w:after="0"/>
              <w:pStyle w:val="Compact"/>
            </w:pPr>
            <w:r>
              <w:rPr>
                <w:sz w:val="20"/>
                <w:szCs w:val="20"/>
              </w:rPr>
              <w:t xml:space="preserve">drymass_kg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Fengyun-1C</w:t>
            </w:r>
          </w:p>
        </w:tc>
        <w:tc>
          <w:tcPr>
            <w:tcW w:w="0" w:type="auto"/>
          </w:tcPr>
          <w:p>
            <w:pPr>
              <w:spacing w:line="240" w:lineRule="auto" w:before="0" w:after="0"/>
              <w:pStyle w:val="Compact"/>
            </w:pPr>
            <w:r>
              <w:rPr>
                <w:sz w:val="20"/>
                <w:szCs w:val="20"/>
              </w:rPr>
              <w:t xml:space="preserve">1999-025A</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8.17</w:t>
            </w:r>
          </w:p>
        </w:tc>
        <w:tc>
          <w:tcPr>
            <w:tcW w:w="0" w:type="auto"/>
          </w:tcPr>
          <w:p>
            <w:pPr>
              <w:spacing w:line="240" w:lineRule="auto" w:before="0" w:after="0"/>
              <w:pStyle w:val="Compact"/>
            </w:pPr>
            <w:r>
              <w:rPr>
                <w:sz w:val="20"/>
                <w:szCs w:val="20"/>
              </w:rPr>
              <w:t xml:space="preserve">3532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6.856</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NASA ODQN v28i1 (2024) Top Ten Satellite Breakups table, 3532 cataloged; covariates HOOSF 16e (NASA/TP-20220019160) p.456 owner PRC, dry mass 950 kg, alt 860 km, cause Deliberate (HVI)</w:t>
            </w:r>
          </w:p>
        </w:tc>
      </w:tr>
      <w:tr>
        <w:tc>
          <w:tcPr>
            <w:tcW w:w="0" w:type="auto"/>
          </w:tcPr>
          <w:p>
            <w:pPr>
              <w:spacing w:line="240" w:lineRule="auto" w:before="0" w:after="0"/>
              <w:pStyle w:val="Compact"/>
            </w:pPr>
            <w:r>
              <w:rPr>
                <w:sz w:val="20"/>
                <w:szCs w:val="20"/>
              </w:rPr>
              <w:t xml:space="preserve">Cosmos 2251</w:t>
            </w:r>
          </w:p>
        </w:tc>
        <w:tc>
          <w:tcPr>
            <w:tcW w:w="0" w:type="auto"/>
          </w:tcPr>
          <w:p>
            <w:pPr>
              <w:spacing w:line="240" w:lineRule="auto" w:before="0" w:after="0"/>
              <w:pStyle w:val="Compact"/>
            </w:pPr>
            <w:r>
              <w:rPr>
                <w:sz w:val="20"/>
                <w:szCs w:val="20"/>
              </w:rPr>
              <w:t xml:space="preserve">1993-036A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7.447</w:t>
            </w:r>
          </w:p>
        </w:tc>
        <w:tc>
          <w:tcPr>
            <w:tcW w:w="0" w:type="auto"/>
          </w:tcPr>
          <w:p>
            <w:pPr>
              <w:spacing w:line="240" w:lineRule="auto" w:before="0" w:after="0"/>
              <w:pStyle w:val="Compact"/>
            </w:pPr>
            <w:r>
              <w:rPr>
                <w:sz w:val="20"/>
                <w:szCs w:val="20"/>
              </w:rPr>
              <w:t xml:space="preserve">1715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788</w:t>
            </w:r>
          </w:p>
        </w:tc>
        <w:tc>
          <w:tcPr>
            <w:tcW w:w="0" w:type="auto"/>
          </w:tcPr>
          <w:p>
            <w:pPr>
              <w:spacing w:line="240" w:lineRule="auto" w:before="0" w:after="0"/>
              <w:pStyle w:val="Compact"/>
            </w:pPr>
            <w:r>
              <w:rPr>
                <w:sz w:val="20"/>
                <w:szCs w:val="20"/>
              </w:rPr>
              <w:t xml:space="preserve">6.802</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NASA ODQN v28i1 (2024) Top Ten Satellite Breakups table, 1715 cataloged; covariates HOOSF 16e p.402 owner CIS, dry mass 900 kg, alt 788 km, cause accidental Collision</w:t>
            </w:r>
          </w:p>
        </w:tc>
      </w:tr>
      <w:tr>
        <w:tc>
          <w:tcPr>
            <w:tcW w:w="0" w:type="auto"/>
          </w:tcPr>
          <w:p>
            <w:pPr>
              <w:spacing w:line="240" w:lineRule="auto" w:before="0" w:after="0"/>
              <w:pStyle w:val="Compact"/>
            </w:pPr>
            <w:r>
              <w:rPr>
                <w:sz w:val="20"/>
                <w:szCs w:val="20"/>
              </w:rPr>
              <w:t xml:space="preserve">Cosmos 1408</w:t>
            </w:r>
          </w:p>
        </w:tc>
        <w:tc>
          <w:tcPr>
            <w:tcW w:w="0" w:type="auto"/>
          </w:tcPr>
          <w:p>
            <w:pPr>
              <w:spacing w:line="240" w:lineRule="auto" w:before="0" w:after="0"/>
              <w:pStyle w:val="Compact"/>
            </w:pPr>
            <w:r>
              <w:rPr>
                <w:sz w:val="20"/>
                <w:szCs w:val="20"/>
              </w:rPr>
              <w:t xml:space="preserve">1982-092A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7.487</w:t>
            </w:r>
          </w:p>
        </w:tc>
        <w:tc>
          <w:tcPr>
            <w:tcW w:w="0" w:type="auto"/>
          </w:tcPr>
          <w:p>
            <w:pPr>
              <w:spacing w:line="240" w:lineRule="auto" w:before="0" w:after="0"/>
              <w:pStyle w:val="Compact"/>
            </w:pPr>
            <w:r>
              <w:rPr>
                <w:sz w:val="20"/>
                <w:szCs w:val="20"/>
              </w:rPr>
              <w:t xml:space="preserve">1785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479</w:t>
            </w:r>
          </w:p>
        </w:tc>
        <w:tc>
          <w:tcPr>
            <w:tcW w:w="0" w:type="auto"/>
          </w:tcPr>
          <w:p>
            <w:pPr>
              <w:spacing w:line="240" w:lineRule="auto" w:before="0" w:after="0"/>
              <w:pStyle w:val="Compact"/>
            </w:pPr>
            <w:r>
              <w:rPr>
                <w:sz w:val="20"/>
                <w:szCs w:val="20"/>
              </w:rPr>
              <w:t xml:space="preserve">7.467</w:t>
            </w:r>
          </w:p>
        </w:tc>
        <w:tc>
          <w:tcPr>
            <w:tcW w:w="0" w:type="auto"/>
          </w:tcPr>
          <w:p>
            <w:pPr>
              <w:spacing w:line="240" w:lineRule="auto" w:before="0" w:after="0"/>
              <w:pStyle w:val="Compact"/>
            </w:pPr>
            <w:r>
              <w:rPr>
                <w:sz w:val="20"/>
                <w:szCs w:val="20"/>
              </w:rPr>
              <w:t xml:space="preserve">1750</w:t>
            </w:r>
          </w:p>
        </w:tc>
        <w:tc>
          <w:tcPr>
            <w:tcW w:w="0" w:type="auto"/>
          </w:tcPr>
          <w:p>
            <w:pPr>
              <w:spacing w:line="240" w:lineRule="auto" w:before="0" w:after="0"/>
              <w:pStyle w:val="Compact"/>
            </w:pPr>
            <w:r>
              <w:rPr>
                <w:sz w:val="20"/>
                <w:szCs w:val="20"/>
              </w:rPr>
              <w:t xml:space="preserve">NASA ODQN v28i1 (2024) Top Ten Satellite Breakups table, 1785 cataloged; covariates HOOSF 16e p.226 owner CIS, dry mass 1750 kg, alt 479 km, cause Intentional Collision (ASAT)</w:t>
            </w:r>
          </w:p>
        </w:tc>
      </w:tr>
      <w:tr>
        <w:tc>
          <w:tcPr>
            <w:tcW w:w="0" w:type="auto"/>
          </w:tcPr>
          <w:p>
            <w:pPr>
              <w:spacing w:line="240" w:lineRule="auto" w:before="0" w:after="0"/>
              <w:pStyle w:val="Compact"/>
            </w:pPr>
            <w:r>
              <w:rPr>
                <w:sz w:val="20"/>
                <w:szCs w:val="20"/>
              </w:rPr>
              <w:t xml:space="preserve">STEP II R/B</w:t>
            </w:r>
          </w:p>
        </w:tc>
        <w:tc>
          <w:tcPr>
            <w:tcW w:w="0" w:type="auto"/>
          </w:tcPr>
          <w:p>
            <w:pPr>
              <w:spacing w:line="240" w:lineRule="auto" w:before="0" w:after="0"/>
              <w:pStyle w:val="Compact"/>
            </w:pPr>
            <w:r>
              <w:rPr>
                <w:sz w:val="20"/>
                <w:szCs w:val="20"/>
              </w:rPr>
              <w:t xml:space="preserve">1994-029B</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6.625</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4.575</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NASA ODQN Top Ten Satellite Breakups (754 cataloged, Pegasus/STEP II upper-stage propulsion breakup); covariates HOOSF 16e p.414 owner USA, dry mass 97 kg, alt 625 km, cause Propulsion</w:t>
            </w:r>
          </w:p>
        </w:tc>
      </w:tr>
      <w:tr>
        <w:tc>
          <w:tcPr>
            <w:tcW w:w="0" w:type="auto"/>
          </w:tcPr>
          <w:p>
            <w:pPr>
              <w:spacing w:line="240" w:lineRule="auto" w:before="0" w:after="0"/>
              <w:pStyle w:val="Compact"/>
            </w:pPr>
            <w:r>
              <w:rPr>
                <w:sz w:val="20"/>
                <w:szCs w:val="20"/>
              </w:rPr>
              <w:t xml:space="preserve">Iridium 33</w:t>
            </w:r>
          </w:p>
        </w:tc>
        <w:tc>
          <w:tcPr>
            <w:tcW w:w="0" w:type="auto"/>
          </w:tcPr>
          <w:p>
            <w:pPr>
              <w:spacing w:line="240" w:lineRule="auto" w:before="0" w:after="0"/>
              <w:pStyle w:val="Compact"/>
            </w:pPr>
            <w:r>
              <w:rPr>
                <w:sz w:val="20"/>
                <w:szCs w:val="20"/>
              </w:rPr>
              <w:t xml:space="preserve">1997-051C</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6.488</w:t>
            </w:r>
          </w:p>
        </w:tc>
        <w:tc>
          <w:tcPr>
            <w:tcW w:w="0" w:type="auto"/>
          </w:tcPr>
          <w:p>
            <w:pPr>
              <w:spacing w:line="240" w:lineRule="auto" w:before="0" w:after="0"/>
              <w:pStyle w:val="Compact"/>
            </w:pPr>
            <w:r>
              <w:rPr>
                <w:sz w:val="20"/>
                <w:szCs w:val="20"/>
              </w:rPr>
              <w:t xml:space="preserve">657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788</w:t>
            </w:r>
          </w:p>
        </w:tc>
        <w:tc>
          <w:tcPr>
            <w:tcW w:w="0" w:type="auto"/>
          </w:tcPr>
          <w:p>
            <w:pPr>
              <w:spacing w:line="240" w:lineRule="auto" w:before="0" w:after="0"/>
              <w:pStyle w:val="Compact"/>
            </w:pPr>
            <w:r>
              <w:rPr>
                <w:sz w:val="20"/>
                <w:szCs w:val="20"/>
              </w:rPr>
              <w:t xml:space="preserve">6.321</w:t>
            </w:r>
          </w:p>
        </w:tc>
        <w:tc>
          <w:tcPr>
            <w:tcW w:w="0" w:type="auto"/>
          </w:tcPr>
          <w:p>
            <w:pPr>
              <w:spacing w:line="240" w:lineRule="auto" w:before="0" w:after="0"/>
              <w:pStyle w:val="Compact"/>
            </w:pPr>
            <w:r>
              <w:rPr>
                <w:sz w:val="20"/>
                <w:szCs w:val="20"/>
              </w:rPr>
              <w:t xml:space="preserve">556</w:t>
            </w:r>
          </w:p>
        </w:tc>
        <w:tc>
          <w:tcPr>
            <w:tcW w:w="0" w:type="auto"/>
          </w:tcPr>
          <w:p>
            <w:pPr>
              <w:spacing w:line="240" w:lineRule="auto" w:before="0" w:after="0"/>
              <w:pStyle w:val="Compact"/>
            </w:pPr>
            <w:r>
              <w:rPr>
                <w:sz w:val="20"/>
                <w:szCs w:val="20"/>
              </w:rPr>
              <w:t xml:space="preserve">NASA ODQN v28i1 (2024) Top Ten Satellite Breakups table, 657 cataloged; covariates HOOSF 16e p.440 owner USA, dry mass 556 kg, alt 788 km, cause accidental Collision</w:t>
            </w:r>
          </w:p>
        </w:tc>
      </w:tr>
      <w:tr>
        <w:tc>
          <w:tcPr>
            <w:tcW w:w="0" w:type="auto"/>
          </w:tcPr>
          <w:p>
            <w:pPr>
              <w:spacing w:line="240" w:lineRule="auto" w:before="0" w:after="0"/>
              <w:pStyle w:val="Compact"/>
            </w:pPr>
            <w:r>
              <w:rPr>
                <w:sz w:val="20"/>
                <w:szCs w:val="20"/>
              </w:rPr>
              <w:t xml:space="preserve">Cosmos 1275</w:t>
            </w:r>
          </w:p>
        </w:tc>
        <w:tc>
          <w:tcPr>
            <w:tcW w:w="0" w:type="auto"/>
          </w:tcPr>
          <w:p>
            <w:pPr>
              <w:spacing w:line="240" w:lineRule="auto" w:before="0" w:after="0"/>
              <w:pStyle w:val="Compact"/>
            </w:pPr>
            <w:r>
              <w:rPr>
                <w:sz w:val="20"/>
                <w:szCs w:val="20"/>
              </w:rPr>
              <w:t xml:space="preserve">1981-053A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6.109</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NASA HOOSF 16e Introduction (battery fragmentation, one of 10 largest debris sources) p.1; ~450 cataloged per ESA DISCOSweb event record; covariates HOOSF 16e p.206 owner CIS, dry mass 800 kg, alt 980 km, cause Battery</w:t>
            </w:r>
          </w:p>
        </w:tc>
      </w:tr>
      <w:tr>
        <w:tc>
          <w:tcPr>
            <w:tcW w:w="0" w:type="auto"/>
          </w:tcPr>
          <w:p>
            <w:pPr>
              <w:spacing w:line="240" w:lineRule="auto" w:before="0" w:after="0"/>
              <w:pStyle w:val="Compact"/>
            </w:pPr>
            <w:r>
              <w:rPr>
                <w:sz w:val="20"/>
                <w:szCs w:val="20"/>
              </w:rPr>
              <w:t xml:space="preserve">SPOT 1 R/B</w:t>
            </w:r>
          </w:p>
        </w:tc>
        <w:tc>
          <w:tcPr>
            <w:tcW w:w="0" w:type="auto"/>
          </w:tcPr>
          <w:p>
            <w:pPr>
              <w:spacing w:line="240" w:lineRule="auto" w:before="0" w:after="0"/>
              <w:pStyle w:val="Compact"/>
            </w:pPr>
            <w:r>
              <w:rPr>
                <w:sz w:val="20"/>
                <w:szCs w:val="20"/>
              </w:rPr>
              <w:t xml:space="preserve">1986-019C</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5.624</w:t>
            </w:r>
          </w:p>
        </w:tc>
        <w:tc>
          <w:tcPr>
            <w:tcW w:w="0" w:type="auto"/>
          </w:tcPr>
          <w:p>
            <w:pPr>
              <w:spacing w:line="240" w:lineRule="auto" w:before="0" w:after="0"/>
              <w:pStyle w:val="Compact"/>
            </w:pPr>
            <w:r>
              <w:rPr>
                <w:sz w:val="20"/>
                <w:szCs w:val="20"/>
              </w:rPr>
              <w:t xml:space="preserve">277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805</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Ariane upper-stage propulsion breakup, 277 cataloged (ODQN historical record); covariates HOOSF 16e p.276 owner France, dry mass 1400 kg, alt 805 km, cause Propulsion</w:t>
            </w:r>
          </w:p>
        </w:tc>
      </w:tr>
      <w:tr>
        <w:tc>
          <w:tcPr>
            <w:tcW w:w="0" w:type="auto"/>
          </w:tcPr>
          <w:p>
            <w:pPr>
              <w:spacing w:line="240" w:lineRule="auto" w:before="0" w:after="0"/>
              <w:pStyle w:val="Compact"/>
            </w:pPr>
            <w:r>
              <w:rPr>
                <w:sz w:val="20"/>
                <w:szCs w:val="20"/>
              </w:rPr>
              <w:t xml:space="preserve">Microsat-R</w:t>
            </w:r>
          </w:p>
        </w:tc>
        <w:tc>
          <w:tcPr>
            <w:tcW w:w="0" w:type="auto"/>
          </w:tcPr>
          <w:p>
            <w:pPr>
              <w:spacing w:line="240" w:lineRule="auto" w:before="0" w:after="0"/>
              <w:pStyle w:val="Compact"/>
            </w:pPr>
            <w:r>
              <w:rPr>
                <w:sz w:val="20"/>
                <w:szCs w:val="20"/>
              </w:rPr>
              <w:t xml:space="preserve">2019-006A</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284</w:t>
            </w:r>
          </w:p>
        </w:tc>
        <w:tc>
          <w:tcPr>
            <w:tcW w:w="0" w:type="auto"/>
          </w:tcPr>
          <w:p>
            <w:pPr>
              <w:spacing w:line="240" w:lineRule="auto" w:before="0" w:after="0"/>
              <w:pStyle w:val="Compact"/>
            </w:pPr>
            <w:r>
              <w:rPr>
                <w:sz w:val="20"/>
                <w:szCs w:val="20"/>
              </w:rPr>
              <w:t xml:space="preserve">6.607</w:t>
            </w:r>
          </w:p>
        </w:tc>
        <w:tc>
          <w:tcPr>
            <w:tcW w:w="0" w:type="auto"/>
          </w:tcPr>
          <w:p>
            <w:pPr>
              <w:spacing w:line="240" w:lineRule="auto" w:before="0" w:after="0"/>
              <w:pStyle w:val="Compact"/>
            </w:pPr>
            <w:r>
              <w:rPr>
                <w:sz w:val="20"/>
                <w:szCs w:val="20"/>
              </w:rPr>
              <w:t xml:space="preserve">740</w:t>
            </w:r>
          </w:p>
        </w:tc>
        <w:tc>
          <w:tcPr>
            <w:tcW w:w="0" w:type="auto"/>
          </w:tcPr>
          <w:p>
            <w:pPr>
              <w:spacing w:line="240" w:lineRule="auto" w:before="0" w:after="0"/>
              <w:pStyle w:val="Compact"/>
            </w:pPr>
            <w:r>
              <w:rPr>
                <w:sz w:val="20"/>
                <w:szCs w:val="20"/>
              </w:rPr>
              <w:t xml:space="preserve">NASA HOOSF 16e Preface (Indian Microsat-R ASAT test, 27 Mar 2019); ~200 cataloged per LeoLabs/ESA reconstruction; covariates HOOSF 16e p.574 owner India, dry mass 740 kg, alt 284 km, cause Deliberate Collision</w:t>
            </w:r>
          </w:p>
        </w:tc>
      </w:tr>
      <w:tr>
        <w:tc>
          <w:tcPr>
            <w:tcW w:w="0" w:type="auto"/>
          </w:tcPr>
          <w:p>
            <w:pPr>
              <w:spacing w:line="240" w:lineRule="auto" w:before="0" w:after="0"/>
              <w:pStyle w:val="Compact"/>
            </w:pPr>
            <w:r>
              <w:rPr>
                <w:sz w:val="20"/>
                <w:szCs w:val="20"/>
              </w:rPr>
              <w:t xml:space="preserve">NOAA 16</w:t>
            </w:r>
          </w:p>
        </w:tc>
        <w:tc>
          <w:tcPr>
            <w:tcW w:w="0" w:type="auto"/>
          </w:tcPr>
          <w:p>
            <w:pPr>
              <w:spacing w:line="240" w:lineRule="auto" w:before="0" w:after="0"/>
              <w:pStyle w:val="Compact"/>
            </w:pPr>
            <w:r>
              <w:rPr>
                <w:sz w:val="20"/>
                <w:szCs w:val="20"/>
              </w:rPr>
              <w:t xml:space="preserve">2000-055A</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5.617</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7.296</w:t>
            </w:r>
          </w:p>
        </w:tc>
        <w:tc>
          <w:tcPr>
            <w:tcW w:w="0" w:type="auto"/>
          </w:tcPr>
          <w:p>
            <w:pPr>
              <w:spacing w:line="240" w:lineRule="auto" w:before="0" w:after="0"/>
              <w:pStyle w:val="Compact"/>
            </w:pPr>
            <w:r>
              <w:rPr>
                <w:sz w:val="20"/>
                <w:szCs w:val="20"/>
              </w:rPr>
              <w:t xml:space="preserve">1475</w:t>
            </w:r>
          </w:p>
        </w:tc>
        <w:tc>
          <w:tcPr>
            <w:tcW w:w="0" w:type="auto"/>
          </w:tcPr>
          <w:p>
            <w:pPr>
              <w:spacing w:line="240" w:lineRule="auto" w:before="0" w:after="0"/>
              <w:pStyle w:val="Compact"/>
            </w:pPr>
            <w:r>
              <w:rPr>
                <w:sz w:val="20"/>
                <w:szCs w:val="20"/>
              </w:rPr>
              <w:t xml:space="preserve">NASA ODQN (NOAA-16 battery breakup, at least 275 pieces); covariates HOOSF 16e p.466 owner US, dry mass 1475 kg, alt 855 km, cause Battery</w:t>
            </w:r>
          </w:p>
        </w:tc>
      </w:tr>
      <w:tr>
        <w:tc>
          <w:tcPr>
            <w:tcW w:w="0" w:type="auto"/>
          </w:tcPr>
          <w:p>
            <w:pPr>
              <w:spacing w:line="240" w:lineRule="auto" w:before="0" w:after="0"/>
              <w:pStyle w:val="Compact"/>
            </w:pPr>
            <w:r>
              <w:rPr>
                <w:sz w:val="20"/>
                <w:szCs w:val="20"/>
              </w:rPr>
              <w:t xml:space="preserve">DMSP 5D-2 F13</w:t>
            </w:r>
          </w:p>
        </w:tc>
        <w:tc>
          <w:tcPr>
            <w:tcW w:w="0" w:type="auto"/>
          </w:tcPr>
          <w:p>
            <w:pPr>
              <w:spacing w:line="240" w:lineRule="auto" w:before="0" w:after="0"/>
              <w:pStyle w:val="Compact"/>
            </w:pPr>
            <w:r>
              <w:rPr>
                <w:sz w:val="20"/>
                <w:szCs w:val="20"/>
              </w:rPr>
              <w:t xml:space="preserve">1995-015A</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5.004</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6.642</w:t>
            </w:r>
          </w:p>
        </w:tc>
        <w:tc>
          <w:tcPr>
            <w:tcW w:w="0" w:type="auto"/>
          </w:tcPr>
          <w:p>
            <w:pPr>
              <w:spacing w:line="240" w:lineRule="auto" w:before="0" w:after="0"/>
              <w:pStyle w:val="Compact"/>
            </w:pPr>
            <w:r>
              <w:rPr>
                <w:sz w:val="20"/>
                <w:szCs w:val="20"/>
              </w:rPr>
              <w:t xml:space="preserve">767</w:t>
            </w:r>
          </w:p>
        </w:tc>
        <w:tc>
          <w:tcPr>
            <w:tcW w:w="0" w:type="auto"/>
          </w:tcPr>
          <w:p>
            <w:pPr>
              <w:spacing w:line="240" w:lineRule="auto" w:before="0" w:after="0"/>
              <w:pStyle w:val="Compact"/>
            </w:pPr>
            <w:r>
              <w:rPr>
                <w:sz w:val="20"/>
                <w:szCs w:val="20"/>
              </w:rPr>
              <w:t xml:space="preserve">NASA ODQN (DMSP-F13 Feb 2015 battery explosion, at least 149 cataloged); covariates HOOSF 16e p.426 owner US, dry mass 767 kg, alt 860 km, cause Battery</w:t>
            </w:r>
          </w:p>
        </w:tc>
      </w:tr>
      <w:tr>
        <w:tc>
          <w:tcPr>
            <w:tcW w:w="0" w:type="auto"/>
          </w:tcPr>
          <w:p>
            <w:pPr>
              <w:spacing w:line="240" w:lineRule="auto" w:before="0" w:after="0"/>
              <w:pStyle w:val="Compact"/>
            </w:pPr>
            <w:r>
              <w:rPr>
                <w:sz w:val="20"/>
                <w:szCs w:val="20"/>
              </w:rPr>
              <w:t xml:space="preserve">Briz-M (Feb 2007)</w:t>
            </w:r>
          </w:p>
        </w:tc>
        <w:tc>
          <w:tcPr>
            <w:tcW w:w="0" w:type="auto"/>
          </w:tcPr>
          <w:p>
            <w:pPr>
              <w:spacing w:line="240" w:lineRule="auto" w:before="0" w:after="0"/>
              <w:pStyle w:val="Compact"/>
            </w:pPr>
            <w:r>
              <w:rPr>
                <w:sz w:val="20"/>
                <w:szCs w:val="20"/>
              </w:rPr>
              <w:t xml:space="preserve">2006-006B</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4.673</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7.741</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NASA HOOSF 16e Sec.1.2 (Feb 2007 Briz-M, over 1000 observed but only 107 cataloged due to elliptical orbit) p.4; dry mass ~2300 kg Briz-M stage [illustrative], cause Propulsion</w:t>
            </w:r>
          </w:p>
        </w:tc>
      </w:tr>
      <w:tr>
        <w:tc>
          <w:tcPr>
            <w:tcW w:w="0" w:type="auto"/>
          </w:tcPr>
          <w:p>
            <w:pPr>
              <w:spacing w:line="240" w:lineRule="auto" w:before="0" w:after="0"/>
              <w:pStyle w:val="Compact"/>
            </w:pPr>
            <w:r>
              <w:rPr>
                <w:sz w:val="20"/>
                <w:szCs w:val="20"/>
              </w:rPr>
              <w:t xml:space="preserve">Cosmos 248</w:t>
            </w:r>
          </w:p>
        </w:tc>
        <w:tc>
          <w:tcPr>
            <w:tcW w:w="0" w:type="auto"/>
          </w:tcPr>
          <w:p>
            <w:pPr>
              <w:spacing w:line="240" w:lineRule="auto" w:before="0" w:after="0"/>
              <w:pStyle w:val="Compact"/>
            </w:pPr>
            <w:r>
              <w:rPr>
                <w:sz w:val="20"/>
                <w:szCs w:val="20"/>
              </w:rPr>
              <w:t xml:space="preserve">1968-090A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4.787</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p.fragment list (Cosmos 248 deliberate ASAT-class breakup); 120 cataloged per ESA DISCOSweb event record; covariates HOOSF 16e owner CIS, dry mass 1400 kg, alt 540 km, cause Deliberate</w:t>
            </w:r>
          </w:p>
        </w:tc>
      </w:tr>
      <w:tr>
        <w:tc>
          <w:tcPr>
            <w:tcW w:w="0" w:type="auto"/>
          </w:tcPr>
          <w:p>
            <w:pPr>
              <w:spacing w:line="240" w:lineRule="auto" w:before="0" w:after="0"/>
              <w:pStyle w:val="Compact"/>
            </w:pPr>
            <w:r>
              <w:rPr>
                <w:sz w:val="20"/>
                <w:szCs w:val="20"/>
              </w:rPr>
              <w:t xml:space="preserve">Cosmos 249</w:t>
            </w:r>
          </w:p>
        </w:tc>
        <w:tc>
          <w:tcPr>
            <w:tcW w:w="0" w:type="auto"/>
          </w:tcPr>
          <w:p>
            <w:pPr>
              <w:spacing w:line="240" w:lineRule="auto" w:before="0" w:after="0"/>
              <w:pStyle w:val="Compact"/>
            </w:pPr>
            <w:r>
              <w:rPr>
                <w:sz w:val="20"/>
                <w:szCs w:val="20"/>
              </w:rPr>
              <w:t xml:space="preserve">1968-091A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5.011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fragment list (Cosmos 249 deliberate breakup); ~150 cataloged per ESA DISCOSweb event record; covariates HOOSF 16e owner CIS, dry mass 1400 kg, alt 1995 km, cause Deliberate</w:t>
            </w:r>
          </w:p>
        </w:tc>
      </w:tr>
      <w:tr>
        <w:tc>
          <w:tcPr>
            <w:tcW w:w="0" w:type="auto"/>
          </w:tcPr>
          <w:p>
            <w:pPr>
              <w:spacing w:line="240" w:lineRule="auto" w:before="0" w:after="0"/>
              <w:pStyle w:val="Compact"/>
            </w:pPr>
            <w:r>
              <w:rPr>
                <w:sz w:val="20"/>
                <w:szCs w:val="20"/>
              </w:rPr>
              <w:t xml:space="preserve">P-78 Solwind</w:t>
            </w:r>
          </w:p>
        </w:tc>
        <w:tc>
          <w:tcPr>
            <w:tcW w:w="0" w:type="auto"/>
          </w:tcPr>
          <w:p>
            <w:pPr>
              <w:spacing w:line="240" w:lineRule="auto" w:before="0" w:after="0"/>
              <w:pStyle w:val="Compact"/>
            </w:pPr>
            <w:r>
              <w:rPr>
                <w:sz w:val="20"/>
                <w:szCs w:val="20"/>
              </w:rPr>
              <w:t xml:space="preserve">1979-017A</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4.852</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6.745</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NASA HOOSF 16e fragment list (Solwind P-78 ASM-135 ASAT test Sep 1985, ~128 cataloged); covariates HOOSF 16e owner US, dry mass 850 kg, alt 525 km, cause Deliberate</w:t>
            </w:r>
          </w:p>
        </w:tc>
      </w:tr>
      <w:tr>
        <w:tc>
          <w:tcPr>
            <w:tcW w:w="0" w:type="auto"/>
          </w:tcPr>
          <w:p>
            <w:pPr>
              <w:spacing w:line="240" w:lineRule="auto" w:before="0" w:after="0"/>
              <w:pStyle w:val="Compact"/>
            </w:pPr>
            <w:r>
              <w:rPr>
                <w:sz w:val="20"/>
                <w:szCs w:val="20"/>
              </w:rPr>
              <w:t xml:space="preserve">Cerise</w:t>
            </w:r>
          </w:p>
        </w:tc>
        <w:tc>
          <w:tcPr>
            <w:tcW w:w="0" w:type="auto"/>
          </w:tcPr>
          <w:p>
            <w:pPr>
              <w:spacing w:line="240" w:lineRule="auto" w:before="0" w:after="0"/>
              <w:pStyle w:val="Compact"/>
            </w:pPr>
            <w:r>
              <w:rPr>
                <w:sz w:val="20"/>
                <w:szCs w:val="20"/>
              </w:rPr>
              <w:t xml:space="preserve">1995-033B</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2.485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NASA HOOSF 16e p.430 (Cerise boom severed by Ariane debris, first confirmed accidental collision); ~12 cataloged per ESA record; covariates HOOSF 16e owner France, dry mass 50 kg, alt 685 km, cause Collision</w:t>
            </w:r>
          </w:p>
        </w:tc>
      </w:tr>
      <w:tr>
        <w:tc>
          <w:tcPr>
            <w:tcW w:w="0" w:type="auto"/>
          </w:tcPr>
          <w:p>
            <w:pPr>
              <w:spacing w:line="240" w:lineRule="auto" w:before="0" w:after="0"/>
              <w:pStyle w:val="Compact"/>
            </w:pPr>
            <w:r>
              <w:rPr>
                <w:sz w:val="20"/>
                <w:szCs w:val="20"/>
              </w:rPr>
              <w:t xml:space="preserve">Cosmos 1813</w:t>
            </w:r>
          </w:p>
        </w:tc>
        <w:tc>
          <w:tcPr>
            <w:tcW w:w="0" w:type="auto"/>
          </w:tcPr>
          <w:p>
            <w:pPr>
              <w:spacing w:line="240" w:lineRule="auto" w:before="0" w:after="0"/>
              <w:pStyle w:val="Compact"/>
            </w:pPr>
            <w:r>
              <w:rPr>
                <w:sz w:val="20"/>
                <w:szCs w:val="20"/>
              </w:rPr>
              <w:t xml:space="preserve">1986-101A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1987</w:t>
            </w:r>
          </w:p>
        </w:tc>
        <w:tc>
          <w:tcPr>
            <w:tcW w:w="0" w:type="auto"/>
          </w:tcPr>
          <w:p>
            <w:pPr>
              <w:spacing w:line="240" w:lineRule="auto" w:before="0" w:after="0"/>
              <w:pStyle w:val="Compact"/>
            </w:pPr>
            <w:r>
              <w:rPr>
                <w:sz w:val="20"/>
                <w:szCs w:val="20"/>
              </w:rPr>
              <w:t xml:space="preserve">4.554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NASA HOOSF 16e fragment list (Soviet deliberate breakup class); ~95 cataloged per ESA DISCOSweb event record; dry mass 1200 kg [illustrative], cause Deliberate</w:t>
            </w:r>
          </w:p>
        </w:tc>
      </w:tr>
      <w:tr>
        <w:tc>
          <w:tcPr>
            <w:tcW w:w="0" w:type="auto"/>
          </w:tcPr>
          <w:p>
            <w:pPr>
              <w:spacing w:line="240" w:lineRule="auto" w:before="0" w:after="0"/>
              <w:pStyle w:val="Compact"/>
            </w:pPr>
            <w:r>
              <w:rPr>
                <w:sz w:val="20"/>
                <w:szCs w:val="20"/>
              </w:rPr>
              <w:t xml:space="preserve">Cosmos 1378</w:t>
            </w:r>
          </w:p>
        </w:tc>
        <w:tc>
          <w:tcPr>
            <w:tcW w:w="0" w:type="auto"/>
          </w:tcPr>
          <w:p>
            <w:pPr>
              <w:spacing w:line="240" w:lineRule="auto" w:before="0" w:after="0"/>
              <w:pStyle w:val="Compact"/>
            </w:pPr>
            <w:r>
              <w:rPr>
                <w:sz w:val="20"/>
                <w:szCs w:val="20"/>
              </w:rPr>
              <w:t xml:space="preserve">1982-058A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fragment list (Soviet deliberate target/interceptor breakup); ~90 cataloged per ESA DISCOSweb record; covariates HOOSF 16e owner CIS, dry mass 1400 kg, alt 1000 km, cause Deliberate</w:t>
            </w:r>
          </w:p>
        </w:tc>
      </w:tr>
      <w:tr>
        <w:tc>
          <w:tcPr>
            <w:tcW w:w="0" w:type="auto"/>
          </w:tcPr>
          <w:p>
            <w:pPr>
              <w:spacing w:line="240" w:lineRule="auto" w:before="0" w:after="0"/>
              <w:pStyle w:val="Compact"/>
            </w:pPr>
            <w:r>
              <w:rPr>
                <w:sz w:val="20"/>
                <w:szCs w:val="20"/>
              </w:rPr>
              <w:t xml:space="preserve">Pegasus rocket body</w:t>
            </w:r>
          </w:p>
        </w:tc>
        <w:tc>
          <w:tcPr>
            <w:tcW w:w="0" w:type="auto"/>
          </w:tcPr>
          <w:p>
            <w:pPr>
              <w:spacing w:line="240" w:lineRule="auto" w:before="0" w:after="0"/>
              <w:pStyle w:val="Compact"/>
            </w:pPr>
            <w:r>
              <w:rPr>
                <w:sz w:val="20"/>
                <w:szCs w:val="20"/>
              </w:rPr>
              <w:t xml:space="preserve">1994-029B</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6.418</w:t>
            </w:r>
          </w:p>
        </w:tc>
        <w:tc>
          <w:tcPr>
            <w:tcW w:w="0" w:type="auto"/>
          </w:tcPr>
          <w:p>
            <w:pPr>
              <w:spacing w:line="240" w:lineRule="auto" w:before="0" w:after="0"/>
              <w:pStyle w:val="Compact"/>
            </w:pPr>
            <w:r>
              <w:rPr>
                <w:sz w:val="20"/>
                <w:szCs w:val="20"/>
              </w:rPr>
              <w:t xml:space="preserve">613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4.575</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NASA ODQN historical record (Pegasus/STEP II HAPS stage breakup, alternate 613-piece cataloged count); covariates HOOSF 16e owner USA, dry mass 97 kg, alt 625 km, cause Propulsion</w:t>
            </w:r>
          </w:p>
        </w:tc>
      </w:tr>
      <w:tr>
        <w:tc>
          <w:tcPr>
            <w:tcW w:w="0" w:type="auto"/>
          </w:tcPr>
          <w:p>
            <w:pPr>
              <w:spacing w:line="240" w:lineRule="auto" w:before="0" w:after="0"/>
              <w:pStyle w:val="Compact"/>
            </w:pPr>
            <w:r>
              <w:rPr>
                <w:sz w:val="20"/>
                <w:szCs w:val="20"/>
              </w:rPr>
              <w:t xml:space="preserve">Cosmos 397</w:t>
            </w:r>
          </w:p>
        </w:tc>
        <w:tc>
          <w:tcPr>
            <w:tcW w:w="0" w:type="auto"/>
          </w:tcPr>
          <w:p>
            <w:pPr>
              <w:spacing w:line="240" w:lineRule="auto" w:before="0" w:after="0"/>
              <w:pStyle w:val="Compact"/>
            </w:pPr>
            <w:r>
              <w:rPr>
                <w:sz w:val="20"/>
                <w:szCs w:val="20"/>
              </w:rPr>
              <w:t xml:space="preserve">1971-015A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4.443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fragment list (Cosmos 397 deliberate ASAT breakup); ~85 cataloged per ESA DISCOSweb event record; covariates HOOSF 16e owner CIS, dry mass 1400 kg, alt 585 km, cause Deliberate</w:t>
            </w:r>
          </w:p>
        </w:tc>
      </w:tr>
      <w:tr>
        <w:tc>
          <w:tcPr>
            <w:tcW w:w="0" w:type="auto"/>
          </w:tcPr>
          <w:p>
            <w:pPr>
              <w:spacing w:line="240" w:lineRule="auto" w:before="0" w:after="0"/>
              <w:pStyle w:val="Compact"/>
            </w:pPr>
            <w:r>
              <w:rPr>
                <w:sz w:val="20"/>
                <w:szCs w:val="20"/>
              </w:rPr>
              <w:t xml:space="preserve">Titan IIIC Transtage</w:t>
            </w:r>
          </w:p>
        </w:tc>
        <w:tc>
          <w:tcPr>
            <w:tcW w:w="0" w:type="auto"/>
          </w:tcPr>
          <w:p>
            <w:pPr>
              <w:spacing w:line="240" w:lineRule="auto" w:before="0" w:after="0"/>
              <w:pStyle w:val="Compact"/>
            </w:pPr>
            <w:r>
              <w:rPr>
                <w:sz w:val="20"/>
                <w:szCs w:val="20"/>
              </w:rPr>
              <w:t xml:space="preserve">1969-013B</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4.317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37247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HOOSF 16e fragment list (Transtage R/B propulsion breakup in near-GEO, ~75 cataloged); covariates HOOSF 16e owner US, alt 37247 km, dry mass ~1 (stage residual), cause Propulsion</w:t>
            </w:r>
          </w:p>
        </w:tc>
      </w:tr>
      <w:tr>
        <w:tc>
          <w:tcPr>
            <w:tcW w:w="0" w:type="auto"/>
          </w:tcPr>
          <w:p>
            <w:pPr>
              <w:spacing w:line="240" w:lineRule="auto" w:before="0" w:after="0"/>
              <w:pStyle w:val="Compact"/>
            </w:pPr>
            <w:r>
              <w:rPr>
                <w:sz w:val="20"/>
                <w:szCs w:val="20"/>
              </w:rPr>
              <w:t xml:space="preserve">Long March CZ-6A</w:t>
            </w:r>
          </w:p>
        </w:tc>
        <w:tc>
          <w:tcPr>
            <w:tcW w:w="0" w:type="auto"/>
          </w:tcPr>
          <w:p>
            <w:pPr>
              <w:spacing w:line="240" w:lineRule="auto" w:before="0" w:after="0"/>
              <w:pStyle w:val="Compact"/>
            </w:pPr>
            <w:r>
              <w:rPr>
                <w:sz w:val="20"/>
                <w:szCs w:val="20"/>
              </w:rPr>
              <w:t xml:space="preserve">2024-148B</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5.645</w:t>
            </w:r>
          </w:p>
        </w:tc>
        <w:tc>
          <w:tcPr>
            <w:tcW w:w="0" w:type="auto"/>
          </w:tcPr>
          <w:p>
            <w:pPr>
              <w:spacing w:line="240" w:lineRule="auto" w:before="0" w:after="0"/>
              <w:pStyle w:val="Compact"/>
            </w:pPr>
            <w:r>
              <w:rPr>
                <w:sz w:val="20"/>
                <w:szCs w:val="20"/>
              </w:rPr>
              <w:t xml:space="preserve">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7.601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NASA ODQN / ESA (CZ-6A upper stage Aug 2024 fragmentation, at least 283 trackable); altitude ~810 km per ESA; dry mass 2000 kg CZ-6A stage [illustrative]; China not party to 1972 Liability Convention claims forum</w:t>
            </w:r>
          </w:p>
        </w:tc>
      </w:tr>
      <w:tr>
        <w:tc>
          <w:tcPr>
            <w:tcW w:w="0" w:type="auto"/>
          </w:tcPr>
          <w:p>
            <w:pPr>
              <w:spacing w:line="240" w:lineRule="auto" w:before="0" w:after="0"/>
              <w:pStyle w:val="Compact"/>
            </w:pPr>
            <w:r>
              <w:rPr>
                <w:sz w:val="20"/>
                <w:szCs w:val="20"/>
              </w:rPr>
              <w:t xml:space="preserve">Cosmos 862</w:t>
            </w:r>
          </w:p>
        </w:tc>
        <w:tc>
          <w:tcPr>
            <w:tcW w:w="0" w:type="auto"/>
          </w:tcPr>
          <w:p>
            <w:pPr>
              <w:spacing w:line="240" w:lineRule="auto" w:before="0" w:after="0"/>
              <w:pStyle w:val="Compact"/>
            </w:pPr>
            <w:r>
              <w:rPr>
                <w:sz w:val="20"/>
                <w:szCs w:val="20"/>
              </w:rPr>
              <w:t xml:space="preserve">1976-105A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4.248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5375</w:t>
            </w:r>
          </w:p>
        </w:tc>
        <w:tc>
          <w:tcPr>
            <w:tcW w:w="0" w:type="auto"/>
          </w:tcPr>
          <w:p>
            <w:pPr>
              <w:spacing w:line="240" w:lineRule="auto" w:before="0" w:after="0"/>
              <w:pStyle w:val="Compact"/>
            </w:pPr>
            <w:r>
              <w:rPr>
                <w:sz w:val="20"/>
                <w:szCs w:val="20"/>
              </w:rPr>
              <w:t xml:space="preserve">7.131</w:t>
            </w:r>
          </w:p>
        </w:tc>
        <w:tc>
          <w:tcPr>
            <w:tcW w:w="0" w:type="auto"/>
          </w:tcPr>
          <w:p>
            <w:pPr>
              <w:spacing w:line="240" w:lineRule="auto" w:before="0" w:after="0"/>
              <w:pStyle w:val="Compact"/>
            </w:pPr>
            <w:r>
              <w:rPr>
                <w:sz w:val="20"/>
                <w:szCs w:val="20"/>
              </w:rPr>
              <w:t xml:space="preserve">1250</w:t>
            </w:r>
          </w:p>
        </w:tc>
        <w:tc>
          <w:tcPr>
            <w:tcW w:w="0" w:type="auto"/>
          </w:tcPr>
          <w:p>
            <w:pPr>
              <w:spacing w:line="240" w:lineRule="auto" w:before="0" w:after="0"/>
              <w:pStyle w:val="Compact"/>
            </w:pPr>
            <w:r>
              <w:rPr>
                <w:sz w:val="20"/>
                <w:szCs w:val="20"/>
              </w:rPr>
              <w:t xml:space="preserve">NASA HOOSF 16e fragment list (Cosmos 862 deliberate high-altitude breakup); ~70 cataloged per ESA DISCOSweb record; covariates HOOSF 16e owner CIS, dry mass 1250 kg, alt 5375 km, cause Deliberate</w:t>
            </w:r>
          </w:p>
        </w:tc>
      </w:tr>
      <w:tr>
        <w:tc>
          <w:tcPr>
            <w:tcW w:w="0" w:type="auto"/>
          </w:tcPr>
          <w:p>
            <w:pPr>
              <w:spacing w:line="240" w:lineRule="auto" w:before="0" w:after="0"/>
              <w:pStyle w:val="Compact"/>
            </w:pPr>
            <w:r>
              <w:rPr>
                <w:sz w:val="20"/>
                <w:szCs w:val="20"/>
              </w:rPr>
              <w:t xml:space="preserve">Ekran 2</w:t>
            </w:r>
          </w:p>
        </w:tc>
        <w:tc>
          <w:tcPr>
            <w:tcW w:w="0" w:type="auto"/>
          </w:tcPr>
          <w:p>
            <w:pPr>
              <w:spacing w:line="240" w:lineRule="auto" w:before="0" w:after="0"/>
              <w:pStyle w:val="Compact"/>
            </w:pPr>
            <w:r>
              <w:rPr>
                <w:sz w:val="20"/>
                <w:szCs w:val="20"/>
              </w:rPr>
              <w:t xml:space="preserve">1977-092A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35790</w:t>
            </w:r>
          </w:p>
        </w:tc>
        <w:tc>
          <w:tcPr>
            <w:tcW w:w="0" w:type="auto"/>
          </w:tcPr>
          <w:p>
            <w:pPr>
              <w:spacing w:line="240" w:lineRule="auto" w:before="0" w:after="0"/>
              <w:pStyle w:val="Compact"/>
            </w:pPr>
            <w:r>
              <w:rPr>
                <w:sz w:val="20"/>
                <w:szCs w:val="20"/>
              </w:rPr>
              <w:t xml:space="preserve">7.586</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NASA HOOSF 16e Sec.1.2 (Ekran 2 first known GEO fragmentation, battery explosion 25 Jun 1978, 5 pieces cataloged) p.4; covariates HOOSF 16e owner CIS, dry mass 1970 kg, alt 35790 km, cause Battery</w:t>
            </w:r>
          </w:p>
        </w:tc>
      </w:tr>
      <w:tr>
        <w:tc>
          <w:tcPr>
            <w:tcW w:w="0" w:type="auto"/>
          </w:tcPr>
          <w:p>
            <w:pPr>
              <w:spacing w:line="240" w:lineRule="auto" w:before="0" w:after="0"/>
              <w:pStyle w:val="Compact"/>
            </w:pPr>
            <w:r>
              <w:rPr>
                <w:sz w:val="20"/>
                <w:szCs w:val="20"/>
              </w:rPr>
              <w:t xml:space="preserve">NOAA 3 R/B</w:t>
            </w:r>
          </w:p>
        </w:tc>
        <w:tc>
          <w:tcPr>
            <w:tcW w:w="0" w:type="auto"/>
          </w:tcPr>
          <w:p>
            <w:pPr>
              <w:spacing w:line="240" w:lineRule="auto" w:before="0" w:after="0"/>
              <w:pStyle w:val="Compact"/>
            </w:pPr>
            <w:r>
              <w:rPr>
                <w:sz w:val="20"/>
                <w:szCs w:val="20"/>
              </w:rPr>
              <w:t xml:space="preserve">1973-086B</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4.317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1515</w:t>
            </w:r>
          </w:p>
        </w:tc>
        <w:tc>
          <w:tcPr>
            <w:tcW w:w="0" w:type="auto"/>
          </w:tcPr>
          <w:p>
            <w:pPr>
              <w:spacing w:line="240" w:lineRule="auto" w:before="0" w:after="0"/>
              <w:pStyle w:val="Compact"/>
            </w:pPr>
            <w:r>
              <w:rPr>
                <w:sz w:val="20"/>
                <w:szCs w:val="20"/>
              </w:rPr>
              <w:t xml:space="preserve">6.733</w:t>
            </w:r>
          </w:p>
        </w:tc>
        <w:tc>
          <w:tcPr>
            <w:tcW w:w="0" w:type="auto"/>
          </w:tcPr>
          <w:p>
            <w:pPr>
              <w:spacing w:line="240" w:lineRule="auto" w:before="0" w:after="0"/>
              <w:pStyle w:val="Compact"/>
            </w:pPr>
            <w:r>
              <w:rPr>
                <w:sz w:val="20"/>
                <w:szCs w:val="20"/>
              </w:rPr>
              <w:t xml:space="preserve">840</w:t>
            </w:r>
          </w:p>
        </w:tc>
        <w:tc>
          <w:tcPr>
            <w:tcW w:w="0" w:type="auto"/>
          </w:tcPr>
          <w:p>
            <w:pPr>
              <w:spacing w:line="240" w:lineRule="auto" w:before="0" w:after="0"/>
              <w:pStyle w:val="Compact"/>
            </w:pPr>
            <w:r>
              <w:rPr>
                <w:sz w:val="20"/>
                <w:szCs w:val="20"/>
              </w:rPr>
              <w:t xml:space="preserve">NASA HOOSF 16e fragment list (Delta second-stage propulsion breakup); ~75 cataloged per ESA DISCOSweb record; covariates HOOSF 16e owner US, dry mass 840 kg, alt 1515 km, cause Propulsion</w:t>
            </w:r>
          </w:p>
        </w:tc>
      </w:tr>
      <w:tr>
        <w:tc>
          <w:tcPr>
            <w:tcW w:w="0" w:type="auto"/>
          </w:tcPr>
          <w:p>
            <w:pPr>
              <w:spacing w:line="240" w:lineRule="auto" w:before="0" w:after="0"/>
              <w:pStyle w:val="Compact"/>
            </w:pPr>
            <w:r>
              <w:rPr>
                <w:sz w:val="20"/>
                <w:szCs w:val="20"/>
              </w:rPr>
              <w:t xml:space="preserve">Cosmos 1654</w:t>
            </w:r>
          </w:p>
        </w:tc>
        <w:tc>
          <w:tcPr>
            <w:tcW w:w="0" w:type="auto"/>
          </w:tcPr>
          <w:p>
            <w:pPr>
              <w:spacing w:line="240" w:lineRule="auto" w:before="0" w:after="0"/>
              <w:pStyle w:val="Compact"/>
            </w:pPr>
            <w:r>
              <w:rPr>
                <w:sz w:val="20"/>
                <w:szCs w:val="20"/>
              </w:rPr>
              <w:t xml:space="preserve">1985-039A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1985</w:t>
            </w:r>
          </w:p>
        </w:tc>
        <w:tc>
          <w:tcPr>
            <w:tcW w:w="0" w:type="auto"/>
          </w:tcPr>
          <w:p>
            <w:pPr>
              <w:spacing w:line="240" w:lineRule="auto" w:before="0" w:after="0"/>
              <w:pStyle w:val="Compact"/>
            </w:pPr>
            <w:r>
              <w:rPr>
                <w:sz w:val="20"/>
                <w:szCs w:val="20"/>
              </w:rPr>
              <w:t xml:space="preserve">4.19</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8.648</w:t>
            </w:r>
          </w:p>
        </w:tc>
        <w:tc>
          <w:tcPr>
            <w:tcW w:w="0" w:type="auto"/>
          </w:tcPr>
          <w:p>
            <w:pPr>
              <w:spacing w:line="240" w:lineRule="auto" w:before="0" w:after="0"/>
              <w:pStyle w:val="Compact"/>
            </w:pPr>
            <w:r>
              <w:rPr>
                <w:sz w:val="20"/>
                <w:szCs w:val="20"/>
              </w:rPr>
              <w:t xml:space="preserve">5700</w:t>
            </w:r>
          </w:p>
        </w:tc>
        <w:tc>
          <w:tcPr>
            <w:tcW w:w="0" w:type="auto"/>
          </w:tcPr>
          <w:p>
            <w:pPr>
              <w:spacing w:line="240" w:lineRule="auto" w:before="0" w:after="0"/>
              <w:pStyle w:val="Compact"/>
            </w:pPr>
            <w:r>
              <w:rPr>
                <w:sz w:val="20"/>
                <w:szCs w:val="20"/>
              </w:rPr>
              <w:t xml:space="preserve">NASA HOOSF 16e fragment list (Cosmos 1654 deliberate breakup, RORSAT-class); ~66 cataloged per ESA DISCOSweb record; covariates HOOSF 16e owner CIS, dry mass 5700 kg, alt 200 km, cause Deliberate</w:t>
            </w:r>
          </w:p>
        </w:tc>
      </w:tr>
      <w:tr>
        <w:tc>
          <w:tcPr>
            <w:tcW w:w="0" w:type="auto"/>
          </w:tcPr>
          <w:p>
            <w:pPr>
              <w:spacing w:line="240" w:lineRule="auto" w:before="0" w:after="0"/>
              <w:pStyle w:val="Compact"/>
            </w:pPr>
            <w:r>
              <w:rPr>
                <w:sz w:val="20"/>
                <w:szCs w:val="20"/>
              </w:rPr>
              <w:t xml:space="preserve">Cosmos 1220</w:t>
            </w:r>
          </w:p>
        </w:tc>
        <w:tc>
          <w:tcPr>
            <w:tcW w:w="0" w:type="auto"/>
          </w:tcPr>
          <w:p>
            <w:pPr>
              <w:spacing w:line="240" w:lineRule="auto" w:before="0" w:after="0"/>
              <w:pStyle w:val="Compact"/>
            </w:pPr>
            <w:r>
              <w:rPr>
                <w:sz w:val="20"/>
                <w:szCs w:val="20"/>
              </w:rPr>
              <w:t xml:space="preserve">1980-089A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3.611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875</w:t>
            </w:r>
          </w:p>
        </w:tc>
        <w:tc>
          <w:tcPr>
            <w:tcW w:w="0" w:type="auto"/>
          </w:tcPr>
          <w:p>
            <w:pPr>
              <w:spacing w:line="240" w:lineRule="auto" w:before="0" w:after="0"/>
              <w:pStyle w:val="Compact"/>
            </w:pPr>
            <w:r>
              <w:rPr>
                <w:sz w:val="20"/>
                <w:szCs w:val="20"/>
              </w:rPr>
              <w:t xml:space="preserve">8.006</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NASA HOOSF 16e fragment list (Cosmos 1220 unknown-cause breakup); ~37 cataloged per ESA DISCOSweb record; covariates HOOSF 16e owner CIS, dry mass 3000 kg, alt 875 km, cause Unknown</w:t>
            </w:r>
          </w:p>
        </w:tc>
      </w:tr>
      <w:tr>
        <w:tc>
          <w:tcPr>
            <w:tcW w:w="0" w:type="auto"/>
          </w:tcPr>
          <w:p>
            <w:pPr>
              <w:spacing w:line="240" w:lineRule="auto" w:before="0" w:after="0"/>
              <w:pStyle w:val="Compact"/>
            </w:pPr>
            <w:r>
              <w:rPr>
                <w:sz w:val="20"/>
                <w:szCs w:val="20"/>
              </w:rPr>
              <w:t xml:space="preserve">CBERS-1 R/B</w:t>
            </w:r>
          </w:p>
        </w:tc>
        <w:tc>
          <w:tcPr>
            <w:tcW w:w="0" w:type="auto"/>
          </w:tcPr>
          <w:p>
            <w:pPr>
              <w:spacing w:line="240" w:lineRule="auto" w:before="0" w:after="0"/>
              <w:pStyle w:val="Compact"/>
            </w:pPr>
            <w:r>
              <w:rPr>
                <w:sz w:val="20"/>
                <w:szCs w:val="20"/>
              </w:rPr>
              <w:t xml:space="preserve">1999-057C</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4.22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741</w:t>
            </w:r>
          </w:p>
        </w:tc>
        <w:tc>
          <w:tcPr>
            <w:tcW w:w="0" w:type="auto"/>
          </w:tcPr>
          <w:p>
            <w:pPr>
              <w:spacing w:line="240" w:lineRule="auto" w:before="0" w:after="0"/>
              <w:pStyle w:val="Compact"/>
            </w:pPr>
            <w:r>
              <w:rPr>
                <w:sz w:val="20"/>
                <w:szCs w:val="20"/>
              </w:rPr>
              <w:t xml:space="preserve">7.438</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NASA HOOSF 16e p.442 (CBERS-1/SACI-1 R/B propulsion breakup Mar 2000, ~68 cataloged); covariates HOOSF 16e owner PRC, dry mass 1700 kg, alt 741 km, cause Propulsion; China not party to 1972 Liability Convention claims forum</w:t>
            </w:r>
          </w:p>
        </w:tc>
      </w:tr>
      <w:tr>
        <w:tc>
          <w:tcPr>
            <w:tcW w:w="0" w:type="auto"/>
          </w:tcPr>
          <w:p>
            <w:pPr>
              <w:spacing w:line="240" w:lineRule="auto" w:before="0" w:after="0"/>
              <w:pStyle w:val="Compact"/>
            </w:pPr>
            <w:r>
              <w:rPr>
                <w:sz w:val="20"/>
                <w:szCs w:val="20"/>
              </w:rPr>
              <w:t xml:space="preserve">Cosmos 970</w:t>
            </w:r>
          </w:p>
        </w:tc>
        <w:tc>
          <w:tcPr>
            <w:tcW w:w="0" w:type="auto"/>
          </w:tcPr>
          <w:p>
            <w:pPr>
              <w:spacing w:line="240" w:lineRule="auto" w:before="0" w:after="0"/>
              <w:pStyle w:val="Compact"/>
            </w:pPr>
            <w:r>
              <w:rPr>
                <w:sz w:val="20"/>
                <w:szCs w:val="20"/>
              </w:rPr>
              <w:t xml:space="preserve">1977-121A</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4.111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1135</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NASA HOOSF 16e fragment list (Cosmos 970 deliberate breakup); ~61 cataloged per ESA DISCOSweb record; covariates HOOSF 16e owner CIS, dry mass 1400 kg, alt 1135 km, cause Deliberate</w:t>
            </w:r>
          </w:p>
        </w:tc>
      </w:tr>
    </w:tbl>
    <w:bookmarkEnd w:id="197"/>
    <w:bookmarkStart w:id="19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log_frag</w:t>
            </w:r>
          </w:p>
        </w:tc>
        <w:tc>
          <w:tcPr>
            <w:tcW w:w="0" w:type="auto"/>
          </w:tcPr>
          <w:p>
            <w:pPr>
              <w:spacing w:line="240" w:lineRule="auto" w:before="0" w:after="0"/>
              <w:pStyle w:val="Compact"/>
            </w:pPr>
            <w:r>
              <w:rPr>
                <w:sz w:val="20"/>
                <w:szCs w:val="20"/>
              </w:rPr>
              <w:t xml:space="preserve">Natural log of the number of cataloged debris fragments produced by event i (dependent variable)</w:t>
            </w:r>
          </w:p>
        </w:tc>
        <w:tc>
          <w:tcPr>
            <w:tcW w:w="0" w:type="auto"/>
          </w:tcPr>
          <w:p>
            <w:pPr>
              <w:spacing w:line="240" w:lineRule="auto" w:before="0" w:after="0"/>
              <w:pStyle w:val="Compact"/>
            </w:pPr>
            <w:r>
              <w:rPr>
                <w:sz w:val="20"/>
                <w:szCs w:val="20"/>
              </w:rPr>
              <w:t xml:space="preserve">NASA Orbital Debris Quarterly News Top Ten Satellite Breakups table (v28i1, 2024); NASA History of On-orbit Satellite Fragmentations 16th ed. (NASA/TP-20220019160); ESA DISCOSweb event records</w:t>
            </w:r>
          </w:p>
        </w:tc>
      </w:tr>
      <w:tr>
        <w:tc>
          <w:tcPr>
            <w:tcW w:w="0" w:type="auto"/>
          </w:tcPr>
          <w:p>
            <w:pPr>
              <w:spacing w:line="240" w:lineRule="auto" w:before="0" w:after="0"/>
              <w:pStyle w:val="Compact"/>
            </w:pPr>
            <w:r>
              <w:rPr>
                <w:sz w:val="20"/>
                <w:szCs w:val="20"/>
              </w:rPr>
              <w:t xml:space="preserve">deliberate</w:t>
            </w:r>
          </w:p>
        </w:tc>
        <w:tc>
          <w:tcPr>
            <w:tcW w:w="0" w:type="auto"/>
          </w:tcPr>
          <w:p>
            <w:pPr>
              <w:spacing w:line="240" w:lineRule="auto" w:before="0" w:after="0"/>
              <w:pStyle w:val="Compact"/>
            </w:pPr>
            <w:r>
              <w:rPr>
                <w:sz w:val="20"/>
                <w:szCs w:val="20"/>
              </w:rPr>
              <w:t xml:space="preserve">Indicator = 1 if the fragmentation was deliberate (anti-satellite test or intentional destruction), 0 otherwise</w:t>
            </w:r>
          </w:p>
        </w:tc>
        <w:tc>
          <w:tcPr>
            <w:tcW w:w="0" w:type="auto"/>
          </w:tcPr>
          <w:p>
            <w:pPr>
              <w:spacing w:line="240" w:lineRule="auto" w:before="0" w:after="0"/>
              <w:pStyle w:val="Compact"/>
            </w:pPr>
            <w:r>
              <w:rPr>
                <w:sz w:val="20"/>
                <w:szCs w:val="20"/>
              </w:rPr>
              <w:t xml:space="preserve">NASA HOOSF 16e per-event Assessed Cause field</w:t>
            </w:r>
          </w:p>
        </w:tc>
      </w:tr>
      <w:tr>
        <w:tc>
          <w:tcPr>
            <w:tcW w:w="0" w:type="auto"/>
          </w:tcPr>
          <w:p>
            <w:pPr>
              <w:spacing w:line="240" w:lineRule="auto" w:before="0" w:after="0"/>
              <w:pStyle w:val="Compact"/>
            </w:pPr>
            <w:r>
              <w:rPr>
                <w:sz w:val="20"/>
                <w:szCs w:val="20"/>
              </w:rPr>
              <w:t xml:space="preserve">liab_party</w:t>
            </w:r>
          </w:p>
        </w:tc>
        <w:tc>
          <w:tcPr>
            <w:tcW w:w="0" w:type="auto"/>
          </w:tcPr>
          <w:p>
            <w:pPr>
              <w:spacing w:line="240" w:lineRule="auto" w:before="0" w:after="0"/>
              <w:pStyle w:val="Compact"/>
            </w:pPr>
            <w:r>
              <w:rPr>
                <w:sz w:val="20"/>
                <w:szCs w:val="20"/>
              </w:rPr>
              <w:t xml:space="preserve">Indicator = 1 if the owning state was a party to the 1972 Convention on International Liability for Damage Caused by Space Objects with access to its claims process at the time of the event, 0 otherwise</w:t>
            </w:r>
          </w:p>
        </w:tc>
        <w:tc>
          <w:tcPr>
            <w:tcW w:w="0" w:type="auto"/>
          </w:tcPr>
          <w:p>
            <w:pPr>
              <w:spacing w:line="240" w:lineRule="auto" w:before="0" w:after="0"/>
              <w:pStyle w:val="Compact"/>
            </w:pPr>
            <w:r>
              <w:rPr>
                <w:sz w:val="20"/>
                <w:szCs w:val="20"/>
              </w:rPr>
              <w:t xml:space="preserve">UNOOSA status of international agreements; owning state from NASA HOOSF 16e Owner field</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Orbital altitude of the parent body at the time of the event, in kilometers</w:t>
            </w:r>
          </w:p>
        </w:tc>
        <w:tc>
          <w:tcPr>
            <w:tcW w:w="0" w:type="auto"/>
          </w:tcPr>
          <w:p>
            <w:pPr>
              <w:spacing w:line="240" w:lineRule="auto" w:before="0" w:after="0"/>
              <w:pStyle w:val="Compact"/>
            </w:pPr>
            <w:r>
              <w:rPr>
                <w:sz w:val="20"/>
                <w:szCs w:val="20"/>
              </w:rPr>
              <w:t xml:space="preserve">NASA HOOSF 16e per-event Altitude field</w:t>
            </w:r>
          </w:p>
        </w:tc>
      </w:tr>
      <w:tr>
        <w:tc>
          <w:tcPr>
            <w:tcW w:w="0" w:type="auto"/>
          </w:tcPr>
          <w:p>
            <w:pPr>
              <w:spacing w:line="240" w:lineRule="auto" w:before="0" w:after="0"/>
              <w:pStyle w:val="Compact"/>
            </w:pPr>
            <w:r>
              <w:rPr>
                <w:sz w:val="20"/>
                <w:szCs w:val="20"/>
              </w:rPr>
              <w:t xml:space="preserve">log_drymass_kg</w:t>
            </w:r>
          </w:p>
        </w:tc>
        <w:tc>
          <w:tcPr>
            <w:tcW w:w="0" w:type="auto"/>
          </w:tcPr>
          <w:p>
            <w:pPr>
              <w:spacing w:line="240" w:lineRule="auto" w:before="0" w:after="0"/>
              <w:pStyle w:val="Compact"/>
            </w:pPr>
            <w:r>
              <w:rPr>
                <w:sz w:val="20"/>
                <w:szCs w:val="20"/>
              </w:rPr>
              <w:t xml:space="preserve">Natural log of the parent body dry mass in kilograms (proxy for parent size and fragment-generation potential)</w:t>
            </w:r>
          </w:p>
        </w:tc>
        <w:tc>
          <w:tcPr>
            <w:tcW w:w="0" w:type="auto"/>
          </w:tcPr>
          <w:p>
            <w:pPr>
              <w:spacing w:line="240" w:lineRule="auto" w:before="0" w:after="0"/>
              <w:pStyle w:val="Compact"/>
            </w:pPr>
            <w:r>
              <w:rPr>
                <w:sz w:val="20"/>
                <w:szCs w:val="20"/>
              </w:rPr>
              <w:t xml:space="preserve">NASA HOOSF 16e per-event Dry Mass field</w:t>
            </w:r>
          </w:p>
        </w:tc>
      </w:tr>
    </w:tbl>
    <w:bookmarkEnd w:id="198"/>
    <w:bookmarkEnd w:id="199"/>
    <w:bookmarkStart w:id="207" w:name="Xe67a3eaf5423738228d87a74edc3f8721331da3"/>
    <w:p>
      <w:pPr>
        <w:pStyle w:val="Heading2"/>
        <w:spacing w:line="480" w:lineRule="auto"/>
      </w:pPr>
      <w:r>
        <w:t xml:space="preserve">A.2 Does the Mitigation Era Shorten Orbital Tenancy? A Cox Proportional-Hazards Test of Whether Domesticated Debris-Mitigation Regimes Accelerate the Removal of Cataloged Space Objects</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M</m:t>
              </m:r>
              <m:r>
                <m:rPr>
                  <m:sty m:val="p"/>
                </m:rPr>
                <m:t>i</m:t>
              </m:r>
              <m:r>
                <m:rPr>
                  <m:sty m:val="p"/>
                </m:rPr>
                <m:t>t</m:t>
              </m:r>
              <m:r>
                <m:rPr>
                  <m:sty m:val="p"/>
                </m:rPr>
                <m:t>i</m:t>
              </m:r>
              <m:r>
                <m:rPr>
                  <m:sty m:val="p"/>
                </m:rPr>
                <m:t>g</m:t>
              </m:r>
              <m:r>
                <m:rPr>
                  <m:sty m:val="p"/>
                </m:rPr>
                <m:t>a</m:t>
              </m:r>
              <m:r>
                <m:rPr>
                  <m:sty m:val="p"/>
                </m:rPr>
                <m:t>t</m:t>
              </m:r>
              <m:r>
                <m:rPr>
                  <m:sty m:val="p"/>
                </m:rPr>
                <m:t>i</m:t>
              </m:r>
              <m:r>
                <m:rPr>
                  <m:sty m:val="p"/>
                </m:rPr>
                <m:t>o</m:t>
              </m:r>
              <m:r>
                <m:rPr>
                  <m:sty m:val="p"/>
                </m:rPr>
                <m:t>n</m:t>
              </m:r>
              <m:r>
                <m:rPr>
                  <m:sty m:val="p"/>
                </m:rPr>
                <m:t>E</m:t>
              </m:r>
              <m:r>
                <m:rPr>
                  <m:sty m:val="p"/>
                </m:rPr>
                <m:t>r</m:t>
              </m:r>
              <m:r>
                <m:rPr>
                  <m:sty m:val="p"/>
                </m:rPr>
                <m:t>a</m:t>
              </m:r>
              <m:r>
                <m:rPr>
                  <m:sty m:val="p"/>
                </m:rPr>
                <m:t>+</m:t>
              </m:r>
              <m:sSub>
                <m:e>
                  <m:r>
                    <m:t>β</m:t>
                  </m:r>
                </m:e>
                <m:sub>
                  <m:r>
                    <m:t>2</m:t>
                  </m:r>
                </m:sub>
              </m:sSub>
              <m:r>
                <m:t> </m:t>
              </m:r>
              <m:r>
                <m:rPr>
                  <m:sty m:val="p"/>
                </m:rPr>
                <m:t>P</m:t>
              </m:r>
              <m:r>
                <m:rPr>
                  <m:sty m:val="p"/>
                </m:rPr>
                <m:t>e</m:t>
              </m:r>
              <m:r>
                <m:rPr>
                  <m:sty m:val="p"/>
                </m:rPr>
                <m:t>r</m:t>
              </m:r>
              <m:r>
                <m:rPr>
                  <m:sty m:val="p"/>
                </m:rPr>
                <m:t>i</m:t>
              </m:r>
              <m:r>
                <m:rPr>
                  <m:sty m:val="p"/>
                </m:rPr>
                <m:t>g</m:t>
              </m:r>
              <m:r>
                <m:rPr>
                  <m:sty m:val="p"/>
                </m:rPr>
                <m:t>e</m:t>
              </m:r>
              <m:r>
                <m:rPr>
                  <m:sty m:val="p"/>
                </m:rPr>
                <m:t>e</m:t>
              </m:r>
              <m:r>
                <m:rPr>
                  <m:sty m:val="p"/>
                </m:rPr>
                <m:t>L</m:t>
              </m:r>
              <m:r>
                <m:rPr>
                  <m:sty m:val="p"/>
                </m:rPr>
                <m:t>o</m:t>
              </m:r>
              <m:r>
                <m:rPr>
                  <m:sty m:val="p"/>
                </m:rPr>
                <m:t>w</m:t>
              </m:r>
              <m:r>
                <m:rPr>
                  <m:sty m:val="p"/>
                </m:rPr>
                <m:t>+</m:t>
              </m:r>
              <m:sSub>
                <m:e>
                  <m:r>
                    <m:t>β</m:t>
                  </m:r>
                </m:e>
                <m:sub>
                  <m:r>
                    <m:t>3</m:t>
                  </m:r>
                </m:sub>
              </m:sSub>
              <m:r>
                <m:t> </m:t>
              </m:r>
              <m:r>
                <m:rPr>
                  <m:sty m:val="p"/>
                </m:rPr>
                <m:t>L</m:t>
              </m:r>
              <m:r>
                <m:rPr>
                  <m:sty m:val="p"/>
                </m:rPr>
                <m:t>a</m:t>
              </m:r>
              <m:r>
                <m:rPr>
                  <m:sty m:val="p"/>
                </m:rPr>
                <m:t>r</m:t>
              </m:r>
              <m:r>
                <m:rPr>
                  <m:sty m:val="p"/>
                </m:rPr>
                <m:t>g</m:t>
              </m:r>
              <m:r>
                <m:rPr>
                  <m:sty m:val="p"/>
                </m:rPr>
                <m:t>e</m:t>
              </m:r>
              <m:r>
                <m:rPr>
                  <m:sty m:val="p"/>
                </m:rPr>
                <m:t>B</m:t>
              </m:r>
              <m:r>
                <m:rPr>
                  <m:sty m:val="p"/>
                </m:rPr>
                <m:t>o</m:t>
              </m:r>
              <m:r>
                <m:rPr>
                  <m:sty m:val="p"/>
                </m:rPr>
                <m:t>d</m:t>
              </m:r>
              <m:r>
                <m:rPr>
                  <m:sty m:val="p"/>
                </m:rPr>
                <m:t>y</m:t>
              </m:r>
            </m:e>
          </m:d>
        </m:oMath>
      </m:oMathPara>
    </w:p>
    <w:bookmarkStart w:id="20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mitigation_era</w:t>
            </w:r>
          </w:p>
        </w:tc>
        <w:tc>
          <w:tcPr>
            <w:tcW w:w="0" w:type="auto"/>
          </w:tcPr>
          <w:p>
            <w:pPr>
              <w:spacing w:line="240" w:lineRule="auto" w:before="0" w:after="0"/>
              <w:pStyle w:val="Compact"/>
            </w:pPr>
            <w:r>
              <w:rPr>
                <w:sz w:val="20"/>
                <w:szCs w:val="20"/>
              </w:rPr>
              <w:t xml:space="preserve">0.8759</w:t>
            </w:r>
          </w:p>
        </w:tc>
        <w:tc>
          <w:tcPr>
            <w:tcW w:w="0" w:type="auto"/>
          </w:tcPr>
          <w:p>
            <w:pPr>
              <w:spacing w:line="240" w:lineRule="auto" w:before="0" w:after="0"/>
              <w:pStyle w:val="Compact"/>
            </w:pPr>
            <w:r>
              <w:rPr>
                <w:sz w:val="20"/>
                <w:szCs w:val="20"/>
              </w:rPr>
              <w:t xml:space="preserve">0.5006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0.0801</w:t>
            </w:r>
          </w:p>
        </w:tc>
        <w:tc>
          <w:tcPr>
            <w:tcW w:w="0" w:type="auto"/>
          </w:tcPr>
          <w:p>
            <w:pPr>
              <w:spacing w:line="240" w:lineRule="auto" w:before="0" w:after="0"/>
              <w:pStyle w:val="Compact"/>
            </w:pPr>
            <w:r>
              <w:rPr>
                <w:sz w:val="20"/>
                <w:szCs w:val="20"/>
              </w:rPr>
              <w:t xml:space="preserve">[-0.1051, 1.857]</w:t>
            </w:r>
          </w:p>
        </w:tc>
        <w:tc>
          <w:tcPr>
            <w:tcW w:w="0" w:type="auto"/>
          </w:tcPr>
          <w:p>
            <w:pPr>
              <w:spacing w:line="240" w:lineRule="auto" w:before="0" w:after="0"/>
              <w:pStyle w:val="Compact"/>
            </w:pPr>
            <w:r>
              <w:rPr>
                <w:sz w:val="20"/>
                <w:szCs w:val="20"/>
              </w:rPr>
              <w:t xml:space="preserve">2.4012</w:t>
            </w:r>
          </w:p>
        </w:tc>
      </w:tr>
      <w:tr>
        <w:tc>
          <w:tcPr>
            <w:tcW w:w="0" w:type="auto"/>
          </w:tcPr>
          <w:p>
            <w:pPr>
              <w:spacing w:line="240" w:lineRule="auto" w:before="0" w:after="0"/>
              <w:pStyle w:val="Compact"/>
            </w:pPr>
            <w:r>
              <w:rPr>
                <w:sz w:val="20"/>
                <w:szCs w:val="20"/>
              </w:rPr>
              <w:t xml:space="preserve">perigee_low</w:t>
            </w:r>
          </w:p>
        </w:tc>
        <w:tc>
          <w:tcPr>
            <w:tcW w:w="0" w:type="auto"/>
          </w:tcPr>
          <w:p>
            <w:pPr>
              <w:spacing w:line="240" w:lineRule="auto" w:before="0" w:after="0"/>
              <w:pStyle w:val="Compact"/>
            </w:pPr>
            <w:r>
              <w:rPr>
                <w:sz w:val="20"/>
                <w:szCs w:val="20"/>
              </w:rPr>
              <w:t xml:space="preserve">1.839</w:t>
            </w:r>
          </w:p>
        </w:tc>
        <w:tc>
          <w:tcPr>
            <w:tcW w:w="0" w:type="auto"/>
          </w:tcPr>
          <w:p>
            <w:pPr>
              <w:spacing w:line="240" w:lineRule="auto" w:before="0" w:after="0"/>
              <w:pStyle w:val="Compact"/>
            </w:pPr>
            <w:r>
              <w:rPr>
                <w:sz w:val="20"/>
                <w:szCs w:val="20"/>
              </w:rPr>
              <w:t xml:space="preserve">0.5584</w:t>
            </w:r>
          </w:p>
        </w:tc>
        <w:tc>
          <w:tcPr>
            <w:tcW w:w="0" w:type="auto"/>
          </w:tcPr>
          <w:p>
            <w:pPr>
              <w:spacing w:line="240" w:lineRule="auto" w:before="0" w:after="0"/>
              <w:pStyle w:val="Compact"/>
            </w:pPr>
            <w:r>
              <w:rPr>
                <w:sz w:val="20"/>
                <w:szCs w:val="20"/>
              </w:rPr>
              <w:t xml:space="preserve">3.2935</w:t>
            </w:r>
          </w:p>
        </w:tc>
        <w:tc>
          <w:tcPr>
            <w:tcW w:w="0" w:type="auto"/>
          </w:tcPr>
          <w:p>
            <w:pPr>
              <w:spacing w:line="240" w:lineRule="auto" w:before="0" w:after="0"/>
              <w:pStyle w:val="Compact"/>
            </w:pPr>
            <w:r>
              <w:rPr>
                <w:sz w:val="20"/>
                <w:szCs w:val="20"/>
              </w:rPr>
              <w:t xml:space="preserve">0.0009896</w:t>
            </w:r>
          </w:p>
        </w:tc>
        <w:tc>
          <w:tcPr>
            <w:tcW w:w="0" w:type="auto"/>
          </w:tcPr>
          <w:p>
            <w:pPr>
              <w:spacing w:line="240" w:lineRule="auto" w:before="0" w:after="0"/>
              <w:pStyle w:val="Compact"/>
            </w:pPr>
            <w:r>
              <w:rPr>
                <w:sz w:val="20"/>
                <w:szCs w:val="20"/>
              </w:rPr>
              <w:t xml:space="preserve">[0.7446, 2.9334]</w:t>
            </w:r>
          </w:p>
        </w:tc>
        <w:tc>
          <w:tcPr>
            <w:tcW w:w="0" w:type="auto"/>
          </w:tcPr>
          <w:p>
            <w:pPr>
              <w:spacing w:line="240" w:lineRule="auto" w:before="0" w:after="0"/>
              <w:pStyle w:val="Compact"/>
            </w:pPr>
            <w:r>
              <w:rPr>
                <w:sz w:val="20"/>
                <w:szCs w:val="20"/>
              </w:rPr>
              <w:t xml:space="preserve">6.2903</w:t>
            </w:r>
          </w:p>
        </w:tc>
      </w:tr>
      <w:tr>
        <w:tc>
          <w:tcPr>
            <w:tcW w:w="0" w:type="auto"/>
          </w:tcPr>
          <w:p>
            <w:pPr>
              <w:spacing w:line="240" w:lineRule="auto" w:before="0" w:after="0"/>
              <w:pStyle w:val="Compact"/>
            </w:pPr>
            <w:r>
              <w:rPr>
                <w:sz w:val="20"/>
                <w:szCs w:val="20"/>
              </w:rPr>
              <w:t xml:space="preserve">large_body</w:t>
            </w:r>
          </w:p>
        </w:tc>
        <w:tc>
          <w:tcPr>
            <w:tcW w:w="0" w:type="auto"/>
          </w:tcPr>
          <w:p>
            <w:pPr>
              <w:spacing w:line="240" w:lineRule="auto" w:before="0" w:after="0"/>
              <w:pStyle w:val="Compact"/>
            </w:pPr>
            <w:r>
              <w:rPr>
                <w:sz w:val="20"/>
                <w:szCs w:val="20"/>
              </w:rPr>
              <w:t xml:space="preserve">-0.1561</w:t>
            </w:r>
          </w:p>
        </w:tc>
        <w:tc>
          <w:tcPr>
            <w:tcW w:w="0" w:type="auto"/>
          </w:tcPr>
          <w:p>
            <w:pPr>
              <w:spacing w:line="240" w:lineRule="auto" w:before="0" w:after="0"/>
              <w:pStyle w:val="Compact"/>
            </w:pPr>
            <w:r>
              <w:rPr>
                <w:sz w:val="20"/>
                <w:szCs w:val="20"/>
              </w:rPr>
              <w:t xml:space="preserve">0.571</w:t>
            </w:r>
          </w:p>
        </w:tc>
        <w:tc>
          <w:tcPr>
            <w:tcW w:w="0" w:type="auto"/>
          </w:tcPr>
          <w:p>
            <w:pPr>
              <w:spacing w:line="240" w:lineRule="auto" w:before="0" w:after="0"/>
              <w:pStyle w:val="Compact"/>
            </w:pPr>
            <w:r>
              <w:rPr>
                <w:sz w:val="20"/>
                <w:szCs w:val="20"/>
              </w:rPr>
              <w:t xml:space="preserve">-0.2733</w:t>
            </w:r>
          </w:p>
        </w:tc>
        <w:tc>
          <w:tcPr>
            <w:tcW w:w="0" w:type="auto"/>
          </w:tcPr>
          <w:p>
            <w:pPr>
              <w:spacing w:line="240" w:lineRule="auto" w:before="0" w:after="0"/>
              <w:pStyle w:val="Compact"/>
            </w:pPr>
            <w:r>
              <w:rPr>
                <w:sz w:val="20"/>
                <w:szCs w:val="20"/>
              </w:rPr>
              <w:t xml:space="preserve">0.7846</w:t>
            </w:r>
          </w:p>
        </w:tc>
        <w:tc>
          <w:tcPr>
            <w:tcW w:w="0" w:type="auto"/>
          </w:tcPr>
          <w:p>
            <w:pPr>
              <w:spacing w:line="240" w:lineRule="auto" w:before="0" w:after="0"/>
              <w:pStyle w:val="Compact"/>
            </w:pPr>
            <w:r>
              <w:rPr>
                <w:sz w:val="20"/>
                <w:szCs w:val="20"/>
              </w:rPr>
              <w:t xml:space="preserve">[-1.2752, 0.9631]</w:t>
            </w:r>
          </w:p>
        </w:tc>
        <w:tc>
          <w:tcPr>
            <w:tcW w:w="0" w:type="auto"/>
          </w:tcPr>
          <w:p>
            <w:pPr>
              <w:spacing w:line="240" w:lineRule="auto" w:before="0" w:after="0"/>
              <w:pStyle w:val="Compact"/>
            </w:pPr>
            <w:r>
              <w:rPr>
                <w:sz w:val="20"/>
                <w:szCs w:val="20"/>
              </w:rPr>
              <w:t xml:space="preserve">0.8555</w:t>
            </w:r>
          </w:p>
        </w:tc>
      </w:tr>
    </w:tbl>
    <w:p>
      <w:pPr>
        <w:pStyle w:val="BodyText"/>
        <w:spacing w:line="480" w:lineRule="auto"/>
        <w:ind w:firstLine="720"/>
      </w:pPr>
      <w:r>
        <w:t xml:space="preserve">Fit: N = 29 events = 22</w:t>
      </w:r>
    </w:p>
    <w:bookmarkEnd w:id="200"/>
    <w:bookmarkStart w:id="20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rbital tenancy and decay status for 29 documented cataloged objects, 1957 to 2022. Each point is one object; tenancy is plotted on a scale that spans sub-year uncontrolled reentries to multi-century natural decay. The Cox model estimates how the post-2002 mitigation era shifts the hazard of removal, conditioning on low-perigee drag exposure and large-body mass class." title="" id="202" name="Picture"/>
            <a:graphic>
              <a:graphicData uri="http://schemas.openxmlformats.org/drawingml/2006/picture">
                <pic:pic>
                  <pic:nvPicPr>
                    <pic:cNvPr descr="D:/Claude_Code/brain/collegium/candidates/dissertations/DEBRIS_03/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Orbital tenancy and decay status for 29 documented cataloged objects, 1957 to 2022. Each point is one object; tenancy is plotted on a scale that spans sub-year uncontrolled reentries to multi-century natural decay. The Cox model estimates how the post-2002 mitigation era shifts the hazard of removal, conditioning on low-perigee drag exposure and large-body mass class.</w:t>
      </w:r>
    </w:p>
    <w:bookmarkEnd w:id="204"/>
    <w:bookmarkStart w:id="20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object</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decay_year</w:t>
            </w:r>
          </w:p>
        </w:tc>
        <w:tc>
          <w:tcPr>
            <w:tcW w:w="0" w:type="auto"/>
          </w:tcPr>
          <w:p>
            <w:pPr>
              <w:spacing w:line="240" w:lineRule="auto" w:before="0" w:after="0"/>
              <w:pStyle w:val="Compact"/>
            </w:pPr>
            <w:r>
              <w:rPr>
                <w:sz w:val="20"/>
                <w:szCs w:val="20"/>
              </w:rPr>
              <w:t xml:space="preserve">lifetime_years</w:t>
            </w:r>
          </w:p>
        </w:tc>
        <w:tc>
          <w:tcPr>
            <w:tcW w:w="0" w:type="auto"/>
          </w:tcPr>
          <w:p>
            <w:pPr>
              <w:spacing w:line="240" w:lineRule="auto" w:before="0" w:after="0"/>
              <w:pStyle w:val="Compact"/>
            </w:pPr>
            <w:r>
              <w:rPr>
                <w:sz w:val="20"/>
                <w:szCs w:val="20"/>
              </w:rPr>
              <w:t xml:space="preserve">decayed</w:t>
            </w:r>
          </w:p>
        </w:tc>
        <w:tc>
          <w:tcPr>
            <w:tcW w:w="0" w:type="auto"/>
          </w:tcPr>
          <w:p>
            <w:pPr>
              <w:spacing w:line="240" w:lineRule="auto" w:before="0" w:after="0"/>
              <w:pStyle w:val="Compact"/>
            </w:pPr>
            <w:r>
              <w:rPr>
                <w:sz w:val="20"/>
                <w:szCs w:val="20"/>
              </w:rPr>
              <w:t xml:space="preserve">mitigation_era</w:t>
            </w:r>
          </w:p>
        </w:tc>
        <w:tc>
          <w:tcPr>
            <w:tcW w:w="0" w:type="auto"/>
          </w:tcPr>
          <w:p>
            <w:pPr>
              <w:spacing w:line="240" w:lineRule="auto" w:before="0" w:after="0"/>
              <w:pStyle w:val="Compact"/>
            </w:pPr>
            <w:r>
              <w:rPr>
                <w:sz w:val="20"/>
                <w:szCs w:val="20"/>
              </w:rPr>
              <w:t xml:space="preserve">perigee_low</w:t>
            </w:r>
          </w:p>
        </w:tc>
        <w:tc>
          <w:tcPr>
            <w:tcW w:w="0" w:type="auto"/>
          </w:tcPr>
          <w:p>
            <w:pPr>
              <w:spacing w:line="240" w:lineRule="auto" w:before="0" w:after="0"/>
              <w:pStyle w:val="Compact"/>
            </w:pPr>
            <w:r>
              <w:rPr>
                <w:sz w:val="20"/>
                <w:szCs w:val="20"/>
              </w:rPr>
              <w:t xml:space="preserve">large_body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Sputnik 1</w:t>
            </w:r>
          </w:p>
        </w:tc>
        <w:tc>
          <w:tcPr>
            <w:tcW w:w="0" w:type="auto"/>
          </w:tcPr>
          <w:p>
            <w:pPr>
              <w:spacing w:line="240" w:lineRule="auto" w:before="0" w:after="0"/>
              <w:pStyle w:val="Compact"/>
            </w:pPr>
            <w:r>
              <w:rPr>
                <w:sz w:val="20"/>
                <w:szCs w:val="20"/>
              </w:rPr>
              <w:t xml:space="preserve">1957</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Sputnik 1 launched 4 Oct 1957; reentered 4 Jan 1958 (~3 months). en.wikipedia.org/wiki/Sputnik_1</w:t>
            </w:r>
          </w:p>
        </w:tc>
      </w:tr>
      <w:tr>
        <w:tc>
          <w:tcPr>
            <w:tcW w:w="0" w:type="auto"/>
          </w:tcPr>
          <w:p>
            <w:pPr>
              <w:spacing w:line="240" w:lineRule="auto" w:before="0" w:after="0"/>
              <w:pStyle w:val="Compact"/>
            </w:pPr>
            <w:r>
              <w:rPr>
                <w:sz w:val="20"/>
                <w:szCs w:val="20"/>
              </w:rPr>
              <w:t xml:space="preserve">Explorer 1</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Explorer 1 launched 1 Feb 1958; reentered 31 Mar 1970. en.wikipedia.org/wiki/Explorer_1</w:t>
            </w:r>
          </w:p>
        </w:tc>
      </w:tr>
      <w:tr>
        <w:tc>
          <w:tcPr>
            <w:tcW w:w="0" w:type="auto"/>
          </w:tcPr>
          <w:p>
            <w:pPr>
              <w:spacing w:line="240" w:lineRule="auto" w:before="0" w:after="0"/>
              <w:pStyle w:val="Compact"/>
            </w:pPr>
            <w:r>
              <w:rPr>
                <w:sz w:val="20"/>
                <w:szCs w:val="20"/>
              </w:rPr>
              <w:t xml:space="preserve">Vanguard 1</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2198</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Vanguard 1 launched 17 Mar 1958; still in orbit, expected decay ~late 22nd century (~240 yr). en.wikipedia.org/wiki/Vanguard_1</w:t>
            </w:r>
          </w:p>
        </w:tc>
      </w:tr>
      <w:tr>
        <w:tc>
          <w:tcPr>
            <w:tcW w:w="0" w:type="auto"/>
          </w:tcPr>
          <w:p>
            <w:pPr>
              <w:spacing w:line="240" w:lineRule="auto" w:before="0" w:after="0"/>
              <w:pStyle w:val="Compact"/>
            </w:pPr>
            <w:r>
              <w:rPr>
                <w:sz w:val="20"/>
                <w:szCs w:val="20"/>
              </w:rPr>
              <w:t xml:space="preserve">Echo 1A</w:t>
            </w:r>
          </w:p>
        </w:tc>
        <w:tc>
          <w:tcPr>
            <w:tcW w:w="0" w:type="auto"/>
          </w:tcPr>
          <w:p>
            <w:pPr>
              <w:spacing w:line="240" w:lineRule="auto" w:before="0" w:after="0"/>
              <w:pStyle w:val="Compact"/>
            </w:pPr>
            <w:r>
              <w:rPr>
                <w:sz w:val="20"/>
                <w:szCs w:val="20"/>
              </w:rPr>
              <w:t xml:space="preserve">1960</w:t>
            </w:r>
          </w:p>
        </w:tc>
        <w:tc>
          <w:tcPr>
            <w:tcW w:w="0" w:type="auto"/>
          </w:tcPr>
          <w:p>
            <w:pPr>
              <w:spacing w:line="240" w:lineRule="auto" w:before="0" w:after="0"/>
              <w:pStyle w:val="Compact"/>
            </w:pPr>
            <w:r>
              <w:rPr>
                <w:sz w:val="20"/>
                <w:szCs w:val="20"/>
              </w:rPr>
              <w:t xml:space="preserve">1968</w:t>
            </w:r>
          </w:p>
        </w:tc>
        <w:tc>
          <w:tcPr>
            <w:tcW w:w="0" w:type="auto"/>
          </w:tcPr>
          <w:p>
            <w:pPr>
              <w:spacing w:line="240" w:lineRule="auto" w:before="0" w:after="0"/>
              <w:pStyle w:val="Compact"/>
            </w:pPr>
            <w:r>
              <w:rPr>
                <w:sz w:val="20"/>
                <w:szCs w:val="20"/>
              </w:rPr>
              <w:t xml:space="preserve">7.78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Echo 1A launched 12 Aug 1960; reentered 24 May 1968. en.wikipedia.org/wiki/Echo_1</w:t>
            </w:r>
          </w:p>
        </w:tc>
      </w:tr>
      <w:tr>
        <w:tc>
          <w:tcPr>
            <w:tcW w:w="0" w:type="auto"/>
          </w:tcPr>
          <w:p>
            <w:pPr>
              <w:spacing w:line="240" w:lineRule="auto" w:before="0" w:after="0"/>
              <w:pStyle w:val="Compact"/>
            </w:pPr>
            <w:r>
              <w:rPr>
                <w:sz w:val="20"/>
                <w:szCs w:val="20"/>
              </w:rPr>
              <w:t xml:space="preserve">LAGEOS-1</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9999</w:t>
            </w:r>
          </w:p>
        </w:tc>
        <w:tc>
          <w:tcPr>
            <w:tcW w:w="0" w:type="auto"/>
          </w:tcPr>
          <w:p>
            <w:pPr>
              <w:spacing w:line="240" w:lineRule="auto" w:before="0" w:after="0"/>
              <w:pStyle w:val="Compact"/>
            </w:pPr>
            <w:r>
              <w:rPr>
                <w:sz w:val="20"/>
                <w:szCs w:val="20"/>
              </w:rPr>
              <w:t xml:space="preserve">8e+06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LAGEOS-1 launched 4 May 1976; still in orbit, predicted lifetime ~8 million yr. en.wikipedia.org/wiki/LAGEOS</w:t>
            </w:r>
          </w:p>
        </w:tc>
      </w:tr>
      <w:tr>
        <w:tc>
          <w:tcPr>
            <w:tcW w:w="0" w:type="auto"/>
          </w:tcPr>
          <w:p>
            <w:pPr>
              <w:spacing w:line="240" w:lineRule="auto" w:before="0" w:after="0"/>
              <w:pStyle w:val="Compact"/>
            </w:pPr>
            <w:r>
              <w:rPr>
                <w:sz w:val="20"/>
                <w:szCs w:val="20"/>
              </w:rPr>
              <w:t xml:space="preserve">Cosmos 954</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1978</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Kosmos 954 launched 18 Sep 1977; uncontrolled reentry 24 Jan 1978. en.wikipedia.org/wiki/Cosmos_954</w:t>
            </w:r>
          </w:p>
        </w:tc>
      </w:tr>
      <w:tr>
        <w:tc>
          <w:tcPr>
            <w:tcW w:w="0" w:type="auto"/>
          </w:tcPr>
          <w:p>
            <w:pPr>
              <w:spacing w:line="240" w:lineRule="auto" w:before="0" w:after="0"/>
              <w:pStyle w:val="Compact"/>
            </w:pPr>
            <w:r>
              <w:rPr>
                <w:sz w:val="20"/>
                <w:szCs w:val="20"/>
              </w:rPr>
              <w:t xml:space="preserve">Skylab</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1979</w:t>
            </w:r>
          </w:p>
        </w:tc>
        <w:tc>
          <w:tcPr>
            <w:tcW w:w="0" w:type="auto"/>
          </w:tcPr>
          <w:p>
            <w:pPr>
              <w:spacing w:line="240" w:lineRule="auto" w:before="0" w:after="0"/>
              <w:pStyle w:val="Compact"/>
            </w:pPr>
            <w:r>
              <w:rPr>
                <w:sz w:val="20"/>
                <w:szCs w:val="20"/>
              </w:rPr>
              <w:t xml:space="preserve">6.16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Skylab launched 14 May 1973; reentered 11 Jul 1979 (2249 days). en.wikipedia.org/wiki/Skylab</w:t>
            </w:r>
          </w:p>
        </w:tc>
      </w:tr>
      <w:tr>
        <w:tc>
          <w:tcPr>
            <w:tcW w:w="0" w:type="auto"/>
          </w:tcPr>
          <w:p>
            <w:pPr>
              <w:spacing w:line="240" w:lineRule="auto" w:before="0" w:after="0"/>
              <w:pStyle w:val="Compact"/>
            </w:pPr>
            <w:r>
              <w:rPr>
                <w:sz w:val="20"/>
                <w:szCs w:val="20"/>
              </w:rPr>
              <w:t xml:space="preserve">Cosmos 1402</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1983</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Kosmos 1402 launched 30 Aug 1982; main bus reentered 23 Jan 1983, reactor 7 Feb 1983. en.wikipedia.org/wiki/Kosmos_1402</w:t>
            </w:r>
          </w:p>
        </w:tc>
      </w:tr>
      <w:tr>
        <w:tc>
          <w:tcPr>
            <w:tcW w:w="0" w:type="auto"/>
          </w:tcPr>
          <w:p>
            <w:pPr>
              <w:spacing w:line="240" w:lineRule="auto" w:before="0" w:after="0"/>
              <w:pStyle w:val="Compact"/>
            </w:pPr>
            <w:r>
              <w:rPr>
                <w:sz w:val="20"/>
                <w:szCs w:val="20"/>
              </w:rPr>
              <w:t xml:space="preserve">Salyut 7</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8.81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Salyut 7 launched 19 Apr 1982; uncontrolled reentry 7 Feb 1991 (~3215 days). en.wikipedia.org/wiki/Salyut_7</w:t>
            </w:r>
          </w:p>
        </w:tc>
      </w:tr>
      <w:tr>
        <w:tc>
          <w:tcPr>
            <w:tcW w:w="0" w:type="auto"/>
          </w:tcPr>
          <w:p>
            <w:pPr>
              <w:spacing w:line="240" w:lineRule="auto" w:before="0" w:after="0"/>
              <w:pStyle w:val="Compact"/>
            </w:pPr>
            <w:r>
              <w:rPr>
                <w:sz w:val="20"/>
                <w:szCs w:val="20"/>
              </w:rPr>
              <w:t xml:space="preserve">Mir</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15.09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Mir core launched 19 Feb 1986; controlled deorbit 23 Mar 2001. en.wikipedia.org/wiki/Mir</w:t>
            </w:r>
          </w:p>
        </w:tc>
      </w:tr>
      <w:tr>
        <w:tc>
          <w:tcPr>
            <w:tcW w:w="0" w:type="auto"/>
          </w:tcPr>
          <w:p>
            <w:pPr>
              <w:spacing w:line="240" w:lineRule="auto" w:before="0" w:after="0"/>
              <w:pStyle w:val="Compact"/>
            </w:pPr>
            <w:r>
              <w:rPr>
                <w:sz w:val="20"/>
                <w:szCs w:val="20"/>
              </w:rPr>
              <w:t xml:space="preserve">Compton GRO</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Compton Gamma Ray Observatory launched 5 Apr 1991; first NASA controlled deorbit 4 Jun 2000. en.wikipedia.org/wiki/Compton_Gamma_Ray_Observatory</w:t>
            </w:r>
          </w:p>
        </w:tc>
      </w:tr>
      <w:tr>
        <w:tc>
          <w:tcPr>
            <w:tcW w:w="0" w:type="auto"/>
          </w:tcPr>
          <w:p>
            <w:pPr>
              <w:spacing w:line="240" w:lineRule="auto" w:before="0" w:after="0"/>
              <w:pStyle w:val="Compact"/>
            </w:pPr>
            <w:r>
              <w:rPr>
                <w:sz w:val="20"/>
                <w:szCs w:val="20"/>
              </w:rPr>
              <w:t xml:space="preserve">UARS</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UARS launched 12 Sep 1991; uncontrolled reentry 24 Sep 2011. en.wikipedia.org/wiki/Upper_Atmosphere_Research_Satellite</w:t>
            </w:r>
          </w:p>
        </w:tc>
      </w:tr>
      <w:tr>
        <w:tc>
          <w:tcPr>
            <w:tcW w:w="0" w:type="auto"/>
          </w:tcPr>
          <w:p>
            <w:pPr>
              <w:spacing w:line="240" w:lineRule="auto" w:before="0" w:after="0"/>
              <w:pStyle w:val="Compact"/>
            </w:pPr>
            <w:r>
              <w:rPr>
                <w:sz w:val="20"/>
                <w:szCs w:val="20"/>
              </w:rPr>
              <w:t xml:space="preserve">ROSAT</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ROSAT launched 1 Jun 1990; uncontrolled reentry 23 Oct 2011. en.wikipedia.org/wiki/ROSAT</w:t>
            </w:r>
          </w:p>
        </w:tc>
      </w:tr>
      <w:tr>
        <w:tc>
          <w:tcPr>
            <w:tcW w:w="0" w:type="auto"/>
          </w:tcPr>
          <w:p>
            <w:pPr>
              <w:spacing w:line="240" w:lineRule="auto" w:before="0" w:after="0"/>
              <w:pStyle w:val="Compact"/>
            </w:pPr>
            <w:r>
              <w:rPr>
                <w:sz w:val="20"/>
                <w:szCs w:val="20"/>
              </w:rPr>
              <w:t xml:space="preserve">Hubble Space Telescope</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36.18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HST launched 24 Apr 1990; still in orbit, decay predicted 2030s. en.wikipedia.org/wiki/Hubble_Space_Telescope</w:t>
            </w:r>
          </w:p>
        </w:tc>
      </w:tr>
      <w:tr>
        <w:tc>
          <w:tcPr>
            <w:tcW w:w="0" w:type="auto"/>
          </w:tcPr>
          <w:p>
            <w:pPr>
              <w:spacing w:line="240" w:lineRule="auto" w:before="0" w:after="0"/>
              <w:pStyle w:val="Compact"/>
            </w:pPr>
            <w:r>
              <w:rPr>
                <w:sz w:val="20"/>
                <w:szCs w:val="20"/>
              </w:rPr>
              <w:t xml:space="preserve">Fengyun-1C</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FY-1C (1999-025A) launched 1999; destroyed by ASAT test 11 Jan 2007. en.wikipedia.org/wiki/Fengyun-1C</w:t>
            </w:r>
          </w:p>
        </w:tc>
      </w:tr>
      <w:tr>
        <w:tc>
          <w:tcPr>
            <w:tcW w:w="0" w:type="auto"/>
          </w:tcPr>
          <w:p>
            <w:pPr>
              <w:spacing w:line="240" w:lineRule="auto" w:before="0" w:after="0"/>
              <w:pStyle w:val="Compact"/>
            </w:pPr>
            <w:r>
              <w:rPr>
                <w:sz w:val="20"/>
                <w:szCs w:val="20"/>
              </w:rPr>
              <w:t xml:space="preserve">Cosmos 1408</w:t>
            </w:r>
          </w:p>
        </w:tc>
        <w:tc>
          <w:tcPr>
            <w:tcW w:w="0" w:type="auto"/>
          </w:tcPr>
          <w:p>
            <w:pPr>
              <w:spacing w:line="240" w:lineRule="auto" w:before="0" w:after="0"/>
              <w:pStyle w:val="Compact"/>
            </w:pPr>
            <w:r>
              <w:rPr>
                <w:sz w:val="20"/>
                <w:szCs w:val="20"/>
              </w:rPr>
              <w:t xml:space="preserve">1982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39.16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Kosmos 1408 launched 16 Sep 1982; destroyed by ASAT test 15 Nov 2021. en.wikipedia.org/wiki/Kosmos_1408</w:t>
            </w:r>
          </w:p>
        </w:tc>
      </w:tr>
      <w:tr>
        <w:tc>
          <w:tcPr>
            <w:tcW w:w="0" w:type="auto"/>
          </w:tcPr>
          <w:p>
            <w:pPr>
              <w:spacing w:line="240" w:lineRule="auto" w:before="0" w:after="0"/>
              <w:pStyle w:val="Compact"/>
            </w:pPr>
            <w:r>
              <w:rPr>
                <w:sz w:val="20"/>
                <w:szCs w:val="20"/>
              </w:rPr>
              <w:t xml:space="preserve">ISS (Zarya)</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ISS first module Zarya launched 20 Nov 1998; still in orbit, operations to ~2030. en.wikipedia.org/wiki/International_Space_Station</w:t>
            </w:r>
          </w:p>
        </w:tc>
      </w:tr>
      <w:tr>
        <w:tc>
          <w:tcPr>
            <w:tcW w:w="0" w:type="auto"/>
          </w:tcPr>
          <w:p>
            <w:pPr>
              <w:spacing w:line="240" w:lineRule="auto" w:before="0" w:after="0"/>
              <w:pStyle w:val="Compact"/>
            </w:pPr>
            <w:r>
              <w:rPr>
                <w:sz w:val="20"/>
                <w:szCs w:val="20"/>
              </w:rPr>
              <w:t xml:space="preserve">Envisat</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2152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Envisat launched 1 Mar 2002; defunct, expected decay ~150 yr. en.wikipedia.org/wiki/Envisat</w:t>
            </w:r>
          </w:p>
        </w:tc>
      </w:tr>
      <w:tr>
        <w:tc>
          <w:tcPr>
            <w:tcW w:w="0" w:type="auto"/>
          </w:tcPr>
          <w:p>
            <w:pPr>
              <w:spacing w:line="240" w:lineRule="auto" w:before="0" w:after="0"/>
              <w:pStyle w:val="Compact"/>
            </w:pPr>
            <w:r>
              <w:rPr>
                <w:sz w:val="20"/>
                <w:szCs w:val="20"/>
              </w:rPr>
              <w:t xml:space="preserve">Gravity Probe B</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22.18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Gravity Probe B launched 20 Apr 2004; decommissioned 2010, left in ~642 km orbit, still on orbit. en.wikipedia.org/wiki/Gravity_Probe_B</w:t>
            </w:r>
          </w:p>
        </w:tc>
      </w:tr>
      <w:tr>
        <w:tc>
          <w:tcPr>
            <w:tcW w:w="0" w:type="auto"/>
          </w:tcPr>
          <w:p>
            <w:pPr>
              <w:spacing w:line="240" w:lineRule="auto" w:before="0" w:after="0"/>
              <w:pStyle w:val="Compact"/>
            </w:pPr>
            <w:r>
              <w:rPr>
                <w:sz w:val="20"/>
                <w:szCs w:val="20"/>
              </w:rPr>
              <w:t xml:space="preserve">CALIPSO</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CALIPSO launched 28 Apr 2006; passivated Dec 2023, remains in ~700 km orbit. en.wikipedia.org/wiki/CALIPSO</w:t>
            </w:r>
          </w:p>
        </w:tc>
      </w:tr>
      <w:tr>
        <w:tc>
          <w:tcPr>
            <w:tcW w:w="0" w:type="auto"/>
          </w:tcPr>
          <w:p>
            <w:pPr>
              <w:spacing w:line="240" w:lineRule="auto" w:before="0" w:after="0"/>
              <w:pStyle w:val="Compact"/>
            </w:pPr>
            <w:r>
              <w:rPr>
                <w:sz w:val="20"/>
                <w:szCs w:val="20"/>
              </w:rPr>
              <w:t xml:space="preserve">GOCE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GOCE launched 17 Mar 2009; reentered 11 Nov 2013 after propellant depletion. en.wikipedia.org/wiki/GOCE</w:t>
            </w:r>
          </w:p>
        </w:tc>
      </w:tr>
      <w:tr>
        <w:tc>
          <w:tcPr>
            <w:tcW w:w="0" w:type="auto"/>
          </w:tcPr>
          <w:p>
            <w:pPr>
              <w:spacing w:line="240" w:lineRule="auto" w:before="0" w:after="0"/>
              <w:pStyle w:val="Compact"/>
            </w:pPr>
            <w:r>
              <w:rPr>
                <w:sz w:val="20"/>
                <w:szCs w:val="20"/>
              </w:rPr>
              <w:t xml:space="preserve">Tiangong-1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Tiangong-1 launched 29 Sep 2011; uncontrolled reentry 2 Apr 2018. en.wikipedia.org/wiki/Tiangong-1</w:t>
            </w:r>
          </w:p>
        </w:tc>
      </w:tr>
      <w:tr>
        <w:tc>
          <w:tcPr>
            <w:tcW w:w="0" w:type="auto"/>
          </w:tcPr>
          <w:p>
            <w:pPr>
              <w:spacing w:line="240" w:lineRule="auto" w:before="0" w:after="0"/>
              <w:pStyle w:val="Compact"/>
            </w:pPr>
            <w:r>
              <w:rPr>
                <w:sz w:val="20"/>
                <w:szCs w:val="20"/>
              </w:rPr>
              <w:t xml:space="preserve">Phobos-Grunt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Fobos-Grunt launched 8 Nov 2011; stranded in LEO, uncontrolled reentry 15 Jan 2012. en.wikipedia.org/wiki/Phobos-Grunt</w:t>
            </w:r>
          </w:p>
        </w:tc>
      </w:tr>
      <w:tr>
        <w:tc>
          <w:tcPr>
            <w:tcW w:w="0" w:type="auto"/>
          </w:tcPr>
          <w:p>
            <w:pPr>
              <w:spacing w:line="240" w:lineRule="auto" w:before="0" w:after="0"/>
              <w:pStyle w:val="Compact"/>
            </w:pPr>
            <w:r>
              <w:rPr>
                <w:sz w:val="20"/>
                <w:szCs w:val="20"/>
              </w:rPr>
              <w:t xml:space="preserve">Tiangong-2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Tiangong-2 launched 15 Sep 2016; controlled deorbit 19 Jul 2019. en.wikipedia.org/wiki/Tiangong-2</w:t>
            </w:r>
          </w:p>
        </w:tc>
      </w:tr>
      <w:tr>
        <w:tc>
          <w:tcPr>
            <w:tcW w:w="0" w:type="auto"/>
          </w:tcPr>
          <w:p>
            <w:pPr>
              <w:spacing w:line="240" w:lineRule="auto" w:before="0" w:after="0"/>
              <w:pStyle w:val="Compact"/>
            </w:pPr>
            <w:r>
              <w:rPr>
                <w:sz w:val="20"/>
                <w:szCs w:val="20"/>
              </w:rPr>
              <w:t xml:space="preserve">RemoveDEBRIS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RemoveDEBRIS launched 2 Apr 2018; reentered 4 Dec 2021. en.wikipedia.org/wiki/RemoveDEBRIS</w:t>
            </w:r>
          </w:p>
        </w:tc>
      </w:tr>
      <w:tr>
        <w:tc>
          <w:tcPr>
            <w:tcW w:w="0" w:type="auto"/>
          </w:tcPr>
          <w:p>
            <w:pPr>
              <w:spacing w:line="240" w:lineRule="auto" w:before="0" w:after="0"/>
              <w:pStyle w:val="Compact"/>
            </w:pPr>
            <w:r>
              <w:rPr>
                <w:sz w:val="20"/>
                <w:szCs w:val="20"/>
              </w:rPr>
              <w:t xml:space="preserve">ADM-Aeolus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ADM-Aeolus launched 22 Aug 2018; first ESA assisted reentry 28 Jul 2023. en.wikipedia.org/wiki/ADM-Aeolus</w:t>
            </w:r>
          </w:p>
        </w:tc>
      </w:tr>
      <w:tr>
        <w:tc>
          <w:tcPr>
            <w:tcW w:w="0" w:type="auto"/>
          </w:tcPr>
          <w:p>
            <w:pPr>
              <w:spacing w:line="240" w:lineRule="auto" w:before="0" w:after="0"/>
              <w:pStyle w:val="Compact"/>
            </w:pPr>
            <w:r>
              <w:rPr>
                <w:sz w:val="20"/>
                <w:szCs w:val="20"/>
              </w:rPr>
              <w:t xml:space="preserve">Long March 5B-Y1 core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CZ-5B Y1 launched 5 May 2020; core uncontrolled reentry 11 May 2020 (debris found Ivory Coast). en.wikipedia.org/wiki/Long_March_5B</w:t>
            </w:r>
          </w:p>
        </w:tc>
      </w:tr>
      <w:tr>
        <w:tc>
          <w:tcPr>
            <w:tcW w:w="0" w:type="auto"/>
          </w:tcPr>
          <w:p>
            <w:pPr>
              <w:spacing w:line="240" w:lineRule="auto" w:before="0" w:after="0"/>
              <w:pStyle w:val="Compact"/>
            </w:pPr>
            <w:r>
              <w:rPr>
                <w:sz w:val="20"/>
                <w:szCs w:val="20"/>
              </w:rPr>
              <w:t xml:space="preserve">Long March 5B-Y2 core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CZ-5B Y2 launched 29 Apr 2021; core uncontrolled reentry 9 May 2021 over Arabian Peninsula. en.wikipedia.org/wiki/Long_March_5B</w:t>
            </w:r>
          </w:p>
        </w:tc>
      </w:tr>
      <w:tr>
        <w:tc>
          <w:tcPr>
            <w:tcW w:w="0" w:type="auto"/>
          </w:tcPr>
          <w:p>
            <w:pPr>
              <w:spacing w:line="240" w:lineRule="auto" w:before="0" w:after="0"/>
              <w:pStyle w:val="Compact"/>
            </w:pPr>
            <w:r>
              <w:rPr>
                <w:sz w:val="20"/>
                <w:szCs w:val="20"/>
              </w:rPr>
              <w:t xml:space="preserve">Long March 5B-Y3 core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CZ-5B Y3 launched 24 Jul 2022; core uncontrolled reentry 30 Jul 2022 over Indian/Pacific oceans. en.wikipedia.org/wiki/Long_March_5B</w:t>
            </w:r>
          </w:p>
        </w:tc>
      </w:tr>
    </w:tbl>
    <w:bookmarkEnd w:id="205"/>
    <w:bookmarkStart w:id="20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lifetime_years</w:t>
            </w:r>
          </w:p>
        </w:tc>
        <w:tc>
          <w:tcPr>
            <w:tcW w:w="0" w:type="auto"/>
          </w:tcPr>
          <w:p>
            <w:pPr>
              <w:spacing w:line="240" w:lineRule="auto" w:before="0" w:after="0"/>
              <w:pStyle w:val="Compact"/>
            </w:pPr>
            <w:r>
              <w:rPr>
                <w:sz w:val="20"/>
                <w:szCs w:val="20"/>
              </w:rPr>
              <w:t xml:space="preserve">Orbital tenancy in years: time from launch epoch to decay/reentry; right-censored at the June 2026 catalog snapshot for objects still on orbit</w:t>
            </w:r>
          </w:p>
        </w:tc>
        <w:tc>
          <w:tcPr>
            <w:tcW w:w="0" w:type="auto"/>
          </w:tcPr>
          <w:p>
            <w:pPr>
              <w:spacing w:line="240" w:lineRule="auto" w:before="0" w:after="0"/>
              <w:pStyle w:val="Compact"/>
            </w:pPr>
            <w:r>
              <w:rPr>
                <w:sz w:val="20"/>
                <w:szCs w:val="20"/>
              </w:rPr>
              <w:t xml:space="preserve">Computed from documented launch and decay/reentry dates per object source column</w:t>
            </w:r>
          </w:p>
        </w:tc>
      </w:tr>
      <w:tr>
        <w:tc>
          <w:tcPr>
            <w:tcW w:w="0" w:type="auto"/>
          </w:tcPr>
          <w:p>
            <w:pPr>
              <w:spacing w:line="240" w:lineRule="auto" w:before="0" w:after="0"/>
              <w:pStyle w:val="Compact"/>
            </w:pPr>
            <w:r>
              <w:rPr>
                <w:sz w:val="20"/>
                <w:szCs w:val="20"/>
              </w:rPr>
              <w:t xml:space="preserve">decayed</w:t>
            </w:r>
          </w:p>
        </w:tc>
        <w:tc>
          <w:tcPr>
            <w:tcW w:w="0" w:type="auto"/>
          </w:tcPr>
          <w:p>
            <w:pPr>
              <w:spacing w:line="240" w:lineRule="auto" w:before="0" w:after="0"/>
              <w:pStyle w:val="Compact"/>
            </w:pPr>
            <w:r>
              <w:rPr>
                <w:sz w:val="20"/>
                <w:szCs w:val="20"/>
              </w:rPr>
              <w:t xml:space="preserve">Event indicator: 1 if the object has reentered or been deorbited; 0 if still on orbit (right-censored)</w:t>
            </w:r>
          </w:p>
        </w:tc>
        <w:tc>
          <w:tcPr>
            <w:tcW w:w="0" w:type="auto"/>
          </w:tcPr>
          <w:p>
            <w:pPr>
              <w:spacing w:line="240" w:lineRule="auto" w:before="0" w:after="0"/>
              <w:pStyle w:val="Compact"/>
            </w:pPr>
            <w:r>
              <w:rPr>
                <w:sz w:val="20"/>
                <w:szCs w:val="20"/>
              </w:rPr>
              <w:t xml:space="preserve">Coded from each object’s documented orbital status</w:t>
            </w:r>
          </w:p>
        </w:tc>
      </w:tr>
      <w:tr>
        <w:tc>
          <w:tcPr>
            <w:tcW w:w="0" w:type="auto"/>
          </w:tcPr>
          <w:p>
            <w:pPr>
              <w:spacing w:line="240" w:lineRule="auto" w:before="0" w:after="0"/>
              <w:pStyle w:val="Compact"/>
            </w:pPr>
            <w:r>
              <w:rPr>
                <w:sz w:val="20"/>
                <w:szCs w:val="20"/>
              </w:rPr>
              <w:t xml:space="preserve">mitigation_era</w:t>
            </w:r>
          </w:p>
        </w:tc>
        <w:tc>
          <w:tcPr>
            <w:tcW w:w="0" w:type="auto"/>
          </w:tcPr>
          <w:p>
            <w:pPr>
              <w:spacing w:line="240" w:lineRule="auto" w:before="0" w:after="0"/>
              <w:pStyle w:val="Compact"/>
            </w:pPr>
            <w:r>
              <w:rPr>
                <w:sz w:val="20"/>
                <w:szCs w:val="20"/>
              </w:rPr>
              <w:t xml:space="preserve">1 if launched in or after 2002 (the era in which the IADC Space Debris Mitigation Guidelines and the US Orbital Debris Mitigation Standard Practices were domesticated into national licensing); 0 if launched earlier</w:t>
            </w:r>
          </w:p>
        </w:tc>
        <w:tc>
          <w:tcPr>
            <w:tcW w:w="0" w:type="auto"/>
          </w:tcPr>
          <w:p>
            <w:pPr>
              <w:spacing w:line="240" w:lineRule="auto" w:before="0" w:after="0"/>
              <w:pStyle w:val="Compact"/>
            </w:pPr>
            <w:r>
              <w:rPr>
                <w:sz w:val="20"/>
                <w:szCs w:val="20"/>
              </w:rPr>
              <w:t xml:space="preserve">Coded from documented launch year</w:t>
            </w:r>
          </w:p>
        </w:tc>
      </w:tr>
      <w:tr>
        <w:tc>
          <w:tcPr>
            <w:tcW w:w="0" w:type="auto"/>
          </w:tcPr>
          <w:p>
            <w:pPr>
              <w:spacing w:line="240" w:lineRule="auto" w:before="0" w:after="0"/>
              <w:pStyle w:val="Compact"/>
            </w:pPr>
            <w:r>
              <w:rPr>
                <w:sz w:val="20"/>
                <w:szCs w:val="20"/>
              </w:rPr>
              <w:t xml:space="preserve">perigee_low</w:t>
            </w:r>
          </w:p>
        </w:tc>
        <w:tc>
          <w:tcPr>
            <w:tcW w:w="0" w:type="auto"/>
          </w:tcPr>
          <w:p>
            <w:pPr>
              <w:spacing w:line="240" w:lineRule="auto" w:before="0" w:after="0"/>
              <w:pStyle w:val="Compact"/>
            </w:pPr>
            <w:r>
              <w:rPr>
                <w:sz w:val="20"/>
                <w:szCs w:val="20"/>
              </w:rPr>
              <w:t xml:space="preserve">1 if the object operates or operated in a drag-dominated low-perigee regime (below roughly 600 km); 0 otherwise</w:t>
            </w:r>
          </w:p>
        </w:tc>
        <w:tc>
          <w:tcPr>
            <w:tcW w:w="0" w:type="auto"/>
          </w:tcPr>
          <w:p>
            <w:pPr>
              <w:spacing w:line="240" w:lineRule="auto" w:before="0" w:after="0"/>
              <w:pStyle w:val="Compact"/>
            </w:pPr>
            <w:r>
              <w:rPr>
                <w:sz w:val="20"/>
                <w:szCs w:val="20"/>
              </w:rPr>
              <w:t xml:space="preserve">Coded from each object’s documented operational orbit</w:t>
            </w:r>
          </w:p>
        </w:tc>
      </w:tr>
      <w:tr>
        <w:tc>
          <w:tcPr>
            <w:tcW w:w="0" w:type="auto"/>
          </w:tcPr>
          <w:p>
            <w:pPr>
              <w:spacing w:line="240" w:lineRule="auto" w:before="0" w:after="0"/>
              <w:pStyle w:val="Compact"/>
            </w:pPr>
            <w:r>
              <w:rPr>
                <w:sz w:val="20"/>
                <w:szCs w:val="20"/>
              </w:rPr>
              <w:t xml:space="preserve">large_body</w:t>
            </w:r>
          </w:p>
        </w:tc>
        <w:tc>
          <w:tcPr>
            <w:tcW w:w="0" w:type="auto"/>
          </w:tcPr>
          <w:p>
            <w:pPr>
              <w:spacing w:line="240" w:lineRule="auto" w:before="0" w:after="0"/>
              <w:pStyle w:val="Compact"/>
            </w:pPr>
            <w:r>
              <w:rPr>
                <w:sz w:val="20"/>
                <w:szCs w:val="20"/>
              </w:rPr>
              <w:t xml:space="preserve">1 if a massive object (station, large observatory, or upper stage, mass above roughly 1000 kg); 0 for small or light objects</w:t>
            </w:r>
          </w:p>
        </w:tc>
        <w:tc>
          <w:tcPr>
            <w:tcW w:w="0" w:type="auto"/>
          </w:tcPr>
          <w:p>
            <w:pPr>
              <w:spacing w:line="240" w:lineRule="auto" w:before="0" w:after="0"/>
              <w:pStyle w:val="Compact"/>
            </w:pPr>
            <w:r>
              <w:rPr>
                <w:sz w:val="20"/>
                <w:szCs w:val="20"/>
              </w:rPr>
              <w:t xml:space="preserve">Coded from each object’s documented mass class</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3" Type="http://schemas.openxmlformats.org/officeDocument/2006/relationships/image" Target="media/rId193.png"/><Relationship Id="rId201" Type="http://schemas.openxmlformats.org/officeDocument/2006/relationships/image" Target="media/rId201.png"/><Relationship Id="rId178" Type="http://schemas.openxmlformats.org/officeDocument/2006/relationships/hyperlink" Target="https://doi.org/10.1016/j.actaastro.2022.07.014" TargetMode="External"/><Relationship Id="rId184" Type="http://schemas.openxmlformats.org/officeDocument/2006/relationships/hyperlink" Target="https://doi.org/10.1016/j.actaastro.2024.01.039" TargetMode="External"/><Relationship Id="rId139" Type="http://schemas.openxmlformats.org/officeDocument/2006/relationships/hyperlink" Target="https://doi.org/10.1016/j.actaastro.2024.05.026" TargetMode="External"/><Relationship Id="rId166" Type="http://schemas.openxmlformats.org/officeDocument/2006/relationships/hyperlink" Target="https://doi.org/10.1016/j.actaastro.2024.09.045" TargetMode="External"/><Relationship Id="rId180" Type="http://schemas.openxmlformats.org/officeDocument/2006/relationships/hyperlink" Target="https://doi.org/10.1016/j.actaastro.2024.12.037" TargetMode="External"/><Relationship Id="rId156" Type="http://schemas.openxmlformats.org/officeDocument/2006/relationships/hyperlink" Target="https://doi.org/10.1016/j.actaastro.2025.01.042" TargetMode="External"/><Relationship Id="rId182" Type="http://schemas.openxmlformats.org/officeDocument/2006/relationships/hyperlink" Target="https://doi.org/10.1016/j.actaastro.2025.01.061" TargetMode="External"/><Relationship Id="rId158" Type="http://schemas.openxmlformats.org/officeDocument/2006/relationships/hyperlink" Target="https://doi.org/10.1016/j.actaastro.2025.01.069" TargetMode="External"/><Relationship Id="rId160" Type="http://schemas.openxmlformats.org/officeDocument/2006/relationships/hyperlink" Target="https://doi.org/10.1016/j.actaastro.2025.06.024" TargetMode="External"/><Relationship Id="rId149" Type="http://schemas.openxmlformats.org/officeDocument/2006/relationships/hyperlink" Target="https://doi.org/10.1016/j.actaastro.2025.06.067" TargetMode="External"/><Relationship Id="rId187" Type="http://schemas.openxmlformats.org/officeDocument/2006/relationships/hyperlink" Target="https://doi.org/10.1016/j.actaastro.2025.10.010" TargetMode="External"/><Relationship Id="rId154" Type="http://schemas.openxmlformats.org/officeDocument/2006/relationships/hyperlink" Target="https://doi.org/10.1080/10242694.2023.2208020" TargetMode="External"/><Relationship Id="rId144" Type="http://schemas.openxmlformats.org/officeDocument/2006/relationships/hyperlink" Target="https://doi.org/10.64861/EOSO6202" TargetMode="External"/><Relationship Id="rId175" Type="http://schemas.openxmlformats.org/officeDocument/2006/relationships/hyperlink" Target="https://doi.org/10.64861/LBPZ7861" TargetMode="External"/><Relationship Id="rId171" Type="http://schemas.openxmlformats.org/officeDocument/2006/relationships/hyperlink" Target="https://doi.org/10.64861/PXGB2262" TargetMode="External"/></Relationships>
</file>

<file path=word/_rels/footnotes.xml.rels><?xml version='1.0' encoding='UTF-8' standalone='yes'?>
<Relationships xmlns="http://schemas.openxmlformats.org/package/2006/relationships"><Relationship Id="rId178" Type="http://schemas.openxmlformats.org/officeDocument/2006/relationships/hyperlink" Target="https://doi.org/10.1016/j.actaastro.2022.07.014" TargetMode="External"/><Relationship Id="rId184" Type="http://schemas.openxmlformats.org/officeDocument/2006/relationships/hyperlink" Target="https://doi.org/10.1016/j.actaastro.2024.01.039" TargetMode="External"/><Relationship Id="rId139" Type="http://schemas.openxmlformats.org/officeDocument/2006/relationships/hyperlink" Target="https://doi.org/10.1016/j.actaastro.2024.05.026" TargetMode="External"/><Relationship Id="rId166" Type="http://schemas.openxmlformats.org/officeDocument/2006/relationships/hyperlink" Target="https://doi.org/10.1016/j.actaastro.2024.09.045" TargetMode="External"/><Relationship Id="rId180" Type="http://schemas.openxmlformats.org/officeDocument/2006/relationships/hyperlink" Target="https://doi.org/10.1016/j.actaastro.2024.12.037" TargetMode="External"/><Relationship Id="rId156" Type="http://schemas.openxmlformats.org/officeDocument/2006/relationships/hyperlink" Target="https://doi.org/10.1016/j.actaastro.2025.01.042" TargetMode="External"/><Relationship Id="rId182" Type="http://schemas.openxmlformats.org/officeDocument/2006/relationships/hyperlink" Target="https://doi.org/10.1016/j.actaastro.2025.01.061" TargetMode="External"/><Relationship Id="rId158" Type="http://schemas.openxmlformats.org/officeDocument/2006/relationships/hyperlink" Target="https://doi.org/10.1016/j.actaastro.2025.01.069" TargetMode="External"/><Relationship Id="rId160" Type="http://schemas.openxmlformats.org/officeDocument/2006/relationships/hyperlink" Target="https://doi.org/10.1016/j.actaastro.2025.06.024" TargetMode="External"/><Relationship Id="rId149" Type="http://schemas.openxmlformats.org/officeDocument/2006/relationships/hyperlink" Target="https://doi.org/10.1016/j.actaastro.2025.06.067" TargetMode="External"/><Relationship Id="rId187" Type="http://schemas.openxmlformats.org/officeDocument/2006/relationships/hyperlink" Target="https://doi.org/10.1016/j.actaastro.2025.10.010" TargetMode="External"/><Relationship Id="rId154" Type="http://schemas.openxmlformats.org/officeDocument/2006/relationships/hyperlink" Target="https://doi.org/10.1080/10242694.2023.2208020" TargetMode="External"/><Relationship Id="rId144" Type="http://schemas.openxmlformats.org/officeDocument/2006/relationships/hyperlink" Target="https://doi.org/10.64861/EOSO6202" TargetMode="External"/><Relationship Id="rId175" Type="http://schemas.openxmlformats.org/officeDocument/2006/relationships/hyperlink" Target="https://doi.org/10.64861/LBPZ7861" TargetMode="External"/><Relationship Id="rId171" Type="http://schemas.openxmlformats.org/officeDocument/2006/relationships/hyperlink" Target="https://doi.org/10.64861/PXGB22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Liability Without a Forum: A Cliometric Test of Whether the 1972 Liability Convention Deters Orbital-Debris-Generating Behavior</dc:title>
  <dc:creator>Ramona Moreno (1B-SDA-073)</dc:creator>
  <cp:keywords/>
  <dcterms:created xsi:type="dcterms:W3CDTF">2026-07-04T00:32:46Z</dcterms:created>
  <dcterms:modified xsi:type="dcterms:W3CDTF">2026-07-04T00:32:46Z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