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2e8c582dee4cf10641385f31969943f30c84a1a"/>
    <w:p>
      <w:pPr>
        <w:pStyle w:val="Heading1"/>
      </w:pPr>
      <w:r>
        <w:t xml:space="preserve">Capability or Internalization? A Logit Model of Post-Mission Disposal Success Across Documented Low Earth Orbit End-of-Life Events</w:t>
      </w:r>
    </w:p>
    <w:bookmarkStart w:id="61" w:name="introduction"/>
    <w:p>
      <w:pPr>
        <w:pStyle w:val="Heading2"/>
      </w:pPr>
      <w:r>
        <w:t xml:space="preserve">1. Introduction</w:t>
      </w:r>
    </w:p>
    <w:p>
      <w:pPr>
        <w:pStyle w:val="FirstParagraph"/>
      </w:pPr>
      <w:r>
        <w:t xml:space="preserve">Post-mission disposal is the behavior on which the long-run sustainability of low Earth orbit turns. The disposal provisions of the inter-agency mitigation guidelines define how a structure is to be removed from the protected regions at end of life, and projections of the future debris environment are dominated by whether operators execute those provisions or leave their hardware in place</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 Yet the observed record is uneven. Aggregate assessments report that only a portion of the payload mass reaching end of life in low Earth orbit complies with the disposal rules, and that compliance falls further against the stricter five-year standard introduced after 2020</w:t>
      </w:r>
      <w:r>
        <w:t xml:space="preserve"> </w:t>
      </w:r>
      <w:hyperlink w:anchor="ref-3">
        <m:oMathPara>
          <m:oMathParaPr>
            <m:jc m:val="center"/>
          </m:oMathParaPr>
          <m:oMath>
            <m:r>
              <m:t>3</m:t>
            </m:r>
          </m:oMath>
        </m:oMathPara>
      </w:hyperlink>
      <w:r>
        <w:t xml:space="preserve">. The companion prospectus to this dissertation frames the shortfall as a collective-action failure rather than a purely technical one: the operator bears the private, certain cost of disposal while the collision-risk benefit is diffuse and shared across all orbit users, so the privately rational disposal level sits below the social optimum unless something forces the external cost to be internalized</w:t>
      </w:r>
      <w:r>
        <w:t xml:space="preserve"> </w:t>
      </w:r>
      <w:hyperlink w:anchor="ref-4">
        <m:oMathPara>
          <m:oMathParaPr>
            <m:jc m:val="center"/>
          </m:oMathParaPr>
          <m:oMath>
            <m:r>
              <m:t>4</m:t>
            </m:r>
          </m:oMath>
        </m:oMathPara>
      </w:hyperlink>
      <w:r>
        <w:t xml:space="preserve">,</w:t>
      </w:r>
      <w:r>
        <w:t xml:space="preserve"> </w:t>
      </w:r>
      <w:hyperlink w:anchor="ref-5">
        <m:oMathPara>
          <m:oMathParaPr>
            <m:jc m:val="center"/>
          </m:oMathParaPr>
          <m:oMath>
            <m:r>
              <m:t>5</m:t>
            </m:r>
          </m:oMath>
        </m:oMathPara>
      </w:hyperlink>
      <w:r>
        <w:t xml:space="preserve">.</w:t>
      </w:r>
    </w:p>
    <w:p>
      <w:pPr>
        <w:pStyle w:val="FirstParagraph"/>
      </w:pPr>
      <w:r>
        <w:t xml:space="preserve">This paper subjects one consequence of that framing to a row-level empirical test. If the disposal gap were simply a matter of engineering, then whether a given object is disposed of should be explained by its technical capability and its orbital environment alone. If the collective-action account adds anything, then the regime that governs an operator’s incentives, specifically the shift toward the cost-internalizing post-2020 disposal regime, should carry explanatory weight beyond capability. I estimate a binary-outcome logit model of disposal success across thirty-four documented low Earth orbit end-of-life events and read what the capability and regime terms actually say.</w:t>
      </w:r>
    </w:p>
    <w:bookmarkEnd w:id="61"/>
    <w:bookmarkStart w:id="62" w:name="theory-and-hypotheses"/>
    <w:p>
      <w:pPr>
        <w:pStyle w:val="Heading2"/>
      </w:pPr>
      <w:r>
        <w:t xml:space="preserve">2. Theory and Hypotheses</w:t>
      </w:r>
    </w:p>
    <w:p>
      <w:pPr>
        <w:pStyle w:val="FirstParagraph"/>
      </w:pPr>
      <w:r>
        <w:t xml:space="preserve">Three literatures meet at the disposal decision. The mitigation-engineering literature treats disposal as a design and operations problem, characterizing the methods and quantifying compliance and its environmental consequences, but it tends to take non-compliance as an exogenous input rather than as behavior to be explained</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 The space-economics literature supplies the missing behavioral mechanism, modeling orbit use as an open-access commons in which the marginal external cost of a retained derelict is not priced into the operator’s decision, so that disposal is systematically underprovided absent a cost-internalizing instrument</w:t>
      </w:r>
      <w:r>
        <w:t xml:space="preserve"> </w:t>
      </w:r>
      <w:hyperlink w:anchor="ref-4">
        <m:oMathPara>
          <m:oMathParaPr>
            <m:jc m:val="center"/>
          </m:oMathParaPr>
          <m:oMath>
            <m:r>
              <m:t>4</m:t>
            </m:r>
          </m:oMath>
        </m:oMathPara>
      </w:hyperlink>
      <w:r>
        <w:t xml:space="preserve">,</w:t>
      </w:r>
      <w:r>
        <w:t xml:space="preserve"> </w:t>
      </w:r>
      <w:hyperlink w:anchor="ref-5">
        <m:oMathPara>
          <m:oMathParaPr>
            <m:jc m:val="center"/>
          </m:oMathParaPr>
          <m:oMath>
            <m:r>
              <m:t>5</m:t>
            </m:r>
          </m:oMath>
        </m:oMathPara>
      </w:hyperlink>
      <w:r>
        <w:t xml:space="preserve">,</w:t>
      </w:r>
      <w:r>
        <w:t xml:space="preserve"> </w:t>
      </w:r>
      <w:hyperlink w:anchor="ref-6">
        <m:oMathPara>
          <m:oMathParaPr>
            <m:jc m:val="center"/>
          </m:oMathParaPr>
          <m:oMath>
            <m:r>
              <m:t>6</m:t>
            </m:r>
          </m:oMath>
        </m:oMathPara>
      </w:hyperlink>
      <w:r>
        <w:t xml:space="preserve">. The constellation-era operations literature documents that disposal performance is improving precisely as large operators and stricter national rules reshape the incentive environment, suggesting that the binding constraint is shifting from pure capability toward the governance regime</w:t>
      </w:r>
      <w:r>
        <w:t xml:space="preserve"> </w:t>
      </w:r>
      <w:hyperlink w:anchor="ref-7">
        <m:oMathPara>
          <m:oMathParaPr>
            <m:jc m:val="center"/>
          </m:oMathParaPr>
          <m:oMath>
            <m:r>
              <m:t>7</m:t>
            </m:r>
          </m:oMath>
        </m:oMathPara>
      </w:hyperlink>
      <w:r>
        <w:t xml:space="preserve">.</w:t>
      </w:r>
    </w:p>
    <w:p>
      <w:pPr>
        <w:pStyle w:val="FirstParagraph"/>
      </w:pPr>
      <w:r>
        <w:t xml:space="preserve">The capability account and the internalization account make different predictions about an individual disposal event. Under the capability account, disposal success is a technical outcome: an object with an active disposal capability, or one low enough for natural drag to do the work, is disposed of, and the regulatory era adds nothing once capability and altitude are held fixed. Under the internalization account, the regime matters on its own. The post-2020 transition toward five-year disposal requirements and tighter licensing is the empirical face of cost internalization in this period</w:t>
      </w:r>
      <w:r>
        <w:t xml:space="preserve"> </w:t>
      </w:r>
      <w:hyperlink w:anchor="ref-3">
        <m:oMathPara>
          <m:oMathParaPr>
            <m:jc m:val="center"/>
          </m:oMathParaPr>
          <m:oMath>
            <m:r>
              <m:t>3</m:t>
            </m:r>
          </m:oMath>
        </m:oMathPara>
      </w:hyperlink>
      <w:r>
        <w:t xml:space="preserve">, and if it changes behavior beyond what capability explains, its coefficient should be positive and material.</w:t>
      </w:r>
    </w:p>
    <w:p>
      <w:pPr>
        <w:pStyle w:val="FirstParagraph"/>
      </w:pPr>
      <w:r>
        <w:rPr>
          <w:b/>
          <w:bCs/>
        </w:rPr>
        <w:t xml:space="preserve">H1 (internalization):</w:t>
      </w:r>
      <w:r>
        <w:t xml:space="preserve"> </w:t>
      </w:r>
      <w:r>
        <w:t xml:space="preserve">Conditional on technical disposal capability and the natural-decay environment, end-of-life events governed by the stricter post-2020 cost-internalizing regime show a higher probability of disposal success; the regime-era term carries weight beyond capability.</w:t>
      </w:r>
    </w:p>
    <w:p>
      <w:pPr>
        <w:pStyle w:val="BodyText"/>
      </w:pPr>
      <w:r>
        <w:rPr>
          <w:b/>
          <w:bCs/>
        </w:rPr>
        <w:t xml:space="preserve">H0 (capability):</w:t>
      </w:r>
      <w:r>
        <w:t xml:space="preserve"> </w:t>
      </w:r>
      <w:r>
        <w:t xml:space="preserve">Once disposal capability and altitude are controlled, the regime-era term is statistically indistinguishable from zero and disposal success is a purely technical outcome.</w:t>
      </w:r>
    </w:p>
    <w:bookmarkEnd w:id="62"/>
    <w:bookmarkStart w:id="63" w:name="data"/>
    <w:p>
      <w:pPr>
        <w:pStyle w:val="Heading2"/>
      </w:pPr>
      <w:r>
        <w:t xml:space="preserve">3. Data</w:t>
      </w:r>
    </w:p>
    <w:p>
      <w:pPr>
        <w:pStyle w:val="FirstParagraph"/>
      </w:pPr>
      <w:r>
        <w:t xml:space="preserve">The unit of observation is a documented low Earth orbit object that has reached end of life and whose disposal outcome is on the public record. I assembled thirty-four such objects from named institutional sources: ESA mission and reentry records (Aeolus, GOCE, ERS-2, Envisat, the Cluster targeted reentry, the Copernicus Sentinel series, CryoSat-2, the Automated Transfer Vehicle), the NASA Orbital Debris Program Office reentry and breakup records (Vanguard-1, Cosmos-2251, Iridium-33, Fengyun-1C), eoPortal mission pages, operator demisability disclosures (the Starlink demisability paper, the Satellogic reentry strategy), and public reentry records for state platforms (Tiangong-1, Tiangong-2, UARS, RADARSAT-1, Aqua, Jason-1). Each row in the dataset carries its source in the final column.</w:t>
      </w:r>
    </w:p>
    <w:p>
      <w:pPr>
        <w:pStyle w:val="BodyText"/>
      </w:pPr>
      <w:r>
        <w:t xml:space="preserve">The dependent variable, disposal success, is coded one when the object completed disposal, whether by controlled, assisted, or targeted reentry, or by natural decay achieving compliance, and zero when the object became a long-lived retained derelict or reentered uncontrolled without a disposal action. Envisat, lost before it could be deorbited and now facing roughly a century and a half of natural decay at 762 km, is the canonical failure; Aeolus, the first assisted reentry, is the canonical success</w:t>
      </w:r>
      <w:r>
        <w:t xml:space="preserve"> </w:t>
      </w:r>
      <w:hyperlink w:anchor="ref-8">
        <m:oMathPara>
          <m:oMathParaPr>
            <m:jc m:val="center"/>
          </m:oMathParaPr>
          <m:oMath>
            <m:r>
              <m:t>8</m:t>
            </m:r>
          </m:oMath>
        </m:oMathPara>
      </w:hyperlink>
      <w:r>
        <w:t xml:space="preserve">. The predictors are a capability indicator for documented active disposal capability, operational altitude in hundreds of kilometers as a proxy for the strength of the drag-decay environment, and a post-2020 indicator marking the cost-internalizing regime era. A large-constellation indicator is reported in the data but excluded from the estimated model because it is quasi-completely separated from the era indicator at this sample size. Four of the thirty-four rows carry an explicitly marked illustrative value on a single field where the exact figure was not obtainable; all object identities, outcomes, and sources are documented.</w:t>
      </w:r>
    </w:p>
    <w:bookmarkEnd w:id="63"/>
    <w:bookmarkStart w:id="64" w:name="method"/>
    <w:p>
      <w:pPr>
        <w:pStyle w:val="Heading2"/>
      </w:pPr>
      <w:r>
        <w:t xml:space="preserve">4. Method</w:t>
      </w:r>
    </w:p>
    <w:p>
      <w:pPr>
        <w:pStyle w:val="FirstParagraph"/>
      </w:pPr>
      <w:r>
        <w:t xml:space="preserve">I estimate a maximum-likelihood logistic regression of the binary disposal outcome on the three predictors. The model is</w:t>
      </w:r>
    </w:p>
    <w:p>
      <w:pPr>
        <w:pStyle w:val="BodyText"/>
      </w:pPr>
      <w:r>
        <w:t xml:space="preserve">Pr(PMD = 1) equals the logistic transform of a linear index in propulsion capability, altitude, and the post-2020 regime indicator, as stated in the configured specification. The capability and altitude terms operationalize the capability account; the regime-era term is the test of H1. Coefficients are reported on the log-odds scale with odds ratios for interpretation, alongside robust z-statistics and ninety-five percent confidence intervals. With thirty-four observations and three predictors the design is deliberately parsimonious, and I treat the estimates as a descriptive discrimination between the two accounts rather than as a structural causal model. The quasi-separated constellation indicator was removed so that the reported standard errors are finite and interpretable.</w:t>
      </w:r>
    </w:p>
    <w:bookmarkEnd w:id="64"/>
    <w:bookmarkStart w:id="65" w:name="findings"/>
    <w:p>
      <w:pPr>
        <w:pStyle w:val="Heading2"/>
      </w:pPr>
      <w:r>
        <w:t xml:space="preserve">5. Findings</w:t>
      </w:r>
    </w:p>
    <w:p>
      <w:pPr>
        <w:pStyle w:val="FirstParagraph"/>
      </w:pPr>
      <w:r>
        <w:t xml:space="preserve">The model fits the disposal record well: across N = 34 events the McFadden pseudo-R-squared is 0.70 with a log-likelihood of -7.09. The capability account is strongly supported. The coefficient on documented disposal capability is 4.91 (standard error 1.59, z = 3.09, p = 0.002), with a ninety-five percent confidence interval from 1.79 to 8.03. On the odds scale this is an odds ratio of roughly 136: holding altitude and regime fixed, an object with an active disposal capability is far more likely to be disposed of than one without. This is the single dominant term in the model and it is the only one that clears conventional significance.</w:t>
      </w:r>
    </w:p>
    <w:p>
      <w:pPr>
        <w:pStyle w:val="BodyText"/>
      </w:pPr>
      <w:r>
        <w:t xml:space="preserve">The orbital-environment term is null. The coefficient on altitude is -0.041 (standard error 0.285, z = -0.14, p = 0.885), an odds ratio of 0.96 that is indistinguishable from one. The expected sign is negative, since higher orbits decay more slowly, but once capability is in the model altitude adds essentially nothing: capable objects dispose of themselves at high altitude through propulsion, and the few low-altitude natural-decay successes are absorbed by the capability and regime structure rather than by altitude alone.</w:t>
      </w:r>
    </w:p>
    <w:p>
      <w:pPr>
        <w:pStyle w:val="BodyText"/>
      </w:pPr>
      <w:r>
        <w:t xml:space="preserve">The regime-era term is the substantive question of this paper, and the result is informative but not conclusive. The post-2020 coefficient is 1.61 (standard error 1.56, z = 1.03, p = 0.301), an odds ratio of about 5.0, with a ninety-five percent confidence interval from -1.45 to 4.67. The point estimate is positive and economically large, consistent with the internalization prediction of H1: disposal events under the stricter post-2020 regime are estimated at roughly five times the odds of success, conditional on capability and altitude. But the interval includes zero, so at this sample size I cannot reject H0 on the regime term alone. The honest reading is that the data lean toward the internalization account in direction and magnitude while the capability account carries the statistically decisive weight.</w:t>
      </w:r>
    </w:p>
    <w:bookmarkEnd w:id="65"/>
    <w:bookmarkStart w:id="66" w:name="discussion"/>
    <w:p>
      <w:pPr>
        <w:pStyle w:val="Heading2"/>
      </w:pPr>
      <w:r>
        <w:t xml:space="preserve">6. Discussion</w:t>
      </w:r>
    </w:p>
    <w:p>
      <w:pPr>
        <w:pStyle w:val="FirstParagraph"/>
      </w:pPr>
      <w:r>
        <w:t xml:space="preserve">The estimates tell a coherent story. Disposal success in this documented sample is, first and foremost, a function of whether the object could dispose of itself at all, and the enormous capability odds ratio reflects how sharply the record divides between platforms built with a disposal means and legacy or stranded objects without one. That is exactly what the collective-action framing predicts as the proximate mechanism: capability is the channel through which incentives act, because the decision to build in and reserve a disposal capability is made years earlier under the cost structure the operator faces. The regime-era term, positive and large but imprecisely estimated, is consistent with the deeper claim that the post-2020 move toward cost internalization is shifting behavior, but it does not on its own settle the matter. The quasi-complete separation between the constellation indicator and the regime era is itself a finding: in this record, large-constellation disposal and the stricter modern regime are nearly the same observations, which is precisely the confound a larger panel would need to break.</w:t>
      </w:r>
    </w:p>
    <w:p>
      <w:pPr>
        <w:pStyle w:val="BodyText"/>
      </w:pPr>
      <w:r>
        <w:t xml:space="preserve">For policy, the result is cautionary rather than triumphant. The dominance of the capability term means that instruments which raise the probability that operators build and retain a disposal capability, whether through binding license conditions or cost-internalizing charges, are aimed at the right margin, since voluntary reputation signals do not change the capability that the data show to be decisive</w:t>
      </w:r>
      <w:r>
        <w:t xml:space="preserve"> </w:t>
      </w:r>
      <w:hyperlink w:anchor="ref-6">
        <m:oMathPara>
          <m:oMathParaPr>
            <m:jc m:val="center"/>
          </m:oMathParaPr>
          <m:oMath>
            <m:r>
              <m:t>6</m:t>
            </m:r>
          </m:oMath>
        </m:oMathPara>
      </w:hyperlink>
      <w:r>
        <w:t xml:space="preserve">,</w:t>
      </w:r>
      <w:r>
        <w:t xml:space="preserve"> </w:t>
      </w:r>
      <w:hyperlink w:anchor="ref-7">
        <m:oMathPara>
          <m:oMathParaPr>
            <m:jc m:val="center"/>
          </m:oMathParaPr>
          <m:oMath>
            <m:r>
              <m:t>7</m:t>
            </m:r>
          </m:oMath>
        </m:oMathPara>
      </w:hyperlink>
      <w:r>
        <w:t xml:space="preserve">. The suggestive regime effect is encouraging for the internalization thesis but the wide interval is a direct argument for the larger operator-level panel the dissertation builds toward, where within-operator variation across regulatory regimes can identify the internalization effect that thirty-four cross-sectional events can only gesture at</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 The capability account wins the significance test here; the internalization account survives it, and the burden of the next paper is to give the regime term the data it needs.</w:t>
      </w:r>
    </w:p>
    <w:bookmarkEnd w:id="66"/>
    <w:bookmarkStart w:id="79" w:name="references"/>
    <w:p>
      <w:pPr>
        <w:pStyle w:val="Heading2"/>
      </w:pPr>
      <w:r>
        <w:t xml:space="preserve">References</w:t>
      </w:r>
    </w:p>
    <w:p>
      <w:pPr>
        <w:pStyle w:val="FirstParagraph"/>
      </w:pPr>
      <w:bookmarkStart w:id="67" w:name="ref-1"/>
      <w:bookmarkEnd w:id="67"/>
      <w:r>
        <w:t xml:space="preserve">1. C. Pardini and L. Anselmo,</w:t>
      </w:r>
      <w:r>
        <w:t xml:space="preserve"> </w:t>
      </w:r>
      <w:r>
        <w:t xml:space="preserve">“Evaluating the impact of space activities in low earth orbit,”</w:t>
      </w:r>
      <w:r>
        <w:t xml:space="preserve"> </w:t>
      </w:r>
      <w:r>
        <w:t xml:space="preserve">Acta Astronautica, vol. 184, 2021. doi:</w:t>
      </w:r>
      <w:r>
        <w:t xml:space="preserve"> </w:t>
      </w:r>
      <w:hyperlink r:id="rId68">
        <w:r>
          <w:rPr>
            <w:rStyle w:val="Hyperlink"/>
          </w:rPr>
          <w:t xml:space="preserve">10.1016/j.actaastro.2021.03.030</w:t>
        </w:r>
      </w:hyperlink>
    </w:p>
    <w:p>
      <w:pPr>
        <w:pStyle w:val="BodyText"/>
      </w:pPr>
      <w:bookmarkStart w:id="69" w:name="ref-2"/>
      <w:bookmarkEnd w:id="69"/>
      <w:r>
        <w:t xml:space="preserve">2. L. Böttcher and S. Silvestri,</w:t>
      </w:r>
      <w:r>
        <w:t xml:space="preserve"> </w:t>
      </w:r>
      <w:r>
        <w:t xml:space="preserve">“Multi-perspective analysis of sustainability metrics characterising the debris environment,”</w:t>
      </w:r>
      <w:r>
        <w:t xml:space="preserve"> </w:t>
      </w:r>
      <w:r>
        <w:t xml:space="preserve">Acta Astronautica, vol. 219, 2024. doi:</w:t>
      </w:r>
      <w:r>
        <w:t xml:space="preserve"> </w:t>
      </w:r>
      <w:hyperlink r:id="rId70">
        <w:r>
          <w:rPr>
            <w:rStyle w:val="Hyperlink"/>
          </w:rPr>
          <w:t xml:space="preserve">10.1016/j.actaastro.2024.03.002</w:t>
        </w:r>
      </w:hyperlink>
    </w:p>
    <w:p>
      <w:pPr>
        <w:pStyle w:val="BodyText"/>
      </w:pPr>
      <w:bookmarkStart w:id="71" w:name="ref-3"/>
      <w:bookmarkEnd w:id="71"/>
      <w:r>
        <w:t xml:space="preserve">3. European Space Agency, ESA Space Environment Report 2024. Darmstadt: ESA Space Debris Office, 2024. Available: https://www.esa.int/Space_Safety/Space_Debris/ESA_Space_Environment_Report_2024</w:t>
      </w:r>
    </w:p>
    <w:p>
      <w:pPr>
        <w:pStyle w:val="BodyText"/>
      </w:pPr>
      <w:bookmarkStart w:id="72" w:name="ref-4"/>
      <w:bookmarkEnd w:id="72"/>
      <w:r>
        <w:t xml:space="preserve">4. M. A. Sturza, M. D. Dankberg, and W. N. Blount,</w:t>
      </w:r>
      <w:r>
        <w:t xml:space="preserve"> </w:t>
      </w:r>
      <w:r>
        <w:t xml:space="preserve">“LEO Capacity Modeling for Sustainable Design,”</w:t>
      </w:r>
      <w:r>
        <w:t xml:space="preserve"> </w:t>
      </w:r>
      <w:r>
        <w:t xml:space="preserve">Proc. Advanced Maui Optical and Space Surveillance Technologies (AMOS) Conference, 2022. Available: https://amostech.com/TechnicalPapers/2022/Space-Debris/Sturza.pdf</w:t>
      </w:r>
    </w:p>
    <w:p>
      <w:pPr>
        <w:pStyle w:val="BodyText"/>
      </w:pPr>
      <w:bookmarkStart w:id="73" w:name="ref-5"/>
      <w:bookmarkEnd w:id="73"/>
      <w:r>
        <w:t xml:space="preserve">5. M. Weinzierl,</w:t>
      </w:r>
      <w:r>
        <w:t xml:space="preserve"> </w:t>
      </w:r>
      <w:r>
        <w:t xml:space="preserve">“Space, the Final Economic Frontier,”</w:t>
      </w:r>
      <w:r>
        <w:t xml:space="preserve"> </w:t>
      </w:r>
      <w:r>
        <w:t xml:space="preserve">Journal of Economic Perspectives, 2018.</w:t>
      </w:r>
    </w:p>
    <w:p>
      <w:pPr>
        <w:pStyle w:val="BodyText"/>
      </w:pPr>
      <w:bookmarkStart w:id="74" w:name="ref-6"/>
      <w:bookmarkEnd w:id="74"/>
      <w:r>
        <w:t xml:space="preserve">6. C. Pardini and L. Anselmo,</w:t>
      </w:r>
      <w:r>
        <w:t xml:space="preserve"> </w:t>
      </w:r>
      <w:r>
        <w:t xml:space="preserve">“Using the space debris flux to assess the criticality of the environment in low Earth orbit,”</w:t>
      </w:r>
      <w:r>
        <w:t xml:space="preserve"> </w:t>
      </w:r>
      <w:r>
        <w:t xml:space="preserve">Acta Astronautica, vol. 198, 2022. doi:</w:t>
      </w:r>
      <w:r>
        <w:t xml:space="preserve"> </w:t>
      </w:r>
      <w:hyperlink r:id="rId75">
        <w:r>
          <w:rPr>
            <w:rStyle w:val="Hyperlink"/>
          </w:rPr>
          <w:t xml:space="preserve">10.1016/j.actaastro.2022.05.045</w:t>
        </w:r>
      </w:hyperlink>
    </w:p>
    <w:p>
      <w:pPr>
        <w:pStyle w:val="BodyText"/>
      </w:pPr>
      <w:bookmarkStart w:id="76" w:name="ref-7"/>
      <w:bookmarkEnd w:id="76"/>
      <w:r>
        <w:t xml:space="preserve">7. M. E. Sorge, D. Alary, F. Lacomba, and H. Tung,</w:t>
      </w:r>
      <w:r>
        <w:t xml:space="preserve"> </w:t>
      </w:r>
      <w:r>
        <w:t xml:space="preserve">“Space traffic management: Large constellations,”</w:t>
      </w:r>
      <w:r>
        <w:t xml:space="preserve"> </w:t>
      </w:r>
      <w:r>
        <w:t xml:space="preserve">Acta Astronautica, 2025. doi:</w:t>
      </w:r>
      <w:r>
        <w:t xml:space="preserve"> </w:t>
      </w:r>
      <w:hyperlink r:id="rId77">
        <w:r>
          <w:rPr>
            <w:rStyle w:val="Hyperlink"/>
          </w:rPr>
          <w:t xml:space="preserve">10.1016/j.actaastro.2025.01.043</w:t>
        </w:r>
      </w:hyperlink>
    </w:p>
    <w:p>
      <w:pPr>
        <w:pStyle w:val="BodyText"/>
      </w:pPr>
      <w:bookmarkStart w:id="78" w:name="ref-8"/>
      <w:bookmarkEnd w:id="78"/>
      <w:r>
        <w:t xml:space="preserve">8. Airbus,</w:t>
      </w:r>
      <w:r>
        <w:t xml:space="preserve"> </w:t>
      </w:r>
      <w:r>
        <w:t xml:space="preserve">“Aeolus’ assisted reentry, a successful experiment to reduce space debris,”</w:t>
      </w:r>
      <w:r>
        <w:t xml:space="preserve"> </w:t>
      </w:r>
      <w:r>
        <w:t xml:space="preserve">Airbus Newsroom, 2023. Available: https://www.airbus.com/en/newsroom/stories/2023-10-aeolus-assisted-reentry-a-successful-experiment-to-reduce-space-debris</w:t>
      </w:r>
    </w:p>
    <w:bookmarkEnd w:id="79"/>
    <w:bookmarkStart w:id="80" w:name="specification"/>
    <w:p>
      <w:pPr>
        <w:pStyle w:val="Heading2"/>
      </w:pPr>
      <w:r>
        <w:t xml:space="preserve">Specification</w:t>
      </w:r>
    </w:p>
    <w:p>
      <w:pPr>
        <w:pStyle w:val="FirstParagraph"/>
      </w:pPr>
      <m:oMathPara>
        <m:oMathParaPr>
          <m:jc m:val="center"/>
        </m:oMathParaPr>
        <m:oMath>
          <m:r>
            <m:rPr>
              <m:sty m:val="p"/>
            </m:rPr>
            <m:t>Pr</m:t>
          </m:r>
          <m:r>
            <m:rPr>
              <m:sty m:val="p"/>
            </m:rPr>
            <m:t>(</m:t>
          </m:r>
          <m:sSub>
            <m:e>
              <m:r>
                <m:rPr>
                  <m:nor/>
                  <m:sty m:val="p"/>
                </m:rPr>
                <m:t>PMD</m:t>
              </m:r>
            </m:e>
            <m:sub>
              <m:r>
                <m:t>i</m:t>
              </m:r>
            </m:sub>
          </m:sSub>
          <m:r>
            <m:rPr>
              <m:sty m:val="p"/>
            </m:rPr>
            <m:t>=</m:t>
          </m:r>
          <m:r>
            <m:t>1</m:t>
          </m:r>
          <m:r>
            <m:rPr>
              <m:sty m:val="p"/>
            </m:rPr>
            <m:t>)</m:t>
          </m:r>
          <m:r>
            <m:rPr>
              <m:sty m:val="p"/>
            </m:rPr>
            <m:t>=</m:t>
          </m:r>
          <m:r>
            <m:rPr>
              <m:sty m:val="p"/>
            </m:rPr>
            <m:t>Λ</m:t>
          </m:r>
          <m:r>
            <m:t>​</m:t>
          </m:r>
          <m:d>
            <m:dPr>
              <m:begChr m:val="("/>
              <m:sepChr m:val=""/>
              <m:endChr m:val=")"/>
              <m:grow/>
            </m:dPr>
            <m:e>
              <m:sSub>
                <m:e>
                  <m:r>
                    <m:t>β</m:t>
                  </m:r>
                </m:e>
                <m:sub>
                  <m:r>
                    <m:t>0</m:t>
                  </m:r>
                </m:sub>
              </m:sSub>
              <m:r>
                <m:rPr>
                  <m:sty m:val="p"/>
                </m:rPr>
                <m:t>+</m:t>
              </m:r>
              <m:sSub>
                <m:e>
                  <m:r>
                    <m:t>β</m:t>
                  </m:r>
                </m:e>
                <m:sub>
                  <m:r>
                    <m:t>1</m:t>
                  </m:r>
                </m:sub>
              </m:sSub>
              <m:sSub>
                <m:e>
                  <m:r>
                    <m:rPr>
                      <m:nor/>
                      <m:sty m:val="p"/>
                    </m:rPr>
                    <m:t>Propulsion</m:t>
                  </m:r>
                </m:e>
                <m:sub>
                  <m:r>
                    <m:t>i</m:t>
                  </m:r>
                </m:sub>
              </m:sSub>
              <m:r>
                <m:rPr>
                  <m:sty m:val="p"/>
                </m:rPr>
                <m:t>+</m:t>
              </m:r>
              <m:sSub>
                <m:e>
                  <m:r>
                    <m:t>β</m:t>
                  </m:r>
                </m:e>
                <m:sub>
                  <m:r>
                    <m:t>2</m:t>
                  </m:r>
                </m:sub>
              </m:sSub>
              <m:sSub>
                <m:e>
                  <m:r>
                    <m:rPr>
                      <m:nor/>
                      <m:sty m:val="p"/>
                    </m:rPr>
                    <m:t>Altitude</m:t>
                  </m:r>
                </m:e>
                <m:sub>
                  <m:r>
                    <m:t>i</m:t>
                  </m:r>
                </m:sub>
              </m:sSub>
              <m:r>
                <m:rPr>
                  <m:sty m:val="p"/>
                </m:rPr>
                <m:t>+</m:t>
              </m:r>
              <m:sSub>
                <m:e>
                  <m:r>
                    <m:t>β</m:t>
                  </m:r>
                </m:e>
                <m:sub>
                  <m:r>
                    <m:t>3</m:t>
                  </m:r>
                </m:sub>
              </m:sSub>
              <m:sSub>
                <m:e>
                  <m:r>
                    <m:rPr>
                      <m:nor/>
                      <m:sty m:val="p"/>
                    </m:rPr>
                    <m:t>Post2020</m:t>
                  </m:r>
                </m:e>
                <m:sub>
                  <m:r>
                    <m:t>i</m:t>
                  </m:r>
                </m:sub>
              </m:sSub>
            </m:e>
          </m:d>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-2.7761</w:t>
            </w:r>
          </w:p>
        </w:tc>
        <w:tc>
          <w:tcPr>
            <w:tcW w:w="0" w:type="auto"/>
          </w:tcPr>
          <w:p>
            <w:pPr>
              <w:spacing w:line="240" w:lineRule="auto" w:before="0" w:after="0"/>
              <w:pStyle w:val="Compact"/>
            </w:pPr>
            <w:r>
              <w:rPr>
                <w:sz w:val="20"/>
                <w:szCs w:val="20"/>
              </w:rPr>
              <w:t xml:space="preserve">2.2498</w:t>
            </w:r>
          </w:p>
        </w:tc>
        <w:tc>
          <w:tcPr>
            <w:tcW w:w="0" w:type="auto"/>
          </w:tcPr>
          <w:p>
            <w:pPr>
              <w:spacing w:line="240" w:lineRule="auto" w:before="0" w:after="0"/>
              <w:pStyle w:val="Compact"/>
            </w:pPr>
            <w:r>
              <w:rPr>
                <w:sz w:val="20"/>
                <w:szCs w:val="20"/>
              </w:rPr>
              <w:t xml:space="preserve">-1.2339</w:t>
            </w:r>
          </w:p>
        </w:tc>
        <w:tc>
          <w:tcPr>
            <w:tcW w:w="0" w:type="auto"/>
          </w:tcPr>
          <w:p>
            <w:pPr>
              <w:spacing w:line="240" w:lineRule="auto" w:before="0" w:after="0"/>
              <w:pStyle w:val="Compact"/>
            </w:pPr>
            <w:r>
              <w:rPr>
                <w:sz w:val="20"/>
                <w:szCs w:val="20"/>
              </w:rPr>
              <w:t xml:space="preserve">0.2172</w:t>
            </w:r>
          </w:p>
        </w:tc>
        <w:tc>
          <w:tcPr>
            <w:tcW w:w="0" w:type="auto"/>
          </w:tcPr>
          <w:p>
            <w:pPr>
              <w:spacing w:line="240" w:lineRule="auto" w:before="0" w:after="0"/>
              <w:pStyle w:val="Compact"/>
            </w:pPr>
            <w:r>
              <w:rPr>
                <w:sz w:val="20"/>
                <w:szCs w:val="20"/>
              </w:rPr>
              <w:t xml:space="preserve">[-7.1856, 1.6335]</w:t>
            </w:r>
          </w:p>
        </w:tc>
      </w:tr>
      <w:tr>
        <w:tc>
          <w:tcPr>
            <w:tcW w:w="0" w:type="auto"/>
          </w:tcPr>
          <w:p>
            <w:pPr>
              <w:spacing w:line="240" w:lineRule="auto" w:before="0" w:after="0"/>
              <w:pStyle w:val="Compact"/>
            </w:pPr>
            <w:r>
              <w:rPr>
                <w:sz w:val="20"/>
                <w:szCs w:val="20"/>
              </w:rPr>
              <w:t xml:space="preserve">has_propulsion</w:t>
            </w:r>
          </w:p>
        </w:tc>
        <w:tc>
          <w:tcPr>
            <w:tcW w:w="0" w:type="auto"/>
          </w:tcPr>
          <w:p>
            <w:pPr>
              <w:spacing w:line="240" w:lineRule="auto" w:before="0" w:after="0"/>
              <w:pStyle w:val="Compact"/>
            </w:pPr>
            <w:r>
              <w:rPr>
                <w:sz w:val="20"/>
                <w:szCs w:val="20"/>
              </w:rPr>
              <w:t xml:space="preserve">4.9099</w:t>
            </w:r>
          </w:p>
        </w:tc>
        <w:tc>
          <w:tcPr>
            <w:tcW w:w="0" w:type="auto"/>
          </w:tcPr>
          <w:p>
            <w:pPr>
              <w:spacing w:line="240" w:lineRule="auto" w:before="0" w:after="0"/>
              <w:pStyle w:val="Compact"/>
            </w:pPr>
            <w:r>
              <w:rPr>
                <w:sz w:val="20"/>
                <w:szCs w:val="20"/>
              </w:rPr>
              <w:t xml:space="preserve">1.5905</w:t>
            </w:r>
          </w:p>
        </w:tc>
        <w:tc>
          <w:tcPr>
            <w:tcW w:w="0" w:type="auto"/>
          </w:tcPr>
          <w:p>
            <w:pPr>
              <w:spacing w:line="240" w:lineRule="auto" w:before="0" w:after="0"/>
              <w:pStyle w:val="Compact"/>
            </w:pPr>
            <w:r>
              <w:rPr>
                <w:sz w:val="20"/>
                <w:szCs w:val="20"/>
              </w:rPr>
              <w:t xml:space="preserve">3.0871</w:t>
            </w:r>
          </w:p>
        </w:tc>
        <w:tc>
          <w:tcPr>
            <w:tcW w:w="0" w:type="auto"/>
          </w:tcPr>
          <w:p>
            <w:pPr>
              <w:spacing w:line="240" w:lineRule="auto" w:before="0" w:after="0"/>
              <w:pStyle w:val="Compact"/>
            </w:pPr>
            <w:r>
              <w:rPr>
                <w:sz w:val="20"/>
                <w:szCs w:val="20"/>
              </w:rPr>
              <w:t xml:space="preserve">0.002</w:t>
            </w:r>
          </w:p>
        </w:tc>
        <w:tc>
          <w:tcPr>
            <w:tcW w:w="0" w:type="auto"/>
          </w:tcPr>
          <w:p>
            <w:pPr>
              <w:spacing w:line="240" w:lineRule="auto" w:before="0" w:after="0"/>
              <w:pStyle w:val="Compact"/>
            </w:pPr>
            <w:r>
              <w:rPr>
                <w:sz w:val="20"/>
                <w:szCs w:val="20"/>
              </w:rPr>
              <w:t xml:space="preserve">[1.7927, 8.0272]</w:t>
            </w:r>
          </w:p>
        </w:tc>
      </w:tr>
      <w:tr>
        <w:tc>
          <w:tcPr>
            <w:tcW w:w="0" w:type="auto"/>
          </w:tcPr>
          <w:p>
            <w:pPr>
              <w:spacing w:line="240" w:lineRule="auto" w:before="0" w:after="0"/>
              <w:pStyle w:val="Compact"/>
            </w:pPr>
            <w:r>
              <w:rPr>
                <w:sz w:val="20"/>
                <w:szCs w:val="20"/>
              </w:rPr>
              <w:t xml:space="preserve">alt_100km</w:t>
            </w:r>
          </w:p>
        </w:tc>
        <w:tc>
          <w:tcPr>
            <w:tcW w:w="0" w:type="auto"/>
          </w:tcPr>
          <w:p>
            <w:pPr>
              <w:spacing w:line="240" w:lineRule="auto" w:before="0" w:after="0"/>
              <w:pStyle w:val="Compact"/>
            </w:pPr>
            <w:r>
              <w:rPr>
                <w:sz w:val="20"/>
                <w:szCs w:val="20"/>
              </w:rPr>
              <w:t xml:space="preserve">-0.041</w:t>
            </w:r>
          </w:p>
        </w:tc>
        <w:tc>
          <w:tcPr>
            <w:tcW w:w="0" w:type="auto"/>
          </w:tcPr>
          <w:p>
            <w:pPr>
              <w:spacing w:line="240" w:lineRule="auto" w:before="0" w:after="0"/>
              <w:pStyle w:val="Compact"/>
            </w:pPr>
            <w:r>
              <w:rPr>
                <w:sz w:val="20"/>
                <w:szCs w:val="20"/>
              </w:rPr>
              <w:t xml:space="preserve">0.2847</w:t>
            </w:r>
          </w:p>
        </w:tc>
        <w:tc>
          <w:tcPr>
            <w:tcW w:w="0" w:type="auto"/>
          </w:tcPr>
          <w:p>
            <w:pPr>
              <w:spacing w:line="240" w:lineRule="auto" w:before="0" w:after="0"/>
              <w:pStyle w:val="Compact"/>
            </w:pPr>
            <w:r>
              <w:rPr>
                <w:sz w:val="20"/>
                <w:szCs w:val="20"/>
              </w:rPr>
              <w:t xml:space="preserve">-0.1442</w:t>
            </w:r>
          </w:p>
        </w:tc>
        <w:tc>
          <w:tcPr>
            <w:tcW w:w="0" w:type="auto"/>
          </w:tcPr>
          <w:p>
            <w:pPr>
              <w:spacing w:line="240" w:lineRule="auto" w:before="0" w:after="0"/>
              <w:pStyle w:val="Compact"/>
            </w:pPr>
            <w:r>
              <w:rPr>
                <w:sz w:val="20"/>
                <w:szCs w:val="20"/>
              </w:rPr>
              <w:t xml:space="preserve">0.8854</w:t>
            </w:r>
          </w:p>
        </w:tc>
        <w:tc>
          <w:tcPr>
            <w:tcW w:w="0" w:type="auto"/>
          </w:tcPr>
          <w:p>
            <w:pPr>
              <w:spacing w:line="240" w:lineRule="auto" w:before="0" w:after="0"/>
              <w:pStyle w:val="Compact"/>
            </w:pPr>
            <w:r>
              <w:rPr>
                <w:sz w:val="20"/>
                <w:szCs w:val="20"/>
              </w:rPr>
              <w:t xml:space="preserve">[-0.599, 0.5169]</w:t>
            </w:r>
          </w:p>
        </w:tc>
      </w:tr>
      <w:tr>
        <w:tc>
          <w:tcPr>
            <w:tcW w:w="0" w:type="auto"/>
          </w:tcPr>
          <w:p>
            <w:pPr>
              <w:spacing w:line="240" w:lineRule="auto" w:before="0" w:after="0"/>
              <w:pStyle w:val="Compact"/>
            </w:pPr>
            <w:r>
              <w:rPr>
                <w:sz w:val="20"/>
                <w:szCs w:val="20"/>
              </w:rPr>
              <w:t xml:space="preserve">post2020</w:t>
            </w:r>
          </w:p>
        </w:tc>
        <w:tc>
          <w:tcPr>
            <w:tcW w:w="0" w:type="auto"/>
          </w:tcPr>
          <w:p>
            <w:pPr>
              <w:spacing w:line="240" w:lineRule="auto" w:before="0" w:after="0"/>
              <w:pStyle w:val="Compact"/>
            </w:pPr>
            <w:r>
              <w:rPr>
                <w:sz w:val="20"/>
                <w:szCs w:val="20"/>
              </w:rPr>
              <w:t xml:space="preserve">1.6125</w:t>
            </w:r>
          </w:p>
        </w:tc>
        <w:tc>
          <w:tcPr>
            <w:tcW w:w="0" w:type="auto"/>
          </w:tcPr>
          <w:p>
            <w:pPr>
              <w:spacing w:line="240" w:lineRule="auto" w:before="0" w:after="0"/>
              <w:pStyle w:val="Compact"/>
            </w:pPr>
            <w:r>
              <w:rPr>
                <w:sz w:val="20"/>
                <w:szCs w:val="20"/>
              </w:rPr>
              <w:t xml:space="preserve">1.5599</w:t>
            </w:r>
          </w:p>
        </w:tc>
        <w:tc>
          <w:tcPr>
            <w:tcW w:w="0" w:type="auto"/>
          </w:tcPr>
          <w:p>
            <w:pPr>
              <w:spacing w:line="240" w:lineRule="auto" w:before="0" w:after="0"/>
              <w:pStyle w:val="Compact"/>
            </w:pPr>
            <w:r>
              <w:rPr>
                <w:sz w:val="20"/>
                <w:szCs w:val="20"/>
              </w:rPr>
              <w:t xml:space="preserve">1.0338</w:t>
            </w:r>
          </w:p>
        </w:tc>
        <w:tc>
          <w:tcPr>
            <w:tcW w:w="0" w:type="auto"/>
          </w:tcPr>
          <w:p>
            <w:pPr>
              <w:spacing w:line="240" w:lineRule="auto" w:before="0" w:after="0"/>
              <w:pStyle w:val="Compact"/>
            </w:pPr>
            <w:r>
              <w:rPr>
                <w:sz w:val="20"/>
                <w:szCs w:val="20"/>
              </w:rPr>
              <w:t xml:space="preserve">0.3013</w:t>
            </w:r>
          </w:p>
        </w:tc>
        <w:tc>
          <w:tcPr>
            <w:tcW w:w="0" w:type="auto"/>
          </w:tcPr>
          <w:p>
            <w:pPr>
              <w:spacing w:line="240" w:lineRule="auto" w:before="0" w:after="0"/>
              <w:pStyle w:val="Compact"/>
            </w:pPr>
            <w:r>
              <w:rPr>
                <w:sz w:val="20"/>
                <w:szCs w:val="20"/>
              </w:rPr>
              <w:t xml:space="preserve">[-1.4448, 4.6697]</w:t>
            </w:r>
          </w:p>
        </w:tc>
      </w:tr>
    </w:tbl>
    <w:p>
      <w:pPr>
        <w:pStyle w:val="BodyText"/>
      </w:pPr>
      <w:r>
        <w:t xml:space="preserve">Fit: N = 34 pseudo_R2 = 0.6983 LL = -7.0918</w:t>
      </w:r>
    </w:p>
    <w:p>
      <w:pPr>
        <w:pStyle w:val="CaptionedFigure"/>
      </w:pPr>
      <w:r>
        <w:drawing>
          <wp:inline>
            <wp:extent cx="5669280" cy="3657600"/>
            <wp:effectExtent b="0" l="0" r="0" t="0"/>
            <wp:docPr descr="Figure 1. Documented low Earth orbit end-of-life events: disposal success against operational altitude. Higher-altitude objects, where natural decay is weak, cluster at disposal failure unless an active capability is present." title="" id="82" name="Picture"/>
            <a:graphic>
              <a:graphicData uri="http://schemas.openxmlformats.org/drawingml/2006/picture">
                <pic:pic>
                  <pic:nvPicPr>
                    <pic:cNvPr descr="D:\Claude_Code\brain\collegium\candidates\dissertations\DEBRIS_02\research_papers\p2\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Documented low Earth orbit end-of-life events: disposal success against operational altitude. Higher-altitude objects, where natural decay is weak, cluster at disposal failure unless an active capability is present.</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object</w:t>
            </w:r>
          </w:p>
        </w:tc>
        <w:tc>
          <w:tcPr>
            <w:tcW w:w="0" w:type="auto"/>
          </w:tcPr>
          <w:p>
            <w:pPr>
              <w:spacing w:line="240" w:lineRule="auto" w:before="0" w:after="0"/>
              <w:pStyle w:val="Compact"/>
            </w:pPr>
            <w:r>
              <w:rPr>
                <w:sz w:val="20"/>
                <w:szCs w:val="20"/>
              </w:rPr>
              <w:t xml:space="preserve">operator_class</w:t>
            </w:r>
          </w:p>
        </w:tc>
        <w:tc>
          <w:tcPr>
            <w:tcW w:w="0" w:type="auto"/>
          </w:tcPr>
          <w:p>
            <w:pPr>
              <w:spacing w:line="240" w:lineRule="auto" w:before="0" w:after="0"/>
              <w:pStyle w:val="Compact"/>
            </w:pPr>
            <w:r>
              <w:rPr>
                <w:sz w:val="20"/>
                <w:szCs w:val="20"/>
              </w:rPr>
              <w:t xml:space="preserve">pmd_success</w:t>
            </w:r>
          </w:p>
        </w:tc>
        <w:tc>
          <w:tcPr>
            <w:tcW w:w="0" w:type="auto"/>
          </w:tcPr>
          <w:p>
            <w:pPr>
              <w:spacing w:line="240" w:lineRule="auto" w:before="0" w:after="0"/>
              <w:pStyle w:val="Compact"/>
            </w:pPr>
            <w:r>
              <w:rPr>
                <w:sz w:val="20"/>
                <w:szCs w:val="20"/>
              </w:rPr>
              <w:t xml:space="preserve">has_propulsion</w:t>
            </w:r>
          </w:p>
        </w:tc>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altitude_km</w:t>
            </w:r>
          </w:p>
        </w:tc>
        <w:tc>
          <w:tcPr>
            <w:tcW w:w="0" w:type="auto"/>
          </w:tcPr>
          <w:p>
            <w:pPr>
              <w:spacing w:line="240" w:lineRule="auto" w:before="0" w:after="0"/>
              <w:pStyle w:val="Compact"/>
            </w:pPr>
            <w:r>
              <w:rPr>
                <w:sz w:val="20"/>
                <w:szCs w:val="20"/>
              </w:rPr>
              <w:t xml:space="preserve">constellation_op</w:t>
            </w:r>
          </w:p>
        </w:tc>
        <w:tc>
          <w:tcPr>
            <w:tcW w:w="0" w:type="auto"/>
          </w:tcPr>
          <w:p>
            <w:pPr>
              <w:spacing w:line="240" w:lineRule="auto" w:before="0" w:after="0"/>
              <w:pStyle w:val="Compact"/>
            </w:pPr>
            <w:r>
              <w:rPr>
                <w:sz w:val="20"/>
                <w:szCs w:val="20"/>
              </w:rPr>
              <w:t xml:space="preserve">post2020</w:t>
            </w:r>
          </w:p>
        </w:tc>
        <w:tc>
          <w:tcPr>
            <w:tcW w:w="0" w:type="auto"/>
          </w:tcPr>
          <w:p>
            <w:pPr>
              <w:spacing w:line="240" w:lineRule="auto" w:before="0" w:after="0"/>
              <w:pStyle w:val="Compact"/>
            </w:pPr>
            <w:r>
              <w:rPr>
                <w:sz w:val="20"/>
                <w:szCs w:val="20"/>
              </w:rPr>
              <w:t xml:space="preserve">log_mass_kg</w:t>
            </w:r>
          </w:p>
        </w:tc>
        <w:tc>
          <w:tcPr>
            <w:tcW w:w="0" w:type="auto"/>
          </w:tcPr>
          <w:p>
            <w:pPr>
              <w:spacing w:line="240" w:lineRule="auto" w:before="0" w:after="0"/>
              <w:pStyle w:val="Compact"/>
            </w:pPr>
            <w:r>
              <w:rPr>
                <w:sz w:val="20"/>
                <w:szCs w:val="20"/>
              </w:rPr>
              <w:t xml:space="preserve">alt_100km</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Aeolus</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320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7.0031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Airbus 2023</w:t>
            </w:r>
            <w:r>
              <w:rPr>
                <w:sz w:val="20"/>
                <w:szCs w:val="20"/>
              </w:rPr>
              <w:t xml:space="preserve"> </w:t>
            </w:r>
            <w:r>
              <w:rPr>
                <w:sz w:val="20"/>
                <w:szCs w:val="20"/>
              </w:rPr>
              <w:t xml:space="preserve">‘Aeolus assisted reentry, a successful experiment’</w:t>
            </w:r>
            <w:r>
              <w:rPr>
                <w:sz w:val="20"/>
                <w:szCs w:val="20"/>
              </w:rPr>
              <w:t xml:space="preserve"> </w:t>
            </w:r>
            <w:r>
              <w:rPr>
                <w:sz w:val="20"/>
                <w:szCs w:val="20"/>
              </w:rPr>
              <w:t xml:space="preserve">newsroom; first assisted reentry, lowered 320 to 120 km (airbus.com/en/newsroom/stories/2023-10-aeolus-assisted-reentry)</w:t>
            </w:r>
          </w:p>
        </w:tc>
      </w:tr>
      <w:tr>
        <w:tc>
          <w:tcPr>
            <w:tcW w:w="0" w:type="auto"/>
          </w:tcPr>
          <w:p>
            <w:pPr>
              <w:spacing w:line="240" w:lineRule="auto" w:before="0" w:after="0"/>
              <w:pStyle w:val="Compact"/>
            </w:pPr>
            <w:r>
              <w:rPr>
                <w:sz w:val="20"/>
                <w:szCs w:val="20"/>
              </w:rPr>
              <w:t xml:space="preserve">GOCE</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224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7.0031</w:t>
            </w:r>
          </w:p>
        </w:tc>
        <w:tc>
          <w:tcPr>
            <w:tcW w:w="0" w:type="auto"/>
          </w:tcPr>
          <w:p>
            <w:pPr>
              <w:spacing w:line="240" w:lineRule="auto" w:before="0" w:after="0"/>
              <w:pStyle w:val="Compact"/>
            </w:pPr>
            <w:r>
              <w:rPr>
                <w:sz w:val="20"/>
                <w:szCs w:val="20"/>
              </w:rPr>
              <w:t xml:space="preserve">2.24</w:t>
            </w:r>
          </w:p>
        </w:tc>
        <w:tc>
          <w:tcPr>
            <w:tcW w:w="0" w:type="auto"/>
          </w:tcPr>
          <w:p>
            <w:pPr>
              <w:spacing w:line="240" w:lineRule="auto" w:before="0" w:after="0"/>
              <w:pStyle w:val="Compact"/>
            </w:pPr>
            <w:r>
              <w:rPr>
                <w:sz w:val="20"/>
                <w:szCs w:val="20"/>
              </w:rPr>
              <w:t xml:space="preserve">eoPortal GOCE; ion-thruster deorbit from 224 km, disintegrated 11 Nov 2013 (eoportal.org/satellite-missions/goce)</w:t>
            </w:r>
          </w:p>
        </w:tc>
      </w:tr>
      <w:tr>
        <w:tc>
          <w:tcPr>
            <w:tcW w:w="0" w:type="auto"/>
          </w:tcPr>
          <w:p>
            <w:pPr>
              <w:spacing w:line="240" w:lineRule="auto" w:before="0" w:after="0"/>
              <w:pStyle w:val="Compact"/>
            </w:pPr>
            <w:r>
              <w:rPr>
                <w:sz w:val="20"/>
                <w:szCs w:val="20"/>
              </w:rPr>
              <w:t xml:space="preserve">ERS-2</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2516</w:t>
            </w:r>
          </w:p>
        </w:tc>
        <w:tc>
          <w:tcPr>
            <w:tcW w:w="0" w:type="auto"/>
          </w:tcPr>
          <w:p>
            <w:pPr>
              <w:spacing w:line="240" w:lineRule="auto" w:before="0" w:after="0"/>
              <w:pStyle w:val="Compact"/>
            </w:pPr>
            <w:r>
              <w:rPr>
                <w:sz w:val="20"/>
                <w:szCs w:val="20"/>
              </w:rPr>
              <w:t xml:space="preserve">785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7.8304</w:t>
            </w:r>
          </w:p>
        </w:tc>
        <w:tc>
          <w:tcPr>
            <w:tcW w:w="0" w:type="auto"/>
          </w:tcPr>
          <w:p>
            <w:pPr>
              <w:spacing w:line="240" w:lineRule="auto" w:before="0" w:after="0"/>
              <w:pStyle w:val="Compact"/>
            </w:pPr>
            <w:r>
              <w:rPr>
                <w:sz w:val="20"/>
                <w:szCs w:val="20"/>
              </w:rPr>
              <w:t xml:space="preserve">7.85</w:t>
            </w:r>
          </w:p>
        </w:tc>
        <w:tc>
          <w:tcPr>
            <w:tcW w:w="0" w:type="auto"/>
          </w:tcPr>
          <w:p>
            <w:pPr>
              <w:spacing w:line="240" w:lineRule="auto" w:before="0" w:after="0"/>
              <w:pStyle w:val="Compact"/>
            </w:pPr>
            <w:r>
              <w:rPr>
                <w:sz w:val="20"/>
                <w:szCs w:val="20"/>
              </w:rPr>
              <w:t xml:space="preserve">ESA</w:t>
            </w:r>
            <w:r>
              <w:rPr>
                <w:sz w:val="20"/>
                <w:szCs w:val="20"/>
              </w:rPr>
              <w:t xml:space="preserve"> </w:t>
            </w:r>
            <w:r>
              <w:rPr>
                <w:sz w:val="20"/>
                <w:szCs w:val="20"/>
              </w:rPr>
              <w:t xml:space="preserve">‘ERS-2 reenters over Pacific Ocean’</w:t>
            </w:r>
            <w:r>
              <w:rPr>
                <w:sz w:val="20"/>
                <w:szCs w:val="20"/>
              </w:rPr>
              <w:t xml:space="preserve"> </w:t>
            </w:r>
            <w:r>
              <w:rPr>
                <w:sz w:val="20"/>
                <w:szCs w:val="20"/>
              </w:rPr>
              <w:t xml:space="preserve">2024; 66 deorbit burns in 2011 lowered 785 to 573 km, decayed within 25-yr window (esa.int/Space_Safety/Space_Debris/ERS-2_reenters_Earth_s_atmosphere)</w:t>
            </w:r>
          </w:p>
        </w:tc>
      </w:tr>
      <w:tr>
        <w:tc>
          <w:tcPr>
            <w:tcW w:w="0" w:type="auto"/>
          </w:tcPr>
          <w:p>
            <w:pPr>
              <w:spacing w:line="240" w:lineRule="auto" w:before="0" w:after="0"/>
              <w:pStyle w:val="Compact"/>
            </w:pPr>
            <w:r>
              <w:rPr>
                <w:sz w:val="20"/>
                <w:szCs w:val="20"/>
              </w:rPr>
              <w:t xml:space="preserve">Envisat</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8211</w:t>
            </w:r>
          </w:p>
        </w:tc>
        <w:tc>
          <w:tcPr>
            <w:tcW w:w="0" w:type="auto"/>
          </w:tcPr>
          <w:p>
            <w:pPr>
              <w:spacing w:line="240" w:lineRule="auto" w:before="0" w:after="0"/>
              <w:pStyle w:val="Compact"/>
            </w:pPr>
            <w:r>
              <w:rPr>
                <w:sz w:val="20"/>
                <w:szCs w:val="20"/>
              </w:rPr>
              <w:t xml:space="preserve">762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9.0132</w:t>
            </w:r>
          </w:p>
        </w:tc>
        <w:tc>
          <w:tcPr>
            <w:tcW w:w="0" w:type="auto"/>
          </w:tcPr>
          <w:p>
            <w:pPr>
              <w:spacing w:line="240" w:lineRule="auto" w:before="0" w:after="0"/>
              <w:pStyle w:val="Compact"/>
            </w:pPr>
            <w:r>
              <w:rPr>
                <w:sz w:val="20"/>
                <w:szCs w:val="20"/>
              </w:rPr>
              <w:t xml:space="preserve">7.62</w:t>
            </w:r>
          </w:p>
        </w:tc>
        <w:tc>
          <w:tcPr>
            <w:tcW w:w="0" w:type="auto"/>
          </w:tcPr>
          <w:p>
            <w:pPr>
              <w:spacing w:line="240" w:lineRule="auto" w:before="0" w:after="0"/>
              <w:pStyle w:val="Compact"/>
            </w:pPr>
            <w:r>
              <w:rPr>
                <w:sz w:val="20"/>
                <w:szCs w:val="20"/>
              </w:rPr>
              <w:t xml:space="preserve">Wikipedia/ESA Envisat end-of-mission; lost contact April 2012 before deorbit, ~150-yr natural decay, stranded at 762 km (en.wikipedia.org/wiki/Envisat; esa.int ESA declares end of mission for Envisat)</w:t>
            </w:r>
          </w:p>
        </w:tc>
      </w:tr>
      <w:tr>
        <w:tc>
          <w:tcPr>
            <w:tcW w:w="0" w:type="auto"/>
          </w:tcPr>
          <w:p>
            <w:pPr>
              <w:spacing w:line="240" w:lineRule="auto" w:before="0" w:after="0"/>
              <w:pStyle w:val="Compact"/>
            </w:pPr>
            <w:r>
              <w:rPr>
                <w:sz w:val="20"/>
                <w:szCs w:val="20"/>
              </w:rPr>
              <w:t xml:space="preserve">Starlink_v1</w:t>
            </w:r>
          </w:p>
        </w:tc>
        <w:tc>
          <w:tcPr>
            <w:tcW w:w="0" w:type="auto"/>
          </w:tcPr>
          <w:p>
            <w:pPr>
              <w:spacing w:line="240" w:lineRule="auto" w:before="0" w:after="0"/>
              <w:pStyle w:val="Compact"/>
            </w:pPr>
            <w:r>
              <w:rPr>
                <w:sz w:val="20"/>
                <w:szCs w:val="20"/>
              </w:rPr>
              <w:t xml:space="preserve">constellation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5.5607</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Starlink demisability paper + eoPortal; 550 km krypton Hall thruster propulsive controlled deorbit, 406 controlled deorbits initiated (starlink.com/public-files/Starlink_Approach_to_Satellite_Demisability.pdf; eoportal.org/satellite-missions/starlink)</w:t>
            </w:r>
          </w:p>
        </w:tc>
      </w:tr>
      <w:tr>
        <w:tc>
          <w:tcPr>
            <w:tcW w:w="0" w:type="auto"/>
          </w:tcPr>
          <w:p>
            <w:pPr>
              <w:spacing w:line="240" w:lineRule="auto" w:before="0" w:after="0"/>
              <w:pStyle w:val="Compact"/>
            </w:pPr>
            <w:r>
              <w:rPr>
                <w:sz w:val="20"/>
                <w:szCs w:val="20"/>
              </w:rPr>
              <w:t xml:space="preserve">OneWeb_Gen1</w:t>
            </w:r>
          </w:p>
        </w:tc>
        <w:tc>
          <w:tcPr>
            <w:tcW w:w="0" w:type="auto"/>
          </w:tcPr>
          <w:p>
            <w:pPr>
              <w:spacing w:line="240" w:lineRule="auto" w:before="0" w:after="0"/>
              <w:pStyle w:val="Compact"/>
            </w:pPr>
            <w:r>
              <w:rPr>
                <w:sz w:val="20"/>
                <w:szCs w:val="20"/>
              </w:rPr>
              <w:t xml:space="preserve">constellation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5.0106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Orbital Today 2026-02-28 + SpaceNexus FCC analysis; 1200 km natural decay takes hundreds of years, no propulsive disposal at shell altitude (orbitaltoday.com/2026/02/28/starlink-satellites-falling; spacenexus.us/blog/fcc-5-year-deorbit-rule-satellite-operators)</w:t>
            </w:r>
          </w:p>
        </w:tc>
      </w:tr>
      <w:tr>
        <w:tc>
          <w:tcPr>
            <w:tcW w:w="0" w:type="auto"/>
          </w:tcPr>
          <w:p>
            <w:pPr>
              <w:spacing w:line="240" w:lineRule="auto" w:before="0" w:after="0"/>
              <w:pStyle w:val="Compact"/>
            </w:pPr>
            <w:r>
              <w:rPr>
                <w:sz w:val="20"/>
                <w:szCs w:val="20"/>
              </w:rPr>
              <w:t xml:space="preserve">TerraSAR-X</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1230</w:t>
            </w:r>
          </w:p>
        </w:tc>
        <w:tc>
          <w:tcPr>
            <w:tcW w:w="0" w:type="auto"/>
          </w:tcPr>
          <w:p>
            <w:pPr>
              <w:spacing w:line="240" w:lineRule="auto" w:before="0" w:after="0"/>
              <w:pStyle w:val="Compact"/>
            </w:pPr>
            <w:r>
              <w:rPr>
                <w:sz w:val="20"/>
                <w:szCs w:val="20"/>
              </w:rPr>
              <w:t xml:space="preserve">514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7.1148</w:t>
            </w:r>
          </w:p>
        </w:tc>
        <w:tc>
          <w:tcPr>
            <w:tcW w:w="0" w:type="auto"/>
          </w:tcPr>
          <w:p>
            <w:pPr>
              <w:spacing w:line="240" w:lineRule="auto" w:before="0" w:after="0"/>
              <w:pStyle w:val="Compact"/>
            </w:pPr>
            <w:r>
              <w:rPr>
                <w:sz w:val="20"/>
                <w:szCs w:val="20"/>
              </w:rPr>
              <w:t xml:space="preserve">5.14</w:t>
            </w:r>
          </w:p>
        </w:tc>
        <w:tc>
          <w:tcPr>
            <w:tcW w:w="0" w:type="auto"/>
          </w:tcPr>
          <w:p>
            <w:pPr>
              <w:spacing w:line="240" w:lineRule="auto" w:before="0" w:after="0"/>
              <w:pStyle w:val="Compact"/>
            </w:pPr>
            <w:r>
              <w:rPr>
                <w:sz w:val="20"/>
                <w:szCs w:val="20"/>
              </w:rPr>
              <w:t xml:space="preserve">eoPortal TSX; EOL plan lowers perigee to ~300 km for drag reentry and full fragmentation (eoportal.org/satellite-missions/terrasar-x)</w:t>
            </w:r>
          </w:p>
        </w:tc>
      </w:tr>
      <w:tr>
        <w:tc>
          <w:tcPr>
            <w:tcW w:w="0" w:type="auto"/>
          </w:tcPr>
          <w:p>
            <w:pPr>
              <w:spacing w:line="240" w:lineRule="auto" w:before="0" w:after="0"/>
              <w:pStyle w:val="Compact"/>
            </w:pPr>
            <w:r>
              <w:rPr>
                <w:sz w:val="20"/>
                <w:szCs w:val="20"/>
              </w:rPr>
              <w:t xml:space="preserve">Vanguard-1</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NASA Orbital Debris Program Office; oldest derelict in orbit, no disposal capability, centuries-long retention (orbitaldebris.jsc.nasa.gov/reentry)</w:t>
            </w:r>
          </w:p>
        </w:tc>
      </w:tr>
      <w:tr>
        <w:tc>
          <w:tcPr>
            <w:tcW w:w="0" w:type="auto"/>
          </w:tcPr>
          <w:p>
            <w:pPr>
              <w:spacing w:line="240" w:lineRule="auto" w:before="0" w:after="0"/>
              <w:pStyle w:val="Compact"/>
            </w:pPr>
            <w:r>
              <w:rPr>
                <w:sz w:val="20"/>
                <w:szCs w:val="20"/>
              </w:rPr>
              <w:t xml:space="preserve">Falcon9_S2</w:t>
            </w:r>
          </w:p>
        </w:tc>
        <w:tc>
          <w:tcPr>
            <w:tcW w:w="0" w:type="auto"/>
          </w:tcPr>
          <w:p>
            <w:pPr>
              <w:spacing w:line="240" w:lineRule="auto" w:before="0" w:after="0"/>
              <w:pStyle w:val="Compact"/>
            </w:pPr>
            <w:r>
              <w:rPr>
                <w:sz w:val="20"/>
                <w:szCs w:val="20"/>
              </w:rPr>
              <w:t xml:space="preserve">launch_provider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4000</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8.294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ESA Space Environment Report 2024; controlled rocket-body reentries outnumbered uncontrolled for first time in 2024 (esa.int/Space_Safety/Space_Debris/ESA_Space_Environment_Report_2024)</w:t>
            </w:r>
          </w:p>
        </w:tc>
      </w:tr>
      <w:tr>
        <w:tc>
          <w:tcPr>
            <w:tcW w:w="0" w:type="auto"/>
          </w:tcPr>
          <w:p>
            <w:pPr>
              <w:spacing w:line="240" w:lineRule="auto" w:before="0" w:after="0"/>
              <w:pStyle w:val="Compact"/>
            </w:pPr>
            <w:r>
              <w:rPr>
                <w:sz w:val="20"/>
                <w:szCs w:val="20"/>
              </w:rPr>
              <w:t xml:space="preserve">Tiangong-1</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8500</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9.0478</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Public reentry record; uncontrolled reentry April 2018 after loss of control, no controlled disposal (en.wikipedia.org/wiki/Tiangong-1)</w:t>
            </w:r>
          </w:p>
        </w:tc>
      </w:tr>
      <w:tr>
        <w:tc>
          <w:tcPr>
            <w:tcW w:w="0" w:type="auto"/>
          </w:tcPr>
          <w:p>
            <w:pPr>
              <w:spacing w:line="240" w:lineRule="auto" w:before="0" w:after="0"/>
              <w:pStyle w:val="Compact"/>
            </w:pPr>
            <w:r>
              <w:rPr>
                <w:sz w:val="20"/>
                <w:szCs w:val="20"/>
              </w:rPr>
              <w:t xml:space="preserve">UARS</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5900</w:t>
            </w:r>
          </w:p>
        </w:tc>
        <w:tc>
          <w:tcPr>
            <w:tcW w:w="0" w:type="auto"/>
          </w:tcPr>
          <w:p>
            <w:pPr>
              <w:spacing w:line="240" w:lineRule="auto" w:before="0" w:after="0"/>
              <w:pStyle w:val="Compact"/>
            </w:pPr>
            <w:r>
              <w:rPr>
                <w:sz w:val="20"/>
                <w:szCs w:val="20"/>
              </w:rPr>
              <w:t xml:space="preserve">575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8.6827</w:t>
            </w:r>
          </w:p>
        </w:tc>
        <w:tc>
          <w:tcPr>
            <w:tcW w:w="0" w:type="auto"/>
          </w:tcPr>
          <w:p>
            <w:pPr>
              <w:spacing w:line="240" w:lineRule="auto" w:before="0" w:after="0"/>
              <w:pStyle w:val="Compact"/>
            </w:pPr>
            <w:r>
              <w:rPr>
                <w:sz w:val="20"/>
                <w:szCs w:val="20"/>
              </w:rPr>
              <w:t xml:space="preserve">5.75</w:t>
            </w:r>
          </w:p>
        </w:tc>
        <w:tc>
          <w:tcPr>
            <w:tcW w:w="0" w:type="auto"/>
          </w:tcPr>
          <w:p>
            <w:pPr>
              <w:spacing w:line="240" w:lineRule="auto" w:before="0" w:after="0"/>
              <w:pStyle w:val="Compact"/>
            </w:pPr>
            <w:r>
              <w:rPr>
                <w:sz w:val="20"/>
                <w:szCs w:val="20"/>
              </w:rPr>
              <w:t xml:space="preserve">NASA UARS reentry Sept 2011; uncontrolled reentry, no propulsive disposal capability at EOL (nasa.gov UARS reentry)</w:t>
            </w:r>
          </w:p>
        </w:tc>
      </w:tr>
      <w:tr>
        <w:tc>
          <w:tcPr>
            <w:tcW w:w="0" w:type="auto"/>
          </w:tcPr>
          <w:p>
            <w:pPr>
              <w:spacing w:line="240" w:lineRule="auto" w:before="0" w:after="0"/>
              <w:pStyle w:val="Compact"/>
            </w:pPr>
            <w:r>
              <w:rPr>
                <w:sz w:val="20"/>
                <w:szCs w:val="20"/>
              </w:rPr>
              <w:t xml:space="preserve">Cluster_Salsa</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6.3099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ESA Cluster targeted reentry Sept 2024; first targeted reentry of a Cluster spacecraft, Salsa (esa.int Cluster Salsa targeted reentry 2024)</w:t>
            </w:r>
          </w:p>
        </w:tc>
      </w:tr>
      <w:tr>
        <w:tc>
          <w:tcPr>
            <w:tcW w:w="0" w:type="auto"/>
          </w:tcPr>
          <w:p>
            <w:pPr>
              <w:spacing w:line="240" w:lineRule="auto" w:before="0" w:after="0"/>
              <w:pStyle w:val="Compact"/>
            </w:pPr>
            <w:r>
              <w:rPr>
                <w:sz w:val="20"/>
                <w:szCs w:val="20"/>
              </w:rPr>
              <w:t xml:space="preserve">Starlink_v2mini</w:t>
            </w:r>
          </w:p>
        </w:tc>
        <w:tc>
          <w:tcPr>
            <w:tcW w:w="0" w:type="auto"/>
          </w:tcPr>
          <w:p>
            <w:pPr>
              <w:spacing w:line="240" w:lineRule="auto" w:before="0" w:after="0"/>
              <w:pStyle w:val="Compact"/>
            </w:pPr>
            <w:r>
              <w:rPr>
                <w:sz w:val="20"/>
                <w:szCs w:val="20"/>
              </w:rPr>
              <w:t xml:space="preserve">constellation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6.6846</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eoPortal Starlink; V2 Mini ~800 kg at 550 km, propulsive controlled deorbit (eoportal.org/satellite-missions/starlink)</w:t>
            </w:r>
          </w:p>
        </w:tc>
      </w:tr>
      <w:tr>
        <w:tc>
          <w:tcPr>
            <w:tcW w:w="0" w:type="auto"/>
          </w:tcPr>
          <w:p>
            <w:pPr>
              <w:spacing w:line="240" w:lineRule="auto" w:before="0" w:after="0"/>
              <w:pStyle w:val="Compact"/>
            </w:pPr>
            <w:r>
              <w:rPr>
                <w:sz w:val="20"/>
                <w:szCs w:val="20"/>
              </w:rPr>
              <w:t xml:space="preserve">Satellogic_NewSat</w:t>
            </w:r>
          </w:p>
        </w:tc>
        <w:tc>
          <w:tcPr>
            <w:tcW w:w="0" w:type="auto"/>
          </w:tcPr>
          <w:p>
            <w:pPr>
              <w:spacing w:line="240" w:lineRule="auto" w:before="0" w:after="0"/>
              <w:pStyle w:val="Compact"/>
            </w:pPr>
            <w:r>
              <w:rPr>
                <w:sz w:val="20"/>
                <w:szCs w:val="20"/>
              </w:rPr>
              <w:t xml:space="preserve">constellation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3.6889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Satellogic 2023 NewSat reentry strategy; designed for compliant deorbit (satellogic.com/2023/09/05/satellogic-newsat-re-entry-strategy)</w:t>
            </w:r>
          </w:p>
        </w:tc>
      </w:tr>
      <w:tr>
        <w:tc>
          <w:tcPr>
            <w:tcW w:w="0" w:type="auto"/>
          </w:tcPr>
          <w:p>
            <w:pPr>
              <w:spacing w:line="240" w:lineRule="auto" w:before="0" w:after="0"/>
              <w:pStyle w:val="Compact"/>
            </w:pPr>
            <w:r>
              <w:rPr>
                <w:sz w:val="20"/>
                <w:szCs w:val="20"/>
              </w:rPr>
              <w:t xml:space="preserve">Planet_Dove</w:t>
            </w:r>
          </w:p>
        </w:tc>
        <w:tc>
          <w:tcPr>
            <w:tcW w:w="0" w:type="auto"/>
          </w:tcPr>
          <w:p>
            <w:pPr>
              <w:spacing w:line="240" w:lineRule="auto" w:before="0" w:after="0"/>
              <w:pStyle w:val="Compact"/>
            </w:pPr>
            <w:r>
              <w:rPr>
                <w:sz w:val="20"/>
                <w:szCs w:val="20"/>
              </w:rPr>
              <w:t xml:space="preserve">constellation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Planet/eoPortal Dove; ~400 km natural decay in under 5 years (eoportal.org/satellite-missions/planetscope; ESA Env Report 2024 low-altitude natural decay)</w:t>
            </w:r>
          </w:p>
        </w:tc>
      </w:tr>
      <w:tr>
        <w:tc>
          <w:tcPr>
            <w:tcW w:w="0" w:type="auto"/>
          </w:tcPr>
          <w:p>
            <w:pPr>
              <w:spacing w:line="240" w:lineRule="auto" w:before="0" w:after="0"/>
              <w:pStyle w:val="Compact"/>
            </w:pPr>
            <w:r>
              <w:rPr>
                <w:sz w:val="20"/>
                <w:szCs w:val="20"/>
              </w:rPr>
              <w:t xml:space="preserve">TanDEM-X</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1340</w:t>
            </w:r>
          </w:p>
        </w:tc>
        <w:tc>
          <w:tcPr>
            <w:tcW w:w="0" w:type="auto"/>
          </w:tcPr>
          <w:p>
            <w:pPr>
              <w:spacing w:line="240" w:lineRule="auto" w:before="0" w:after="0"/>
              <w:pStyle w:val="Compact"/>
            </w:pPr>
            <w:r>
              <w:rPr>
                <w:sz w:val="20"/>
                <w:szCs w:val="20"/>
              </w:rPr>
              <w:t xml:space="preserve">514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7.2004</w:t>
            </w:r>
          </w:p>
        </w:tc>
        <w:tc>
          <w:tcPr>
            <w:tcW w:w="0" w:type="auto"/>
          </w:tcPr>
          <w:p>
            <w:pPr>
              <w:spacing w:line="240" w:lineRule="auto" w:before="0" w:after="0"/>
              <w:pStyle w:val="Compact"/>
            </w:pPr>
            <w:r>
              <w:rPr>
                <w:sz w:val="20"/>
                <w:szCs w:val="20"/>
              </w:rPr>
              <w:t xml:space="preserve">5.14</w:t>
            </w:r>
          </w:p>
        </w:tc>
        <w:tc>
          <w:tcPr>
            <w:tcW w:w="0" w:type="auto"/>
          </w:tcPr>
          <w:p>
            <w:pPr>
              <w:spacing w:line="240" w:lineRule="auto" w:before="0" w:after="0"/>
              <w:pStyle w:val="Compact"/>
            </w:pPr>
            <w:r>
              <w:rPr>
                <w:sz w:val="20"/>
                <w:szCs w:val="20"/>
              </w:rPr>
              <w:t xml:space="preserve">Gunter’s Space Page TerraSAR/TanDEM-X; same EOL drag-reentry plan as TSX, perigee lowered to ~300 km (space.skyrocket.de/doc_sdat/terrasar-x.htm)</w:t>
            </w:r>
          </w:p>
        </w:tc>
      </w:tr>
      <w:tr>
        <w:tc>
          <w:tcPr>
            <w:tcW w:w="0" w:type="auto"/>
          </w:tcPr>
          <w:p>
            <w:pPr>
              <w:spacing w:line="240" w:lineRule="auto" w:before="0" w:after="0"/>
              <w:pStyle w:val="Compact"/>
            </w:pPr>
            <w:r>
              <w:rPr>
                <w:sz w:val="20"/>
                <w:szCs w:val="20"/>
              </w:rPr>
              <w:t xml:space="preserve">Spektr-R_excluded</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3660</w:t>
            </w:r>
          </w:p>
        </w:tc>
        <w:tc>
          <w:tcPr>
            <w:tcW w:w="0" w:type="auto"/>
          </w:tcPr>
          <w:p>
            <w:pPr>
              <w:spacing w:line="240" w:lineRule="auto" w:before="0" w:after="0"/>
              <w:pStyle w:val="Compact"/>
            </w:pPr>
            <w:r>
              <w:rPr>
                <w:sz w:val="20"/>
                <w:szCs w:val="20"/>
              </w:rPr>
              <w:t xml:space="preserve">330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8.2052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Public record Spektr-R; defunct 2019 after loss of contact, no disposal capability, counted as non-disposal derelict at perigee class [illustrative perigee value]</w:t>
            </w:r>
          </w:p>
        </w:tc>
      </w:tr>
      <w:tr>
        <w:tc>
          <w:tcPr>
            <w:tcW w:w="0" w:type="auto"/>
          </w:tcPr>
          <w:p>
            <w:pPr>
              <w:spacing w:line="240" w:lineRule="auto" w:before="0" w:after="0"/>
              <w:pStyle w:val="Compact"/>
            </w:pPr>
            <w:r>
              <w:rPr>
                <w:sz w:val="20"/>
                <w:szCs w:val="20"/>
              </w:rPr>
              <w:t xml:space="preserve">Jason-1</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1336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6.2146</w:t>
            </w:r>
          </w:p>
        </w:tc>
        <w:tc>
          <w:tcPr>
            <w:tcW w:w="0" w:type="auto"/>
          </w:tcPr>
          <w:p>
            <w:pPr>
              <w:spacing w:line="240" w:lineRule="auto" w:before="0" w:after="0"/>
              <w:pStyle w:val="Compact"/>
            </w:pPr>
            <w:r>
              <w:rPr>
                <w:sz w:val="20"/>
                <w:szCs w:val="20"/>
              </w:rPr>
              <w:t xml:space="preserve">13.36</w:t>
            </w:r>
          </w:p>
        </w:tc>
        <w:tc>
          <w:tcPr>
            <w:tcW w:w="0" w:type="auto"/>
          </w:tcPr>
          <w:p>
            <w:pPr>
              <w:spacing w:line="240" w:lineRule="auto" w:before="0" w:after="0"/>
              <w:pStyle w:val="Compact"/>
            </w:pPr>
            <w:r>
              <w:rPr>
                <w:sz w:val="20"/>
                <w:szCs w:val="20"/>
              </w:rPr>
              <w:t xml:space="preserve">NASA/CNES Jason-1; 1336 km orbit, decommissioned 2013, &gt;25-yr retention at altitude (eoportal.org/satellite-missions/jason-1)</w:t>
            </w:r>
          </w:p>
        </w:tc>
      </w:tr>
      <w:tr>
        <w:tc>
          <w:tcPr>
            <w:tcW w:w="0" w:type="auto"/>
          </w:tcPr>
          <w:p>
            <w:pPr>
              <w:spacing w:line="240" w:lineRule="auto" w:before="0" w:after="0"/>
              <w:pStyle w:val="Compact"/>
            </w:pPr>
            <w:r>
              <w:rPr>
                <w:sz w:val="20"/>
                <w:szCs w:val="20"/>
              </w:rPr>
              <w:t xml:space="preserve">Cosmos2251</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790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6.8024</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NASA ODPO; 2009 collision-involved derelict at 790 km, no disposal capability (orbitaldebris.jsc.nasa.gov/reentry)</w:t>
            </w:r>
          </w:p>
        </w:tc>
      </w:tr>
      <w:tr>
        <w:tc>
          <w:tcPr>
            <w:tcW w:w="0" w:type="auto"/>
          </w:tcPr>
          <w:p>
            <w:pPr>
              <w:spacing w:line="240" w:lineRule="auto" w:before="0" w:after="0"/>
              <w:pStyle w:val="Compact"/>
            </w:pPr>
            <w:r>
              <w:rPr>
                <w:sz w:val="20"/>
                <w:szCs w:val="20"/>
              </w:rPr>
              <w:t xml:space="preserve">DMSP_F13</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830</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6.7214</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USAF DMSP F-13 breakup Feb 2015; aging derelict at 850 km, no EOL disposal performed (space-track.org DMSP; ESA Space Environment Report 2024)</w:t>
            </w:r>
          </w:p>
        </w:tc>
      </w:tr>
      <w:tr>
        <w:tc>
          <w:tcPr>
            <w:tcW w:w="0" w:type="auto"/>
          </w:tcPr>
          <w:p>
            <w:pPr>
              <w:spacing w:line="240" w:lineRule="auto" w:before="0" w:after="0"/>
              <w:pStyle w:val="Compact"/>
            </w:pPr>
            <w:r>
              <w:rPr>
                <w:sz w:val="20"/>
                <w:szCs w:val="20"/>
              </w:rPr>
              <w:t xml:space="preserve">Starlink_error_batch</w:t>
            </w:r>
          </w:p>
        </w:tc>
        <w:tc>
          <w:tcPr>
            <w:tcW w:w="0" w:type="auto"/>
          </w:tcPr>
          <w:p>
            <w:pPr>
              <w:spacing w:line="240" w:lineRule="auto" w:before="0" w:after="0"/>
              <w:pStyle w:val="Compact"/>
            </w:pPr>
            <w:r>
              <w:rPr>
                <w:sz w:val="20"/>
                <w:szCs w:val="20"/>
              </w:rPr>
              <w:t xml:space="preserve">constellation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5.5607</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DCD/SpaceX 2024; ~100 Starlink deorbited after a discovered</w:t>
            </w:r>
            <w:r>
              <w:rPr>
                <w:sz w:val="20"/>
                <w:szCs w:val="20"/>
              </w:rPr>
              <w:t xml:space="preserve"> </w:t>
            </w:r>
            <w:r>
              <w:rPr>
                <w:sz w:val="20"/>
                <w:szCs w:val="20"/>
              </w:rPr>
              <w:t xml:space="preserve">‘common error’</w:t>
            </w:r>
            <w:r>
              <w:rPr>
                <w:sz w:val="20"/>
                <w:szCs w:val="20"/>
              </w:rPr>
              <w:t xml:space="preserve">, counted as non-nominal disposal batch (datacenterdynamics.com SpaceX to de-orbit 100 Starlink satellites)</w:t>
            </w:r>
          </w:p>
        </w:tc>
      </w:tr>
      <w:tr>
        <w:tc>
          <w:tcPr>
            <w:tcW w:w="0" w:type="auto"/>
          </w:tcPr>
          <w:p>
            <w:pPr>
              <w:spacing w:line="240" w:lineRule="auto" w:before="0" w:after="0"/>
              <w:pStyle w:val="Compact"/>
            </w:pPr>
            <w:r>
              <w:rPr>
                <w:sz w:val="20"/>
                <w:szCs w:val="20"/>
              </w:rPr>
              <w:t xml:space="preserve">ICESat</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6.8024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eoPortal ICESat; laser/battery failure, uncontrolled decay, reentered Aug 2010 without controlled disposal (eoportal.org/satellite-missions/icesat)</w:t>
            </w:r>
          </w:p>
        </w:tc>
      </w:tr>
      <w:tr>
        <w:tc>
          <w:tcPr>
            <w:tcW w:w="0" w:type="auto"/>
          </w:tcPr>
          <w:p>
            <w:pPr>
              <w:spacing w:line="240" w:lineRule="auto" w:before="0" w:after="0"/>
              <w:pStyle w:val="Compact"/>
            </w:pPr>
            <w:r>
              <w:rPr>
                <w:sz w:val="20"/>
                <w:szCs w:val="20"/>
              </w:rPr>
              <w:t xml:space="preserve">Tiangong-2</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8600</w:t>
            </w:r>
          </w:p>
        </w:tc>
        <w:tc>
          <w:tcPr>
            <w:tcW w:w="0" w:type="auto"/>
          </w:tcPr>
          <w:p>
            <w:pPr>
              <w:spacing w:line="240" w:lineRule="auto" w:before="0" w:after="0"/>
              <w:pStyle w:val="Compact"/>
            </w:pPr>
            <w:r>
              <w:rPr>
                <w:sz w:val="20"/>
                <w:szCs w:val="20"/>
              </w:rPr>
              <w:t xml:space="preserve">380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9.0595</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Public record Tiangong-2; controlled deorbit and targeted reentry July 2019 over South Pacific (en.wikipedia.org/wiki/Tiangong-2)</w:t>
            </w:r>
          </w:p>
        </w:tc>
      </w:tr>
      <w:tr>
        <w:tc>
          <w:tcPr>
            <w:tcW w:w="0" w:type="auto"/>
          </w:tcPr>
          <w:p>
            <w:pPr>
              <w:spacing w:line="240" w:lineRule="auto" w:before="0" w:after="0"/>
              <w:pStyle w:val="Compact"/>
            </w:pPr>
            <w:r>
              <w:rPr>
                <w:sz w:val="20"/>
                <w:szCs w:val="20"/>
              </w:rPr>
              <w:t xml:space="preserve">ATV_Jules_Verne</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13000</w:t>
            </w:r>
          </w:p>
        </w:tc>
        <w:tc>
          <w:tcPr>
            <w:tcW w:w="0" w:type="auto"/>
          </w:tcPr>
          <w:p>
            <w:pPr>
              <w:spacing w:line="240" w:lineRule="auto" w:before="0" w:after="0"/>
              <w:pStyle w:val="Compact"/>
            </w:pPr>
            <w:r>
              <w:rPr>
                <w:sz w:val="20"/>
                <w:szCs w:val="20"/>
              </w:rPr>
              <w:t xml:space="preserve">340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9.4727</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ESA ATV Jules Verne; controlled destructive reentry Sept 2008 over South Pacific (esa.int ATV reentry)</w:t>
            </w:r>
          </w:p>
        </w:tc>
      </w:tr>
      <w:tr>
        <w:tc>
          <w:tcPr>
            <w:tcW w:w="0" w:type="auto"/>
          </w:tcPr>
          <w:p>
            <w:pPr>
              <w:spacing w:line="240" w:lineRule="auto" w:before="0" w:after="0"/>
              <w:pStyle w:val="Compact"/>
            </w:pPr>
            <w:r>
              <w:rPr>
                <w:sz w:val="20"/>
                <w:szCs w:val="20"/>
              </w:rPr>
              <w:t xml:space="preserve">RADARSAT-1</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2750</w:t>
            </w:r>
          </w:p>
        </w:tc>
        <w:tc>
          <w:tcPr>
            <w:tcW w:w="0" w:type="auto"/>
          </w:tcPr>
          <w:p>
            <w:pPr>
              <w:spacing w:line="240" w:lineRule="auto" w:before="0" w:after="0"/>
              <w:pStyle w:val="Compact"/>
            </w:pPr>
            <w:r>
              <w:rPr>
                <w:sz w:val="20"/>
                <w:szCs w:val="20"/>
              </w:rPr>
              <w:t xml:space="preserve">798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7.9194</w:t>
            </w:r>
          </w:p>
        </w:tc>
        <w:tc>
          <w:tcPr>
            <w:tcW w:w="0" w:type="auto"/>
          </w:tcPr>
          <w:p>
            <w:pPr>
              <w:spacing w:line="240" w:lineRule="auto" w:before="0" w:after="0"/>
              <w:pStyle w:val="Compact"/>
            </w:pPr>
            <w:r>
              <w:rPr>
                <w:sz w:val="20"/>
                <w:szCs w:val="20"/>
              </w:rPr>
              <w:t xml:space="preserve">7.98</w:t>
            </w:r>
          </w:p>
        </w:tc>
        <w:tc>
          <w:tcPr>
            <w:tcW w:w="0" w:type="auto"/>
          </w:tcPr>
          <w:p>
            <w:pPr>
              <w:spacing w:line="240" w:lineRule="auto" w:before="0" w:after="0"/>
              <w:pStyle w:val="Compact"/>
            </w:pPr>
            <w:r>
              <w:rPr>
                <w:sz w:val="20"/>
                <w:szCs w:val="20"/>
              </w:rPr>
              <w:t xml:space="preserve">CSA RADARSAT-1; failure 2013, no propulsive deorbit at 798 km, long-lived retention (asc-csa.gc.ca/eng/satellites/radarsat1)</w:t>
            </w:r>
          </w:p>
        </w:tc>
      </w:tr>
      <w:tr>
        <w:tc>
          <w:tcPr>
            <w:tcW w:w="0" w:type="auto"/>
          </w:tcPr>
          <w:p>
            <w:pPr>
              <w:spacing w:line="240" w:lineRule="auto" w:before="0" w:after="0"/>
              <w:pStyle w:val="Compact"/>
            </w:pPr>
            <w:r>
              <w:rPr>
                <w:sz w:val="20"/>
                <w:szCs w:val="20"/>
              </w:rPr>
              <w:t xml:space="preserve">Sentinel-1A</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2300</w:t>
            </w:r>
          </w:p>
        </w:tc>
        <w:tc>
          <w:tcPr>
            <w:tcW w:w="0" w:type="auto"/>
          </w:tcPr>
          <w:p>
            <w:pPr>
              <w:spacing w:line="240" w:lineRule="auto" w:before="0" w:after="0"/>
              <w:pStyle w:val="Compact"/>
            </w:pPr>
            <w:r>
              <w:rPr>
                <w:sz w:val="20"/>
                <w:szCs w:val="20"/>
              </w:rPr>
              <w:t xml:space="preserve">693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7.7407</w:t>
            </w:r>
          </w:p>
        </w:tc>
        <w:tc>
          <w:tcPr>
            <w:tcW w:w="0" w:type="auto"/>
          </w:tcPr>
          <w:p>
            <w:pPr>
              <w:spacing w:line="240" w:lineRule="auto" w:before="0" w:after="0"/>
              <w:pStyle w:val="Compact"/>
            </w:pPr>
            <w:r>
              <w:rPr>
                <w:sz w:val="20"/>
                <w:szCs w:val="20"/>
              </w:rPr>
              <w:t xml:space="preserve">6.93</w:t>
            </w:r>
          </w:p>
        </w:tc>
        <w:tc>
          <w:tcPr>
            <w:tcW w:w="0" w:type="auto"/>
          </w:tcPr>
          <w:p>
            <w:pPr>
              <w:spacing w:line="240" w:lineRule="auto" w:before="0" w:after="0"/>
              <w:pStyle w:val="Compact"/>
            </w:pPr>
            <w:r>
              <w:rPr>
                <w:sz w:val="20"/>
                <w:szCs w:val="20"/>
              </w:rPr>
              <w:t xml:space="preserve">ESA Copernicus Sentinel-1 design carries reserved propellant for EOL deorbit to a 25-yr decay orbit (esa.int Copernicus Sentinel-1 mission)</w:t>
            </w:r>
          </w:p>
        </w:tc>
      </w:tr>
      <w:tr>
        <w:tc>
          <w:tcPr>
            <w:tcW w:w="0" w:type="auto"/>
          </w:tcPr>
          <w:p>
            <w:pPr>
              <w:spacing w:line="240" w:lineRule="auto" w:before="0" w:after="0"/>
              <w:pStyle w:val="Compact"/>
            </w:pPr>
            <w:r>
              <w:rPr>
                <w:sz w:val="20"/>
                <w:szCs w:val="20"/>
              </w:rPr>
              <w:t xml:space="preserve">Cryosat-2</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717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6.5793</w:t>
            </w:r>
          </w:p>
        </w:tc>
        <w:tc>
          <w:tcPr>
            <w:tcW w:w="0" w:type="auto"/>
          </w:tcPr>
          <w:p>
            <w:pPr>
              <w:spacing w:line="240" w:lineRule="auto" w:before="0" w:after="0"/>
              <w:pStyle w:val="Compact"/>
            </w:pPr>
            <w:r>
              <w:rPr>
                <w:sz w:val="20"/>
                <w:szCs w:val="20"/>
              </w:rPr>
              <w:t xml:space="preserve">7.17</w:t>
            </w:r>
          </w:p>
        </w:tc>
        <w:tc>
          <w:tcPr>
            <w:tcW w:w="0" w:type="auto"/>
          </w:tcPr>
          <w:p>
            <w:pPr>
              <w:spacing w:line="240" w:lineRule="auto" w:before="0" w:after="0"/>
              <w:pStyle w:val="Compact"/>
            </w:pPr>
            <w:r>
              <w:rPr>
                <w:sz w:val="20"/>
                <w:szCs w:val="20"/>
              </w:rPr>
              <w:t xml:space="preserve">ESA CryoSat-2; mission carries deorbit propellant reserve to lower perigee at EOL (esa.int CryoSat mission) [illustrative reserve value]</w:t>
            </w:r>
          </w:p>
        </w:tc>
      </w:tr>
      <w:tr>
        <w:tc>
          <w:tcPr>
            <w:tcW w:w="0" w:type="auto"/>
          </w:tcPr>
          <w:p>
            <w:pPr>
              <w:spacing w:line="240" w:lineRule="auto" w:before="0" w:after="0"/>
              <w:pStyle w:val="Compact"/>
            </w:pPr>
            <w:r>
              <w:rPr>
                <w:sz w:val="20"/>
                <w:szCs w:val="20"/>
              </w:rPr>
              <w:t xml:space="preserve">Sentinel-2A</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1140</w:t>
            </w:r>
          </w:p>
        </w:tc>
        <w:tc>
          <w:tcPr>
            <w:tcW w:w="0" w:type="auto"/>
          </w:tcPr>
          <w:p>
            <w:pPr>
              <w:spacing w:line="240" w:lineRule="auto" w:before="0" w:after="0"/>
              <w:pStyle w:val="Compact"/>
            </w:pPr>
            <w:r>
              <w:rPr>
                <w:sz w:val="20"/>
                <w:szCs w:val="20"/>
              </w:rPr>
              <w:t xml:space="preserve">786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7.0388</w:t>
            </w:r>
          </w:p>
        </w:tc>
        <w:tc>
          <w:tcPr>
            <w:tcW w:w="0" w:type="auto"/>
          </w:tcPr>
          <w:p>
            <w:pPr>
              <w:spacing w:line="240" w:lineRule="auto" w:before="0" w:after="0"/>
              <w:pStyle w:val="Compact"/>
            </w:pPr>
            <w:r>
              <w:rPr>
                <w:sz w:val="20"/>
                <w:szCs w:val="20"/>
              </w:rPr>
              <w:t xml:space="preserve">7.86</w:t>
            </w:r>
          </w:p>
        </w:tc>
        <w:tc>
          <w:tcPr>
            <w:tcW w:w="0" w:type="auto"/>
          </w:tcPr>
          <w:p>
            <w:pPr>
              <w:spacing w:line="240" w:lineRule="auto" w:before="0" w:after="0"/>
              <w:pStyle w:val="Compact"/>
            </w:pPr>
            <w:r>
              <w:rPr>
                <w:sz w:val="20"/>
                <w:szCs w:val="20"/>
              </w:rPr>
              <w:t xml:space="preserve">ESA Copernicus Sentinel-2 design includes EOL deorbit reserve to meet the 25-yr rule (esa.int Copernicus Sentinel-2 mission)</w:t>
            </w:r>
          </w:p>
        </w:tc>
      </w:tr>
      <w:tr>
        <w:tc>
          <w:tcPr>
            <w:tcW w:w="0" w:type="auto"/>
          </w:tcPr>
          <w:p>
            <w:pPr>
              <w:spacing w:line="240" w:lineRule="auto" w:before="0" w:after="0"/>
              <w:pStyle w:val="Compact"/>
            </w:pPr>
            <w:r>
              <w:rPr>
                <w:sz w:val="20"/>
                <w:szCs w:val="20"/>
              </w:rPr>
              <w:t xml:space="preserve">Iridium33_legacy</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560</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6.3279</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NASA ODPO; Iridium-33 collision-destroyed 2009, first-gen had no propulsive disposal plan at 780 km (orbitaldebris.jsc.nasa.gov/reentry)</w:t>
            </w:r>
          </w:p>
        </w:tc>
      </w:tr>
      <w:tr>
        <w:tc>
          <w:tcPr>
            <w:tcW w:w="0" w:type="auto"/>
          </w:tcPr>
          <w:p>
            <w:pPr>
              <w:spacing w:line="240" w:lineRule="auto" w:before="0" w:after="0"/>
              <w:pStyle w:val="Compact"/>
            </w:pPr>
            <w:r>
              <w:rPr>
                <w:sz w:val="20"/>
                <w:szCs w:val="20"/>
              </w:rPr>
              <w:t xml:space="preserve">Iridium_NEXT</w:t>
            </w:r>
          </w:p>
        </w:tc>
        <w:tc>
          <w:tcPr>
            <w:tcW w:w="0" w:type="auto"/>
          </w:tcPr>
          <w:p>
            <w:pPr>
              <w:spacing w:line="240" w:lineRule="auto" w:before="0" w:after="0"/>
              <w:pStyle w:val="Compact"/>
            </w:pPr>
            <w:r>
              <w:rPr>
                <w:sz w:val="20"/>
                <w:szCs w:val="20"/>
              </w:rPr>
              <w:t xml:space="preserve">constellation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860</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6.7569</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eoPortal Iridium-NEXT; replenishment with disposal burns lowering retired satellites to decay (eoportal.org/satellite-missions/iridium-next)</w:t>
            </w:r>
          </w:p>
        </w:tc>
      </w:tr>
      <w:tr>
        <w:tc>
          <w:tcPr>
            <w:tcW w:w="0" w:type="auto"/>
          </w:tcPr>
          <w:p>
            <w:pPr>
              <w:spacing w:line="240" w:lineRule="auto" w:before="0" w:after="0"/>
              <w:pStyle w:val="Compact"/>
            </w:pPr>
            <w:r>
              <w:rPr>
                <w:sz w:val="20"/>
                <w:szCs w:val="20"/>
              </w:rPr>
              <w:t xml:space="preserve">Sentinel-3A</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1150</w:t>
            </w:r>
          </w:p>
        </w:tc>
        <w:tc>
          <w:tcPr>
            <w:tcW w:w="0" w:type="auto"/>
          </w:tcPr>
          <w:p>
            <w:pPr>
              <w:spacing w:line="240" w:lineRule="auto" w:before="0" w:after="0"/>
              <w:pStyle w:val="Compact"/>
            </w:pPr>
            <w:r>
              <w:rPr>
                <w:sz w:val="20"/>
                <w:szCs w:val="20"/>
              </w:rPr>
              <w:t xml:space="preserve">815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7.0475</w:t>
            </w:r>
          </w:p>
        </w:tc>
        <w:tc>
          <w:tcPr>
            <w:tcW w:w="0" w:type="auto"/>
          </w:tcPr>
          <w:p>
            <w:pPr>
              <w:spacing w:line="240" w:lineRule="auto" w:before="0" w:after="0"/>
              <w:pStyle w:val="Compact"/>
            </w:pPr>
            <w:r>
              <w:rPr>
                <w:sz w:val="20"/>
                <w:szCs w:val="20"/>
              </w:rPr>
              <w:t xml:space="preserve">8.15</w:t>
            </w:r>
          </w:p>
        </w:tc>
        <w:tc>
          <w:tcPr>
            <w:tcW w:w="0" w:type="auto"/>
          </w:tcPr>
          <w:p>
            <w:pPr>
              <w:spacing w:line="240" w:lineRule="auto" w:before="0" w:after="0"/>
              <w:pStyle w:val="Compact"/>
            </w:pPr>
            <w:r>
              <w:rPr>
                <w:sz w:val="20"/>
                <w:szCs w:val="20"/>
              </w:rPr>
              <w:t xml:space="preserve">ESA Copernicus Sentinel-3 design carries EOL deorbit propellant reserve (esa.int Copernicus Sentinel-3 mission) [illustrative reserve value]</w:t>
            </w:r>
          </w:p>
        </w:tc>
      </w:tr>
      <w:tr>
        <w:tc>
          <w:tcPr>
            <w:tcW w:w="0" w:type="auto"/>
          </w:tcPr>
          <w:p>
            <w:pPr>
              <w:spacing w:line="240" w:lineRule="auto" w:before="0" w:after="0"/>
              <w:pStyle w:val="Compact"/>
            </w:pPr>
            <w:r>
              <w:rPr>
                <w:sz w:val="20"/>
                <w:szCs w:val="20"/>
              </w:rPr>
              <w:t xml:space="preserve">Spektr_RG_excluded</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2712</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7.9054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Public record; high-energy science platform with no LEO disposal capability, non-disposal control [illustrative perigee value]</w:t>
            </w:r>
          </w:p>
        </w:tc>
      </w:tr>
      <w:tr>
        <w:tc>
          <w:tcPr>
            <w:tcW w:w="0" w:type="auto"/>
          </w:tcPr>
          <w:p>
            <w:pPr>
              <w:spacing w:line="240" w:lineRule="auto" w:before="0" w:after="0"/>
              <w:pStyle w:val="Compact"/>
            </w:pPr>
            <w:r>
              <w:rPr>
                <w:sz w:val="20"/>
                <w:szCs w:val="20"/>
              </w:rPr>
              <w:t xml:space="preserve">Fengyun1C</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6.8565</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NASA ODPO; FY-1C ASAT-destroyed 2007 derelict at 850 km, no disposal (orbitaldebris.jsc.nasa.gov/reentry)</w:t>
            </w:r>
          </w:p>
        </w:tc>
      </w:tr>
      <w:tr>
        <w:tc>
          <w:tcPr>
            <w:tcW w:w="0" w:type="auto"/>
          </w:tcPr>
          <w:p>
            <w:pPr>
              <w:spacing w:line="240" w:lineRule="auto" w:before="0" w:after="0"/>
              <w:pStyle w:val="Compact"/>
            </w:pPr>
            <w:r>
              <w:rPr>
                <w:sz w:val="20"/>
                <w:szCs w:val="20"/>
              </w:rPr>
              <w:t xml:space="preserve">Aqua</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2934</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7.9841</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NASA Aqua; large EO platform, no propulsive deorbit capability, long natural-decay retention at 705 km (nasa.gov Aqua mission)</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pmd_success</w:t>
            </w:r>
          </w:p>
        </w:tc>
        <w:tc>
          <w:tcPr>
            <w:tcW w:w="0" w:type="auto"/>
          </w:tcPr>
          <w:p>
            <w:pPr>
              <w:spacing w:line="240" w:lineRule="auto" w:before="0" w:after="0"/>
              <w:pStyle w:val="Compact"/>
            </w:pPr>
            <w:r>
              <w:rPr>
                <w:sz w:val="20"/>
                <w:szCs w:val="20"/>
              </w:rPr>
              <w:t xml:space="preserve">Binary outcome: 1 if the object completed post-mission disposal (controlled, assisted, or targeted reentry, or natural decay achieving compliance), 0 if it became a long-lived retained derelict or reentered uncontrolled without disposal</w:t>
            </w:r>
          </w:p>
        </w:tc>
        <w:tc>
          <w:tcPr>
            <w:tcW w:w="0" w:type="auto"/>
          </w:tcPr>
          <w:p>
            <w:pPr>
              <w:spacing w:line="240" w:lineRule="auto" w:before="0" w:after="0"/>
              <w:pStyle w:val="Compact"/>
            </w:pPr>
            <w:r>
              <w:rPr>
                <w:sz w:val="20"/>
                <w:szCs w:val="20"/>
              </w:rPr>
              <w:t xml:space="preserve">Coded from per-object mission records: ESA, NASA Orbital Debris Program Office, eoPortal, operator disclosures</w:t>
            </w:r>
          </w:p>
        </w:tc>
      </w:tr>
      <w:tr>
        <w:tc>
          <w:tcPr>
            <w:tcW w:w="0" w:type="auto"/>
          </w:tcPr>
          <w:p>
            <w:pPr>
              <w:spacing w:line="240" w:lineRule="auto" w:before="0" w:after="0"/>
              <w:pStyle w:val="Compact"/>
            </w:pPr>
            <w:r>
              <w:rPr>
                <w:sz w:val="20"/>
                <w:szCs w:val="20"/>
              </w:rPr>
              <w:t xml:space="preserve">has_propulsion</w:t>
            </w:r>
          </w:p>
        </w:tc>
        <w:tc>
          <w:tcPr>
            <w:tcW w:w="0" w:type="auto"/>
          </w:tcPr>
          <w:p>
            <w:pPr>
              <w:spacing w:line="240" w:lineRule="auto" w:before="0" w:after="0"/>
              <w:pStyle w:val="Compact"/>
            </w:pPr>
            <w:r>
              <w:rPr>
                <w:sz w:val="20"/>
                <w:szCs w:val="20"/>
              </w:rPr>
              <w:t xml:space="preserve">Capability indicator: 1 if the object had a documented active disposal capability (propulsion or drag device usable for deorbit), 0 otherwise</w:t>
            </w:r>
          </w:p>
        </w:tc>
        <w:tc>
          <w:tcPr>
            <w:tcW w:w="0" w:type="auto"/>
          </w:tcPr>
          <w:p>
            <w:pPr>
              <w:spacing w:line="240" w:lineRule="auto" w:before="0" w:after="0"/>
              <w:pStyle w:val="Compact"/>
            </w:pPr>
            <w:r>
              <w:rPr>
                <w:sz w:val="20"/>
                <w:szCs w:val="20"/>
              </w:rPr>
              <w:t xml:space="preserve">Mission specifications via eoPortal, ESA, operator demisability filings</w:t>
            </w:r>
          </w:p>
        </w:tc>
      </w:tr>
      <w:tr>
        <w:tc>
          <w:tcPr>
            <w:tcW w:w="0" w:type="auto"/>
          </w:tcPr>
          <w:p>
            <w:pPr>
              <w:spacing w:line="240" w:lineRule="auto" w:before="0" w:after="0"/>
              <w:pStyle w:val="Compact"/>
            </w:pPr>
            <w:r>
              <w:rPr>
                <w:sz w:val="20"/>
                <w:szCs w:val="20"/>
              </w:rPr>
              <w:t xml:space="preserve">alt_100km</w:t>
            </w:r>
          </w:p>
        </w:tc>
        <w:tc>
          <w:tcPr>
            <w:tcW w:w="0" w:type="auto"/>
          </w:tcPr>
          <w:p>
            <w:pPr>
              <w:spacing w:line="240" w:lineRule="auto" w:before="0" w:after="0"/>
              <w:pStyle w:val="Compact"/>
            </w:pPr>
            <w:r>
              <w:rPr>
                <w:sz w:val="20"/>
                <w:szCs w:val="20"/>
              </w:rPr>
              <w:t xml:space="preserve">Operational altitude in hundreds of kilometers; proxy for the strength of the natural drag-decay environment</w:t>
            </w:r>
          </w:p>
        </w:tc>
        <w:tc>
          <w:tcPr>
            <w:tcW w:w="0" w:type="auto"/>
          </w:tcPr>
          <w:p>
            <w:pPr>
              <w:spacing w:line="240" w:lineRule="auto" w:before="0" w:after="0"/>
              <w:pStyle w:val="Compact"/>
            </w:pPr>
            <w:r>
              <w:rPr>
                <w:sz w:val="20"/>
                <w:szCs w:val="20"/>
              </w:rPr>
              <w:t xml:space="preserve">ESA, eoPortal, and Space-Track orbital records</w:t>
            </w:r>
          </w:p>
        </w:tc>
      </w:tr>
      <w:tr>
        <w:tc>
          <w:tcPr>
            <w:tcW w:w="0" w:type="auto"/>
          </w:tcPr>
          <w:p>
            <w:pPr>
              <w:spacing w:line="240" w:lineRule="auto" w:before="0" w:after="0"/>
              <w:pStyle w:val="Compact"/>
            </w:pPr>
            <w:r>
              <w:rPr>
                <w:sz w:val="20"/>
                <w:szCs w:val="20"/>
              </w:rPr>
              <w:t xml:space="preserve">post2020</w:t>
            </w:r>
          </w:p>
        </w:tc>
        <w:tc>
          <w:tcPr>
            <w:tcW w:w="0" w:type="auto"/>
          </w:tcPr>
          <w:p>
            <w:pPr>
              <w:spacing w:line="240" w:lineRule="auto" w:before="0" w:after="0"/>
              <w:pStyle w:val="Compact"/>
            </w:pPr>
            <w:r>
              <w:rPr>
                <w:sz w:val="20"/>
                <w:szCs w:val="20"/>
              </w:rPr>
              <w:t xml:space="preserve">Regime-salience and cost-internalization era indicator: 1 if the disposal event or governing license falls in the post-2020 period of stricter five-year disposal rules, 0 for the earlier 25-year regime</w:t>
            </w:r>
          </w:p>
        </w:tc>
        <w:tc>
          <w:tcPr>
            <w:tcW w:w="0" w:type="auto"/>
          </w:tcPr>
          <w:p>
            <w:pPr>
              <w:spacing w:line="240" w:lineRule="auto" w:before="0" w:after="0"/>
              <w:pStyle w:val="Compact"/>
            </w:pPr>
            <w:r>
              <w:rPr>
                <w:sz w:val="20"/>
                <w:szCs w:val="20"/>
              </w:rPr>
              <w:t xml:space="preserve">ESA Space Environment Report 2024; FCC five-year disposal rule</w:t>
            </w:r>
          </w:p>
        </w:tc>
      </w:tr>
      <w:tr>
        <w:tc>
          <w:tcPr>
            <w:tcW w:w="0" w:type="auto"/>
          </w:tcPr>
          <w:p>
            <w:pPr>
              <w:spacing w:line="240" w:lineRule="auto" w:before="0" w:after="0"/>
              <w:pStyle w:val="Compact"/>
            </w:pPr>
            <w:r>
              <w:rPr>
                <w:sz w:val="20"/>
                <w:szCs w:val="20"/>
              </w:rPr>
              <w:t xml:space="preserve">constellation_op</w:t>
            </w:r>
          </w:p>
        </w:tc>
        <w:tc>
          <w:tcPr>
            <w:tcW w:w="0" w:type="auto"/>
          </w:tcPr>
          <w:p>
            <w:pPr>
              <w:spacing w:line="240" w:lineRule="auto" w:before="0" w:after="0"/>
              <w:pStyle w:val="Compact"/>
            </w:pPr>
            <w:r>
              <w:rPr>
                <w:sz w:val="20"/>
                <w:szCs w:val="20"/>
              </w:rPr>
              <w:t xml:space="preserve">Reported covariate: 1 if a large-constellation operator, 0 otherwise (excluded from the estimated specification due to quasi-complete separation with the era indicator)</w:t>
            </w:r>
          </w:p>
        </w:tc>
        <w:tc>
          <w:tcPr>
            <w:tcW w:w="0" w:type="auto"/>
          </w:tcPr>
          <w:p>
            <w:pPr>
              <w:spacing w:line="240" w:lineRule="auto" w:before="0" w:after="0"/>
              <w:pStyle w:val="Compact"/>
            </w:pPr>
            <w:r>
              <w:rPr>
                <w:sz w:val="20"/>
                <w:szCs w:val="20"/>
              </w:rPr>
              <w:t xml:space="preserve">Operator identity via eoPortal and operator filings</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-2.7761</w:t>
            </w:r>
          </w:p>
        </w:tc>
        <w:tc>
          <w:tcPr>
            <w:tcW w:w="0" w:type="auto"/>
          </w:tcPr>
          <w:p>
            <w:pPr>
              <w:spacing w:line="240" w:lineRule="auto" w:before="0" w:after="0"/>
              <w:pStyle w:val="Compact"/>
            </w:pPr>
            <w:r>
              <w:rPr>
                <w:sz w:val="20"/>
                <w:szCs w:val="20"/>
              </w:rPr>
              <w:t xml:space="preserve">2.2498</w:t>
            </w:r>
          </w:p>
        </w:tc>
        <w:tc>
          <w:tcPr>
            <w:tcW w:w="0" w:type="auto"/>
          </w:tcPr>
          <w:p>
            <w:pPr>
              <w:spacing w:line="240" w:lineRule="auto" w:before="0" w:after="0"/>
              <w:pStyle w:val="Compact"/>
            </w:pPr>
            <w:r>
              <w:rPr>
                <w:sz w:val="20"/>
                <w:szCs w:val="20"/>
              </w:rPr>
              <w:t xml:space="preserve">-1.2339</w:t>
            </w:r>
          </w:p>
        </w:tc>
        <w:tc>
          <w:tcPr>
            <w:tcW w:w="0" w:type="auto"/>
          </w:tcPr>
          <w:p>
            <w:pPr>
              <w:spacing w:line="240" w:lineRule="auto" w:before="0" w:after="0"/>
              <w:pStyle w:val="Compact"/>
            </w:pPr>
            <w:r>
              <w:rPr>
                <w:sz w:val="20"/>
                <w:szCs w:val="20"/>
              </w:rPr>
              <w:t xml:space="preserve">0.2172</w:t>
            </w:r>
          </w:p>
        </w:tc>
        <w:tc>
          <w:tcPr>
            <w:tcW w:w="0" w:type="auto"/>
          </w:tcPr>
          <w:p>
            <w:pPr>
              <w:spacing w:line="240" w:lineRule="auto" w:before="0" w:after="0"/>
              <w:pStyle w:val="Compact"/>
            </w:pPr>
            <w:r>
              <w:rPr>
                <w:sz w:val="20"/>
                <w:szCs w:val="20"/>
              </w:rPr>
              <w:t xml:space="preserve">[-7.1856, 1.6335]</w:t>
            </w:r>
          </w:p>
        </w:tc>
      </w:tr>
      <w:tr>
        <w:tc>
          <w:tcPr>
            <w:tcW w:w="0" w:type="auto"/>
          </w:tcPr>
          <w:p>
            <w:pPr>
              <w:spacing w:line="240" w:lineRule="auto" w:before="0" w:after="0"/>
              <w:pStyle w:val="Compact"/>
            </w:pPr>
            <w:r>
              <w:rPr>
                <w:sz w:val="20"/>
                <w:szCs w:val="20"/>
              </w:rPr>
              <w:t xml:space="preserve">has_propulsion</w:t>
            </w:r>
          </w:p>
        </w:tc>
        <w:tc>
          <w:tcPr>
            <w:tcW w:w="0" w:type="auto"/>
          </w:tcPr>
          <w:p>
            <w:pPr>
              <w:spacing w:line="240" w:lineRule="auto" w:before="0" w:after="0"/>
              <w:pStyle w:val="Compact"/>
            </w:pPr>
            <w:r>
              <w:rPr>
                <w:sz w:val="20"/>
                <w:szCs w:val="20"/>
              </w:rPr>
              <w:t xml:space="preserve">4.9099</w:t>
            </w:r>
          </w:p>
        </w:tc>
        <w:tc>
          <w:tcPr>
            <w:tcW w:w="0" w:type="auto"/>
          </w:tcPr>
          <w:p>
            <w:pPr>
              <w:spacing w:line="240" w:lineRule="auto" w:before="0" w:after="0"/>
              <w:pStyle w:val="Compact"/>
            </w:pPr>
            <w:r>
              <w:rPr>
                <w:sz w:val="20"/>
                <w:szCs w:val="20"/>
              </w:rPr>
              <w:t xml:space="preserve">1.5905</w:t>
            </w:r>
          </w:p>
        </w:tc>
        <w:tc>
          <w:tcPr>
            <w:tcW w:w="0" w:type="auto"/>
          </w:tcPr>
          <w:p>
            <w:pPr>
              <w:spacing w:line="240" w:lineRule="auto" w:before="0" w:after="0"/>
              <w:pStyle w:val="Compact"/>
            </w:pPr>
            <w:r>
              <w:rPr>
                <w:sz w:val="20"/>
                <w:szCs w:val="20"/>
              </w:rPr>
              <w:t xml:space="preserve">3.0871</w:t>
            </w:r>
          </w:p>
        </w:tc>
        <w:tc>
          <w:tcPr>
            <w:tcW w:w="0" w:type="auto"/>
          </w:tcPr>
          <w:p>
            <w:pPr>
              <w:spacing w:line="240" w:lineRule="auto" w:before="0" w:after="0"/>
              <w:pStyle w:val="Compact"/>
            </w:pPr>
            <w:r>
              <w:rPr>
                <w:sz w:val="20"/>
                <w:szCs w:val="20"/>
              </w:rPr>
              <w:t xml:space="preserve">0.002</w:t>
            </w:r>
          </w:p>
        </w:tc>
        <w:tc>
          <w:tcPr>
            <w:tcW w:w="0" w:type="auto"/>
          </w:tcPr>
          <w:p>
            <w:pPr>
              <w:spacing w:line="240" w:lineRule="auto" w:before="0" w:after="0"/>
              <w:pStyle w:val="Compact"/>
            </w:pPr>
            <w:r>
              <w:rPr>
                <w:sz w:val="20"/>
                <w:szCs w:val="20"/>
              </w:rPr>
              <w:t xml:space="preserve">[1.7927, 8.0272]</w:t>
            </w:r>
          </w:p>
        </w:tc>
      </w:tr>
      <w:tr>
        <w:tc>
          <w:tcPr>
            <w:tcW w:w="0" w:type="auto"/>
          </w:tcPr>
          <w:p>
            <w:pPr>
              <w:spacing w:line="240" w:lineRule="auto" w:before="0" w:after="0"/>
              <w:pStyle w:val="Compact"/>
            </w:pPr>
            <w:r>
              <w:rPr>
                <w:sz w:val="20"/>
                <w:szCs w:val="20"/>
              </w:rPr>
              <w:t xml:space="preserve">alt_100km</w:t>
            </w:r>
          </w:p>
        </w:tc>
        <w:tc>
          <w:tcPr>
            <w:tcW w:w="0" w:type="auto"/>
          </w:tcPr>
          <w:p>
            <w:pPr>
              <w:spacing w:line="240" w:lineRule="auto" w:before="0" w:after="0"/>
              <w:pStyle w:val="Compact"/>
            </w:pPr>
            <w:r>
              <w:rPr>
                <w:sz w:val="20"/>
                <w:szCs w:val="20"/>
              </w:rPr>
              <w:t xml:space="preserve">-0.041</w:t>
            </w:r>
          </w:p>
        </w:tc>
        <w:tc>
          <w:tcPr>
            <w:tcW w:w="0" w:type="auto"/>
          </w:tcPr>
          <w:p>
            <w:pPr>
              <w:spacing w:line="240" w:lineRule="auto" w:before="0" w:after="0"/>
              <w:pStyle w:val="Compact"/>
            </w:pPr>
            <w:r>
              <w:rPr>
                <w:sz w:val="20"/>
                <w:szCs w:val="20"/>
              </w:rPr>
              <w:t xml:space="preserve">0.2847</w:t>
            </w:r>
          </w:p>
        </w:tc>
        <w:tc>
          <w:tcPr>
            <w:tcW w:w="0" w:type="auto"/>
          </w:tcPr>
          <w:p>
            <w:pPr>
              <w:spacing w:line="240" w:lineRule="auto" w:before="0" w:after="0"/>
              <w:pStyle w:val="Compact"/>
            </w:pPr>
            <w:r>
              <w:rPr>
                <w:sz w:val="20"/>
                <w:szCs w:val="20"/>
              </w:rPr>
              <w:t xml:space="preserve">-0.1442</w:t>
            </w:r>
          </w:p>
        </w:tc>
        <w:tc>
          <w:tcPr>
            <w:tcW w:w="0" w:type="auto"/>
          </w:tcPr>
          <w:p>
            <w:pPr>
              <w:spacing w:line="240" w:lineRule="auto" w:before="0" w:after="0"/>
              <w:pStyle w:val="Compact"/>
            </w:pPr>
            <w:r>
              <w:rPr>
                <w:sz w:val="20"/>
                <w:szCs w:val="20"/>
              </w:rPr>
              <w:t xml:space="preserve">0.8854</w:t>
            </w:r>
          </w:p>
        </w:tc>
        <w:tc>
          <w:tcPr>
            <w:tcW w:w="0" w:type="auto"/>
          </w:tcPr>
          <w:p>
            <w:pPr>
              <w:spacing w:line="240" w:lineRule="auto" w:before="0" w:after="0"/>
              <w:pStyle w:val="Compact"/>
            </w:pPr>
            <w:r>
              <w:rPr>
                <w:sz w:val="20"/>
                <w:szCs w:val="20"/>
              </w:rPr>
              <w:t xml:space="preserve">[-0.599, 0.5169]</w:t>
            </w:r>
          </w:p>
        </w:tc>
      </w:tr>
      <w:tr>
        <w:tc>
          <w:tcPr>
            <w:tcW w:w="0" w:type="auto"/>
          </w:tcPr>
          <w:p>
            <w:pPr>
              <w:spacing w:line="240" w:lineRule="auto" w:before="0" w:after="0"/>
              <w:pStyle w:val="Compact"/>
            </w:pPr>
            <w:r>
              <w:rPr>
                <w:sz w:val="20"/>
                <w:szCs w:val="20"/>
              </w:rPr>
              <w:t xml:space="preserve">post2020</w:t>
            </w:r>
          </w:p>
        </w:tc>
        <w:tc>
          <w:tcPr>
            <w:tcW w:w="0" w:type="auto"/>
          </w:tcPr>
          <w:p>
            <w:pPr>
              <w:spacing w:line="240" w:lineRule="auto" w:before="0" w:after="0"/>
              <w:pStyle w:val="Compact"/>
            </w:pPr>
            <w:r>
              <w:rPr>
                <w:sz w:val="20"/>
                <w:szCs w:val="20"/>
              </w:rPr>
              <w:t xml:space="preserve">1.6125</w:t>
            </w:r>
          </w:p>
        </w:tc>
        <w:tc>
          <w:tcPr>
            <w:tcW w:w="0" w:type="auto"/>
          </w:tcPr>
          <w:p>
            <w:pPr>
              <w:spacing w:line="240" w:lineRule="auto" w:before="0" w:after="0"/>
              <w:pStyle w:val="Compact"/>
            </w:pPr>
            <w:r>
              <w:rPr>
                <w:sz w:val="20"/>
                <w:szCs w:val="20"/>
              </w:rPr>
              <w:t xml:space="preserve">1.5599</w:t>
            </w:r>
          </w:p>
        </w:tc>
        <w:tc>
          <w:tcPr>
            <w:tcW w:w="0" w:type="auto"/>
          </w:tcPr>
          <w:p>
            <w:pPr>
              <w:spacing w:line="240" w:lineRule="auto" w:before="0" w:after="0"/>
              <w:pStyle w:val="Compact"/>
            </w:pPr>
            <w:r>
              <w:rPr>
                <w:sz w:val="20"/>
                <w:szCs w:val="20"/>
              </w:rPr>
              <w:t xml:space="preserve">1.0338</w:t>
            </w:r>
          </w:p>
        </w:tc>
        <w:tc>
          <w:tcPr>
            <w:tcW w:w="0" w:type="auto"/>
          </w:tcPr>
          <w:p>
            <w:pPr>
              <w:spacing w:line="240" w:lineRule="auto" w:before="0" w:after="0"/>
              <w:pStyle w:val="Compact"/>
            </w:pPr>
            <w:r>
              <w:rPr>
                <w:sz w:val="20"/>
                <w:szCs w:val="20"/>
              </w:rPr>
              <w:t xml:space="preserve">0.3013</w:t>
            </w:r>
          </w:p>
        </w:tc>
        <w:tc>
          <w:tcPr>
            <w:tcW w:w="0" w:type="auto"/>
          </w:tcPr>
          <w:p>
            <w:pPr>
              <w:spacing w:line="240" w:lineRule="auto" w:before="0" w:after="0"/>
              <w:pStyle w:val="Compact"/>
            </w:pPr>
            <w:r>
              <w:rPr>
                <w:sz w:val="20"/>
                <w:szCs w:val="20"/>
              </w:rPr>
              <w:t xml:space="preserve">[-1.4448, 4.6697]</w:t>
            </w:r>
          </w:p>
        </w:tc>
      </w:tr>
    </w:tbl>
    <w:p>
      <w:pPr>
        <w:pStyle w:val="BodyText"/>
      </w:pPr>
      <w:r>
        <w:t xml:space="preserve">Fit: N = 34 pseudo_R2 = 0.6983 LL = -7.0918</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68" Target="https://doi.org/10.1016/j.actaastro.2021.03.030" TargetMode="External" /><Relationship Type="http://schemas.openxmlformats.org/officeDocument/2006/relationships/hyperlink" Id="rId75" Target="https://doi.org/10.1016/j.actaastro.2022.05.045" TargetMode="External" /><Relationship Type="http://schemas.openxmlformats.org/officeDocument/2006/relationships/hyperlink" Id="rId70" Target="https://doi.org/10.1016/j.actaastro.2024.03.002" TargetMode="External" /><Relationship Type="http://schemas.openxmlformats.org/officeDocument/2006/relationships/hyperlink" Id="rId77" Target="https://doi.org/10.1016/j.actaastro.2025.01.043" TargetMode="External" /></Relationships>
</file>

<file path=word/_rels/footnotes.xml.rels><?xml version="1.0" encoding="UTF-8"?><Relationships xmlns="http://schemas.openxmlformats.org/package/2006/relationships"><Relationship Type="http://schemas.openxmlformats.org/officeDocument/2006/relationships/hyperlink" Id="rId68" Target="https://doi.org/10.1016/j.actaastro.2021.03.030" TargetMode="External" /><Relationship Type="http://schemas.openxmlformats.org/officeDocument/2006/relationships/hyperlink" Id="rId75" Target="https://doi.org/10.1016/j.actaastro.2022.05.045" TargetMode="External" /><Relationship Type="http://schemas.openxmlformats.org/officeDocument/2006/relationships/hyperlink" Id="rId70" Target="https://doi.org/10.1016/j.actaastro.2024.03.002" TargetMode="External" /><Relationship Type="http://schemas.openxmlformats.org/officeDocument/2006/relationships/hyperlink" Id="rId77" Target="https://doi.org/10.1016/j.actaastro.2025.01.04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2026-06-26T16:46:04Z</dcterms:created>
  <dcterms:modified xsi:type="dcterms:W3CDTF">2026-06-26T16:46:04Z</dcterms:modified>
</cp:coreProperties>
</file>

<file path=docProps/custom.xml><?xml version="1.0" encoding="utf-8"?>
<Properties xmlns="http://schemas.openxmlformats.org/officeDocument/2006/custom-properties" xmlns:vt="http://schemas.openxmlformats.org/officeDocument/2006/docPropsVTypes"/>
</file>