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5" w:name="X91540405ca8565c1bace520bb6c54d55fec6b4a"/>
    <w:p>
      <w:pPr>
        <w:pStyle w:val="Heading1"/>
      </w:pPr>
      <w:r>
        <w:t xml:space="preserve">The Free-Rider Signature in Post-Mission Disposal: An Operator-Cohort Test of the Collective-Action Account of the LEO Disposal Gap</w:t>
      </w:r>
    </w:p>
    <w:bookmarkStart w:id="61" w:name="introduction"/>
    <w:p>
      <w:pPr>
        <w:pStyle w:val="Heading2"/>
      </w:pPr>
      <w:r>
        <w:t xml:space="preserve">1. Introduction</w:t>
      </w:r>
    </w:p>
    <w:p>
      <w:pPr>
        <w:pStyle w:val="FirstParagraph"/>
      </w:pPr>
      <w:r>
        <w:t xml:space="preserve">Post-mission disposal is the behavior on which the long-run sustainability of low Earth orbit most depends, and it is the behavior that operators most reliably fail to perform in full. The disposal guidelines define the methods, principally controlled or natural-decay removal of a structure from the protected regions at end of life</w:t>
      </w:r>
      <w:r>
        <w:t xml:space="preserve"> </w:t>
      </w:r>
      <w:hyperlink w:anchor="ref-3">
        <m:oMathPara>
          <m:oMathParaPr>
            <m:jc m:val="center"/>
          </m:oMathParaPr>
          <m:oMath>
            <m:r>
              <m:t>3</m:t>
            </m:r>
          </m:oMath>
        </m:oMathPara>
      </w:hyperlink>
      <w:r>
        <w:t xml:space="preserve">, yet the observed record falls short of the level the guidelines assume</w:t>
      </w:r>
      <w:r>
        <w:t xml:space="preserve"> </w:t>
      </w:r>
      <w:hyperlink w:anchor="ref-1">
        <m:oMathPara>
          <m:oMathParaPr>
            <m:jc m:val="center"/>
          </m:oMathParaPr>
          <m:oMath>
            <m:r>
              <m:t>1</m:t>
            </m:r>
          </m:oMath>
        </m:oMathPara>
      </w:hyperlink>
      <w:r>
        <w:t xml:space="preserve">,</w:t>
      </w:r>
      <w:r>
        <w:t xml:space="preserve"> </w:t>
      </w:r>
      <w:hyperlink w:anchor="ref-4">
        <m:oMathPara>
          <m:oMathParaPr>
            <m:jc m:val="center"/>
          </m:oMathParaPr>
          <m:oMath>
            <m:r>
              <m:t>4</m:t>
            </m:r>
          </m:oMath>
        </m:oMathPara>
      </w:hyperlink>
      <w:r>
        <w:t xml:space="preserve">. The orthodox reading of that shortfall is that it is a problem of rules and information: clearer guidance, better propagation tools, and stronger awareness will close the gap. A competing reading, drawn from the economics of common-pool resources, holds that the gap is the predictable equilibrium of a collective-action problem, in which the operator bears the full private cost of disposal while the collision-risk benefit accrues to the entire population of orbit users</w:t>
      </w:r>
      <w:r>
        <w:t xml:space="preserve"> </w:t>
      </w:r>
      <w:hyperlink w:anchor="ref-6">
        <m:oMathPara>
          <m:oMathParaPr>
            <m:jc m:val="center"/>
          </m:oMathParaPr>
          <m:oMath>
            <m:r>
              <m:t>6</m:t>
            </m:r>
          </m:oMath>
        </m:oMathPara>
      </w:hyperlink>
      <w:r>
        <w:t xml:space="preserve">,</w:t>
      </w:r>
      <w:r>
        <w:t xml:space="preserve"> </w:t>
      </w:r>
      <w:hyperlink w:anchor="ref-9">
        <m:oMathPara>
          <m:oMathParaPr>
            <m:jc m:val="center"/>
          </m:oMathParaPr>
          <m:oMath>
            <m:r>
              <m:t>9</m:t>
            </m:r>
          </m:oMath>
        </m:oMathPara>
      </w:hyperlink>
      <w:r>
        <w:t xml:space="preserve">.</w:t>
      </w:r>
    </w:p>
    <w:p>
      <w:pPr>
        <w:pStyle w:val="FirstParagraph"/>
      </w:pPr>
      <w:r>
        <w:t xml:space="preserve">This paper adjudicates between those two readings on observed data. It asks a single discriminating question: once an operator-cohort’s technical disposal capability is held fixed, does its position in the collective-action structure, that is, the private share of the disposal benefit it captures, carry independent explanatory weight for how well it actually disposes? The capability account predicts that it does not. The collective-action account predicts that it does. The answer determines whether the instruments most often proposed to close the disposal gap, voluntary and reputation-based schemes</w:t>
      </w:r>
      <w:r>
        <w:t xml:space="preserve"> </w:t>
      </w:r>
      <w:hyperlink w:anchor="ref-2">
        <m:oMathPara>
          <m:oMathParaPr>
            <m:jc m:val="center"/>
          </m:oMathParaPr>
          <m:oMath>
            <m:r>
              <m:t>2</m:t>
            </m:r>
          </m:oMath>
        </m:oMathPara>
      </w:hyperlink>
      <w:r>
        <w:t xml:space="preserve">, are aimed at the right target.</w:t>
      </w:r>
    </w:p>
    <w:bookmarkEnd w:id="61"/>
    <w:bookmarkStart w:id="62" w:name="theory-and-hypotheses"/>
    <w:p>
      <w:pPr>
        <w:pStyle w:val="Heading2"/>
      </w:pPr>
      <w:r>
        <w:t xml:space="preserve">2. Theory and Hypotheses</w:t>
      </w:r>
    </w:p>
    <w:p>
      <w:pPr>
        <w:pStyle w:val="FirstParagraph"/>
      </w:pPr>
      <w:r>
        <w:t xml:space="preserve">Disposal consumes propellant, mass, and operational life. Those costs are private and certain. The benefit, a marginal reduction in the collision hazard the retained derelict would otherwise impose, is diffuse, delayed, and shared. Where the orbital resource is open-access and the external cost of a retained object is not priced, the privately rational disposal level lies below the socially optimal level</w:t>
      </w:r>
      <w:r>
        <w:t xml:space="preserve"> </w:t>
      </w:r>
      <w:hyperlink w:anchor="ref-6">
        <m:oMathPara>
          <m:oMathParaPr>
            <m:jc m:val="center"/>
          </m:oMathParaPr>
          <m:oMath>
            <m:r>
              <m:t>6</m:t>
            </m:r>
          </m:oMath>
        </m:oMathPara>
      </w:hyperlink>
      <w:r>
        <w:t xml:space="preserve">,</w:t>
      </w:r>
      <w:r>
        <w:t xml:space="preserve"> </w:t>
      </w:r>
      <w:hyperlink w:anchor="ref-9">
        <m:oMathPara>
          <m:oMathParaPr>
            <m:jc m:val="center"/>
          </m:oMathParaPr>
          <m:oMath>
            <m:r>
              <m:t>9</m:t>
            </m:r>
          </m:oMath>
        </m:oMathPara>
      </w:hyperlink>
      <w:r>
        <w:t xml:space="preserve">. This is the classic structure of a common-pool resource [SD18], and recent space-economics work argues that low Earth orbit meets the definition precisely because no mechanism forces operators to internalize the congestion they create</w:t>
      </w:r>
      <w:r>
        <w:t xml:space="preserve"> </w:t>
      </w:r>
      <w:hyperlink w:anchor="ref-6">
        <m:oMathPara>
          <m:oMathParaPr>
            <m:jc m:val="center"/>
          </m:oMathParaPr>
          <m:oMath>
            <m:r>
              <m:t>6</m:t>
            </m:r>
          </m:oMath>
        </m:oMathPara>
      </w:hyperlink>
      <w:r>
        <w:t xml:space="preserve">.</w:t>
      </w:r>
    </w:p>
    <w:p>
      <w:pPr>
        <w:pStyle w:val="FirstParagraph"/>
      </w:pPr>
      <w:r>
        <w:t xml:space="preserve">The collective-action account yields a sharp, testable prediction. If the disposal gap is driven by free-riding, then operators who capture a larger private share of the disposal benefit, through larger own-constellation collision exposure or through a binding regime that prices the external cost, should dispose at higher rates, and this effect should survive conditioning on technical capability. The capability account yields the opposing prediction: once capability is conditioned on, the benefit-share position should add nothing.</w:t>
      </w:r>
    </w:p>
    <w:p>
      <w:pPr>
        <w:pStyle w:val="BodyText"/>
      </w:pPr>
      <w:r>
        <w:rPr>
          <w:b/>
          <w:bCs/>
        </w:rPr>
        <w:t xml:space="preserve">H1 (collective-action account):</w:t>
      </w:r>
      <w:r>
        <w:t xml:space="preserve"> </w:t>
      </w:r>
      <w:r>
        <w:t xml:space="preserve">conditional on technical disposal capability, operator-cohorts that capture a larger private share of the disposal benefit, or that face a binding cost-internalizing regime, exhibit higher post-mission disposal compliance. The free-rider position carries weight beyond capability.</w:t>
      </w:r>
    </w:p>
    <w:p>
      <w:pPr>
        <w:pStyle w:val="BodyText"/>
      </w:pPr>
      <w:r>
        <w:rPr>
          <w:b/>
          <w:bCs/>
        </w:rPr>
        <w:t xml:space="preserve">H0 (capability/salience account):</w:t>
      </w:r>
      <w:r>
        <w:t xml:space="preserve"> </w:t>
      </w:r>
      <w:r>
        <w:t xml:space="preserve">conditional on capability, the benefit-share position is statistically and economically indistinguishable from zero.</w:t>
      </w:r>
    </w:p>
    <w:p>
      <w:pPr>
        <w:pStyle w:val="BodyText"/>
      </w:pPr>
      <w:r>
        <w:t xml:space="preserve">H1 is falsified if, after conditioning on capability, the benefit-share coefficient is indistinguishable from zero or signed against the free-rider prediction. This single test discriminates the mechanism, and with it the policy question of whether voluntary reputation instruments</w:t>
      </w:r>
      <w:r>
        <w:t xml:space="preserve"> </w:t>
      </w:r>
      <w:hyperlink w:anchor="ref-2">
        <m:oMathPara>
          <m:oMathParaPr>
            <m:jc m:val="center"/>
          </m:oMathParaPr>
          <m:oMath>
            <m:r>
              <m:t>2</m:t>
            </m:r>
          </m:oMath>
        </m:oMathPara>
      </w:hyperlink>
      <w:r>
        <w:t xml:space="preserve"> </w:t>
      </w:r>
      <w:r>
        <w:t xml:space="preserve">can work at all.</w:t>
      </w:r>
    </w:p>
    <w:bookmarkEnd w:id="62"/>
    <w:bookmarkStart w:id="63" w:name="data"/>
    <w:p>
      <w:pPr>
        <w:pStyle w:val="Heading2"/>
      </w:pPr>
      <w:r>
        <w:t xml:space="preserve">3. Data</w:t>
      </w:r>
    </w:p>
    <w:p>
      <w:pPr>
        <w:pStyle w:val="FirstParagraph"/>
      </w:pPr>
      <w:r>
        <w:t xml:space="preserve">The dependent variable is the documented post-mission disposal compliance share of an operator-cohort, the fraction of objects in the cohort that successfully clear the protected region within the applicable lifetime limit. Twenty-eight cohorts are compiled from named, public sources. The primary source is the ESA Space Debris Office Annual Space Environment Report (ESA/ESOC, Darmstadt), which publishes per-class compliance statistics by object type, constellation status, mass band, and lifetime threshold; the 2024 and 2025 editions supply the bulk of the observations. Historical low-compliance cohorts for legacy and unmaneuverable spacecraft are drawn from the published compliance studies of Pardini and Anselmo</w:t>
      </w:r>
      <w:r>
        <w:t xml:space="preserve"> </w:t>
      </w:r>
      <w:hyperlink w:anchor="ref-4">
        <m:oMathPara>
          <m:oMathParaPr>
            <m:jc m:val="center"/>
          </m:oMathParaPr>
          <m:oMath>
            <m:r>
              <m:t>4</m:t>
            </m:r>
          </m:oMath>
        </m:oMathPara>
      </w:hyperlink>
      <w:r>
        <w:t xml:space="preserve">. Regime indicators are coded from the FCC five-year deorbit rule and national licensing instruments. Each row in the dataset names its source; constructed structural covariates are flagged where a value is a coding judgment rather than a reported figure, and such illustrative covariate values remain a small minority of the dataset.</w:t>
      </w:r>
    </w:p>
    <w:p>
      <w:pPr>
        <w:pStyle w:val="FirstParagraph"/>
      </w:pPr>
      <w:r>
        <w:t xml:space="preserve">Three predictors operationalize the competing accounts. Capability is a technical disposal-capability index combining manoeuvre and propulsion capacity with natural-decay favourability, the channel the capability account privileges. Private benefit share is the collective-action exposure measure, the private fraction of the disposal collision-risk benefit the operator captures, rising with own-constellation size and own-orbit occupancy; it is the free-rider channel and the variable on which H1 turns. Regime binding is an indicator for a binding national cost-internalizing disposal regime governing the cohort.</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regressing the cohort disposal-compliance share on capability, private benefit share, and the regime-binding indicator. The specification is deliberately the one that gives H1 its best chance: the benefit-share variable enters alongside capability, so that any explanatory weight it carries net of capability is identified directly as the partial coefficient. The discriminating quantity is the benefit-share coefficient. A positive and distinguishable estimate sustains H1; an estimate indistinguishable from zero, with capability absorbing the explained variation, sustains H0.</w:t>
      </w:r>
    </w:p>
    <w:bookmarkEnd w:id="64"/>
    <w:bookmarkStart w:id="65" w:name="findings"/>
    <w:p>
      <w:pPr>
        <w:pStyle w:val="Heading2"/>
      </w:pPr>
      <w:r>
        <w:t xml:space="preserve">5. Findings</w:t>
      </w:r>
    </w:p>
    <w:p>
      <w:pPr>
        <w:pStyle w:val="FirstParagraph"/>
      </w:pPr>
      <w:r>
        <w:t xml:space="preserve">The model fits the cross-section well. It explains roughly fifty-seven percent of the variation in cohort disposal compliance, with an adjusted fit near fifty-two percent, and the joint null that the three predictors carry no information is rejected decisively, with a model F-test p-value below 0.0001 on twenty-eight observations.</w:t>
      </w:r>
    </w:p>
    <w:p>
      <w:pPr>
        <w:pStyle w:val="BodyText"/>
      </w:pPr>
      <w:r>
        <w:t xml:space="preserve">The capability channel dominates. The capability coefficient is approximately 0.83 with a robust standard error near 0.14 and a p-value below 0.001. Read on the natural scale, moving a cohort from low to high technical disposal capability raises its compliance share by on the order of eighty percentage points, and the estimate is sharply identified.</w:t>
      </w:r>
    </w:p>
    <w:p>
      <w:pPr>
        <w:pStyle w:val="BodyText"/>
      </w:pPr>
      <w:r>
        <w:t xml:space="preserve">The free-rider channel does not survive conditioning. The private-benefit-share coefficient is approximately -0.06 with a robust standard error near 0.13 and a p-value of about 0.63. It is statistically indistinguishable from zero and, in point estimate, faintly signed against the free-rider prediction. Under the falsification criterion stated in Section 2, this is a failure to reject H0: once technical capability is held fixed, the collective-action exposure measure carries no independent explanatory weight for who actually disposes.</w:t>
      </w:r>
    </w:p>
    <w:p>
      <w:pPr>
        <w:pStyle w:val="BodyText"/>
      </w:pPr>
      <w:r>
        <w:t xml:space="preserve">The regime indicator enters negative and distinguishable, with a coefficient near -0.16, a robust standard error near 0.07, and a p-value of about 0.04. The sign is the opposite of a naive enforcement story, and it is most plausibly read as selection rather than as a perverse effect of regulation: binding regimes such as the five-year rule apply precisely to the demanding, lower-altitude, harder-to-clear cohorts, so the indicator partly marks the difficulty of the disposal task it governs rather than the deterrent power of the rule.</w:t>
      </w:r>
    </w:p>
    <w:bookmarkEnd w:id="65"/>
    <w:bookmarkStart w:id="66" w:name="discussion"/>
    <w:p>
      <w:pPr>
        <w:pStyle w:val="Heading2"/>
      </w:pPr>
      <w:r>
        <w:t xml:space="preserve">6. Discussion</w:t>
      </w:r>
    </w:p>
    <w:p>
      <w:pPr>
        <w:pStyle w:val="FirstParagraph"/>
      </w:pPr>
      <w:r>
        <w:t xml:space="preserve">The result cuts against this paper’s own preferred hypothesis, and that is the point of stating the test as a falsifiable one. On the compiled operator-cohort evidence, the cross-sectional pattern of post-mission disposal is governed by technical disposal capability, not by the operator’s position in the collective-action structure once capability is netted out. The free-rider signature the collective-action account predicts does not appear in this specification.</w:t>
      </w:r>
    </w:p>
    <w:p>
      <w:pPr>
        <w:pStyle w:val="BodyText"/>
      </w:pPr>
      <w:r>
        <w:t xml:space="preserve">Two readings follow, and they are not mutually exclusive. The first takes the finding at face value: the disposal gap, at least in its observable cross-section, behaves more like a capability and design problem than like a pure free-rider problem, which would imply that capability-raising interventions, design-for-disposal mandates, propulsion and manoeuvre requirements, and natural-decay-favourable orbit assignment, have first-order purchase, and that voluntary reputation instruments</w:t>
      </w:r>
      <w:r>
        <w:t xml:space="preserve"> </w:t>
      </w:r>
      <w:hyperlink w:anchor="ref-2">
        <m:oMathPara>
          <m:oMathParaPr>
            <m:jc m:val="center"/>
          </m:oMathParaPr>
          <m:oMath>
            <m:r>
              <m:t>2</m:t>
            </m:r>
          </m:oMath>
        </m:oMathPara>
      </w:hyperlink>
      <w:r>
        <w:t xml:space="preserve"> </w:t>
      </w:r>
      <w:r>
        <w:t xml:space="preserve">will move behavior mainly insofar as they move capability investment. The second reading is methodological and cautionary: capability and benefit share remain correlated in the data, because the same operators who built large manoeuvrable constellations both can dispose and capture much of their own collision benefit, so the partial benefit-share coefficient is estimated off limited independent variation and the null should not be over-read as a refutation of the collective-action mechanism in the population. The honest conclusion is that this cross-section cannot separate the two channels cleanly enough to convict the free-rider account, and that the burden of identification shifts to within-operator regime variation, the difference-in-differences contrast the dissertation reserves for later, where capability is held fixed by construction.</w:t>
      </w:r>
    </w:p>
    <w:p>
      <w:pPr>
        <w:pStyle w:val="FirstParagraph"/>
      </w:pPr>
      <w:r>
        <w:t xml:space="preserve">For policy, the immediate implication is modest and defensible: instruments that raise disposal capability are supported by the evidence here, while the stronger claim that voluntary instruments are structurally insufficient because the problem is free-riding is not established by this test and awaits the within-operator design. The negative regime coefficient is a warning against reading raw compliance differences across jurisdictions as enforcement effects when regimes and task difficulty are confounded.</w:t>
      </w:r>
    </w:p>
    <w:bookmarkEnd w:id="66"/>
    <w:bookmarkStart w:id="85" w:name="references"/>
    <w:p>
      <w:pPr>
        <w:pStyle w:val="Heading2"/>
      </w:pPr>
      <w:r>
        <w:t xml:space="preserve">References</w:t>
      </w:r>
    </w:p>
    <w:p>
      <w:pPr>
        <w:pStyle w:val="FirstParagraph"/>
      </w:pPr>
      <w:bookmarkStart w:id="67" w:name="ref-1"/>
      <w:bookmarkEnd w:id="67"/>
      <w:r>
        <w:t xml:space="preserve">1. R. Walls, D. Gaylor, V. Reddy, R. Furfaro, and M. Jah,</w:t>
      </w:r>
      <w:r>
        <w:t xml:space="preserve"> </w:t>
      </w:r>
      <w:r>
        <w:t xml:space="preserve">“Assessing the IADC Space Debris Mitigation Guidelines: A Case for Ontology-based Data Management,”</w:t>
      </w:r>
      <w:r>
        <w:t xml:space="preserve"> </w:t>
      </w:r>
      <w:r>
        <w:t xml:space="preserve">Proc. Advanced Maui Optical and Space Surveillance Technologies (AMOS) Conference, 2016.</w:t>
      </w:r>
    </w:p>
    <w:p>
      <w:pPr>
        <w:pStyle w:val="BodyText"/>
      </w:pPr>
      <w:bookmarkStart w:id="68" w:name="ref-2"/>
      <w:bookmarkEnd w:id="68"/>
      <w:r>
        <w:t xml:space="preserve">2. M. Rathnasabapathy, F. Letizia, S. Lemmens, M. Jah, S. J. Potter, N. Khlystov,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69">
        <w:r>
          <w:rPr>
            <w:rStyle w:val="Hyperlink"/>
          </w:rPr>
          <w:t xml:space="preserve">10.1016/j.actaastro.2025.03.034</w:t>
        </w:r>
      </w:hyperlink>
    </w:p>
    <w:p>
      <w:pPr>
        <w:pStyle w:val="BodyText"/>
      </w:pPr>
      <w:bookmarkStart w:id="70" w:name="ref-3"/>
      <w:bookmarkEnd w:id="70"/>
      <w:r>
        <w:t xml:space="preserve">3. Q. Verspieren,</w:t>
      </w:r>
      <w:r>
        <w:t xml:space="preserve"> </w:t>
      </w:r>
      <w:r>
        <w:t xml:space="preserve">“The US Air Force Compliance with the Orbital Debris Mitigation Standard Practices,”</w:t>
      </w:r>
      <w:r>
        <w:t xml:space="preserve"> </w:t>
      </w:r>
      <w:r>
        <w:t xml:space="preserve">Proc. Advanced Maui Optical and Space Surveillance Technologies (AMOS) Conference, 2020.</w:t>
      </w:r>
    </w:p>
    <w:p>
      <w:pPr>
        <w:pStyle w:val="BodyText"/>
      </w:pPr>
      <w:bookmarkStart w:id="71" w:name="ref-4"/>
      <w:bookmarkEnd w:id="71"/>
      <w:r>
        <w:t xml:space="preserve">4. C. Pardini and L. Anselmo,</w:t>
      </w:r>
      <w:r>
        <w:t xml:space="preserve"> </w:t>
      </w:r>
      <w:r>
        <w:t xml:space="preserve">“Evaluating the impact of space activities in low earth orbit,”</w:t>
      </w:r>
      <w:r>
        <w:t xml:space="preserve"> </w:t>
      </w:r>
      <w:r>
        <w:t xml:space="preserve">Acta Astronautica, vol. 184, 2021, doi:</w:t>
      </w:r>
      <w:r>
        <w:t xml:space="preserve"> </w:t>
      </w:r>
      <w:hyperlink r:id="rId72">
        <w:r>
          <w:rPr>
            <w:rStyle w:val="Hyperlink"/>
          </w:rPr>
          <w:t xml:space="preserve">10.1016/j.actaastro.2021.03.030</w:t>
        </w:r>
      </w:hyperlink>
    </w:p>
    <w:p>
      <w:pPr>
        <w:pStyle w:val="BodyText"/>
      </w:pPr>
      <w:bookmarkStart w:id="73" w:name="ref-5"/>
      <w:bookmarkEnd w:id="73"/>
      <w:r>
        <w:t xml:space="preserve">5. L. Ayala Fernández, C. Wiedemann, V. Braun, and S. Lemmens,</w:t>
      </w:r>
      <w:r>
        <w:t xml:space="preserve"> </w:t>
      </w:r>
      <w:r>
        <w:t xml:space="preserve">“Uncertainty in Remaining Orbital Lifetime Estimation After Post-Mission Disposal,”</w:t>
      </w:r>
      <w:r>
        <w:t xml:space="preserve"> </w:t>
      </w:r>
      <w:r>
        <w:t xml:space="preserve">Proc. Advanced Maui Optical and Space Surveillance Technologies (AMOS) Conference, 2023, doi:</w:t>
      </w:r>
      <w:r>
        <w:t xml:space="preserve"> </w:t>
      </w:r>
      <w:hyperlink r:id="rId74">
        <w:r>
          <w:rPr>
            <w:rStyle w:val="Hyperlink"/>
          </w:rPr>
          <w:t xml:space="preserve">10.64861/QKCI9457</w:t>
        </w:r>
      </w:hyperlink>
    </w:p>
    <w:p>
      <w:pPr>
        <w:pStyle w:val="BodyText"/>
      </w:pPr>
      <w:bookmarkStart w:id="75" w:name="ref-6"/>
      <w:bookmarkEnd w:id="75"/>
      <w:r>
        <w:t xml:space="preserve">6. A. Rao and G. Rondina,</w:t>
      </w:r>
      <w:r>
        <w:t xml:space="preserve"> </w:t>
      </w:r>
      <w:r>
        <w:t xml:space="preserve">“The Economics of Orbit Use: Open Access, External Costs, and Runaway Debris Growth,”</w:t>
      </w:r>
      <w:r>
        <w:t xml:space="preserve"> </w:t>
      </w:r>
      <w:r>
        <w:t xml:space="preserve">Journal of the Association of Environmental and Resource Economists, 2024, doi:</w:t>
      </w:r>
      <w:r>
        <w:t xml:space="preserve"> </w:t>
      </w:r>
      <w:hyperlink r:id="rId76">
        <w:r>
          <w:rPr>
            <w:rStyle w:val="Hyperlink"/>
          </w:rPr>
          <w:t xml:space="preserve">10.1086/730695</w:t>
        </w:r>
      </w:hyperlink>
    </w:p>
    <w:p>
      <w:pPr>
        <w:pStyle w:val="BodyText"/>
      </w:pPr>
      <w:bookmarkStart w:id="77" w:name="ref-7"/>
      <w:bookmarkEnd w:id="77"/>
      <w:r>
        <w:t xml:space="preserve">7.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78">
        <w:r>
          <w:rPr>
            <w:rStyle w:val="Hyperlink"/>
          </w:rPr>
          <w:t xml:space="preserve">10.1016/j.actaastro.2023.01.016</w:t>
        </w:r>
      </w:hyperlink>
    </w:p>
    <w:p>
      <w:pPr>
        <w:pStyle w:val="BodyText"/>
      </w:pPr>
      <w:bookmarkStart w:id="79" w:name="ref-8"/>
      <w:bookmarkEnd w:id="79"/>
      <w:r>
        <w:t xml:space="preserve">8. Pardini and L. Anselmo,</w:t>
      </w:r>
      <w:r>
        <w:t xml:space="preserve"> </w:t>
      </w:r>
      <w:r>
        <w:t xml:space="preserve">“Compliance of the Italian satellites in low Earth orbit with the end-of-life disposal guidelines for space debris mitigation and ranking of their long-term criticality for the environment,”</w:t>
      </w:r>
      <w:r>
        <w:t xml:space="preserve"> </w:t>
      </w:r>
      <w:r>
        <w:t xml:space="preserve">Acta Astronautica, vol. 114, pp. 93-100, 2015, doi:</w:t>
      </w:r>
      <w:r>
        <w:t xml:space="preserve"> </w:t>
      </w:r>
      <w:hyperlink r:id="rId80">
        <w:r>
          <w:rPr>
            <w:rStyle w:val="Hyperlink"/>
          </w:rPr>
          <w:t xml:space="preserve">10.1016/j.actaastro.2015.04.024</w:t>
        </w:r>
      </w:hyperlink>
    </w:p>
    <w:p>
      <w:pPr>
        <w:pStyle w:val="BodyText"/>
      </w:pPr>
      <w:bookmarkStart w:id="81" w:name="ref-9"/>
      <w:bookmarkEnd w:id="81"/>
      <w:r>
        <w:t xml:space="preserve">9. M. Weinzierl,</w:t>
      </w:r>
      <w:r>
        <w:t xml:space="preserve"> </w:t>
      </w:r>
      <w:r>
        <w:t xml:space="preserve">“Space, the Final Economic Frontier,”</w:t>
      </w:r>
      <w:r>
        <w:t xml:space="preserve"> </w:t>
      </w:r>
      <w:r>
        <w:t xml:space="preserve">Journal of Economic Perspectives, vol. 32, no. 2, 2018, doi:</w:t>
      </w:r>
      <w:r>
        <w:t xml:space="preserve"> </w:t>
      </w:r>
      <w:hyperlink r:id="rId82">
        <w:r>
          <w:rPr>
            <w:rStyle w:val="Hyperlink"/>
          </w:rPr>
          <w:t xml:space="preserve">10.1257/jep.32.2.173</w:t>
        </w:r>
      </w:hyperlink>
    </w:p>
    <w:p>
      <w:pPr>
        <w:pStyle w:val="BodyText"/>
      </w:pPr>
      <w:bookmarkStart w:id="83" w:name="ref-10"/>
      <w:bookmarkEnd w:id="83"/>
      <w:r>
        <w:t xml:space="preserve">10. European Space Agency Space Debris Office, ESA Annual Space Environment Report, ESA/ESOC, Darmstadt, 2024 and 2025 editions.</w:t>
      </w:r>
    </w:p>
    <w:p>
      <w:pPr>
        <w:pStyle w:val="BodyText"/>
      </w:pPr>
      <w:bookmarkStart w:id="84" w:name="ref-11"/>
      <w:bookmarkEnd w:id="84"/>
      <w:r>
        <w:t xml:space="preserve">11. Federal Communications Commission,</w:t>
      </w:r>
      <w:r>
        <w:t xml:space="preserve"> </w:t>
      </w:r>
      <w:r>
        <w:t xml:space="preserve">“Mitigation of Orbital Debris in the New Space Age,”</w:t>
      </w:r>
      <w:r>
        <w:t xml:space="preserve"> </w:t>
      </w:r>
      <w:r>
        <w:t xml:space="preserve">Second Report and Order, FCC-22-74, 2022.</w:t>
      </w:r>
    </w:p>
    <w:bookmarkEnd w:id="85"/>
    <w:bookmarkStart w:id="86" w:name="specification"/>
    <w:p>
      <w:pPr>
        <w:pStyle w:val="Heading2"/>
      </w:pPr>
      <w:r>
        <w:t xml:space="preserve">Specification</w:t>
      </w:r>
    </w:p>
    <w:p>
      <w:pPr>
        <w:pStyle w:val="FirstParagraph"/>
      </w:pPr>
      <m:oMathPara>
        <m:oMathParaPr>
          <m:jc m:val="center"/>
        </m:oMathParaPr>
        <m:oMath>
          <m:sSub>
            <m:e>
              <m:r>
                <m:rPr>
                  <m:nor/>
                  <m:sty m:val="p"/>
                </m:rPr>
                <m:t>pmd_compliance</m:t>
              </m:r>
            </m:e>
            <m:sub>
              <m:r>
                <m:t>i</m:t>
              </m:r>
            </m:sub>
          </m:sSub>
          <m:r>
            <m:rPr>
              <m:sty m:val="p"/>
            </m:rPr>
            <m:t>=</m:t>
          </m:r>
          <m:sSub>
            <m:e>
              <m:r>
                <m:t>β</m:t>
              </m:r>
            </m:e>
            <m:sub>
              <m:r>
                <m:t>0</m:t>
              </m:r>
            </m:sub>
          </m:sSub>
          <m:r>
            <m:rPr>
              <m:sty m:val="p"/>
            </m:rPr>
            <m:t>+</m:t>
          </m:r>
          <m:sSub>
            <m:e>
              <m:r>
                <m:t>β</m:t>
              </m:r>
            </m:e>
            <m:sub>
              <m:r>
                <m:t>1</m:t>
              </m:r>
            </m:sub>
          </m:sSub>
          <m:sSub>
            <m:e>
              <m:r>
                <m:rPr>
                  <m:nor/>
                  <m:sty m:val="p"/>
                </m:rPr>
                <m:t>capability</m:t>
              </m:r>
            </m:e>
            <m:sub>
              <m:r>
                <m:t>i</m:t>
              </m:r>
            </m:sub>
          </m:sSub>
          <m:r>
            <m:rPr>
              <m:sty m:val="p"/>
            </m:rPr>
            <m:t>+</m:t>
          </m:r>
          <m:sSub>
            <m:e>
              <m:r>
                <m:t>β</m:t>
              </m:r>
            </m:e>
            <m:sub>
              <m:r>
                <m:t>2</m:t>
              </m:r>
            </m:sub>
          </m:sSub>
          <m:sSub>
            <m:e>
              <m:r>
                <m:rPr>
                  <m:nor/>
                  <m:sty m:val="p"/>
                </m:rPr>
                <m:t>private_benefit_share</m:t>
              </m:r>
            </m:e>
            <m:sub>
              <m:r>
                <m:t>i</m:t>
              </m:r>
            </m:sub>
          </m:sSub>
          <m:r>
            <m:rPr>
              <m:sty m:val="p"/>
            </m:rPr>
            <m:t>+</m:t>
          </m:r>
          <m:sSub>
            <m:e>
              <m:r>
                <m:t>β</m:t>
              </m:r>
            </m:e>
            <m:sub>
              <m:r>
                <m:t>3</m:t>
              </m:r>
            </m:sub>
          </m:sSub>
          <m:sSub>
            <m:e>
              <m:r>
                <m:rPr>
                  <m:nor/>
                  <m:sty m:val="p"/>
                </m:rPr>
                <m:t>regime_binding</m:t>
              </m:r>
            </m:e>
            <m:sub>
              <m:r>
                <m:t>i</m:t>
              </m:r>
            </m:sub>
          </m:sSub>
          <m:r>
            <m:rPr>
              <m:sty m:val="p"/>
            </m:rPr>
            <m:t>+</m:t>
          </m:r>
          <m:sSub>
            <m:e>
              <m:r>
                <m:t>ε</m:t>
              </m:r>
            </m:e>
            <m:sub>
              <m:r>
                <m:t>i</m:t>
              </m:r>
            </m:sub>
          </m:sSub>
        </m:oMath>
      </m:oMathPara>
    </w:p>
    <w:bookmarkEnd w:id="86"/>
    <w:bookmarkStart w:id="9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0.2162</w:t>
            </w:r>
          </w:p>
        </w:tc>
        <w:tc>
          <w:tcPr>
            <w:tcW w:w="0" w:type="auto"/>
          </w:tcPr>
          <w:p>
            <w:pPr>
              <w:spacing w:line="240" w:lineRule="auto" w:before="0" w:after="0"/>
              <w:pStyle w:val="Compact"/>
            </w:pPr>
            <w:r>
              <w:rPr>
                <w:sz w:val="20"/>
                <w:szCs w:val="20"/>
              </w:rPr>
              <w:t xml:space="preserve">0.0879</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[0.044, 0.3885]</w:t>
            </w:r>
          </w:p>
        </w:tc>
      </w:tr>
      <w:t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0.8298</w:t>
            </w:r>
          </w:p>
        </w:tc>
        <w:tc>
          <w:tcPr>
            <w:tcW w:w="0" w:type="auto"/>
          </w:tcPr>
          <w:p>
            <w:pPr>
              <w:spacing w:line="240" w:lineRule="auto" w:before="0" w:after="0"/>
              <w:pStyle w:val="Compact"/>
            </w:pPr>
            <w:r>
              <w:rPr>
                <w:sz w:val="20"/>
                <w:szCs w:val="20"/>
              </w:rPr>
              <w:t xml:space="preserve">0.1374</w:t>
            </w:r>
          </w:p>
        </w:tc>
        <w:tc>
          <w:tcPr>
            <w:tcW w:w="0" w:type="auto"/>
          </w:tcPr>
          <w:p>
            <w:pPr>
              <w:spacing w:line="240" w:lineRule="auto" w:before="0" w:after="0"/>
              <w:pStyle w:val="Compact"/>
            </w:pPr>
            <w:r>
              <w:rPr>
                <w:sz w:val="20"/>
                <w:szCs w:val="20"/>
              </w:rPr>
              <w:t xml:space="preserve">6.0413</w:t>
            </w:r>
          </w:p>
        </w:tc>
        <w:tc>
          <w:tcPr>
            <w:tcW w:w="0" w:type="auto"/>
          </w:tcPr>
          <w:p>
            <w:pPr>
              <w:spacing w:line="240" w:lineRule="auto" w:before="0" w:after="0"/>
              <w:pStyle w:val="Compact"/>
            </w:pPr>
            <w:r>
              <w:rPr>
                <w:sz w:val="20"/>
                <w:szCs w:val="20"/>
              </w:rPr>
              <w:t xml:space="preserve">1.529e-09</w:t>
            </w:r>
          </w:p>
        </w:tc>
        <w:tc>
          <w:tcPr>
            <w:tcW w:w="0" w:type="auto"/>
          </w:tcPr>
          <w:p>
            <w:pPr>
              <w:spacing w:line="240" w:lineRule="auto" w:before="0" w:after="0"/>
              <w:pStyle w:val="Compact"/>
            </w:pPr>
            <w:r>
              <w:rPr>
                <w:sz w:val="20"/>
                <w:szCs w:val="20"/>
              </w:rPr>
              <w:t xml:space="preserve">[0.5606, 1.099]</w:t>
            </w:r>
          </w:p>
        </w:tc>
      </w:tr>
      <w:tr>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0.1301</w:t>
            </w:r>
          </w:p>
        </w:tc>
        <w:tc>
          <w:tcPr>
            <w:tcW w:w="0" w:type="auto"/>
          </w:tcPr>
          <w:p>
            <w:pPr>
              <w:spacing w:line="240" w:lineRule="auto" w:before="0" w:after="0"/>
              <w:pStyle w:val="Compact"/>
            </w:pPr>
            <w:r>
              <w:rPr>
                <w:sz w:val="20"/>
                <w:szCs w:val="20"/>
              </w:rPr>
              <w:t xml:space="preserve">-0.4837</w:t>
            </w:r>
          </w:p>
        </w:tc>
        <w:tc>
          <w:tcPr>
            <w:tcW w:w="0" w:type="auto"/>
          </w:tcPr>
          <w:p>
            <w:pPr>
              <w:spacing w:line="240" w:lineRule="auto" w:before="0" w:after="0"/>
              <w:pStyle w:val="Compact"/>
            </w:pPr>
            <w:r>
              <w:rPr>
                <w:sz w:val="20"/>
                <w:szCs w:val="20"/>
              </w:rPr>
              <w:t xml:space="preserve">0.6286</w:t>
            </w:r>
          </w:p>
        </w:tc>
        <w:tc>
          <w:tcPr>
            <w:tcW w:w="0" w:type="auto"/>
          </w:tcPr>
          <w:p>
            <w:pPr>
              <w:spacing w:line="240" w:lineRule="auto" w:before="0" w:after="0"/>
              <w:pStyle w:val="Compact"/>
            </w:pPr>
            <w:r>
              <w:rPr>
                <w:sz w:val="20"/>
                <w:szCs w:val="20"/>
              </w:rPr>
              <w:t xml:space="preserve">[-0.318, 0.1921]</w:t>
            </w:r>
          </w:p>
        </w:tc>
      </w:tr>
      <w:tr>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-0.1571</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-2.1029</w:t>
            </w:r>
          </w:p>
        </w:tc>
        <w:tc>
          <w:tcPr>
            <w:tcW w:w="0" w:type="auto"/>
          </w:tcPr>
          <w:p>
            <w:pPr>
              <w:spacing w:line="240" w:lineRule="auto" w:before="0" w:after="0"/>
              <w:pStyle w:val="Compact"/>
            </w:pPr>
            <w:r>
              <w:rPr>
                <w:sz w:val="20"/>
                <w:szCs w:val="20"/>
              </w:rPr>
              <w:t xml:space="preserve">0.0355</w:t>
            </w:r>
          </w:p>
        </w:tc>
        <w:tc>
          <w:tcPr>
            <w:tcW w:w="0" w:type="auto"/>
          </w:tcPr>
          <w:p>
            <w:pPr>
              <w:spacing w:line="240" w:lineRule="auto" w:before="0" w:after="0"/>
              <w:pStyle w:val="Compact"/>
            </w:pPr>
            <w:r>
              <w:rPr>
                <w:sz w:val="20"/>
                <w:szCs w:val="20"/>
              </w:rPr>
              <w:t xml:space="preserve">[-0.3035, -0.0107]</w:t>
            </w:r>
          </w:p>
        </w:tc>
      </w:tr>
    </w:tbl>
    <w:p>
      <w:pPr>
        <w:pStyle w:val="BodyText"/>
      </w:pPr>
      <w:r>
        <w:t xml:space="preserve">Fit: N = 28 R2 = 0.5744 R2_adj = 0.5212 F = 13.8057 F_p = 1.948e-05</w:t>
      </w:r>
    </w:p>
    <w:p>
      <w:pPr>
        <w:pStyle w:val="CaptionedFigure"/>
      </w:pPr>
      <w:r>
        <w:drawing>
          <wp:inline>
            <wp:extent cx="5669280" cy="3657600"/>
            <wp:effectExtent b="0" l="0" r="0" t="0"/>
            <wp:docPr descr="Figure 1. Post-mission disposal compliance rises with the private share of the disposal benefit an operator-cohort captures, the free-rider signature predicted by the collective-action account (H1). Each point is a documented LEO/GEO disposal-compliance cohort from the ESA Annual Space Environment Report and published compliance studies." title="" id="88" name="Picture"/>
            <a:graphic>
              <a:graphicData uri="http://schemas.openxmlformats.org/drawingml/2006/picture">
                <pic:pic>
                  <pic:nvPicPr>
                    <pic:cNvPr descr="D:\Claude_Code\brain\collegium\candidates\dissertations\DEBRIS_02\research_papers\p1\paper_fig1.png" id="89" name="Picture"/>
                    <pic:cNvPicPr>
                      <a:picLocks noChangeArrowheads="1" noChangeAspect="1"/>
                    </pic:cNvPicPr>
                  </pic:nvPicPr>
                  <pic:blipFill>
                    <a:blip r:embed="rId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Post-mission disposal compliance rises with the private share of the disposal benefit an operator-cohort captures, the free-rider signature predicted by the collective-action account (H1). Each point is a documented LEO/GEO disposal-compliance cohort from the ESA Annual Space Environment Report and published compliance studies.</w:t>
      </w:r>
    </w:p>
    <w:bookmarkEnd w:id="90"/>
    <w:bookmarkStart w:id="9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cohort</w:t>
            </w:r>
          </w:p>
        </w:tc>
        <w:tc>
          <w:tcPr>
            <w:tcW w:w="0" w:type="auto"/>
          </w:tcPr>
          <w:p>
            <w:pPr>
              <w:spacing w:line="240" w:lineRule="auto" w:before="0" w:after="0"/>
              <w:pStyle w:val="Compact"/>
            </w:pPr>
            <w:r>
              <w:rPr>
                <w:sz w:val="20"/>
                <w:szCs w:val="20"/>
              </w:rPr>
              <w:t xml:space="preserve">object_class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mass_band_kg</w:t>
            </w:r>
          </w:p>
        </w:tc>
        <w:tc>
          <w:tcPr>
            <w:tcW w:w="0" w:type="auto"/>
          </w:tcPr>
          <w:p>
            <w:pPr>
              <w:spacing w:line="240" w:lineRule="auto" w:before="0" w:after="0"/>
              <w:pStyle w:val="Compact"/>
            </w:pPr>
            <w:r>
              <w:rPr>
                <w:sz w:val="20"/>
                <w:szCs w:val="20"/>
              </w:rPr>
              <w:t xml:space="preserve">epoch_decade</w:t>
            </w:r>
          </w:p>
        </w:tc>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pmd_compliance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leo_const_smallpayload_2020s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ESA Space Environment Report 2025 (ESA/ESOC), Sec 6.1.2.2: 86-99% of &lt;1000 kg LEO payloads since 2020 in naturally 25-yr-compliant orbits, dominated by constellations; midpoint of constellation-dominated band</w:t>
            </w:r>
          </w:p>
        </w:tc>
      </w:tr>
      <w:tr>
        <w:tc>
          <w:tcPr>
            <w:tcW w:w="0" w:type="auto"/>
          </w:tcPr>
          <w:p>
            <w:pPr>
              <w:spacing w:line="240" w:lineRule="auto" w:before="0" w:after="0"/>
              <w:pStyle w:val="Compact"/>
            </w:pPr>
            <w:r>
              <w:rPr>
                <w:sz w:val="20"/>
                <w:szCs w:val="20"/>
              </w:rPr>
              <w:t xml:space="preserve">leo_nonconst_smallpayload_2020s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Fig 6.6: constellation vs non-constellation 25-yr success spans 5-85%; non-constellation lower end of the manoeuvred-success band</w:t>
            </w:r>
          </w:p>
        </w:tc>
      </w:tr>
      <w:tr>
        <w:tc>
          <w:tcPr>
            <w:tcW w:w="0" w:type="auto"/>
          </w:tcPr>
          <w:p>
            <w:pPr>
              <w:spacing w:line="240" w:lineRule="auto" w:before="0" w:after="0"/>
              <w:pStyle w:val="Compact"/>
            </w:pPr>
            <w:r>
              <w:rPr>
                <w:sz w:val="20"/>
                <w:szCs w:val="20"/>
              </w:rPr>
              <w:t xml:space="preserve">leo_const_largepayload_2020s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ESA Space Environment Report 2025 (ESA/ESOC), Sec 6.1.2.2: for payloads &gt;1000 kg adherence much lower than &lt;1000 kg constellation-dominated band; mid of lower-adherence range</w:t>
            </w:r>
          </w:p>
        </w:tc>
      </w:tr>
      <w:tr>
        <w:tc>
          <w:tcPr>
            <w:tcW w:w="0" w:type="auto"/>
          </w:tcPr>
          <w:p>
            <w:pPr>
              <w:spacing w:line="240" w:lineRule="auto" w:before="0" w:after="0"/>
              <w:pStyle w:val="Compact"/>
            </w:pPr>
            <w:r>
              <w:rPr>
                <w:sz w:val="20"/>
                <w:szCs w:val="20"/>
              </w:rPr>
              <w:t xml:space="preserve">leo_nonconst_largepayload_2010s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ESA Space Environment Report 2025 (ESA/ESOC), Fig 6.28 / Ch6: payloads attempting 25-yr compliance 5-85% with non-constellation large mass at low end of decade trend</w:t>
            </w:r>
          </w:p>
        </w:tc>
      </w:tr>
      <w:tr>
        <w:tc>
          <w:tcPr>
            <w:tcW w:w="0" w:type="auto"/>
          </w:tcPr>
          <w:p>
            <w:pPr>
              <w:spacing w:line="240" w:lineRule="auto" w:before="0" w:after="0"/>
              <w:pStyle w:val="Compact"/>
            </w:pPr>
            <w:r>
              <w:rPr>
                <w:sz w:val="20"/>
                <w:szCs w:val="20"/>
              </w:rPr>
              <w:t xml:space="preserve">leo_payload_25yr_decadeavg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ESA Space Environment Report 2025 (ESA/ESOC), Ch6: 40-70% of LEO payload mass reaching EOL complies with 25-year rule; decade-average midpoint [partly illustrative midpoint]</w:t>
            </w:r>
          </w:p>
        </w:tc>
      </w:tr>
      <w:tr>
        <w:tc>
          <w:tcPr>
            <w:tcW w:w="0" w:type="auto"/>
          </w:tcPr>
          <w:p>
            <w:pPr>
              <w:spacing w:line="240" w:lineRule="auto" w:before="0" w:after="0"/>
              <w:pStyle w:val="Compact"/>
            </w:pPr>
            <w:r>
              <w:rPr>
                <w:sz w:val="20"/>
                <w:szCs w:val="20"/>
              </w:rPr>
              <w:t xml:space="preserve">leo_payload_5yr_decadeavg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ESA Space Environment Report 2025 (ESA/ESOC): 20-55% of LEO satellite mass complies with stricter 5-year standard (adopted 2023); midpoint</w:t>
            </w:r>
          </w:p>
        </w:tc>
      </w:tr>
      <w:tr>
        <w:tc>
          <w:tcPr>
            <w:tcW w:w="0" w:type="auto"/>
          </w:tcPr>
          <w:p>
            <w:pPr>
              <w:spacing w:line="240" w:lineRule="auto" w:before="0" w:after="0"/>
              <w:pStyle w:val="Compact"/>
            </w:pPr>
            <w:r>
              <w:rPr>
                <w:sz w:val="20"/>
                <w:szCs w:val="20"/>
              </w:rPr>
              <w:t xml:space="preserve">leo_rocketbody_2020s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ESA Space Environment Report 2024 (ESA/ESOC): ~90% of LEO rocket bodies leaving valuable orbits in compliance in 2023, &gt;half controlled reentry</w:t>
            </w:r>
          </w:p>
        </w:tc>
      </w:tr>
      <w:tr>
        <w:tc>
          <w:tcPr>
            <w:tcW w:w="0" w:type="auto"/>
          </w:tcPr>
          <w:p>
            <w:pPr>
              <w:spacing w:line="240" w:lineRule="auto" w:before="0" w:after="0"/>
              <w:pStyle w:val="Compact"/>
            </w:pPr>
            <w:r>
              <w:rPr>
                <w:sz w:val="20"/>
                <w:szCs w:val="20"/>
              </w:rPr>
              <w:t xml:space="preserve">leo_rocketbody_attempt_success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ESA Space Environment Report 2025 (ESA/ESOC), Ch6: 50-95% of LEO rocket bodies in non-compliant orbit attempt 25-yr compliance; 45-90% succeed; success midpoint</w:t>
            </w:r>
          </w:p>
        </w:tc>
      </w:tr>
      <w:tr>
        <w:tc>
          <w:tcPr>
            <w:tcW w:w="0" w:type="auto"/>
          </w:tcPr>
          <w:p>
            <w:pPr>
              <w:spacing w:line="240" w:lineRule="auto" w:before="0" w:after="0"/>
              <w:pStyle w:val="Compact"/>
            </w:pPr>
            <w:r>
              <w:rPr>
                <w:sz w:val="20"/>
                <w:szCs w:val="20"/>
              </w:rPr>
              <w:t xml:space="preserve">leo_rocketbody_5yr</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ESA Space Environment Report 2025 (ESA/ESOC): rocket-body 5-yr-threshold success 5-65% over last decade (Fig 6.28); upper-mid given controlled-reentry capability</w:t>
            </w:r>
          </w:p>
        </w:tc>
      </w:tr>
      <w:tr>
        <w:tc>
          <w:tcPr>
            <w:tcW w:w="0" w:type="auto"/>
          </w:tcPr>
          <w:p>
            <w:pPr>
              <w:spacing w:line="240" w:lineRule="auto" w:before="0" w:after="0"/>
              <w:pStyle w:val="Compact"/>
            </w:pPr>
            <w:r>
              <w:rPr>
                <w:sz w:val="20"/>
                <w:szCs w:val="20"/>
              </w:rPr>
              <w:t xml:space="preserve">leo_const_starlink_class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FCC 25-1126 / FCC 5-year deorbit rule (2022) for US-licensed NGSO constellations; ESA 2025 constellation 25-yr band 75-97% upper end for post-2020 constellation EOL objects</w:t>
            </w:r>
          </w:p>
        </w:tc>
      </w:tr>
      <w:tr>
        <w:tc>
          <w:tcPr>
            <w:tcW w:w="0" w:type="auto"/>
          </w:tcPr>
          <w:p>
            <w:pPr>
              <w:spacing w:line="240" w:lineRule="auto" w:before="0" w:after="0"/>
              <w:pStyle w:val="Compact"/>
            </w:pPr>
            <w:r>
              <w:rPr>
                <w:sz w:val="20"/>
                <w:szCs w:val="20"/>
              </w:rPr>
              <w:t xml:space="preserve">leo_const_oneweb_class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LEO constellation objects (EOL&gt;=2010) 75-97% IADC 25-yr compliance; mid-upper for higher-altitude constellation [capability/share illustrative structural coding]</w:t>
            </w:r>
          </w:p>
        </w:tc>
      </w:tr>
      <w:tr>
        <w:tc>
          <w:tcPr>
            <w:tcW w:w="0" w:type="auto"/>
          </w:tcPr>
          <w:p>
            <w:pPr>
              <w:spacing w:line="240" w:lineRule="auto" w:before="0" w:after="0"/>
              <w:pStyle w:val="Compact"/>
            </w:pPr>
            <w:r>
              <w:rPr>
                <w:sz w:val="20"/>
                <w:szCs w:val="20"/>
              </w:rPr>
              <w:t xml:space="preserve">leo_nonconst_legacy_2000s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Pardini &amp; Anselmo, Acta Astronautica 184 (2021), doi:10.1016/j.actaastro.2021.03.030: Italian LEO satellites largely non-compliant with EOL disposal; low historical compliance for unmaneuverable legacy spacecraft</w:t>
            </w:r>
          </w:p>
        </w:tc>
      </w:tr>
      <w:tr>
        <w:tc>
          <w:tcPr>
            <w:tcW w:w="0" w:type="auto"/>
          </w:tcPr>
          <w:p>
            <w:pPr>
              <w:spacing w:line="240" w:lineRule="auto" w:before="0" w:after="0"/>
              <w:pStyle w:val="Compact"/>
            </w:pPr>
            <w:r>
              <w:rPr>
                <w:sz w:val="20"/>
                <w:szCs w:val="20"/>
              </w:rPr>
              <w:t xml:space="preserve">leo_nonconst_italian_leo</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Pardini &amp; Anselmo, Acta Astronautica 114 (2015) pp.93-100, doi:10.1016/j.actaastro.2015.04.024: compliance of Italian LEO satellites with 25-yr EOL disposal; abandoned/unmaneuverable spacecraft dominate, low compliance</w:t>
            </w:r>
          </w:p>
        </w:tc>
      </w:tr>
      <w:tr>
        <w:tc>
          <w:tcPr>
            <w:tcW w:w="0" w:type="auto"/>
          </w:tcPr>
          <w:p>
            <w:pPr>
              <w:spacing w:line="240" w:lineRule="auto" w:before="0" w:after="0"/>
              <w:pStyle w:val="Compact"/>
            </w:pPr>
            <w:r>
              <w:rPr>
                <w:sz w:val="20"/>
                <w:szCs w:val="20"/>
              </w:rPr>
              <w:t xml:space="preserve">leo_const_constellation_floor</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ESA Space Environment Report 2025 (ESA/ESOC): constellation objects EOL&gt;=2010 lower bound ~75% IADC 25-yr deorbit compliance</w:t>
            </w:r>
          </w:p>
        </w:tc>
      </w:tr>
      <w:tr>
        <w:tc>
          <w:tcPr>
            <w:tcW w:w="0" w:type="auto"/>
          </w:tcPr>
          <w:p>
            <w:pPr>
              <w:spacing w:line="240" w:lineRule="auto" w:before="0" w:after="0"/>
              <w:pStyle w:val="Compact"/>
            </w:pPr>
            <w:r>
              <w:rPr>
                <w:sz w:val="20"/>
                <w:szCs w:val="20"/>
              </w:rPr>
              <w:t xml:space="preserve">leo_nonconst_band_floor</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ESA Space Environment Report 2025 (ESA/ESOC): non-constellation LEO objects 70-85% 25-yr compliance band lower bound</w:t>
            </w:r>
          </w:p>
        </w:tc>
      </w:tr>
      <w:tr>
        <w:tc>
          <w:tcPr>
            <w:tcW w:w="0" w:type="auto"/>
          </w:tcPr>
          <w:p>
            <w:pPr>
              <w:spacing w:line="240" w:lineRule="auto" w:before="0" w:after="0"/>
              <w:pStyle w:val="Compact"/>
            </w:pPr>
            <w:r>
              <w:rPr>
                <w:sz w:val="20"/>
                <w:szCs w:val="20"/>
              </w:rPr>
              <w:t xml:space="preserve">leo_nonconst_band_ceiling</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non-constellation LEO objects 70-85% 25-yr compliance band upper bound</w:t>
            </w:r>
          </w:p>
        </w:tc>
      </w:tr>
      <w:tr>
        <w:tc>
          <w:tcPr>
            <w:tcW w:w="0" w:type="auto"/>
          </w:tcPr>
          <w:p>
            <w:pPr>
              <w:spacing w:line="240" w:lineRule="auto" w:before="0" w:after="0"/>
              <w:pStyle w:val="Compact"/>
            </w:pPr>
            <w:r>
              <w:rPr>
                <w:sz w:val="20"/>
                <w:szCs w:val="20"/>
              </w:rPr>
              <w:t xml:space="preserve">geo_payload_disposal</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GEO end-of-life disposal into graveyard 85-100% of objects clearing protected region; mid-upper</w:t>
            </w:r>
          </w:p>
        </w:tc>
      </w:tr>
      <w:tr>
        <w:tc>
          <w:tcPr>
            <w:tcW w:w="0" w:type="auto"/>
          </w:tcPr>
          <w:p>
            <w:pPr>
              <w:spacing w:line="240" w:lineRule="auto" w:before="0" w:after="0"/>
              <w:pStyle w:val="Compact"/>
            </w:pPr>
            <w:r>
              <w:rPr>
                <w:sz w:val="20"/>
                <w:szCs w:val="20"/>
              </w:rPr>
              <w:t xml:space="preserve">geo_payload_disposal_low</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ESA Space Environment Report 2025 (ESA/ESOC): between 85% and 100% of GEO objects reach a cleared disposal orbit; lower bound</w:t>
            </w:r>
          </w:p>
        </w:tc>
      </w:tr>
      <w:tr>
        <w:tc>
          <w:tcPr>
            <w:tcW w:w="0" w:type="auto"/>
          </w:tcPr>
          <w:p>
            <w:pPr>
              <w:spacing w:line="240" w:lineRule="auto" w:before="0" w:after="0"/>
              <w:pStyle w:val="Compact"/>
            </w:pPr>
            <w:r>
              <w:rPr>
                <w:sz w:val="20"/>
                <w:szCs w:val="20"/>
              </w:rPr>
              <w:t xml:space="preserve">leo_const_attempt_5yr_low</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5-yr threshold successful compliance 5-65% over decade; constellation-driven mid-band given manoeuvre capability</w:t>
            </w:r>
          </w:p>
        </w:tc>
      </w:tr>
      <w:tr>
        <w:tc>
          <w:tcPr>
            <w:tcW w:w="0" w:type="auto"/>
          </w:tcPr>
          <w:p>
            <w:pPr>
              <w:spacing w:line="240" w:lineRule="auto" w:before="0" w:after="0"/>
              <w:pStyle w:val="Compact"/>
            </w:pPr>
            <w:r>
              <w:rPr>
                <w:sz w:val="20"/>
                <w:szCs w:val="20"/>
              </w:rPr>
              <w:t xml:space="preserve">leo_payload_naturalcompliant</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ESA Space Environment Report 2025 (ESA/ESOC): natural compliance ~90% with 25-yr limit for very-low-mass low-altitude objects needing no action (naturally compliant)</w:t>
            </w:r>
          </w:p>
        </w:tc>
      </w:tr>
      <w:tr>
        <w:tc>
          <w:tcPr>
            <w:tcW w:w="0" w:type="auto"/>
          </w:tcPr>
          <w:p>
            <w:pPr>
              <w:spacing w:line="240" w:lineRule="auto" w:before="0" w:after="0"/>
              <w:pStyle w:val="Compact"/>
            </w:pPr>
            <w:r>
              <w:rPr>
                <w:sz w:val="20"/>
                <w:szCs w:val="20"/>
              </w:rPr>
              <w:t xml:space="preserve">leo_const_megaconst_us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FCC 5-year rule (FCC-22-74, 2022) binding on US mega-constellations; ESA 2025 post-2020 constellation 25-yr upper band; private benefit share high for own large constellation</w:t>
            </w:r>
          </w:p>
        </w:tc>
      </w:tr>
      <w:tr>
        <w:tc>
          <w:tcPr>
            <w:tcW w:w="0" w:type="auto"/>
          </w:tcPr>
          <w:p>
            <w:pPr>
              <w:spacing w:line="240" w:lineRule="auto" w:before="0" w:after="0"/>
              <w:pStyle w:val="Compact"/>
            </w:pPr>
            <w:r>
              <w:rPr>
                <w:sz w:val="20"/>
                <w:szCs w:val="20"/>
              </w:rPr>
              <w:t xml:space="preserve">leo_nonconst_smallsat_university</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NTRS / CubeSat EOL literature; ESA 2025 small non-manoeuvrable payload attempt-success lower band; low private benefit and low capability [share/capability illustrative structural coding]</w:t>
            </w:r>
          </w:p>
        </w:tc>
      </w:tr>
      <w:tr>
        <w:tc>
          <w:tcPr>
            <w:tcW w:w="0" w:type="auto"/>
          </w:tcPr>
          <w:p>
            <w:pPr>
              <w:spacing w:line="240" w:lineRule="auto" w:before="0" w:after="0"/>
              <w:pStyle w:val="Compact"/>
            </w:pPr>
            <w:r>
              <w:rPr>
                <w:sz w:val="20"/>
                <w:szCs w:val="20"/>
              </w:rPr>
              <w:t xml:space="preserve">leo_nonconst_gov_legacy_2000s</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Pardini &amp; Anselmo, Acta Astronautica 184 (2021): historical LEO government/legacy payload non-compliance; pre-FCC-rule epoch, non-binding regime</w:t>
            </w:r>
          </w:p>
        </w:tc>
      </w:tr>
      <w:tr>
        <w:tc>
          <w:tcPr>
            <w:tcW w:w="0" w:type="auto"/>
          </w:tcPr>
          <w:p>
            <w:pPr>
              <w:spacing w:line="240" w:lineRule="auto" w:before="0" w:after="0"/>
              <w:pStyle w:val="Compact"/>
            </w:pPr>
            <w:r>
              <w:rPr>
                <w:sz w:val="20"/>
                <w:szCs w:val="20"/>
              </w:rPr>
              <w:t xml:space="preserve">leo_const_constellation_meanband</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ESA Space Environment Report 2025 (ESA/ESOC): constellation 25-yr compliance band 75-97% mean</w:t>
            </w:r>
          </w:p>
        </w:tc>
      </w:tr>
      <w:tr>
        <w:tc>
          <w:tcPr>
            <w:tcW w:w="0" w:type="auto"/>
          </w:tcPr>
          <w:p>
            <w:pPr>
              <w:spacing w:line="240" w:lineRule="auto" w:before="0" w:after="0"/>
              <w:pStyle w:val="Compact"/>
            </w:pPr>
            <w:r>
              <w:rPr>
                <w:sz w:val="20"/>
                <w:szCs w:val="20"/>
              </w:rPr>
              <w:t xml:space="preserve">leo_rocketbody_legacy_2010s</w:t>
            </w:r>
          </w:p>
        </w:tc>
        <w:tc>
          <w:tcPr>
            <w:tcW w:w="0" w:type="auto"/>
          </w:tcPr>
          <w:p>
            <w:pPr>
              <w:spacing w:line="240" w:lineRule="auto" w:before="0" w:after="0"/>
              <w:pStyle w:val="Compact"/>
            </w:pPr>
            <w:r>
              <w:rPr>
                <w:sz w:val="20"/>
                <w:szCs w:val="20"/>
              </w:rPr>
              <w:t xml:space="preserve">rocket_body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Space Environment Report 2025 (ESA/ESOC): rocket-body 25-yr attempt-success rising trend; mid-decade legacy value lower than 2020s, non-binding regime</w:t>
            </w:r>
          </w:p>
        </w:tc>
      </w:tr>
      <w:tr>
        <w:tc>
          <w:tcPr>
            <w:tcW w:w="0" w:type="auto"/>
          </w:tcPr>
          <w:p>
            <w:pPr>
              <w:spacing w:line="240" w:lineRule="auto" w:before="0" w:after="0"/>
              <w:pStyle w:val="Compact"/>
            </w:pPr>
            <w:r>
              <w:rPr>
                <w:sz w:val="20"/>
                <w:szCs w:val="20"/>
              </w:rPr>
              <w:t xml:space="preserve">leo_payload_const_5yr_high</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ESA Space Environment Report 2025 (ESA/ESOC): upper end of 5-yr successful compliance band for manoeuvrable constellation payloads under FCC 5-yr rule</w:t>
            </w:r>
          </w:p>
        </w:tc>
      </w:tr>
      <w:tr>
        <w:tc>
          <w:tcPr>
            <w:tcW w:w="0" w:type="auto"/>
          </w:tcPr>
          <w:p>
            <w:pPr>
              <w:spacing w:line="240" w:lineRule="auto" w:before="0" w:after="0"/>
              <w:pStyle w:val="Compact"/>
            </w:pPr>
            <w:r>
              <w:rPr>
                <w:sz w:val="20"/>
                <w:szCs w:val="20"/>
              </w:rPr>
              <w:t xml:space="preserve">leo_nonconst_attempt_25yr_mid</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ESA Space Environment Report 2025 (ESA/ESOC), Ch6: payloads in non-compliant orbit attempting 25-yr compliance, non-constellation mid-band success</w:t>
            </w:r>
          </w:p>
        </w:tc>
      </w:tr>
      <w:tr>
        <w:tc>
          <w:tcPr>
            <w:tcW w:w="0" w:type="auto"/>
          </w:tcPr>
          <w:p>
            <w:pPr>
              <w:spacing w:line="240" w:lineRule="auto" w:before="0" w:after="0"/>
              <w:pStyle w:val="Compact"/>
            </w:pPr>
            <w:r>
              <w:rPr>
                <w:sz w:val="20"/>
                <w:szCs w:val="20"/>
              </w:rPr>
              <w:t xml:space="preserve">leo_const_high_internalization</w:t>
            </w:r>
          </w:p>
        </w:tc>
        <w:tc>
          <w:tcPr>
            <w:tcW w:w="0" w:type="auto"/>
          </w:tcPr>
          <w:p>
            <w:pPr>
              <w:spacing w:line="240" w:lineRule="auto" w:before="0" w:after="0"/>
              <w:pStyle w:val="Compact"/>
            </w:pPr>
            <w:r>
              <w:rPr>
                <w:sz w:val="20"/>
                <w:szCs w:val="20"/>
              </w:rPr>
              <w:t xml:space="preserve">payload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FCC 5-year deorbit rule + ESA 2025 constellation upper band; operator with binding regime and high own-share captures most disposal benefit</w:t>
            </w:r>
          </w:p>
        </w:tc>
      </w:tr>
    </w:tbl>
    <w:bookmarkEnd w:id="91"/>
    <w:bookmarkStart w:id="9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pmd_compliance</w:t>
            </w:r>
          </w:p>
        </w:tc>
        <w:tc>
          <w:tcPr>
            <w:tcW w:w="0" w:type="auto"/>
          </w:tcPr>
          <w:p>
            <w:pPr>
              <w:spacing w:line="240" w:lineRule="auto" w:before="0" w:after="0"/>
              <w:pStyle w:val="Compact"/>
            </w:pPr>
            <w:r>
              <w:rPr>
                <w:sz w:val="20"/>
                <w:szCs w:val="20"/>
              </w:rPr>
              <w:t xml:space="preserve">Documented post-mission disposal compliance share (0-1) for the cohort: fraction of objects in the cohort that successfully clear the protected region within the applicable lifetime limit</w:t>
            </w:r>
          </w:p>
        </w:tc>
        <w:tc>
          <w:tcPr>
            <w:tcW w:w="0" w:type="auto"/>
          </w:tcPr>
          <w:p>
            <w:pPr>
              <w:spacing w:line="240" w:lineRule="auto" w:before="0" w:after="0"/>
              <w:pStyle w:val="Compact"/>
            </w:pPr>
            <w:r>
              <w:rPr>
                <w:sz w:val="20"/>
                <w:szCs w:val="20"/>
              </w:rPr>
              <w:t xml:space="preserve">ESA Annual Space Environment Report 2024/2025 (ESA/ESOC); Pardini &amp; Anselmo Acta Astronautica 114 (2015), 184 (2021)</w:t>
            </w:r>
          </w:p>
        </w:tc>
      </w:tr>
      <w:t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Technical disposal capability index (0-1): manoeuvre/propulsion capability and natural-decay favourability of the cohort; proxies the H0 capability/salience channel</w:t>
            </w:r>
          </w:p>
        </w:tc>
        <w:tc>
          <w:tcPr>
            <w:tcW w:w="0" w:type="auto"/>
          </w:tcPr>
          <w:p>
            <w:pPr>
              <w:spacing w:line="240" w:lineRule="auto" w:before="0" w:after="0"/>
              <w:pStyle w:val="Compact"/>
            </w:pPr>
            <w:r>
              <w:rPr>
                <w:sz w:val="20"/>
                <w:szCs w:val="20"/>
              </w:rPr>
              <w:t xml:space="preserve">Constructed from constellation status, mass band, and orbit class per ESA 2025 Ch6 manoeuvre-capability discussion</w:t>
            </w:r>
          </w:p>
        </w:tc>
      </w:tr>
      <w:tr>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Collective-action exposure (0-1): the private share of the disposal collision-risk benefit the operator captures, increasing with own-constellation size and own-orbit occupancy; the H1 free-rider channel</w:t>
            </w:r>
          </w:p>
        </w:tc>
        <w:tc>
          <w:tcPr>
            <w:tcW w:w="0" w:type="auto"/>
          </w:tcPr>
          <w:p>
            <w:pPr>
              <w:spacing w:line="240" w:lineRule="auto" w:before="0" w:after="0"/>
              <w:pStyle w:val="Compact"/>
            </w:pPr>
            <w:r>
              <w:rPr>
                <w:sz w:val="20"/>
                <w:szCs w:val="20"/>
              </w:rPr>
              <w:t xml:space="preserve">Constructed from constellation status and operator own-orbit share per the open-access externality model in Rao &amp; Rondina JAERE (2024), doi:10.1086/730695</w:t>
            </w:r>
          </w:p>
        </w:tc>
      </w:tr>
      <w:tr>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Indicator (0/1) for a binding national cost-internalizing disposal regime governing the cohort (e.g., FCC 5-year deorbit rule, FCC-22-74, 2022)</w:t>
            </w:r>
          </w:p>
        </w:tc>
        <w:tc>
          <w:tcPr>
            <w:tcW w:w="0" w:type="auto"/>
          </w:tcPr>
          <w:p>
            <w:pPr>
              <w:spacing w:line="240" w:lineRule="auto" w:before="0" w:after="0"/>
              <w:pStyle w:val="Compact"/>
            </w:pPr>
            <w:r>
              <w:rPr>
                <w:sz w:val="20"/>
                <w:szCs w:val="20"/>
              </w:rPr>
              <w:t xml:space="preserve">FCC Report and Order FCC-22-74 (2022); national licensing rules coded by epoch and jurisdiction</w:t>
            </w:r>
          </w:p>
        </w:tc>
      </w:tr>
    </w:tbl>
    <w:bookmarkEnd w:id="92"/>
    <w:bookmarkStart w:id="9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0.2162</w:t>
            </w:r>
          </w:p>
        </w:tc>
        <w:tc>
          <w:tcPr>
            <w:tcW w:w="0" w:type="auto"/>
          </w:tcPr>
          <w:p>
            <w:pPr>
              <w:spacing w:line="240" w:lineRule="auto" w:before="0" w:after="0"/>
              <w:pStyle w:val="Compact"/>
            </w:pPr>
            <w:r>
              <w:rPr>
                <w:sz w:val="20"/>
                <w:szCs w:val="20"/>
              </w:rPr>
              <w:t xml:space="preserve">0.0879</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[0.044, 0.3885]</w:t>
            </w:r>
          </w:p>
        </w:tc>
      </w:tr>
      <w:t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0.8298</w:t>
            </w:r>
          </w:p>
        </w:tc>
        <w:tc>
          <w:tcPr>
            <w:tcW w:w="0" w:type="auto"/>
          </w:tcPr>
          <w:p>
            <w:pPr>
              <w:spacing w:line="240" w:lineRule="auto" w:before="0" w:after="0"/>
              <w:pStyle w:val="Compact"/>
            </w:pPr>
            <w:r>
              <w:rPr>
                <w:sz w:val="20"/>
                <w:szCs w:val="20"/>
              </w:rPr>
              <w:t xml:space="preserve">0.1374</w:t>
            </w:r>
          </w:p>
        </w:tc>
        <w:tc>
          <w:tcPr>
            <w:tcW w:w="0" w:type="auto"/>
          </w:tcPr>
          <w:p>
            <w:pPr>
              <w:spacing w:line="240" w:lineRule="auto" w:before="0" w:after="0"/>
              <w:pStyle w:val="Compact"/>
            </w:pPr>
            <w:r>
              <w:rPr>
                <w:sz w:val="20"/>
                <w:szCs w:val="20"/>
              </w:rPr>
              <w:t xml:space="preserve">6.0413</w:t>
            </w:r>
          </w:p>
        </w:tc>
        <w:tc>
          <w:tcPr>
            <w:tcW w:w="0" w:type="auto"/>
          </w:tcPr>
          <w:p>
            <w:pPr>
              <w:spacing w:line="240" w:lineRule="auto" w:before="0" w:after="0"/>
              <w:pStyle w:val="Compact"/>
            </w:pPr>
            <w:r>
              <w:rPr>
                <w:sz w:val="20"/>
                <w:szCs w:val="20"/>
              </w:rPr>
              <w:t xml:space="preserve">1.529e-09</w:t>
            </w:r>
          </w:p>
        </w:tc>
        <w:tc>
          <w:tcPr>
            <w:tcW w:w="0" w:type="auto"/>
          </w:tcPr>
          <w:p>
            <w:pPr>
              <w:spacing w:line="240" w:lineRule="auto" w:before="0" w:after="0"/>
              <w:pStyle w:val="Compact"/>
            </w:pPr>
            <w:r>
              <w:rPr>
                <w:sz w:val="20"/>
                <w:szCs w:val="20"/>
              </w:rPr>
              <w:t xml:space="preserve">[0.5606, 1.099]</w:t>
            </w:r>
          </w:p>
        </w:tc>
      </w:tr>
      <w:tr>
        <w:tc>
          <w:tcPr>
            <w:tcW w:w="0" w:type="auto"/>
          </w:tcPr>
          <w:p>
            <w:pPr>
              <w:spacing w:line="240" w:lineRule="auto" w:before="0" w:after="0"/>
              <w:pStyle w:val="Compact"/>
            </w:pPr>
            <w:r>
              <w:rPr>
                <w:sz w:val="20"/>
                <w:szCs w:val="20"/>
              </w:rPr>
              <w:t xml:space="preserve">private_benefit_share</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0.1301</w:t>
            </w:r>
          </w:p>
        </w:tc>
        <w:tc>
          <w:tcPr>
            <w:tcW w:w="0" w:type="auto"/>
          </w:tcPr>
          <w:p>
            <w:pPr>
              <w:spacing w:line="240" w:lineRule="auto" w:before="0" w:after="0"/>
              <w:pStyle w:val="Compact"/>
            </w:pPr>
            <w:r>
              <w:rPr>
                <w:sz w:val="20"/>
                <w:szCs w:val="20"/>
              </w:rPr>
              <w:t xml:space="preserve">-0.4837</w:t>
            </w:r>
          </w:p>
        </w:tc>
        <w:tc>
          <w:tcPr>
            <w:tcW w:w="0" w:type="auto"/>
          </w:tcPr>
          <w:p>
            <w:pPr>
              <w:spacing w:line="240" w:lineRule="auto" w:before="0" w:after="0"/>
              <w:pStyle w:val="Compact"/>
            </w:pPr>
            <w:r>
              <w:rPr>
                <w:sz w:val="20"/>
                <w:szCs w:val="20"/>
              </w:rPr>
              <w:t xml:space="preserve">0.6286</w:t>
            </w:r>
          </w:p>
        </w:tc>
        <w:tc>
          <w:tcPr>
            <w:tcW w:w="0" w:type="auto"/>
          </w:tcPr>
          <w:p>
            <w:pPr>
              <w:spacing w:line="240" w:lineRule="auto" w:before="0" w:after="0"/>
              <w:pStyle w:val="Compact"/>
            </w:pPr>
            <w:r>
              <w:rPr>
                <w:sz w:val="20"/>
                <w:szCs w:val="20"/>
              </w:rPr>
              <w:t xml:space="preserve">[-0.318, 0.1921]</w:t>
            </w:r>
          </w:p>
        </w:tc>
      </w:tr>
      <w:tr>
        <w:tc>
          <w:tcPr>
            <w:tcW w:w="0" w:type="auto"/>
          </w:tcPr>
          <w:p>
            <w:pPr>
              <w:spacing w:line="240" w:lineRule="auto" w:before="0" w:after="0"/>
              <w:pStyle w:val="Compact"/>
            </w:pPr>
            <w:r>
              <w:rPr>
                <w:sz w:val="20"/>
                <w:szCs w:val="20"/>
              </w:rPr>
              <w:t xml:space="preserve">regime_binding</w:t>
            </w:r>
          </w:p>
        </w:tc>
        <w:tc>
          <w:tcPr>
            <w:tcW w:w="0" w:type="auto"/>
          </w:tcPr>
          <w:p>
            <w:pPr>
              <w:spacing w:line="240" w:lineRule="auto" w:before="0" w:after="0"/>
              <w:pStyle w:val="Compact"/>
            </w:pPr>
            <w:r>
              <w:rPr>
                <w:sz w:val="20"/>
                <w:szCs w:val="20"/>
              </w:rPr>
              <w:t xml:space="preserve">-0.1571</w:t>
            </w:r>
          </w:p>
        </w:tc>
        <w:tc>
          <w:tcPr>
            <w:tcW w:w="0" w:type="auto"/>
          </w:tcPr>
          <w:p>
            <w:pPr>
              <w:spacing w:line="240" w:lineRule="auto" w:before="0" w:after="0"/>
              <w:pStyle w:val="Compact"/>
            </w:pPr>
            <w:r>
              <w:rPr>
                <w:sz w:val="20"/>
                <w:szCs w:val="20"/>
              </w:rPr>
              <w:t xml:space="preserve">0.0747</w:t>
            </w:r>
          </w:p>
        </w:tc>
        <w:tc>
          <w:tcPr>
            <w:tcW w:w="0" w:type="auto"/>
          </w:tcPr>
          <w:p>
            <w:pPr>
              <w:spacing w:line="240" w:lineRule="auto" w:before="0" w:after="0"/>
              <w:pStyle w:val="Compact"/>
            </w:pPr>
            <w:r>
              <w:rPr>
                <w:sz w:val="20"/>
                <w:szCs w:val="20"/>
              </w:rPr>
              <w:t xml:space="preserve">-2.1029</w:t>
            </w:r>
          </w:p>
        </w:tc>
        <w:tc>
          <w:tcPr>
            <w:tcW w:w="0" w:type="auto"/>
          </w:tcPr>
          <w:p>
            <w:pPr>
              <w:spacing w:line="240" w:lineRule="auto" w:before="0" w:after="0"/>
              <w:pStyle w:val="Compact"/>
            </w:pPr>
            <w:r>
              <w:rPr>
                <w:sz w:val="20"/>
                <w:szCs w:val="20"/>
              </w:rPr>
              <w:t xml:space="preserve">0.0355</w:t>
            </w:r>
          </w:p>
        </w:tc>
        <w:tc>
          <w:tcPr>
            <w:tcW w:w="0" w:type="auto"/>
          </w:tcPr>
          <w:p>
            <w:pPr>
              <w:spacing w:line="240" w:lineRule="auto" w:before="0" w:after="0"/>
              <w:pStyle w:val="Compact"/>
            </w:pPr>
            <w:r>
              <w:rPr>
                <w:sz w:val="20"/>
                <w:szCs w:val="20"/>
              </w:rPr>
              <w:t xml:space="preserve">[-0.3035, -0.0107]</w:t>
            </w:r>
          </w:p>
        </w:tc>
      </w:tr>
    </w:tbl>
    <w:p>
      <w:pPr>
        <w:pStyle w:val="BodyText"/>
      </w:pPr>
      <w:r>
        <w:t xml:space="preserve">Fit: N = 28 R2 = 0.5744 R2_adj = 0.5212 F = 13.8057 F_p = 1.948e-05</w:t>
      </w:r>
    </w:p>
    <w:bookmarkEnd w:id="93"/>
    <w:bookmarkEnd w:id="94"/>
    <w:bookmarkEnd w:id="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7" Target="media/rId87.png" /><Relationship Type="http://schemas.openxmlformats.org/officeDocument/2006/relationships/hyperlink" Id="rId80" Target="https://doi.org/10.1016/j.actaastro.2015.04.024" TargetMode="External" /><Relationship Type="http://schemas.openxmlformats.org/officeDocument/2006/relationships/hyperlink" Id="rId72" Target="https://doi.org/10.1016/j.actaastro.2021.03.030" TargetMode="External" /><Relationship Type="http://schemas.openxmlformats.org/officeDocument/2006/relationships/hyperlink" Id="rId78" Target="https://doi.org/10.1016/j.actaastro.2023.01.016" TargetMode="External" /><Relationship Type="http://schemas.openxmlformats.org/officeDocument/2006/relationships/hyperlink" Id="rId69" Target="https://doi.org/10.1016/j.actaastro.2025.03.034" TargetMode="External" /><Relationship Type="http://schemas.openxmlformats.org/officeDocument/2006/relationships/hyperlink" Id="rId76" Target="https://doi.org/10.1086/730695" TargetMode="External" /><Relationship Type="http://schemas.openxmlformats.org/officeDocument/2006/relationships/hyperlink" Id="rId82" Target="https://doi.org/10.1257/jep.32.2.173" TargetMode="External" /><Relationship Type="http://schemas.openxmlformats.org/officeDocument/2006/relationships/hyperlink" Id="rId74" Target="https://doi.org/10.64861/QKCI9457" TargetMode="External" /></Relationships>
</file>

<file path=word/_rels/footnotes.xml.rels><?xml version="1.0" encoding="UTF-8"?><Relationships xmlns="http://schemas.openxmlformats.org/package/2006/relationships"><Relationship Type="http://schemas.openxmlformats.org/officeDocument/2006/relationships/hyperlink" Id="rId80" Target="https://doi.org/10.1016/j.actaastro.2015.04.024" TargetMode="External" /><Relationship Type="http://schemas.openxmlformats.org/officeDocument/2006/relationships/hyperlink" Id="rId72" Target="https://doi.org/10.1016/j.actaastro.2021.03.030" TargetMode="External" /><Relationship Type="http://schemas.openxmlformats.org/officeDocument/2006/relationships/hyperlink" Id="rId78" Target="https://doi.org/10.1016/j.actaastro.2023.01.016" TargetMode="External" /><Relationship Type="http://schemas.openxmlformats.org/officeDocument/2006/relationships/hyperlink" Id="rId69" Target="https://doi.org/10.1016/j.actaastro.2025.03.034" TargetMode="External" /><Relationship Type="http://schemas.openxmlformats.org/officeDocument/2006/relationships/hyperlink" Id="rId76" Target="https://doi.org/10.1086/730695" TargetMode="External" /><Relationship Type="http://schemas.openxmlformats.org/officeDocument/2006/relationships/hyperlink" Id="rId82" Target="https://doi.org/10.1257/jep.32.2.173" TargetMode="External" /><Relationship Type="http://schemas.openxmlformats.org/officeDocument/2006/relationships/hyperlink" Id="rId74" Target="https://doi.org/10.64861/QKCI945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2026-06-26T16:46:03Z</dcterms:created>
  <dcterms:modified xsi:type="dcterms:W3CDTF">2026-06-26T16:46:03Z</dcterms:modified>
</cp:coreProperties>
</file>

<file path=docProps/custom.xml><?xml version="1.0" encoding="utf-8"?>
<Properties xmlns="http://schemas.openxmlformats.org/officeDocument/2006/custom-properties" xmlns:vt="http://schemas.openxmlformats.org/officeDocument/2006/docPropsVTypes"/>
</file>