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COLLECTIVE ACTION AND THE POST-MISSION DISPOSAL GAP: WHY OPERATORS UNDERINVEST IN END-OF-LIFE DISPOSAL</w:t>
      </w:r>
    </w:p>
    <w:p>
      <w:pPr>
        <w:jc w:val="center"/>
      </w:pPr>
    </w:p>
    <w:p>
      <w:pPr>
        <w:jc w:val="center"/>
      </w:pPr>
      <w:r>
        <w:rPr>
          <w:rFonts w:ascii="Times New Roman" w:hAnsi="Times New Roman"/>
          <w:sz w:val="24"/>
        </w:rPr>
        <w:t>by</w:t>
      </w:r>
    </w:p>
    <w:p>
      <w:pPr>
        <w:jc w:val="center"/>
      </w:pPr>
      <w:r>
        <w:rPr>
          <w:rFonts w:ascii="Times New Roman" w:hAnsi="Times New Roman"/>
          <w:b/>
          <w:sz w:val="28"/>
        </w:rPr>
        <w:t>Ravi Tanaka</w:t>
      </w:r>
    </w:p>
    <w:p>
      <w:pPr>
        <w:jc w:val="center"/>
      </w:pPr>
      <w:r>
        <w:rPr>
          <w:rFonts w:ascii="Times New Roman" w:hAnsi="Times New Roman"/>
          <w:sz w:val="24"/>
        </w:rPr>
        <w:t>1B-SDA-072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One operator behavior governs the long-run usability of low Earth orbit more than any other. That behavior is disposal: the controlled or natural-decay removal of a structure from the protected region at the end of its life. Inter-agency mitigation guidelines codify it, and in every credible study of the last decade the projected evolution of the debris environment turns on whether operators actually execute it or leave their hardware where it is</w:t>
      </w:r>
      <w:r>
        <w:t xml:space="preserve"> </w:t>
      </w:r>
      <w:hyperlink w:anchor="ref-4">
        <w:r>
          <w:rPr>
            <w:rStyle w:val="Hyperlink"/>
          </w:rPr>
          <w:t xml:space="preserve">[4]</w:t>
        </w:r>
      </w:hyperlink>
      <w:r>
        <w:t xml:space="preserve">,</w:t>
      </w:r>
      <w:r>
        <w:t xml:space="preserve"> </w:t>
      </w:r>
      <w:hyperlink w:anchor="ref-21">
        <w:r>
          <w:rPr>
            <w:rStyle w:val="Hyperlink"/>
          </w:rPr>
          <w:t xml:space="preserve">[21]</w:t>
        </w:r>
      </w:hyperlink>
      <w:r>
        <w:t xml:space="preserve">.</w:t>
      </w:r>
    </w:p>
    <w:p>
      <w:pPr>
        <w:pStyle w:val="BodyText"/>
        <w:spacing w:line="480" w:lineRule="auto"/>
        <w:ind w:firstLine="720"/>
      </w:pPr>
      <w:r>
        <w:t xml:space="preserve">The observed record gives little comfort. Aggregate assessments of compliance with the disposal provisions keep finding the same thing: the share of payloads that actually clear the protected region within the applicable lifetime threshold sits well below the level the guidelines presume</w:t>
      </w:r>
      <w:r>
        <w:t xml:space="preserve"> </w:t>
      </w:r>
      <w:hyperlink w:anchor="ref-21">
        <w:r>
          <w:rPr>
            <w:rStyle w:val="Hyperlink"/>
          </w:rPr>
          <w:t xml:space="preserve">[21]</w:t>
        </w:r>
      </w:hyperlink>
      <w:r>
        <w:t xml:space="preserve">,</w:t>
      </w:r>
      <w:r>
        <w:t xml:space="preserve"> </w:t>
      </w:r>
      <w:hyperlink w:anchor="ref-24">
        <w:r>
          <w:rPr>
            <w:rStyle w:val="Hyperlink"/>
          </w:rPr>
          <w:t xml:space="preserve">[24]</w:t>
        </w:r>
      </w:hyperlink>
      <w:r>
        <w:t xml:space="preserve">. What drives long-term growth of the environment is the residual population of objects that were never disposed, not the flow of newly launched payloads</w:t>
      </w:r>
      <w:r>
        <w:t xml:space="preserve"> </w:t>
      </w:r>
      <w:hyperlink w:anchor="ref-4">
        <w:r>
          <w:rPr>
            <w:rStyle w:val="Hyperlink"/>
          </w:rPr>
          <w:t xml:space="preserve">[4]</w:t>
        </w:r>
      </w:hyperlink>
      <w:r>
        <w:t xml:space="preserve">. Even a disposal that is attempted can miss. The remaining-lifetime outcome is uncertain enough that a maneuver counted as compliant may still fail to deliver the removal it was meant to deliver</w:t>
      </w:r>
      <w:r>
        <w:t xml:space="preserve"> </w:t>
      </w:r>
      <w:hyperlink w:anchor="ref-5">
        <w:r>
          <w:rPr>
            <w:rStyle w:val="Hyperlink"/>
          </w:rPr>
          <w:t xml:space="preserve">[5]</w:t>
        </w:r>
      </w:hyperlink>
      <w:r>
        <w:t xml:space="preserve">. Operational impact studies of orbital debris make the distributional point plainly. Whoever created a given derelict, the burden of that derelict is carried by the entire population of orbit users</w:t>
      </w:r>
      <w:r>
        <w:t xml:space="preserve"> </w:t>
      </w:r>
      <w:hyperlink w:anchor="ref-22">
        <w:r>
          <w:rPr>
            <w:rStyle w:val="Hyperlink"/>
          </w:rPr>
          <w:t xml:space="preserve">[22]</w:t>
        </w:r>
      </w:hyperlink>
      <w:r>
        <w:t xml:space="preserve">.</w:t>
      </w:r>
    </w:p>
    <w:p>
      <w:pPr>
        <w:pStyle w:val="BodyText"/>
        <w:spacing w:line="480" w:lineRule="auto"/>
        <w:ind w:firstLine="720"/>
      </w:pPr>
      <w:r>
        <w:t xml:space="preserve">For the National Aeronautics and Space Administration, this is not an abstraction, and it is not an abstraction for the Jet Propulsion Laboratory in its role as steward of the agency’s most expensive and longest-lived robotic platforms. NASA’s science missions in low Earth orbit sit in altitude bands where even a modest residual derelict population raises conjunction rates enough to matter, and where the propellant spent on avoidance maneuvers is paid out of finite mission life. The Earth-observing platforms that anchor the agency’s climate and atmospheric programs live in exactly those bands. JPL’s platforms were designed and are flown under cost structures that assume a tolerable background flux, so every upward tick in that flux eats budget margin. Read this way, the disposal gap is a tax. It is levied each year against the science output the agency and its laboratories are funded to produce. Let the gap persist and the tax compounds. Misdiagnose the mechanism behind it and the instruments built to close it will fail while the agency credits itself with having acted, and the tax compounds anyway.</w:t>
      </w:r>
    </w:p>
    <w:p>
      <w:pPr>
        <w:pStyle w:val="BodyText"/>
        <w:spacing w:line="480" w:lineRule="auto"/>
        <w:ind w:firstLine="720"/>
      </w:pPr>
      <w:r>
        <w:t xml:space="preserve">The orthodox reading of the disposal gap treats it as a problem of rules and information. Write clearer guidelines, sharpen the propagation tools, raise operator awareness, publish more granular sustainability metrics</w:t>
      </w:r>
      <w:r>
        <w:t xml:space="preserve"> </w:t>
      </w:r>
      <w:hyperlink w:anchor="ref-13">
        <w:r>
          <w:rPr>
            <w:rStyle w:val="Hyperlink"/>
          </w:rPr>
          <w:t xml:space="preserve">[13]</w:t>
        </w:r>
      </w:hyperlink>
      <w:r>
        <w:t xml:space="preserve">. That program has been pursued in good faith, and with real institutional money behind it, for two decades. The gap is still open. My premise is that it stays open for a different reason. The rules are legible and the information is available; the trouble is that the incentive facing an individual operator is structurally adverse. Disposal burns propellant, mass, and operational life, and those costs are private and certain. The benefit is a marginal cut in collision risk that is diffuse, delayed, and shared across every other user of the orbit. When the resource is open-access and the external cost of a retained derelict never enters the operator’s decision, the privately rational level of disposal falls below the socially optimal level</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That is the textbook shape of a common-pool resource problem, and recent space-economics work argues that low Earth orbit fits the definition precisely because nothing forces operators to internalize the congestion they generate</w:t>
      </w:r>
      <w:r>
        <w:t xml:space="preserve"> </w:t>
      </w:r>
      <w:hyperlink w:anchor="ref-6">
        <w:r>
          <w:rPr>
            <w:rStyle w:val="Hyperlink"/>
          </w:rPr>
          <w:t xml:space="preserve">[6]</w:t>
        </w:r>
      </w:hyperlink>
      <w:r>
        <w:t xml:space="preserve">.</w:t>
      </w:r>
    </w:p>
    <w:p>
      <w:pPr>
        <w:pStyle w:val="BodyText"/>
        <w:spacing w:line="480" w:lineRule="auto"/>
        <w:ind w:firstLine="720"/>
      </w:pPr>
      <w:r>
        <w:t xml:space="preserve">Grant that diagnosis and the disposal gap stops looking like the accidental residue of incomplete guidance. It becomes the predictable equilibrium of a collective-action failure. The instruments most often proposed to close it are voluntary and reputation-based: publish a score, trust operators to respond</w:t>
      </w:r>
      <w:r>
        <w:t xml:space="preserve"> </w:t>
      </w:r>
      <w:hyperlink w:anchor="ref-2">
        <w:r>
          <w:rPr>
            <w:rStyle w:val="Hyperlink"/>
          </w:rPr>
          <w:t xml:space="preserve">[2]</w:t>
        </w:r>
      </w:hyperlink>
      <w:r>
        <w:t xml:space="preserve">. Aimed at a free-rider equilibrium, those instruments are aimed at the wrong target, and the behavior NASA and JPL most need to see, durable design-for-disposal investment by every operator sharing the neighborhood, will not materialize in response to a louder reputational signal on its own. The reverse case is live too. If the gap is really a capability and salience problem, the instruments now in the field may yet work, and the agency’s spending on them is well placed. Getting this question wrong is a structural error rather than a rhetorical one, and the cost lands directly on NASA’s science portfolio. That is the stake on which I ask the dissertation to be judged.</w:t>
      </w:r>
    </w:p>
    <w:bookmarkEnd w:id="61"/>
    <w:bookmarkStart w:id="62" w:name="the-gap-between-two-literatures"/>
    <w:p>
      <w:pPr>
        <w:pStyle w:val="Heading2"/>
        <w:spacing w:line="480" w:lineRule="auto"/>
      </w:pPr>
      <w:r>
        <w:t xml:space="preserve">1.2 The Gap Between Two Literatures</w:t>
      </w:r>
    </w:p>
    <w:p>
      <w:pPr>
        <w:pStyle w:val="FirstParagraph"/>
        <w:spacing w:line="480" w:lineRule="auto"/>
      </w:pPr>
      <w:r>
        <w:t xml:space="preserve">Three bodies of work touch the disposal problem. None of them closes it.</w:t>
      </w:r>
    </w:p>
    <w:p>
      <w:pPr>
        <w:pStyle w:val="BodyText"/>
        <w:spacing w:line="480" w:lineRule="auto"/>
        <w:ind w:firstLine="720"/>
      </w:pPr>
      <w:r>
        <w:t xml:space="preserve">The first is the mitigation-engineering literature. It characterizes disposal methods, quantifies compliance levels, and projects the long-term environmental consequences of the observed shortfall</w:t>
      </w:r>
      <w:r>
        <w:t xml:space="preserve"> </w:t>
      </w:r>
      <w:hyperlink w:anchor="ref-4">
        <w:r>
          <w:rPr>
            <w:rStyle w:val="Hyperlink"/>
          </w:rPr>
          <w:t xml:space="preserve">[4]</w:t>
        </w:r>
      </w:hyperlink>
      <w:r>
        <w:t xml:space="preserve">,</w:t>
      </w:r>
      <w:r>
        <w:t xml:space="preserve"> </w:t>
      </w:r>
      <w:hyperlink w:anchor="ref-21">
        <w:r>
          <w:rPr>
            <w:rStyle w:val="Hyperlink"/>
          </w:rPr>
          <w:t xml:space="preserve">[21]</w:t>
        </w:r>
      </w:hyperlink>
      <w:r>
        <w:t xml:space="preserve">,</w:t>
      </w:r>
      <w:r>
        <w:t xml:space="preserve"> </w:t>
      </w:r>
      <w:hyperlink w:anchor="ref-16">
        <w:r>
          <w:rPr>
            <w:rStyle w:val="Hyperlink"/>
          </w:rPr>
          <w:t xml:space="preserve">[16]</w:t>
        </w:r>
      </w:hyperlink>
      <w:r>
        <w:t xml:space="preserve">. Its measurement of the gap is empirically rigorous. What it does not do is explain non-compliance; it feeds non-compliance into environment models as an exogenous input rather than treating it as behavior. Pardini and Anselmo, in the sequence of papers that has become the standard reference on the measurement question, document the compliance shortfall and rank its long-term criticality, yet they offer no behavioral model of the operators whose decisions produce it</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w:t>
      </w:r>
      <w:r>
        <w:t xml:space="preserve"> </w:t>
      </w:r>
      <w:hyperlink w:anchor="ref-16">
        <w:r>
          <w:rPr>
            <w:rStyle w:val="Hyperlink"/>
          </w:rPr>
          <w:t xml:space="preserve">[16]</w:t>
        </w:r>
      </w:hyperlink>
      <w:r>
        <w:t xml:space="preserve">. Walls and colleagues catalog the data-management deficiencies that make even consistent measurement hard</w:t>
      </w:r>
      <w:r>
        <w:t xml:space="preserve"> </w:t>
      </w:r>
      <w:hyperlink w:anchor="ref-21">
        <w:r>
          <w:rPr>
            <w:rStyle w:val="Hyperlink"/>
          </w:rPr>
          <w:t xml:space="preserve">[21]</w:t>
        </w:r>
      </w:hyperlink>
      <w:r>
        <w:t xml:space="preserve">. The sustainability-metrics literature carries the measurement project forward with multi-perspective composite indicators</w:t>
      </w:r>
      <w:r>
        <w:t xml:space="preserve"> </w:t>
      </w:r>
      <w:hyperlink w:anchor="ref-13">
        <w:r>
          <w:rPr>
            <w:rStyle w:val="Hyperlink"/>
          </w:rPr>
          <w:t xml:space="preserve">[13]</w:t>
        </w:r>
      </w:hyperlink>
      <w:r>
        <w:t xml:space="preserve">, and it too takes the operator’s response function as given.</w:t>
      </w:r>
    </w:p>
    <w:p>
      <w:pPr>
        <w:pStyle w:val="BodyText"/>
        <w:spacing w:line="480" w:lineRule="auto"/>
        <w:ind w:firstLine="720"/>
      </w:pPr>
      <w:r>
        <w:t xml:space="preserve">The second body of work is the sustainability-rating and reputation-instrument literature. Its central artifact is the Space Sustainability Rating, a composite indicator built explicitly to push operators toward sustainable behavior, disposal included</w:t>
      </w:r>
      <w:r>
        <w:t xml:space="preserve"> </w:t>
      </w:r>
      <w:hyperlink w:anchor="ref-2">
        <w:r>
          <w:rPr>
            <w:rStyle w:val="Hyperlink"/>
          </w:rPr>
          <w:t xml:space="preserve">[2]</w:t>
        </w:r>
      </w:hyperlink>
      <w:r>
        <w:t xml:space="preserve">. The design paper states the premise openly: a well-constructed reputational signal will move operators, because the disposal gap is read as a coordination-signal problem, and operators would behave better if they could be seen doing so. What the rating literature never tests is whether the underlying incentive failure is in fact a signal problem that a reputational instrument can reach, or a deeper free-rider problem that no voluntary instrument can touch. That test has not been run. The rating is being deployed ahead of it.</w:t>
      </w:r>
    </w:p>
    <w:p>
      <w:pPr>
        <w:pStyle w:val="BodyText"/>
        <w:spacing w:line="480" w:lineRule="auto"/>
        <w:ind w:firstLine="720"/>
      </w:pPr>
      <w:r>
        <w:t xml:space="preserve">The third body of work is the space-economics literature, and it supplies the behavioral mechanism the engineering literature lacks. Rao and Rondina formalize orbit use as an open-access commons in which the operator who created a derelict never internalizes its marginal external cost, and they derive the result that disposal is systematically underprovided absent a cost-internalizing instrument</w:t>
      </w:r>
      <w:r>
        <w:t xml:space="preserve"> </w:t>
      </w:r>
      <w:hyperlink w:anchor="ref-6">
        <w:r>
          <w:rPr>
            <w:rStyle w:val="Hyperlink"/>
          </w:rPr>
          <w:t xml:space="preserve">[6]</w:t>
        </w:r>
      </w:hyperlink>
      <w:r>
        <w:t xml:space="preserve">. Weinzierl sets the same logic inside the broader economics of space activity and argues for Pigouvian treatment of the externality</w:t>
      </w:r>
      <w:r>
        <w:t xml:space="preserve"> </w:t>
      </w:r>
      <w:hyperlink w:anchor="ref-10">
        <w:r>
          <w:rPr>
            <w:rStyle w:val="Hyperlink"/>
          </w:rPr>
          <w:t xml:space="preserve">[10]</w:t>
        </w:r>
      </w:hyperlink>
      <w:r>
        <w:t xml:space="preserve">. Adjacent capacity-modeling work from the operations community approaches the problem from the design side, asking which constellation densities stay sustainable under candidate disposal regimes</w:t>
      </w:r>
      <w:r>
        <w:t xml:space="preserve"> </w:t>
      </w:r>
      <w:hyperlink w:anchor="ref-15">
        <w:r>
          <w:rPr>
            <w:rStyle w:val="Hyperlink"/>
          </w:rPr>
          <w:t xml:space="preserve">[15]</w:t>
        </w:r>
      </w:hyperlink>
      <w:r>
        <w:t xml:space="preserve">,</w:t>
      </w:r>
      <w:r>
        <w:t xml:space="preserve"> </w:t>
      </w:r>
      <w:hyperlink w:anchor="ref-17">
        <w:r>
          <w:rPr>
            <w:rStyle w:val="Hyperlink"/>
          </w:rPr>
          <w:t xml:space="preserve">[17]</w:t>
        </w:r>
      </w:hyperlink>
      <w:r>
        <w:t xml:space="preserve">. This literature is theoretically rigorous and policy-relevant, and in its current state it remains largely deductive. It does not join its mechanism to operator-level disposal outcomes. So it cannot tell a decision-maker at NASA or at the Federal Communications Commission whether the free-rider equilibrium the theory predicts is the equilibrium actually being observed.</w:t>
      </w:r>
    </w:p>
    <w:p>
      <w:pPr>
        <w:pStyle w:val="BodyText"/>
        <w:spacing w:line="480" w:lineRule="auto"/>
        <w:ind w:firstLine="720"/>
      </w:pPr>
      <w:r>
        <w:t xml:space="preserve">A fourth and smaller literature describes the social and discursive negotiation of compliance, and it notes that operator behavior is conditioned by a regime that is itself contested</w:t>
      </w:r>
      <w:r>
        <w:t xml:space="preserve"> </w:t>
      </w:r>
      <w:hyperlink w:anchor="ref-7">
        <w:r>
          <w:rPr>
            <w:rStyle w:val="Hyperlink"/>
          </w:rPr>
          <w:t xml:space="preserve">[7]</w:t>
        </w:r>
      </w:hyperlink>
      <w:r>
        <w:t xml:space="preserve">. This work confirms that the gap is behavioral. It stops at description, and it does not pit competing behavioral accounts against one another.</w:t>
      </w:r>
    </w:p>
    <w:p>
      <w:pPr>
        <w:pStyle w:val="BodyText"/>
        <w:spacing w:line="480" w:lineRule="auto"/>
        <w:ind w:firstLine="720"/>
      </w:pPr>
      <w:r>
        <w:t xml:space="preserve">The space between these literatures is the space this dissertation occupies. Engineering measures the shortfall without modeling the behavior. The rating literature proposes an instrument without testing the mechanism the instrument presumes. Economics supplies the mechanism without joining it to outcomes. No study in the current record uses observed operator-level disposal data to discriminate the collective-action account from the capability account, so no study tells a policymaker whether the rating-style instruments now being fielded aim at the binding constraint or at an inframarginal one. Supplying that discrimination is the work.</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advances one claim, stated to be falsifiable, and stakes its scholarly value on the outcome of one test. Conditional on technical disposal capability, an operator’s position in the collective-action structure carries independent explanatory weight for whether the operator actually disposes of its hardware at end of life. Two hypotheses make the claim discriminable.</w:t>
      </w:r>
    </w:p>
    <w:p>
      <w:pPr>
        <w:pStyle w:val="BodyText"/>
        <w:spacing w:line="480" w:lineRule="auto"/>
        <w:ind w:firstLine="720"/>
      </w:pPr>
      <w:r>
        <w:rPr>
          <w:b/>
          <w:bCs/>
        </w:rPr>
        <w:t xml:space="preserve">H0, the capability and salience account.</w:t>
      </w:r>
      <w:r>
        <w:t xml:space="preserve"> </w:t>
      </w:r>
      <w:r>
        <w:t xml:space="preserve">Cross-sectional and within-operator variation in post-mission disposal compliance is explained by technical disposal capability and by the salience of the guidelines. Condition on capability and the operator’s exposure to the collective-action structure, defined as the private share of the disposal collision-risk benefit the operator captures, has no effect on its disposal rate. If H0 holds, the disposal gap is a technical and informational problem, and the right instruments raise capability and salience.</w:t>
      </w:r>
    </w:p>
    <w:p>
      <w:pPr>
        <w:pStyle w:val="BodyText"/>
        <w:spacing w:line="480" w:lineRule="auto"/>
        <w:ind w:firstLine="720"/>
      </w:pPr>
      <w:r>
        <w:rPr>
          <w:b/>
          <w:bCs/>
        </w:rPr>
        <w:t xml:space="preserve">H1, the collective-action account.</w:t>
      </w:r>
      <w:r>
        <w:t xml:space="preserve"> </w:t>
      </w:r>
      <w:r>
        <w:t xml:space="preserve">Condition on technical disposal capability and the pattern still moves. Operators that capture a larger private share of the disposal benefit, through larger own-constellation collision exposure, or that face a binding regime pricing the external cost, dispose at higher rates; operators positioned as free riders dispose at lower rates. Collective-action position carries explanatory weight beyond capability. If H1 holds, the disposal gap is a free-rider equilibrium, and the right instruments internalize the external cost.</w:t>
      </w:r>
    </w:p>
    <w:p>
      <w:pPr>
        <w:pStyle w:val="BodyText"/>
        <w:spacing w:line="480" w:lineRule="auto"/>
        <w:ind w:firstLine="720"/>
      </w:pPr>
      <w:r>
        <w:t xml:space="preserve">H1 is falsified, in the falsificationist sense the dissertation adopts, if after conditioning on capability the coefficient on the collective-action exposure measure comes back statistically and economically indistinguishable from zero, or signed against the free-rider prediction, in the preferred specification estimated on the within-operator regime margin. That single test discriminates the mechanism. Sustain H1 and voluntary reputation instruments</w:t>
      </w:r>
      <w:r>
        <w:t xml:space="preserve"> </w:t>
      </w:r>
      <w:hyperlink w:anchor="ref-2">
        <w:r>
          <w:rPr>
            <w:rStyle w:val="Hyperlink"/>
          </w:rPr>
          <w:t xml:space="preserve">[2]</w:t>
        </w:r>
      </w:hyperlink>
      <w:r>
        <w:t xml:space="preserve"> </w:t>
      </w:r>
      <w:r>
        <w:t xml:space="preserve">are structurally insufficient, while cost-internalizing instruments of the kind argued in</w:t>
      </w:r>
      <w:r>
        <w:t xml:space="preserve"> </w:t>
      </w:r>
      <w:hyperlink w:anchor="ref-6">
        <w:r>
          <w:rPr>
            <w:rStyle w:val="Hyperlink"/>
          </w:rPr>
          <w:t xml:space="preserve">[6]</w:t>
        </w:r>
      </w:hyperlink>
      <w:r>
        <w:t xml:space="preserve"> </w:t>
      </w:r>
      <w:r>
        <w:t xml:space="preserve">and</w:t>
      </w:r>
      <w:r>
        <w:t xml:space="preserve"> </w:t>
      </w:r>
      <w:hyperlink w:anchor="ref-10">
        <w:r>
          <w:rPr>
            <w:rStyle w:val="Hyperlink"/>
          </w:rPr>
          <w:t xml:space="preserve">[10]</w:t>
        </w:r>
      </w:hyperlink>
      <w:r>
        <w:t xml:space="preserve"> </w:t>
      </w:r>
      <w:r>
        <w:t xml:space="preserve">are required. Sustain H0 and the conclusion inverts. The dissertation does not hedge between the two outcomes. It commits in advance to the falsification criterion and reports whatever the data return.</w:t>
      </w:r>
    </w:p>
    <w:p>
      <w:pPr>
        <w:pStyle w:val="BodyText"/>
        <w:spacing w:line="480" w:lineRule="auto"/>
        <w:ind w:firstLine="720"/>
      </w:pPr>
      <w:r>
        <w:t xml:space="preserve">Two companion papers, prepared ahead of the chapter-length dissertation, establish the empirical terrain for the test and show in miniature that the promised discrimination is estimable on obtainable data. The first is an operator-cohort cross-sectional regression on twenty-eight cohorts compiled from the ESA Annual Space Environment Report and the published compliance studies</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w:t>
      </w:r>
      <w:r>
        <w:t xml:space="preserve"> </w:t>
      </w:r>
      <w:hyperlink w:anchor="ref-4">
        <w:r>
          <w:rPr>
            <w:rStyle w:val="Hyperlink"/>
          </w:rPr>
          <w:t xml:space="preserve">[4]</w:t>
        </w:r>
      </w:hyperlink>
      <w:r>
        <w:t xml:space="preserve">. It fits the cross-section with an adjusted coefficient of determination near fifty-two percent, and it finds technical disposal capability dominating the cross-section while the free-rider exposure measure, unconditionally, is statistically indistinguishable from zero. The second is a row-level logistic regression on thirty-four documented end-of-life events drawn from ESA and NASA Orbital Debris Program Office records. It fits at a McFadden pseudo-coefficient of determination of 0.70, and it returns the post-2020 regime-era term positive, large in odds-ratio magnitude near five, and imprecisely estimated at the available sample size. Read together, the two papers establish two things. Capability is the proximate channel through which whatever incentives matter must act. And the regime-internalization channel survives, yet it is not adjudicated at the cross-sectional sample sizes available without operator-level panel structure. Supplying that structure, and running the within-operator difference-in-differences test the cross-section cannot, is the dissertation’s contribution.</w:t>
      </w:r>
    </w:p>
    <w:bookmarkEnd w:id="63"/>
    <w:bookmarkStart w:id="64" w:name="roadmap"/>
    <w:p>
      <w:pPr>
        <w:pStyle w:val="Heading2"/>
        <w:spacing w:line="480" w:lineRule="auto"/>
      </w:pPr>
      <w:r>
        <w:t xml:space="preserve">1.4 Roadmap</w:t>
      </w:r>
    </w:p>
    <w:p>
      <w:pPr>
        <w:pStyle w:val="FirstParagraph"/>
        <w:spacing w:line="480" w:lineRule="auto"/>
      </w:pPr>
      <w:r>
        <w:t xml:space="preserve">Eight chapters follow. Chapter 2 reads the three literatures in greater depth, with particular attention to the measurement conventions of the engineering literature</w:t>
      </w:r>
      <w:r>
        <w:t xml:space="preserve"> </w:t>
      </w:r>
      <w:hyperlink w:anchor="ref-4">
        <w:r>
          <w:rPr>
            <w:rStyle w:val="Hyperlink"/>
          </w:rPr>
          <w:t xml:space="preserve">[4]</w:t>
        </w:r>
      </w:hyperlink>
      <w:r>
        <w:t xml:space="preserve">,</w:t>
      </w:r>
      <w:r>
        <w:t xml:space="preserve"> </w:t>
      </w:r>
      <w:hyperlink w:anchor="ref-13">
        <w:r>
          <w:rPr>
            <w:rStyle w:val="Hyperlink"/>
          </w:rPr>
          <w:t xml:space="preserve">[13]</w:t>
        </w:r>
      </w:hyperlink>
      <w:r>
        <w:t xml:space="preserve">,</w:t>
      </w:r>
      <w:r>
        <w:t xml:space="preserve"> </w:t>
      </w:r>
      <w:hyperlink w:anchor="ref-16">
        <w:r>
          <w:rPr>
            <w:rStyle w:val="Hyperlink"/>
          </w:rPr>
          <w:t xml:space="preserve">[16]</w:t>
        </w:r>
      </w:hyperlink>
      <w:r>
        <w:t xml:space="preserve">,</w:t>
      </w:r>
      <w:r>
        <w:t xml:space="preserve"> </w:t>
      </w:r>
      <w:hyperlink w:anchor="ref-21">
        <w:r>
          <w:rPr>
            <w:rStyle w:val="Hyperlink"/>
          </w:rPr>
          <w:t xml:space="preserve">[21]</w:t>
        </w:r>
      </w:hyperlink>
      <w:r>
        <w:t xml:space="preserve">, to the design and deployment of the Space Sustainability Rating and adjacent reputational instruments</w:t>
      </w:r>
      <w:r>
        <w:t xml:space="preserve"> </w:t>
      </w:r>
      <w:hyperlink w:anchor="ref-2">
        <w:r>
          <w:rPr>
            <w:rStyle w:val="Hyperlink"/>
          </w:rPr>
          <w:t xml:space="preserve">[2]</w:t>
        </w:r>
      </w:hyperlink>
      <w:r>
        <w:t xml:space="preserve">, and to the open-access externality framework of the economics literature</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It closes with the precise statement of the empirical gap the dissertation fills, and it names the candidate alternative explanations the design has to rule out.</w:t>
      </w:r>
    </w:p>
    <w:p>
      <w:pPr>
        <w:pStyle w:val="BodyText"/>
        <w:spacing w:line="480" w:lineRule="auto"/>
        <w:ind w:firstLine="720"/>
      </w:pPr>
      <w:r>
        <w:t xml:space="preserve">Chapter 3 develops the theoretical model. Following the open-access framing in</w:t>
      </w:r>
      <w:r>
        <w:t xml:space="preserve"> </w:t>
      </w:r>
      <w:hyperlink w:anchor="ref-6">
        <w:r>
          <w:rPr>
            <w:rStyle w:val="Hyperlink"/>
          </w:rPr>
          <w:t xml:space="preserve">[6]</w:t>
        </w:r>
      </w:hyperlink>
      <w:r>
        <w:t xml:space="preserve"> </w:t>
      </w:r>
      <w:r>
        <w:t xml:space="preserve">and the common-pool resource treatment in</w:t>
      </w:r>
      <w:r>
        <w:t xml:space="preserve"> </w:t>
      </w:r>
      <w:hyperlink w:anchor="ref-10">
        <w:r>
          <w:rPr>
            <w:rStyle w:val="Hyperlink"/>
          </w:rPr>
          <w:t xml:space="preserve">[10]</w:t>
        </w:r>
      </w:hyperlink>
      <w:r>
        <w:t xml:space="preserve">, I model the operator’s disposal decision as the privately optimal choice under an uninternalized external cost, derive the comparative-static predictions of the collective-action account on the private benefit share and on regime binding, and set them against the alternative comparative-statics of the capability account. The chapter ends with the formal mapping from theoretical quantities to estimable coefficients and with the falsification condition stated in Section 1.3.</w:t>
      </w:r>
    </w:p>
    <w:p>
      <w:pPr>
        <w:pStyle w:val="BodyText"/>
        <w:spacing w:line="480" w:lineRule="auto"/>
        <w:ind w:firstLine="720"/>
      </w:pPr>
      <w:r>
        <w:t xml:space="preserve">Chapter 4 specifies the data. The primary outcome source is the ESA Space Debris Office Annual Space Environment Report</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an institutionally authored, publicly downloadable record of per-class disposal-compliance statistics by object type, constellation status, mass band, and lifetime threshold. Operator and constellation covariates are built from the public satellite catalog and the ESA DISCOS database. Regime-level cost-internalization indicators are coded from public national licensing rules, with the FCC five-year deorbit rule</w:t>
      </w:r>
      <w:r>
        <w:t xml:space="preserve"> </w:t>
      </w:r>
      <w:hyperlink w:anchor="ref-12">
        <w:r>
          <w:rPr>
            <w:rStyle w:val="Hyperlink"/>
          </w:rPr>
          <w:t xml:space="preserve">[12]</w:t>
        </w:r>
      </w:hyperlink>
      <w:r>
        <w:t xml:space="preserve"> </w:t>
      </w:r>
      <w:r>
        <w:t xml:space="preserve">serving as the canonical post-2020 binding instrument. Historical compliance levels for legacy and unmaneuverable cohorts come from the published Pardini and Anselmo studies</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w:t>
      </w:r>
      <w:r>
        <w:t xml:space="preserve"> </w:t>
      </w:r>
      <w:hyperlink w:anchor="ref-16">
        <w:r>
          <w:rPr>
            <w:rStyle w:val="Hyperlink"/>
          </w:rPr>
          <w:t xml:space="preserve">[16]</w:t>
        </w:r>
      </w:hyperlink>
      <w:r>
        <w:t xml:space="preserve">. The chapter documents the provenance of every variable and flags every coded judgment.</w:t>
      </w:r>
    </w:p>
    <w:p>
      <w:pPr>
        <w:pStyle w:val="BodyText"/>
        <w:spacing w:line="480" w:lineRule="auto"/>
        <w:ind w:firstLine="720"/>
      </w:pPr>
      <w:r>
        <w:t xml:space="preserve">Chapter 5 specifies identification and method. The cross-sectional and panel analysis regresses operator-level disposal outcomes on a capability index, a collective-action exposure measure, and a regime-binding indicator. Identifying the collective-action effect net of capability rests on two sources of variation. First is within-operator variation across regulatory regimes: the same operator under a binding national disposal-enforcement regime versus a non-binding one gives a difference-in-differences contrast in which the regime change shifts internalized cost without touching engineering capability. Second is cross-operator variation in own-versus-shared collision exposure. The chapter builds the measurement-error correction that the remaining-lifetime uncertainty in</w:t>
      </w:r>
      <w:r>
        <w:t xml:space="preserve"> </w:t>
      </w:r>
      <w:hyperlink w:anchor="ref-5">
        <w:r>
          <w:rPr>
            <w:rStyle w:val="Hyperlink"/>
          </w:rPr>
          <w:t xml:space="preserve">[5]</w:t>
        </w:r>
      </w:hyperlink>
      <w:r>
        <w:t xml:space="preserve"> </w:t>
      </w:r>
      <w:r>
        <w:t xml:space="preserve">demands, and it builds the flag-of-convenience instrument that selection into regimes demands.</w:t>
      </w:r>
    </w:p>
    <w:p>
      <w:pPr>
        <w:pStyle w:val="BodyText"/>
        <w:spacing w:line="480" w:lineRule="auto"/>
        <w:ind w:firstLine="720"/>
      </w:pPr>
      <w:r>
        <w:t xml:space="preserve">Chapter 6 reports the quantitative results, organized around the falsification condition. I report the coefficient on the collective-action exposure measure in the preferred within-operator specification, its standard error, and its sign relative to the H1 prediction, and I state whether H1 is sustained or falsified. Robustness specifications include the attempted-versus-confirmed disposal coding bound, the lifetime-uncertainty correction, and the alternative regime codings. I report the result the data deliver, and I decline to re-specify the test to reverse it.</w:t>
      </w:r>
    </w:p>
    <w:p>
      <w:pPr>
        <w:pStyle w:val="BodyText"/>
        <w:spacing w:line="480" w:lineRule="auto"/>
        <w:ind w:firstLine="720"/>
      </w:pPr>
      <w:r>
        <w:t xml:space="preserve">Chapter 7 supplies the qualitative strand. Structured operator and regulator case comparisons, selected on the regime margin, check that the constructed exposure measure tracks the decision logic operators actually report, probe the rating-incentive channel directly, and surface the institutional and discursive features from</w:t>
      </w:r>
      <w:r>
        <w:t xml:space="preserve"> </w:t>
      </w:r>
      <w:hyperlink w:anchor="ref-7">
        <w:r>
          <w:rPr>
            <w:rStyle w:val="Hyperlink"/>
          </w:rPr>
          <w:t xml:space="preserve">[7]</w:t>
        </w:r>
      </w:hyperlink>
      <w:r>
        <w:t xml:space="preserve"> </w:t>
      </w:r>
      <w:r>
        <w:t xml:space="preserve">that the quantitative model cannot capture. This strand is confirmatory and triangulating, not primary identification.</w:t>
      </w:r>
    </w:p>
    <w:p>
      <w:pPr>
        <w:pStyle w:val="BodyText"/>
        <w:spacing w:line="480" w:lineRule="auto"/>
        <w:ind w:firstLine="720"/>
      </w:pPr>
      <w:r>
        <w:t xml:space="preserve">Chapter 8 discusses implications. Sustain H1 and the message to NASA and the Federal Communications Commission is that the rating-style instruments now being fielded</w:t>
      </w:r>
      <w:r>
        <w:t xml:space="preserve"> </w:t>
      </w:r>
      <w:hyperlink w:anchor="ref-2">
        <w:r>
          <w:rPr>
            <w:rStyle w:val="Hyperlink"/>
          </w:rPr>
          <w:t xml:space="preserve">[2]</w:t>
        </w:r>
      </w:hyperlink>
      <w:r>
        <w:t xml:space="preserve"> </w:t>
      </w:r>
      <w:r>
        <w:t xml:space="preserve">are structurally insufficient and that cost-internalizing instruments along the lines of the Pigouvian treatment in</w:t>
      </w:r>
      <w:r>
        <w:t xml:space="preserve"> </w:t>
      </w:r>
      <w:hyperlink w:anchor="ref-6">
        <w:r>
          <w:rPr>
            <w:rStyle w:val="Hyperlink"/>
          </w:rPr>
          <w:t xml:space="preserve">[6]</w:t>
        </w:r>
      </w:hyperlink>
      <w:r>
        <w:t xml:space="preserve"> </w:t>
      </w:r>
      <w:r>
        <w:t xml:space="preserve">and</w:t>
      </w:r>
      <w:r>
        <w:t xml:space="preserve"> </w:t>
      </w:r>
      <w:hyperlink w:anchor="ref-10">
        <w:r>
          <w:rPr>
            <w:rStyle w:val="Hyperlink"/>
          </w:rPr>
          <w:t xml:space="preserve">[10]</w:t>
        </w:r>
      </w:hyperlink>
      <w:r>
        <w:t xml:space="preserve"> </w:t>
      </w:r>
      <w:r>
        <w:t xml:space="preserve">are required. Sustain H0 and the message inverts: the capability-raising instruments already deployed are well-targeted, and the rating instruments will move behavior to the extent that they move capability investment. The chapter is explicit about which policy claims the test licenses and which it does not, and it treats the rating-sufficiency conclusion as a tested inference from H1 rather than a freestanding estimate. Chapter 9 concludes, works through the threats to validity enumerated in the prospectus, and marks the open questions the dissertation deliberately defers, including the extension of the disposal-incentive framework to the geosynchronous and cislunar regimes.</w:t>
      </w:r>
    </w:p>
    <w:p>
      <w:pPr>
        <w:pStyle w:val="BodyText"/>
        <w:spacing w:line="480" w:lineRule="auto"/>
        <w:ind w:firstLine="720"/>
      </w:pPr>
      <w:r>
        <w:t xml:space="preserve">I wrote the dissertation for two audiences. One is the scholarly community in space economics and space-debris engineering, to which the contribution is a clean empirical discrimination between two behavioral accounts that have until now argued past one another. The other is the institutional audience at NASA, at JPL, and at the Federal Communications Commission, for whom the result decides an instrument-choice question currently being settled without the test the dissertation provides. The single falsifiable contribution of Section 1.3 binds the two audiences together, and the chapters are arranged so that whichever way the test resolves, the resolution reads clearly to both.</w:t>
      </w:r>
    </w:p>
    <w:bookmarkEnd w:id="64"/>
    <w:bookmarkEnd w:id="65"/>
    <w:bookmarkStart w:id="73" w:name="chapter-2.-literature-review"/>
    <w:p>
      <w:pPr>
        <w:pStyle w:val="Heading1"/>
        <w:spacing w:line="480" w:lineRule="auto"/>
      </w:pPr>
      <w:r>
        <w:t xml:space="preserve">Chapter 2. Literature Review</w:t>
      </w:r>
    </w:p>
    <w:bookmarkStart w:id="66" w:name="introduction-and-organizing-logic"/>
    <w:p>
      <w:pPr>
        <w:pStyle w:val="Heading2"/>
        <w:spacing w:line="480" w:lineRule="auto"/>
      </w:pPr>
      <w:r>
        <w:t xml:space="preserve">2.1 Introduction and Organizing Logic</w:t>
      </w:r>
    </w:p>
    <w:p>
      <w:pPr>
        <w:pStyle w:val="FirstParagraph"/>
        <w:spacing w:line="480" w:lineRule="auto"/>
      </w:pPr>
      <w:r>
        <w:t xml:space="preserve">Two scholarly traditions touch the post-mission disposal (PMD) gap, and until very recently each addressed it in isolation from the other. One is a domain-technical literature on orbital debris mitigation, sustainability metrics, and space-environment governance, rooted in aerospace engineering, astrodynamics, and the regime-policy work of the inter-agency mitigation community</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11">
        <w:r>
          <w:rPr>
            <w:rStyle w:val="Hyperlink"/>
          </w:rPr>
          <w:t xml:space="preserve">[11]</w:t>
        </w:r>
      </w:hyperlink>
      <w:r>
        <w:t xml:space="preserve">. The other is a methodological literature, increasingly cliometric and econometric in form, that treats orbit use as an economic problem of open-access commons under uninternalized externalities and prescribes mechanisms from Pigouvian charges to coordinated property-like instruments</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Each tradition has produced a mature, internally coherent body of work. Neither, on its own, has supplied a falsifiable behavioral account of why operators dispose, or fail to dispose, at the rates the public record shows.</w:t>
      </w:r>
    </w:p>
    <w:p>
      <w:pPr>
        <w:pStyle w:val="BodyText"/>
        <w:spacing w:line="480" w:lineRule="auto"/>
        <w:ind w:firstLine="720"/>
      </w:pPr>
      <w:r>
        <w:t xml:space="preserve">This chapter has three tasks. It reviews the domain-technical literature on PMD, sustainability metrics, and regime evolution, and shows that this literature measures compliance as an empirical quantity while feeding non-compliance into environment models as an exogenous input rather than treating it as behavior to be explained</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13">
        <w:r>
          <w:rPr>
            <w:rStyle w:val="Hyperlink"/>
          </w:rPr>
          <w:t xml:space="preserve">[13]</w:t>
        </w:r>
      </w:hyperlink>
      <w:r>
        <w:t xml:space="preserve">. It then reviews the cliometric and econometric methodology relevant to common-pool resource behavior, focusing on the open-access externality logic recent space economics has imported</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w:t>
      </w:r>
      <w:r>
        <w:t xml:space="preserve">and on the construct-validity, identification, and measurement-error problems any cross-sectional or panel study of disposal has to confront</w:t>
      </w:r>
      <w:r>
        <w:t xml:space="preserve"> </w:t>
      </w:r>
      <w:hyperlink w:anchor="ref-5">
        <w:r>
          <w:rPr>
            <w:rStyle w:val="Hyperlink"/>
          </w:rPr>
          <w:t xml:space="preserve">[5]</w:t>
        </w:r>
      </w:hyperlink>
      <w:r>
        <w:t xml:space="preserve">. Finally it synthesizes the two, and the synthesis exposes a gap that is not merely a matter of vocabulary. What is missing is an empirical bridge. No published study joins the operator-level disposal record produced by the engineering and regime side to the incentive-structure variables specified by the economics side with enough discriminating power to separate a free-rider account of the disposal gap from a capability account. That missing bridge is the empirical and conceptual space the dissertation occupies.</w:t>
      </w:r>
    </w:p>
    <w:p>
      <w:pPr>
        <w:pStyle w:val="BodyText"/>
        <w:spacing w:line="480" w:lineRule="auto"/>
        <w:ind w:firstLine="720"/>
      </w:pPr>
      <w:r>
        <w:t xml:space="preserve">Here is the route. Section 2.2 treats the mitigation-engineering and compliance-assessment literature. Section 2.3 treats the sustainability-metrics and rating literature. Section 2.4 treats the discourse-regime and constellation-era operations literature. Section 2.5 turns to the methodology of common-pool resources, open-access externalities, and the cliometric and econometric tools by which behavioral mechanisms are tested against observed outcomes. Section 2.6 examines the active-debris-removal and capacity-modeling work that sits awkwardly between the two traditions. Section 2.7 synthesizes, names the gap, and states what evidence would close it.</w:t>
      </w:r>
    </w:p>
    <w:bookmarkEnd w:id="66"/>
    <w:bookmarkStart w:id="67" w:name="X5a855adab478b11548d19188412fcd8c72f852e"/>
    <w:p>
      <w:pPr>
        <w:pStyle w:val="Heading2"/>
        <w:spacing w:line="480" w:lineRule="auto"/>
      </w:pPr>
      <w:r>
        <w:t xml:space="preserve">2.2 The Mitigation-Engineering and Compliance Literature</w:t>
      </w:r>
    </w:p>
    <w:p>
      <w:pPr>
        <w:pStyle w:val="FirstParagraph"/>
        <w:spacing w:line="480" w:lineRule="auto"/>
      </w:pPr>
      <w:r>
        <w:t xml:space="preserve">The mitigation-engineering literature is the empirical backbone of debris policy and the source of the dependent variable used throughout this dissertation. Its central job is to say what disposal is, to measure how often it happens, and to project the long-run consequences of the observed compliance rate. Walls and colleagues open with an ontology-grounded reading of the IADC mitigation guidelines, and they argue that the main obstacle to assessing compliance is not a shortage of orbital data but the absence of a structured schema linking guideline language to observable behaviors</w:t>
      </w:r>
      <w:r>
        <w:t xml:space="preserve"> </w:t>
      </w:r>
      <w:hyperlink w:anchor="ref-1">
        <w:r>
          <w:rPr>
            <w:rStyle w:val="Hyperlink"/>
          </w:rPr>
          <w:t xml:space="preserve">[1]</w:t>
        </w:r>
      </w:hyperlink>
      <w:r>
        <w:t xml:space="preserve">,</w:t>
      </w:r>
      <w:r>
        <w:t xml:space="preserve"> </w:t>
      </w:r>
      <w:hyperlink w:anchor="ref-21">
        <w:r>
          <w:rPr>
            <w:rStyle w:val="Hyperlink"/>
          </w:rPr>
          <w:t xml:space="preserve">[21]</w:t>
        </w:r>
      </w:hyperlink>
      <w:r>
        <w:t xml:space="preserve">. That argument frames a recurring problem. The guideline documents specify methods, controlled reentry, natural-decay-limited orbits, graveyard transfers, without specifying the operator-level data needed to verify them</w:t>
      </w:r>
      <w:r>
        <w:t xml:space="preserve"> </w:t>
      </w:r>
      <w:hyperlink w:anchor="ref-3">
        <w:r>
          <w:rPr>
            <w:rStyle w:val="Hyperlink"/>
          </w:rPr>
          <w:t xml:space="preserve">[3]</w:t>
        </w:r>
      </w:hyperlink>
      <w:r>
        <w:t xml:space="preserve">. Compliance assessments that follow inherit the constraint and work around it through aggregation, reporting compliance shares at the regime, mass-band, or orbit-class level rather than at the operator level.</w:t>
      </w:r>
    </w:p>
    <w:p>
      <w:pPr>
        <w:pStyle w:val="BodyText"/>
        <w:spacing w:line="480" w:lineRule="auto"/>
        <w:ind w:firstLine="720"/>
      </w:pPr>
      <w:r>
        <w:t xml:space="preserve">Verspieren’s study of US Air Force compliance with the Orbital Debris Mitigation Standard Practices comes the closest the domain-technical literature gets to an operator-level analysis</w:t>
      </w:r>
      <w:r>
        <w:t xml:space="preserve"> </w:t>
      </w:r>
      <w:hyperlink w:anchor="ref-3">
        <w:r>
          <w:rPr>
            <w:rStyle w:val="Hyperlink"/>
          </w:rPr>
          <w:t xml:space="preserve">[3]</w:t>
        </w:r>
      </w:hyperlink>
      <w:r>
        <w:t xml:space="preserve">,</w:t>
      </w:r>
      <w:r>
        <w:t xml:space="preserve"> </w:t>
      </w:r>
      <w:hyperlink w:anchor="ref-24">
        <w:r>
          <w:rPr>
            <w:rStyle w:val="Hyperlink"/>
          </w:rPr>
          <w:t xml:space="preserve">[24]</w:t>
        </w:r>
      </w:hyperlink>
      <w:r>
        <w:t xml:space="preserve">. He tracks a specific institutional actor against a specific normative standard, and he finds the patterned discrepancy that motivates the broader literature: compliance is partial, the residual concentrates in identifiable subpopulations, and the operator’s own reasoning emphasizes operational pressure rather than ignorance of the rule. The study is methodologically modest. Even so, it establishes that the disposal record is structured behaviorally and not merely technically, and that any plausible account of the gap has to speak to the incentives an operator faced when the disposal decision was made.</w:t>
      </w:r>
    </w:p>
    <w:p>
      <w:pPr>
        <w:pStyle w:val="BodyText"/>
        <w:spacing w:line="480" w:lineRule="auto"/>
        <w:ind w:firstLine="720"/>
      </w:pPr>
      <w:r>
        <w:t xml:space="preserve">Pardini and Anselmo’s program of work, running across a decade of Acta Astronautica papers, is the empirical center of gravity for the field</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w:t>
      </w:r>
      <w:r>
        <w:t xml:space="preserve"> </w:t>
      </w:r>
      <w:hyperlink w:anchor="ref-16">
        <w:r>
          <w:rPr>
            <w:rStyle w:val="Hyperlink"/>
          </w:rPr>
          <w:t xml:space="preserve">[16]</w:t>
        </w:r>
      </w:hyperlink>
      <w:r>
        <w:t xml:space="preserve">. Their 2015 paper on Italian satellites in low Earth orbit set up the operator-cohort compliance framework the broader literature has since adopted, with disposal status, criticality ranking, and natural-decay versus controlled-reentry pathways as the core observables</w:t>
      </w:r>
      <w:r>
        <w:t xml:space="preserve"> </w:t>
      </w:r>
      <w:hyperlink w:anchor="ref-9">
        <w:r>
          <w:rPr>
            <w:rStyle w:val="Hyperlink"/>
          </w:rPr>
          <w:t xml:space="preserve">[9]</w:t>
        </w:r>
      </w:hyperlink>
      <w:r>
        <w:t xml:space="preserve">. The 2021 paper widens the lens to a system-wide assessment of space activities in LEO and shows that the residual population of non-disposed objects dominates projected growth of the environment under any realistic launch-traffic scenario</w:t>
      </w:r>
      <w:r>
        <w:t xml:space="preserve"> </w:t>
      </w:r>
      <w:hyperlink w:anchor="ref-4">
        <w:r>
          <w:rPr>
            <w:rStyle w:val="Hyperlink"/>
          </w:rPr>
          <w:t xml:space="preserve">[4]</w:t>
        </w:r>
      </w:hyperlink>
      <w:r>
        <w:t xml:space="preserve">. Their 2022 flux paper operationalizes a criticality metric that applies to individual objects and aggregates upward, and in doing so it quietly assumes that the disposal rate is a parameter to estimate rather than a behavior to explain</w:t>
      </w:r>
      <w:r>
        <w:t xml:space="preserve"> </w:t>
      </w:r>
      <w:hyperlink w:anchor="ref-16">
        <w:r>
          <w:rPr>
            <w:rStyle w:val="Hyperlink"/>
          </w:rPr>
          <w:t xml:space="preserve">[16]</w:t>
        </w:r>
      </w:hyperlink>
      <w:r>
        <w:t xml:space="preserve">. Mark the shape of this contribution precisely. It has done the indispensable work of producing the compliance numbers without which no behavioral study could begin, and it has done that work inside an environment-projection framing that takes operator behavior as given.</w:t>
      </w:r>
    </w:p>
    <w:p>
      <w:pPr>
        <w:pStyle w:val="BodyText"/>
        <w:spacing w:line="480" w:lineRule="auto"/>
        <w:ind w:firstLine="720"/>
      </w:pPr>
      <w:r>
        <w:t xml:space="preserve">Underneath these compliance estimates runs a measurement-error problem that is itself a small literature. Ayala Fernandez and colleagues show that the remaining orbital lifetime after a nominally successful PMD maneuver is uncertain by an amount large enough to flip the binary compliance code of an event</w:t>
      </w:r>
      <w:r>
        <w:t xml:space="preserve"> </w:t>
      </w:r>
      <w:hyperlink w:anchor="ref-5">
        <w:r>
          <w:rPr>
            <w:rStyle w:val="Hyperlink"/>
          </w:rPr>
          <w:t xml:space="preserve">[5]</w:t>
        </w:r>
      </w:hyperlink>
      <w:r>
        <w:t xml:space="preserve">. Put an object onto a trajectory whose central estimate sits just inside the twenty-five-year threshold, or the post-2020 five-year threshold, and under more pessimistic atmospheric or thrust-uncertainty assumptions it can, with non-trivial probability, cross back over. This is not a marginal correction. For a study that treats the binary disposal outcome as a dependent variable, lifetime uncertainty means some observations are noisily classified, and the classification noise is correlated with altitude and with disposal-method choice. A rigorous cross-sectional or panel analysis has to carry that structure through to the inference, and Section 2.5 returns to it from the econometric side.</w:t>
      </w:r>
    </w:p>
    <w:p>
      <w:pPr>
        <w:pStyle w:val="BodyText"/>
        <w:spacing w:line="480" w:lineRule="auto"/>
        <w:ind w:firstLine="720"/>
      </w:pPr>
      <w:r>
        <w:t xml:space="preserve">Bottcher and Silvestri widen the dependent-variable problem in their multi-perspective analysis of sustainability metrics</w:t>
      </w:r>
      <w:r>
        <w:t xml:space="preserve"> </w:t>
      </w:r>
      <w:hyperlink w:anchor="ref-13">
        <w:r>
          <w:rPr>
            <w:rStyle w:val="Hyperlink"/>
          </w:rPr>
          <w:t xml:space="preserve">[13]</w:t>
        </w:r>
      </w:hyperlink>
      <w:r>
        <w:t xml:space="preserve">. Different metrics, intact object counts, mass on orbit, projected collision rates, area-time products, encode different views of what sustainability is, and compliance with the disposal rule is necessary but not sufficient under any of them. For this review, their contribution is to make explicit what stays implicit in Pardini and Anselmo. The disposal rate is one input among several into a sustainability assessment, and it is the single input on which behavioral change can act most directly. That centrality is what makes the behavioral question the right question.</w:t>
      </w:r>
    </w:p>
    <w:p>
      <w:pPr>
        <w:pStyle w:val="BodyText"/>
        <w:spacing w:line="480" w:lineRule="auto"/>
        <w:ind w:firstLine="720"/>
      </w:pPr>
      <w:r>
        <w:t xml:space="preserve">The constellation-era literature, of which Sorge, Alary, Lacomba, and Tung’s paper on space traffic management for large constellations is representative, documents a structural change in the population disposal observations are drawn from</w:t>
      </w:r>
      <w:r>
        <w:t xml:space="preserve"> </w:t>
      </w:r>
      <w:hyperlink w:anchor="ref-17">
        <w:r>
          <w:rPr>
            <w:rStyle w:val="Hyperlink"/>
          </w:rPr>
          <w:t xml:space="preserve">[17]</w:t>
        </w:r>
      </w:hyperlink>
      <w:r>
        <w:t xml:space="preserve">,</w:t>
      </w:r>
      <w:r>
        <w:t xml:space="preserve"> </w:t>
      </w:r>
      <w:hyperlink w:anchor="ref-34">
        <w:r>
          <w:rPr>
            <w:rStyle w:val="Hyperlink"/>
          </w:rPr>
          <w:t xml:space="preserve">[34]</w:t>
        </w:r>
      </w:hyperlink>
      <w:r>
        <w:t xml:space="preserve">. Large constellations fly with disposal-by-design propulsion, at lower altitudes that favor natural decay, and with operator-internal traffic-management systems that internalize a share of the collision risk the constellation imposes on itself. What results is a measurable improvement in the headline compliance rate that is not necessarily evidence of a regime effect, since the same operators also face the binding post-2020 rule the regime variable is meant to capture. That is the confound the dissertation’s research papers pinned down empirically, and the engineering literature describes it qualitatively without resolving it.</w:t>
      </w:r>
    </w:p>
    <w:p>
      <w:pPr>
        <w:pStyle w:val="BodyText"/>
        <w:spacing w:line="480" w:lineRule="auto"/>
        <w:ind w:firstLine="720"/>
      </w:pPr>
      <w:r>
        <w:t xml:space="preserve">So the mitigation-engineering literature hands any behavioral study three indispensable inputs: a precise definition of the compliance outcome</w:t>
      </w:r>
      <w:r>
        <w:t xml:space="preserve"> </w:t>
      </w:r>
      <w:hyperlink w:anchor="ref-3">
        <w:r>
          <w:rPr>
            <w:rStyle w:val="Hyperlink"/>
          </w:rPr>
          <w:t xml:space="preserve">[3]</w:t>
        </w:r>
      </w:hyperlink>
      <w:r>
        <w:t xml:space="preserve">, a credible operator-cohort measurement framework</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and a measurement-error structure that any inference has to respect</w:t>
      </w:r>
      <w:r>
        <w:t xml:space="preserve"> </w:t>
      </w:r>
      <w:hyperlink w:anchor="ref-5">
        <w:r>
          <w:rPr>
            <w:rStyle w:val="Hyperlink"/>
          </w:rPr>
          <w:t xml:space="preserve">[5]</w:t>
        </w:r>
      </w:hyperlink>
      <w:r>
        <w:t xml:space="preserve">. What it withholds is a model of why a given operator, facing a given cost structure and a given regime, disposes or does not. That question gets delegated, implicitly, to whatever discipline will take it up.</w:t>
      </w:r>
    </w:p>
    <w:bookmarkEnd w:id="67"/>
    <w:bookmarkStart w:id="68" w:name="Xedfb3a552c6fa87c4775295fa95b138945c8903"/>
    <w:p>
      <w:pPr>
        <w:pStyle w:val="Heading2"/>
        <w:spacing w:line="480" w:lineRule="auto"/>
      </w:pPr>
      <w:r>
        <w:t xml:space="preserve">2.3 Sustainability Metrics and the Rating Literature</w:t>
      </w:r>
    </w:p>
    <w:p>
      <w:pPr>
        <w:pStyle w:val="FirstParagraph"/>
        <w:spacing w:line="480" w:lineRule="auto"/>
      </w:pPr>
      <w:r>
        <w:t xml:space="preserve">The sustainability-metrics literature does take up part of the behavioral question, and it does so under a particular and consequential assumption. Rathnasabapathy and colleagues’ work on the Space Sustainability Rating (SSR) is the paradigmatic case</w:t>
      </w:r>
      <w:r>
        <w:t xml:space="preserve"> </w:t>
      </w:r>
      <w:hyperlink w:anchor="ref-2">
        <w:r>
          <w:rPr>
            <w:rStyle w:val="Hyperlink"/>
          </w:rPr>
          <w:t xml:space="preserve">[2]</w:t>
        </w:r>
      </w:hyperlink>
      <w:r>
        <w:t xml:space="preserve">. The SSR is built to incentivize operators toward long-term sustainability of the space environment, disposal included, by folding multiple operator-level attributes into a composite indicator and disclosing the score to the market. Its theory of change is reputational. Operators value the rating because customers, insurers, and regulators are presumed to value it, so the rating shifts behavior at the design and operations margins where disposal capability is set.</w:t>
      </w:r>
    </w:p>
    <w:p>
      <w:pPr>
        <w:pStyle w:val="BodyText"/>
        <w:spacing w:line="480" w:lineRule="auto"/>
        <w:ind w:firstLine="720"/>
      </w:pPr>
      <w:r>
        <w:t xml:space="preserve">Read closely, the design assumes the disposal gap is a coordination-and-signal problem rather than a free-rider problem. If operators would disclose and improve once handed a credible signaling channel, a well-constructed rating closes the gap. If instead operators free-ride because the private cost of disposal exceeds the private share of the collision-risk benefit they capture, no matter how visible their compliance is, a voluntary rating is structurally insufficient. The SSR literature does not test that distinction, and it cannot, because the rating’s empirical validation has so far stayed confined to its construct properties, component weights, robustness to alternative aggregation rules, sensitivity to operator-disclosed inputs, rather than its causal effect on the disposal rate.</w:t>
      </w:r>
    </w:p>
    <w:p>
      <w:pPr>
        <w:pStyle w:val="BodyText"/>
        <w:spacing w:line="480" w:lineRule="auto"/>
        <w:ind w:firstLine="720"/>
      </w:pPr>
      <w:r>
        <w:t xml:space="preserve">None of that is a criticism of the SSR program. It is a description of where the rating sits in the analytic chain. The rating is an intervention whose effectiveness rests on a behavioral premise, and the premise has not been adjudicated. At its broadest, the dissertation’s contribution is to supply one of the adjudications the premise needs.</w:t>
      </w:r>
    </w:p>
    <w:p>
      <w:pPr>
        <w:pStyle w:val="BodyText"/>
        <w:spacing w:line="480" w:lineRule="auto"/>
        <w:ind w:firstLine="720"/>
      </w:pPr>
      <w:r>
        <w:t xml:space="preserve">Bottcher and Silvestri’s metric paper complements the rating work by showing how sensitive the apparent compliance landscape is to the choice of metric</w:t>
      </w:r>
      <w:r>
        <w:t xml:space="preserve"> </w:t>
      </w:r>
      <w:hyperlink w:anchor="ref-13">
        <w:r>
          <w:rPr>
            <w:rStyle w:val="Hyperlink"/>
          </w:rPr>
          <w:t xml:space="preserve">[13]</w:t>
        </w:r>
      </w:hyperlink>
      <w:r>
        <w:t xml:space="preserve">. Set that finding beside the SSR literature and a subtler point surfaces. The rating is itself an aggregator, and an operator’s incentive to act on it depends on which sustainability metric the rating ends up tracking most closely. Track intact-object counts and an operator who builds an aggressively demisable but short-lived constellation looks good. Track area-time products and the same operator may look indifferent. So the behavioral question is not only whether voluntary instruments can move operators, but whether the metric a voluntary instrument is anchored to is the metric that maps onto the externality the disposal rule is meant to suppress.</w:t>
      </w:r>
    </w:p>
    <w:bookmarkEnd w:id="68"/>
    <w:bookmarkStart w:id="69" w:name="X43e283d56f0e1d0ab556f10409e7b9464dd3f20"/>
    <w:p>
      <w:pPr>
        <w:pStyle w:val="Heading2"/>
        <w:spacing w:line="480" w:lineRule="auto"/>
      </w:pPr>
      <w:r>
        <w:t xml:space="preserve">2.4 Discourse, Regime, and Constellation-Era Operations</w:t>
      </w:r>
    </w:p>
    <w:p>
      <w:pPr>
        <w:pStyle w:val="FirstParagraph"/>
        <w:spacing w:line="480" w:lineRule="auto"/>
      </w:pPr>
      <w:r>
        <w:t xml:space="preserve">A third strand of the domain-technical literature, less quantitative but conceptually adjacent, treats debris governance as an emergent socio-technical regime. Yap, Heiberg, and Truffer’s discourse network analysis of the global socio-technical regime for tackling space debris is the most rigorous example</w:t>
      </w:r>
      <w:r>
        <w:t xml:space="preserve"> </w:t>
      </w:r>
      <w:hyperlink w:anchor="ref-7">
        <w:r>
          <w:rPr>
            <w:rStyle w:val="Hyperlink"/>
          </w:rPr>
          <w:t xml:space="preserve">[7]</w:t>
        </w:r>
      </w:hyperlink>
      <w:r>
        <w:t xml:space="preserve">. They show that debris compliance is contested, that the actors who articulate the rules are not the actors who bear the cost of following them, and that the regime evolves through contested coalition formation. For a behavioral study, the value of this work is that it takes seriously the claim that compliance is socially negotiated, which implies operator-level decisions are conditioned on regime expectations that vary by jurisdiction and over time.</w:t>
      </w:r>
    </w:p>
    <w:p>
      <w:pPr>
        <w:pStyle w:val="BodyText"/>
        <w:spacing w:line="480" w:lineRule="auto"/>
        <w:ind w:firstLine="720"/>
      </w:pPr>
      <w:r>
        <w:t xml:space="preserve">Seong, Jung, and Chung’s report on KARI’s recent SSA and STM activities is descriptive, and it illustrates a parallel point at the national level: a regime’s operational posture toward disposal and traffic management is shaped by its analytic capacity, and that capacity varies sharply across jurisdictions</w:t>
      </w:r>
      <w:r>
        <w:t xml:space="preserve"> </w:t>
      </w:r>
      <w:hyperlink w:anchor="ref-23">
        <w:r>
          <w:rPr>
            <w:rStyle w:val="Hyperlink"/>
          </w:rPr>
          <w:t xml:space="preserve">[23]</w:t>
        </w:r>
      </w:hyperlink>
      <w:r>
        <w:t xml:space="preserve">. Verspieren’s USAF compliance study belongs in this lineage as well, since the standard practice compliance is measured against is itself a regime artifact open to revision</w:t>
      </w:r>
      <w:r>
        <w:t xml:space="preserve"> </w:t>
      </w:r>
      <w:hyperlink w:anchor="ref-3">
        <w:r>
          <w:rPr>
            <w:rStyle w:val="Hyperlink"/>
          </w:rPr>
          <w:t xml:space="preserve">[3]</w:t>
        </w:r>
      </w:hyperlink>
      <w:r>
        <w:t xml:space="preserve">,</w:t>
      </w:r>
      <w:r>
        <w:t xml:space="preserve"> </w:t>
      </w:r>
      <w:hyperlink w:anchor="ref-24">
        <w:r>
          <w:rPr>
            <w:rStyle w:val="Hyperlink"/>
          </w:rPr>
          <w:t xml:space="preserve">[24]</w:t>
        </w:r>
      </w:hyperlink>
      <w:r>
        <w:t xml:space="preserve">. The clearest recent instance of a regime change whose behavioral effects are observable in principle and undertested in practice is the Federal Communications Commission’s 2022 Second Report and Order, which moved the US licensing regime from the twenty-five-year guideline to a five-year disposal requirement</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Beyond Sorge and colleagues’ STM paper, the constellation-era operations literature includes work on capacity management and its interaction with STM. Colombo and colleagues offer a useful synthesis, treating orbital capacity as a managed quantity whose level depends jointly on engineering parameters and on the governance instruments that allocate it</w:t>
      </w:r>
      <w:r>
        <w:t xml:space="preserve"> </w:t>
      </w:r>
      <w:hyperlink w:anchor="ref-27">
        <w:r>
          <w:rPr>
            <w:rStyle w:val="Hyperlink"/>
          </w:rPr>
          <w:t xml:space="preserve">[27]</w:t>
        </w:r>
      </w:hyperlink>
      <w:r>
        <w:t xml:space="preserve">. Rusconi and Colombo push further with a model-based control framework in which disposal decisions, removal interventions, and traffic management are coupled through an explicit control law</w:t>
      </w:r>
      <w:r>
        <w:t xml:space="preserve"> </w:t>
      </w:r>
      <w:hyperlink w:anchor="ref-28">
        <w:r>
          <w:rPr>
            <w:rStyle w:val="Hyperlink"/>
          </w:rPr>
          <w:t xml:space="preserve">[28]</w:t>
        </w:r>
      </w:hyperlink>
      <w:r>
        <w:t xml:space="preserve">. Both are engineering treatments of what is, at root, an allocation problem. They show the engineering side moving toward exactly the joined treatment the economic side has long demanded, and they do so without importing the econometric machinery that would let them test their implicit behavioral premises against the operator-level record.</w:t>
      </w:r>
    </w:p>
    <w:p>
      <w:pPr>
        <w:pStyle w:val="BodyText"/>
        <w:spacing w:line="480" w:lineRule="auto"/>
        <w:ind w:firstLine="720"/>
      </w:pPr>
      <w:r>
        <w:t xml:space="preserve">Wander, Konstantinidis, Forstner, and Voigt’s work on autonomy and operational concepts for spacecraft self-removal earns its place here because it makes the design-stage cost of disposal capability explicit</w:t>
      </w:r>
      <w:r>
        <w:t xml:space="preserve"> </w:t>
      </w:r>
      <w:hyperlink w:anchor="ref-29">
        <w:r>
          <w:rPr>
            <w:rStyle w:val="Hyperlink"/>
          </w:rPr>
          <w:t xml:space="preserve">[29]</w:t>
        </w:r>
      </w:hyperlink>
      <w:r>
        <w:t xml:space="preserve">. When an operator has to commit to disposal capability at the design stage, the regime governing disposal at end of life acts on the operator’s expectations about the regime that will be in force a decade later, and the behavioral problem becomes one of expectations under regime uncertainty. That temporal structure is largely absent from the domain-technical literature’s behavioral discussions. It is also a place where the cliometric methodology has direct purchase, because expectation-formation under regime uncertainty is exactly the kind of behavior panel methods are designed to identify.</w:t>
      </w:r>
    </w:p>
    <w:p>
      <w:pPr>
        <w:pStyle w:val="BodyText"/>
        <w:spacing w:line="480" w:lineRule="auto"/>
        <w:ind w:firstLine="720"/>
      </w:pPr>
      <w:r>
        <w:t xml:space="preserve">Peters, Forstner, and Fiedler’s mission design and simulation work on ADReS-A, together with the broader active-debris-removal literature surveyed next, straddles the engineering and behavioral literatures, because it specifies the cost of removing an object an operator has chosen not to dispose of</w:t>
      </w:r>
      <w:r>
        <w:t xml:space="preserve"> </w:t>
      </w:r>
      <w:hyperlink w:anchor="ref-26">
        <w:r>
          <w:rPr>
            <w:rStyle w:val="Hyperlink"/>
          </w:rPr>
          <w:t xml:space="preserve">[26]</w:t>
        </w:r>
      </w:hyperlink>
      <w:r>
        <w:t xml:space="preserve">. That cost is the shadow price the regime would need to impose to bring the privately rational disposal level into line with the social optimum, and it is a quantity that ties engineering parameters to the economic literature reviewed below.</w:t>
      </w:r>
    </w:p>
    <w:bookmarkEnd w:id="69"/>
    <w:bookmarkStart w:id="70"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The methodology this dissertation imports is principally the economics of common-pool resources, the open-access externality framework adapted to orbit use, and the econometric tools by which behavioral mechanisms in that framework are identified from observed outcomes. Rao and Rondina’s paper on the economics of orbit use, open access, external costs, and runaway debris growth is the single most influential contribution</w:t>
      </w:r>
      <w:r>
        <w:t xml:space="preserve"> </w:t>
      </w:r>
      <w:hyperlink w:anchor="ref-6">
        <w:r>
          <w:rPr>
            <w:rStyle w:val="Hyperlink"/>
          </w:rPr>
          <w:t xml:space="preserve">[6]</w:t>
        </w:r>
      </w:hyperlink>
      <w:r>
        <w:t xml:space="preserve">. They model orbital LEO as an open-access resource in which the operator that created a retained derelict never internalizes its marginal external cost, and they show that the privately rational debris-creation rate exceeds the socially optimal rate by a quantifiable margin. Their remedy is a Pigouvian charge on debris generation, its magnitude derived from the marginal external cost. Their model carries the behavioral prediction the dissertation tests: operators who internalize a larger share of the external cost they impose, through own-constellation collision exposure or through a binding cost-internalizing regime, should dispose at higher rates than operators who do not.</w:t>
      </w:r>
    </w:p>
    <w:p>
      <w:pPr>
        <w:pStyle w:val="BodyText"/>
        <w:spacing w:line="480" w:lineRule="auto"/>
        <w:ind w:firstLine="720"/>
      </w:pPr>
      <w:r>
        <w:t xml:space="preserve">Weinzierl’s broader treatment of the space economy sets the frame the Rao-Rondina result sits inside</w:t>
      </w:r>
      <w:r>
        <w:t xml:space="preserve"> </w:t>
      </w:r>
      <w:hyperlink w:anchor="ref-10">
        <w:r>
          <w:rPr>
            <w:rStyle w:val="Hyperlink"/>
          </w:rPr>
          <w:t xml:space="preserve">[10]</w:t>
        </w:r>
      </w:hyperlink>
      <w:r>
        <w:t xml:space="preserve">. He reads the space economy as a frontier in which property-rights structures, public-goods provision, and externalities all bear on private investment decisions, and he argues that the absence of credible cost-internalizing institutions is the binding constraint on socially efficient orbit use. His methodological contribution is to make clear that the disposal gap is not a curiosity of one rule but an instance of a general class of frontier-commons problems, and that the empirical strategies built for fisheries, groundwater, and emissions markets are the right starting point for analogous work on orbit.</w:t>
      </w:r>
    </w:p>
    <w:p>
      <w:pPr>
        <w:pStyle w:val="BodyText"/>
        <w:spacing w:line="480" w:lineRule="auto"/>
        <w:ind w:firstLine="720"/>
      </w:pPr>
      <w:r>
        <w:t xml:space="preserve">At base, the cliometric tradition this implies is the program of identifying causal mechanisms in commons settings from observational data, using exogenous regime variation, instrumental variables, and within-unit fixed-effects designs. The dissertation’s two completed research papers operationalize the program in two related ways. The first estimates a cross-sectional ordinary least squares specification on operator-cohort disposal-compliance shares, regressing compliance on a capability index, a constructed collective-action exposure measure, and a regime-binding indicator. The second estimates a binary-outcome logit on object-level disposal events, regressing the disposal outcome on capability, altitude, and a post-2020 regime-era indicator. Both are deliberately the simplest specifications that give the collective-action and internalization hypotheses their fair chance, and both return results in which capability dominates while the incentive-structure variable, though signed in the direction the economic literature predicts, fails to clear conventional significance at the available sample sizes. The methodological implication, which the dissertation as a whole addresses, is that the cross-section cannot separate the capability and incentive channels cleanly enough to convict the free-rider account, and that the identifying variation has to be sought within operator across regime changes.</w:t>
      </w:r>
    </w:p>
    <w:p>
      <w:pPr>
        <w:pStyle w:val="BodyText"/>
        <w:spacing w:line="480" w:lineRule="auto"/>
        <w:ind w:firstLine="720"/>
      </w:pPr>
      <w:r>
        <w:t xml:space="preserve">That is exactly the move the cliometric and panel-econometric literatures have long argued for in commons settings. The difference-in-differences design the prospectus reserves for the dissertation’s quantitative core leans on within-operator regime variation to hold capability fixed by construction, and it is the design the methodology would recommend given the capability-exposure confound the research papers documented. The construct-validity issue around the collective-action exposure measure is itself a standard cliometric problem: a model-derived quantity has to be cross-validated against actors’ reported reasoning, and the qualitative case strand the prospectus reserves is the right instrument for that.</w:t>
      </w:r>
    </w:p>
    <w:p>
      <w:pPr>
        <w:pStyle w:val="BodyText"/>
        <w:spacing w:line="480" w:lineRule="auto"/>
        <w:ind w:firstLine="720"/>
      </w:pPr>
      <w:r>
        <w:t xml:space="preserve">The measurement-error structure Ayala Fernandez and colleagues document maps onto the classical errors-in-variables problem, which the econometric literature treats either by correcting the dependent-variable coding probabilistically or by estimating bounds using the attempted-but-not-confirmed disposal as an alternative outcome</w:t>
      </w:r>
      <w:r>
        <w:t xml:space="preserve"> </w:t>
      </w:r>
      <w:hyperlink w:anchor="ref-5">
        <w:r>
          <w:rPr>
            <w:rStyle w:val="Hyperlink"/>
          </w:rPr>
          <w:t xml:space="preserve">[5]</w:t>
        </w:r>
      </w:hyperlink>
      <w:r>
        <w:t xml:space="preserve">. The dissertation’s quantitative design carries this through, and to this reviewer’s knowledge it is the first treatment in the disposal literature to do so explicitly.</w:t>
      </w:r>
    </w:p>
    <w:p>
      <w:pPr>
        <w:pStyle w:val="BodyText"/>
        <w:spacing w:line="480" w:lineRule="auto"/>
        <w:ind w:firstLine="720"/>
      </w:pPr>
      <w:r>
        <w:t xml:space="preserve">A second methodology literature, related to but distinct from the open-access externality framework, treats commons governance through common-pool resource institutions in the Ostrom tradition. The prospectus invokes it via the OPUS/CPR adaptation of the fisheries Kobe Plot to orbital debris management [SD04] and via the circular-economy carrying-capacity framing for LEO sustainability [SD15]. Both matter methodologically as explicit attempts to import an empirical apparatus, in the OPUS case a stock-flow-flux representation borrowed from fisheries management, into the orbit-use literature. They give us a vocabulary for treating disposal as a flow that affects a managed stock and non-compliance as harvest above the sustainable level. Their contribution to this dissertation is not the theory, which it shares with Rao and Rondina, but the apparatus, which offers a model-derived way of building the collective-action exposure measure from public catalog data.</w:t>
      </w:r>
    </w:p>
    <w:p>
      <w:pPr>
        <w:pStyle w:val="BodyText"/>
        <w:spacing w:line="480" w:lineRule="auto"/>
        <w:ind w:firstLine="720"/>
      </w:pPr>
      <w:r>
        <w:t xml:space="preserve">The Lifson-Jang-Linares source-sink evolutionary environmental model is a third methodological contribution, sitting between engineering simulation and econometric identification</w:t>
      </w:r>
      <w:r>
        <w:t xml:space="preserve"> </w:t>
      </w:r>
      <w:hyperlink w:anchor="ref-19">
        <w:r>
          <w:rPr>
            <w:rStyle w:val="Hyperlink"/>
          </w:rPr>
          <w:t xml:space="preserve">[19]</w:t>
        </w:r>
      </w:hyperlink>
      <w:r>
        <w:t xml:space="preserve">. It treats the orbital environment as a source-sink system whose evolution depends on launch and disposal rates, and it supplies a forward-projection apparatus that can turn behavioral estimates into environment outcomes. Its principal use here is as a translation device. If the within-operator panel design identifies a regime-era effect on disposal, the source-sink model can convert that effect into projected environment outcomes that are policy-meaningful. Skopic, Liang, and Yi’s paper on the operational impacts of orbital debris supplies the parallel translation from environment to operational cost, completing the chain from behavioral mechanism to operational consequence</w:t>
      </w:r>
      <w:r>
        <w:t xml:space="preserve"> </w:t>
      </w:r>
      <w:hyperlink w:anchor="ref-22">
        <w:r>
          <w:rPr>
            <w:rStyle w:val="Hyperlink"/>
          </w:rPr>
          <w:t xml:space="preserve">[22]</w:t>
        </w:r>
      </w:hyperlink>
      <w:r>
        <w:t xml:space="preserve">.</w:t>
      </w:r>
    </w:p>
    <w:p>
      <w:pPr>
        <w:pStyle w:val="BodyText"/>
        <w:spacing w:line="480" w:lineRule="auto"/>
        <w:ind w:firstLine="720"/>
      </w:pPr>
      <w:r>
        <w:t xml:space="preserve">Roberts and Linares’s work on geosynchronous satellite maneuver classification via supervised machine learning is methodologically tangential to disposal but procedurally instructive</w:t>
      </w:r>
      <w:r>
        <w:t xml:space="preserve"> </w:t>
      </w:r>
      <w:hyperlink w:anchor="ref-20">
        <w:r>
          <w:rPr>
            <w:rStyle w:val="Hyperlink"/>
          </w:rPr>
          <w:t xml:space="preserve">[20]</w:t>
        </w:r>
      </w:hyperlink>
      <w:r>
        <w:t xml:space="preserve">. It shows that operator behavior in orbit can be classified from public tracking data with high fidelity, which is precisely the technique the dissertation’s data construction relies on to code disposal attempts at the operator level. The lesson is blunt: the operator-level dependent variable the field long claimed was unobservable is in fact observable, and the right combination of catalog data and machine-learning classification can produce the panel the within-operator design requires. Furfaro and colleagues’ work on resident space object characterization and behavior understanding via machine learning and ontology-based Bayesian networks reinforces the point and ties the behavior-classification apparatus back to the ontology framework Walls and colleagues introduced</w:t>
      </w:r>
      <w:r>
        <w:t xml:space="preserve"> </w:t>
      </w:r>
      <w:hyperlink w:anchor="ref-25">
        <w:r>
          <w:rPr>
            <w:rStyle w:val="Hyperlink"/>
          </w:rPr>
          <w:t xml:space="preserve">[25]</w:t>
        </w:r>
      </w:hyperlink>
      <w:r>
        <w:t xml:space="preserve">.</w:t>
      </w:r>
    </w:p>
    <w:p>
      <w:pPr>
        <w:pStyle w:val="BodyText"/>
        <w:spacing w:line="480" w:lineRule="auto"/>
        <w:ind w:firstLine="720"/>
      </w:pPr>
      <w:r>
        <w:t xml:space="preserve">Taken together, the methodology literature supplies three things the domain-technical literature does not. It supplies a behavioral model of the disposal decision in the open-access externality framework</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It supplies an econometric identification strategy in within-unit fixed-effects designs that exploit regime variation, augmented by measurement-error corrections suited to the binary disposal outcome</w:t>
      </w:r>
      <w:r>
        <w:t xml:space="preserve"> </w:t>
      </w:r>
      <w:hyperlink w:anchor="ref-5">
        <w:r>
          <w:rPr>
            <w:rStyle w:val="Hyperlink"/>
          </w:rPr>
          <w:t xml:space="preserve">[5]</w:t>
        </w:r>
      </w:hyperlink>
      <w:r>
        <w:t xml:space="preserve">. And it supplies a translation apparatus that converts behavioral estimates into environment and operational consequences</w:t>
      </w:r>
      <w:r>
        <w:t xml:space="preserve"> </w:t>
      </w:r>
      <w:hyperlink w:anchor="ref-19">
        <w:r>
          <w:rPr>
            <w:rStyle w:val="Hyperlink"/>
          </w:rPr>
          <w:t xml:space="preserve">[19]</w:t>
        </w:r>
      </w:hyperlink>
      <w:r>
        <w:t xml:space="preserve">,</w:t>
      </w:r>
      <w:r>
        <w:t xml:space="preserve"> </w:t>
      </w:r>
      <w:hyperlink w:anchor="ref-22">
        <w:r>
          <w:rPr>
            <w:rStyle w:val="Hyperlink"/>
          </w:rPr>
          <w:t xml:space="preserve">[22]</w:t>
        </w:r>
      </w:hyperlink>
      <w:r>
        <w:t xml:space="preserve">. What it does not supply is the empirical bridge to operator-level disposal outcomes, because no paper in this methodology literature has run the resulting design on the disposal record the engineering side produced.</w:t>
      </w:r>
    </w:p>
    <w:bookmarkEnd w:id="70"/>
    <w:bookmarkStart w:id="71" w:name="Xa38acdb74c1d17c381c76859dd1b01beb7a0672"/>
    <w:p>
      <w:pPr>
        <w:pStyle w:val="Heading2"/>
        <w:spacing w:line="480" w:lineRule="auto"/>
      </w:pPr>
      <w:r>
        <w:t xml:space="preserve">2.6 The Active Debris Removal Literature as a Boundary Case</w:t>
      </w:r>
    </w:p>
    <w:p>
      <w:pPr>
        <w:pStyle w:val="FirstParagraph"/>
        <w:spacing w:line="480" w:lineRule="auto"/>
      </w:pPr>
      <w:r>
        <w:t xml:space="preserve">The active debris removal (ADR) literature holds a peculiar position in the field and deserves separate attention. It is engineering work, by engineering authors, in engineering venues, and its analytic logic is fundamentally economic. Borelli, Gaias, and Colombo’s paper on rendezvous and proximity operations design for an active debris removal service to a large constellation fleet treats removal as a service whose value depends on the operator’s willingness to pay for the avoided collision risk</w:t>
      </w:r>
      <w:r>
        <w:t xml:space="preserve"> </w:t>
      </w:r>
      <w:hyperlink w:anchor="ref-32">
        <w:r>
          <w:rPr>
            <w:rStyle w:val="Hyperlink"/>
          </w:rPr>
          <w:t xml:space="preserve">[32]</w:t>
        </w:r>
      </w:hyperlink>
      <w:r>
        <w:t xml:space="preserve">. Simha, Servadio, Lifson, Lavezzi, and Linares are explicit that removal-mission selection is a policy problem in which the choice of which object to remove first turns on the social cost the object is imposing</w:t>
      </w:r>
      <w:r>
        <w:t xml:space="preserve"> </w:t>
      </w:r>
      <w:hyperlink w:anchor="ref-33">
        <w:r>
          <w:rPr>
            <w:rStyle w:val="Hyperlink"/>
          </w:rPr>
          <w:t xml:space="preserve">[33]</w:t>
        </w:r>
      </w:hyperlink>
      <w:r>
        <w:t xml:space="preserve">. These are economic optimizations carried out in engineering settings, and their boundary status makes them especially valuable for a behavioral study, because they make the shadow price of non-disposal visible.</w:t>
      </w:r>
    </w:p>
    <w:p>
      <w:pPr>
        <w:pStyle w:val="BodyText"/>
        <w:spacing w:line="480" w:lineRule="auto"/>
        <w:ind w:firstLine="720"/>
      </w:pPr>
      <w:r>
        <w:t xml:space="preserve">By specifying the cost of removing an object an operator chose not to dispose of, ADR research supplies exactly the counterfactual benchmark the open-access externality framework needs. If the marginal external cost of a retained derelict can be approximated by the marginal cost of removing it, then the Pigouvian charge the Rao-Rondina framework implies can be calibrated, at least to order of magnitude, against published removal-mission cost estimates</w:t>
      </w:r>
      <w:r>
        <w:t xml:space="preserve"> </w:t>
      </w:r>
      <w:hyperlink w:anchor="ref-6">
        <w:r>
          <w:rPr>
            <w:rStyle w:val="Hyperlink"/>
          </w:rPr>
          <w:t xml:space="preserve">[6]</w:t>
        </w:r>
      </w:hyperlink>
      <w:r>
        <w:t xml:space="preserve">,</w:t>
      </w:r>
      <w:r>
        <w:t xml:space="preserve"> </w:t>
      </w:r>
      <w:hyperlink w:anchor="ref-33">
        <w:r>
          <w:rPr>
            <w:rStyle w:val="Hyperlink"/>
          </w:rPr>
          <w:t xml:space="preserve">[33]</w:t>
        </w:r>
      </w:hyperlink>
      <w:r>
        <w:t xml:space="preserve">. The field has not fully exploited this.</w:t>
      </w:r>
    </w:p>
    <w:p>
      <w:pPr>
        <w:pStyle w:val="BodyText"/>
        <w:spacing w:line="480" w:lineRule="auto"/>
        <w:ind w:firstLine="720"/>
      </w:pPr>
      <w:r>
        <w:t xml:space="preserve">Adjacent work on disposal-capability technology, such as Huang and Li’s optimization of vacuum arc thruster efficiency through inductive energy storage circuit control, matters here because it maps the engineering frontier of low-cost disposal propulsion</w:t>
      </w:r>
      <w:r>
        <w:t xml:space="preserve"> </w:t>
      </w:r>
      <w:hyperlink w:anchor="ref-30">
        <w:r>
          <w:rPr>
            <w:rStyle w:val="Hyperlink"/>
          </w:rPr>
          <w:t xml:space="preserve">[30]</w:t>
        </w:r>
      </w:hyperlink>
      <w:r>
        <w:t xml:space="preserve">. If disposal capability is getting cheap, then the capability channel’s apparent dominance in the cross-section may be a transition phenomenon whose explanatory power erodes as engineering cost falls, leaving the incentive channel as the binding constraint. That is a forward-looking inference the dissertation discusses without formally testing. Degen and colleagues’ work on mitigating satellite trails through retroreflective coatings runs in the same spirit, characterizing a low-cost mitigation behavior whose adoption is plausibly driven by reputational and regime pressure rather than by capability</w:t>
      </w:r>
      <w:r>
        <w:t xml:space="preserve"> </w:t>
      </w:r>
      <w:hyperlink w:anchor="ref-31">
        <w:r>
          <w:rPr>
            <w:rStyle w:val="Hyperlink"/>
          </w:rPr>
          <w:t xml:space="preserve">[31]</w:t>
        </w:r>
      </w:hyperlink>
      <w:r>
        <w:t xml:space="preserve">. Both papers stand as evidence that mitigation behaviors, in general, are amenable to incentive-based intervention at engineering margins where capability is cheap.</w:t>
      </w:r>
    </w:p>
    <w:bookmarkEnd w:id="71"/>
    <w:bookmarkStart w:id="72" w:name="synthesis-and-the-gap"/>
    <w:p>
      <w:pPr>
        <w:pStyle w:val="Heading2"/>
        <w:spacing w:line="480" w:lineRule="auto"/>
      </w:pPr>
      <w:r>
        <w:t xml:space="preserve">2.7 Synthesis and the Gap</w:t>
      </w:r>
    </w:p>
    <w:p>
      <w:pPr>
        <w:pStyle w:val="FirstParagraph"/>
        <w:spacing w:line="480" w:lineRule="auto"/>
      </w:pPr>
      <w:r>
        <w:t xml:space="preserve">The two literatures reviewed in this chapter, the domain-technical literature on disposal compliance and the cliometric and econometric methodology on common-pool resources, share a topic and almost no infrastructure. Domain-technical work owns the dependent variable: the operator-cohort and object-level disposal outcomes documented in the ESA Annual Space Environment Report, the Pardini-Anselmo compliance series, and the regulatory record</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The methodology literature owns the behavioral model, the identification strategy, and the translation apparatus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9">
        <w:r>
          <w:rPr>
            <w:rStyle w:val="Hyperlink"/>
          </w:rPr>
          <w:t xml:space="preserve">[19]</w:t>
        </w:r>
      </w:hyperlink>
      <w:r>
        <w:t xml:space="preserve">. Between them the empirical bridge has not been built. No published study, to this reviewer’s knowledge, joins the operator-level disposal record to the incentive-structure variables the open-access externality framework specifies and separates a free-rider account from a capability account on observed data.</w:t>
      </w:r>
    </w:p>
    <w:p>
      <w:pPr>
        <w:pStyle w:val="BodyText"/>
        <w:spacing w:line="480" w:lineRule="auto"/>
        <w:ind w:firstLine="720"/>
      </w:pPr>
      <w:r>
        <w:t xml:space="preserve">The cost of that absence is concrete. The sustainability-metrics and rating literature has proposed voluntary instruments whose effectiveness rests on a behavioral premise that stays untested</w:t>
      </w:r>
      <w:r>
        <w:t xml:space="preserve"> </w:t>
      </w:r>
      <w:hyperlink w:anchor="ref-2">
        <w:r>
          <w:rPr>
            <w:rStyle w:val="Hyperlink"/>
          </w:rPr>
          <w:t xml:space="preserve">[2]</w:t>
        </w:r>
      </w:hyperlink>
      <w:r>
        <w:t xml:space="preserve">. The mitigation-engineering literature has produced compliance numbers whose policy interpretation rests on a behavioral mechanism it does not specify</w:t>
      </w:r>
      <w:r>
        <w:t xml:space="preserve"> </w:t>
      </w:r>
      <w:hyperlink w:anchor="ref-4">
        <w:r>
          <w:rPr>
            <w:rStyle w:val="Hyperlink"/>
          </w:rPr>
          <w:t xml:space="preserve">[4]</w:t>
        </w:r>
      </w:hyperlink>
      <w:r>
        <w:t xml:space="preserve">,</w:t>
      </w:r>
      <w:r>
        <w:t xml:space="preserve"> </w:t>
      </w:r>
      <w:hyperlink w:anchor="ref-13">
        <w:r>
          <w:rPr>
            <w:rStyle w:val="Hyperlink"/>
          </w:rPr>
          <w:t xml:space="preserve">[13]</w:t>
        </w:r>
      </w:hyperlink>
      <w:r>
        <w:t xml:space="preserve">. The economics literature has prescribed cost-internalizing instruments whose calibration rests on operator-level estimates it has not produced</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The regime literature has documented socio-technical contestation whose causal weight on disposal it cannot estimate</w:t>
      </w:r>
      <w:r>
        <w:t xml:space="preserve"> </w:t>
      </w:r>
      <w:hyperlink w:anchor="ref-7">
        <w:r>
          <w:rPr>
            <w:rStyle w:val="Hyperlink"/>
          </w:rPr>
          <w:t xml:space="preserve">[7]</w:t>
        </w:r>
      </w:hyperlink>
      <w:r>
        <w:t xml:space="preserve">. Each tradition is locally coherent. The aggregate is a policy environment in which the rule, the IADC and successor guidelines, is universally endorsed, the compliance shortfall is universally lamented, and the mechanism that would tell a policymaker whether to invest in capability subsidies, in reputation instruments, or in cost internalization stays universally underdetermined.</w:t>
      </w:r>
    </w:p>
    <w:p>
      <w:pPr>
        <w:pStyle w:val="BodyText"/>
        <w:spacing w:line="480" w:lineRule="auto"/>
        <w:ind w:firstLine="720"/>
      </w:pPr>
      <w:r>
        <w:t xml:space="preserve">So the gap this dissertation occupies is not a gap in topic coverage. It is a gap in evidentiary joining. The contribution is to build the bridge: to take the operator-cohort and object-level disposal record the engineering side has produced, to construct from public catalog and regulatory data the collective-action exposure and regime-binding variables the economics side has specified, and to estimate the discriminating specifications the methodology side has long recommended. The two research papers reviewed in Chapter 3 are the first two attempts at that estimation. They reveal a capability channel that dominates the cross-section, an incentive channel that is signed correctly but imprecisely estimated at the available sample sizes, and a regime confound the cross-section cannot resolve. The rest of the dissertation, oriented around within-operator panel variation, is built to give the incentive and regime channels the data they need to be tested cleanly.</w:t>
      </w:r>
    </w:p>
    <w:p>
      <w:pPr>
        <w:pStyle w:val="BodyText"/>
        <w:spacing w:line="480" w:lineRule="auto"/>
        <w:ind w:firstLine="720"/>
      </w:pPr>
      <w:r>
        <w:t xml:space="preserve">One last word on what this review does not claim. It does not claim the domain-technical literature is mistaken about the role of capability. The Pardini-Anselmo compliance series and the constellation-era operations literature jointly establish, beyond reasonable doubt, that capability is a first-order determinant of observed disposal outcomes</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w:t>
      </w:r>
      <w:r>
        <w:t xml:space="preserve"> </w:t>
      </w:r>
      <w:hyperlink w:anchor="ref-17">
        <w:r>
          <w:rPr>
            <w:rStyle w:val="Hyperlink"/>
          </w:rPr>
          <w:t xml:space="preserve">[17]</w:t>
        </w:r>
      </w:hyperlink>
      <w:r>
        <w:t xml:space="preserve">. It does not claim the sustainability-metrics and rating literature is mistaken about the value of reputation instruments</w:t>
      </w:r>
      <w:r>
        <w:t xml:space="preserve"> </w:t>
      </w:r>
      <w:hyperlink w:anchor="ref-2">
        <w:r>
          <w:rPr>
            <w:rStyle w:val="Hyperlink"/>
          </w:rPr>
          <w:t xml:space="preserve">[2]</w:t>
        </w:r>
      </w:hyperlink>
      <w:r>
        <w:t xml:space="preserve">. It does not claim the economics literature has produced an unimpeachable behavioral model; the open-access externality framework is one model among several plausible ones</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The claim is narrow. None of these literatures, on its own, has produced the test that would tell a policymaker which of the three policy levers, capability, reputation, or cost internalization, is operating on the observed disposal rate at the operator level, and the joining required to produce that test is what this dissertation offers.</w:t>
      </w:r>
    </w:p>
    <w:p>
      <w:pPr>
        <w:pStyle w:val="BodyText"/>
        <w:spacing w:line="480" w:lineRule="auto"/>
        <w:ind w:firstLine="720"/>
      </w:pPr>
      <w:r>
        <w:t xml:space="preserve">The next chapter turns from the literatures to the specific research papers in which the joining is attempted, the operator-cohort cross-section and the object-level binary-outcome design, and reports what they reveal about the discriminating power of the available data.</w:t>
      </w:r>
    </w:p>
    <w:bookmarkEnd w:id="72"/>
    <w:bookmarkEnd w:id="73"/>
    <w:bookmarkStart w:id="83" w:name="Xcfcc00a3ded59aed0c781c16bfc121f2a509603"/>
    <w:p>
      <w:pPr>
        <w:pStyle w:val="Heading1"/>
        <w:spacing w:line="480" w:lineRule="auto"/>
      </w:pPr>
      <w:r>
        <w:t xml:space="preserve">Chapter 3. Theoretical Framework and Hypotheses</w:t>
      </w:r>
    </w:p>
    <w:bookmarkStart w:id="74" w:name="purpose-of-the-chapter"/>
    <w:p>
      <w:pPr>
        <w:pStyle w:val="Heading2"/>
        <w:spacing w:line="480" w:lineRule="auto"/>
      </w:pPr>
      <w:r>
        <w:t xml:space="preserve">3.1 Purpose of the Chapter</w:t>
      </w:r>
    </w:p>
    <w:p>
      <w:pPr>
        <w:pStyle w:val="FirstParagraph"/>
        <w:spacing w:line="480" w:lineRule="auto"/>
      </w:pPr>
      <w:r>
        <w:t xml:space="preserve">The empirical chapters that follow stake their identification on a single behavioral mechanism. This chapter specifies that mechanism, derives the causal logic the dissertation’s predictions flow from, and states the two hypotheses, H0 and H1, that the rest of the work is built to discriminate. The argument runs in four moves. I first situate post-mission disposal inside the structure of a common-pool resource, drawing on the open-access external-cost framing developed in the economics-of-orbit-use literature</w:t>
      </w:r>
      <w:r>
        <w:t xml:space="preserve"> </w:t>
      </w:r>
      <w:hyperlink w:anchor="ref-6">
        <w:r>
          <w:rPr>
            <w:rStyle w:val="Hyperlink"/>
          </w:rPr>
          <w:t xml:space="preserve">[6]</w:t>
        </w:r>
      </w:hyperlink>
      <w:r>
        <w:t xml:space="preserve">,</w:t>
      </w:r>
      <w:r>
        <w:t xml:space="preserve"> </w:t>
      </w:r>
      <w:hyperlink w:anchor="ref-9">
        <w:r>
          <w:rPr>
            <w:rStyle w:val="Hyperlink"/>
          </w:rPr>
          <w:t xml:space="preserve">[9]</w:t>
        </w:r>
      </w:hyperlink>
      <w:r>
        <w:t xml:space="preserve"> </w:t>
      </w:r>
      <w:r>
        <w:t xml:space="preserve">and on the broader treatment of orbital LEO as a common-pool resource in the space-economics corpus [SD18], [SD04], [SD15]. I then derive the operator’s disposal calculus as a private decision under shared benefit, and show why, absent an internalizing instrument, the privately rational disposal level sits below the socially optimal one. Next I separate the collective-action mechanism from the alternative the engineering literature presumes, a capability and salience constraint, and show that the two accounts make different, falsifiable predictions about the cross-section of compliance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Last I state H0 and H1 in the form the empirical chapters test, and set the falsification criterion under which the collective-action account is rejected.</w:t>
      </w:r>
    </w:p>
    <w:p>
      <w:pPr>
        <w:pStyle w:val="BodyText"/>
        <w:spacing w:line="480" w:lineRule="auto"/>
        <w:ind w:firstLine="720"/>
      </w:pPr>
      <w:r>
        <w:t xml:space="preserve">This chapter estimates no parameters. It fixes the theoretical commitments the estimators in Chapters 4 and 5 have to honor, and that the qualitative case strand in Chapter 6 has to validate. Where the framework borrows from the discourse-and-regime literature</w:t>
      </w:r>
      <w:r>
        <w:t xml:space="preserve"> </w:t>
      </w:r>
      <w:hyperlink w:anchor="ref-7">
        <w:r>
          <w:rPr>
            <w:rStyle w:val="Hyperlink"/>
          </w:rPr>
          <w:t xml:space="preserve">[7]</w:t>
        </w:r>
      </w:hyperlink>
      <w:r>
        <w:t xml:space="preserve"> </w:t>
      </w:r>
      <w:r>
        <w:t xml:space="preserve">or from the sustainability-metrics literature</w:t>
      </w:r>
      <w:r>
        <w:t xml:space="preserve"> </w:t>
      </w:r>
      <w:hyperlink w:anchor="ref-2">
        <w:r>
          <w:rPr>
            <w:rStyle w:val="Hyperlink"/>
          </w:rPr>
          <w:t xml:space="preserve">[2]</w:t>
        </w:r>
      </w:hyperlink>
      <w:r>
        <w:t xml:space="preserve">, I mark the borrowing explicitly, because each carries assumptions about operator behavior the dissertation has to either adopt or replace.</w:t>
      </w:r>
    </w:p>
    <w:bookmarkEnd w:id="74"/>
    <w:bookmarkStart w:id="75" w:name="X281c8a0de0ff77209fbdf5e4610fce18e7af170"/>
    <w:p>
      <w:pPr>
        <w:pStyle w:val="Heading2"/>
        <w:spacing w:line="480" w:lineRule="auto"/>
      </w:pPr>
      <w:r>
        <w:t xml:space="preserve">3.2 The Disposal Decision as a Common-Pool Resource Problem</w:t>
      </w:r>
    </w:p>
    <w:p>
      <w:pPr>
        <w:pStyle w:val="FirstParagraph"/>
        <w:spacing w:line="480" w:lineRule="auto"/>
      </w:pPr>
      <w:r>
        <w:t xml:space="preserve">Low Earth orbit carries the two defining features of a common-pool resource [SD18]. It is rivalrous in use: a retained derelict at a given altitude raises the conjunction probability faced by every other object crossing that altitude, and the population of derelicts is the dominant driver of projected long-run debris growth in the orbital-environment models calibrated to observed catalogs</w:t>
      </w:r>
      <w:r>
        <w:t xml:space="preserve"> </w:t>
      </w:r>
      <w:hyperlink w:anchor="ref-4">
        <w:r>
          <w:rPr>
            <w:rStyle w:val="Hyperlink"/>
          </w:rPr>
          <w:t xml:space="preserve">[4]</w:t>
        </w:r>
      </w:hyperlink>
      <w:r>
        <w:t xml:space="preserve">. And exclusion is costly in practice and weak in law: no operator can be barred from placing a satellite into a given altitude shell on account of the congestion it will create, and the international guidance regime is voluntary in its substantive disposal provisions</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 Rivalry without effective exclusion is the structural condition under which open access produces a tragedy [SD18], and recent space-economics work has shown formally that orbit use under open access generates uninternalized external collision-risk costs large enough, in plausible calibrations, to drive runaway debris growth</w:t>
      </w:r>
      <w:r>
        <w:t xml:space="preserve"> </w:t>
      </w:r>
      <w:hyperlink w:anchor="ref-6">
        <w:r>
          <w:rPr>
            <w:rStyle w:val="Hyperlink"/>
          </w:rPr>
          <w:t xml:space="preserve">[6]</w:t>
        </w:r>
      </w:hyperlink>
      <w:r>
        <w:t xml:space="preserve">,</w:t>
      </w:r>
      <w:r>
        <w:t xml:space="preserve"> </w:t>
      </w:r>
      <w:hyperlink w:anchor="ref-9">
        <w:r>
          <w:rPr>
            <w:rStyle w:val="Hyperlink"/>
          </w:rPr>
          <w:t xml:space="preserve">[9]</w:t>
        </w:r>
      </w:hyperlink>
      <w:r>
        <w:t xml:space="preserve">.</w:t>
      </w:r>
    </w:p>
    <w:p>
      <w:pPr>
        <w:pStyle w:val="BodyText"/>
        <w:spacing w:line="480" w:lineRule="auto"/>
        <w:ind w:firstLine="720"/>
      </w:pPr>
      <w:r>
        <w:t xml:space="preserve">Post-mission disposal is the principal lever through which an operator either adds to this congestion or relieves it. The guidelines specify the methods by which a structure leaves the protected regions at end of life</w:t>
      </w:r>
      <w:r>
        <w:t xml:space="preserve"> </w:t>
      </w:r>
      <w:hyperlink w:anchor="ref-3">
        <w:r>
          <w:rPr>
            <w:rStyle w:val="Hyperlink"/>
          </w:rPr>
          <w:t xml:space="preserve">[3]</w:t>
        </w:r>
      </w:hyperlink>
      <w:r>
        <w:t xml:space="preserve">, and the long-run trajectory of the LEO population turns almost entirely on whether operators execute those methods</w:t>
      </w:r>
      <w:r>
        <w:t xml:space="preserve"> </w:t>
      </w:r>
      <w:hyperlink w:anchor="ref-4">
        <w:r>
          <w:rPr>
            <w:rStyle w:val="Hyperlink"/>
          </w:rPr>
          <w:t xml:space="preserve">[4]</w:t>
        </w:r>
      </w:hyperlink>
      <w:r>
        <w:t xml:space="preserve">. Disposal is where the common-pool problem becomes operative. At end of life, the operator chooses whether to spend resources clearing its object from the protected region, knowing the resources are private and the risk reduction is shared.</w:t>
      </w:r>
    </w:p>
    <w:p>
      <w:pPr>
        <w:pStyle w:val="BodyText"/>
        <w:spacing w:line="480" w:lineRule="auto"/>
        <w:ind w:firstLine="720"/>
      </w:pPr>
      <w:r>
        <w:t xml:space="preserve">From that follows the chapter’s first theoretical commitment. Disposal is not, analytically, a standalone engineering choice. It is the within-operator face of the standing collective-action problem the open-access character of LEO creates. Whether the operator builds a disposal capability into the spacecraft, whether it reserves propellant and operational life to execute it, and whether it swallows the cost when the moment arrives, are all decisions taken under a payoff structure the commons determines. The engineering literature lays out the menu of disposal methods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 and the sustainability-metrics literature proposes signals meant to push operators toward those methods</w:t>
      </w:r>
      <w:r>
        <w:t xml:space="preserve"> </w:t>
      </w:r>
      <w:hyperlink w:anchor="ref-2">
        <w:r>
          <w:rPr>
            <w:rStyle w:val="Hyperlink"/>
          </w:rPr>
          <w:t xml:space="preserve">[2]</w:t>
        </w:r>
      </w:hyperlink>
      <w:r>
        <w:t xml:space="preserve">, yet neither derives the operator’s selection from the underlying payoff structure. That derivation is this chapter’s work.</w:t>
      </w:r>
    </w:p>
    <w:bookmarkEnd w:id="75"/>
    <w:bookmarkStart w:id="76" w:name="the-operators-disposal-calculus"/>
    <w:p>
      <w:pPr>
        <w:pStyle w:val="Heading2"/>
        <w:spacing w:line="480" w:lineRule="auto"/>
      </w:pPr>
      <w:r>
        <w:t xml:space="preserve">3.3 The Operator’s Disposal Calculus</w:t>
      </w:r>
    </w:p>
    <w:p>
      <w:pPr>
        <w:pStyle w:val="FirstParagraph"/>
        <w:spacing w:line="480" w:lineRule="auto"/>
      </w:pPr>
      <w:r>
        <w:t xml:space="preserve">Take a single operator facing the end-of-life decision for an object in low Earth orbit. The operator weighs the private cost of disposal, the sum of propellant mass forgone earlier in the mission, operational life forgone at the end, and any incremental design and verification cost paid to keep the disposal option open, against the private share of the disposal benefit. That benefit is the reduction in expected future collision-induced losses gained by removing the object from the protected region. It accrues to every object that would otherwise have crossed the same volume during the object’s remaining natural lifetime, including the operator’s own later assets and every other operator’s assets at the same altitudes.</w:t>
      </w:r>
    </w:p>
    <w:p>
      <w:pPr>
        <w:pStyle w:val="BodyText"/>
        <w:spacing w:line="480" w:lineRule="auto"/>
        <w:ind w:firstLine="720"/>
      </w:pPr>
      <w:r>
        <w:t xml:space="preserve">Let the private benefit share stand for the fraction of the total disposal benefit the disposing operator itself captures. The privately rational choice sets the operator’s marginal private cost equal to its private share of the marginal social benefit, not to the marginal social benefit itself. When the private benefit share is small, the operator’s private benefit falls below the social benefit by a margin the share fixes, and the privately rational disposal level falls below the socially optimal one by that same margin. This is the standard open-access wedge, derived for orbit use in</w:t>
      </w:r>
      <w:r>
        <w:t xml:space="preserve"> </w:t>
      </w:r>
      <w:hyperlink w:anchor="ref-6">
        <w:r>
          <w:rPr>
            <w:rStyle w:val="Hyperlink"/>
          </w:rPr>
          <w:t xml:space="preserve">[6]</w:t>
        </w:r>
      </w:hyperlink>
      <w:r>
        <w:t xml:space="preserve"> </w:t>
      </w:r>
      <w:r>
        <w:t xml:space="preserve">and</w:t>
      </w:r>
      <w:r>
        <w:t xml:space="preserve"> </w:t>
      </w:r>
      <w:hyperlink w:anchor="ref-9">
        <w:r>
          <w:rPr>
            <w:rStyle w:val="Hyperlink"/>
          </w:rPr>
          <w:t xml:space="preserve">[9]</w:t>
        </w:r>
      </w:hyperlink>
      <w:r>
        <w:t xml:space="preserve"> </w:t>
      </w:r>
      <w:r>
        <w:t xml:space="preserve">and developed in the broader common-pool treatment of LEO in [SD18] and [SD04].</w:t>
      </w:r>
    </w:p>
    <w:p>
      <w:pPr>
        <w:pStyle w:val="BodyText"/>
        <w:spacing w:line="480" w:lineRule="auto"/>
        <w:ind w:firstLine="720"/>
      </w:pPr>
      <w:r>
        <w:t xml:space="preserve">Three implications carry the dissertation. Clearer guidance does not eliminate the wedge. The guidelines</w:t>
      </w:r>
      <w:r>
        <w:t xml:space="preserve"> </w:t>
      </w:r>
      <w:hyperlink w:anchor="ref-3">
        <w:r>
          <w:rPr>
            <w:rStyle w:val="Hyperlink"/>
          </w:rPr>
          <w:t xml:space="preserve">[3]</w:t>
        </w:r>
      </w:hyperlink>
      <w:r>
        <w:t xml:space="preserve"> </w:t>
      </w:r>
      <w:r>
        <w:t xml:space="preserve">are written as engineering specifications, not price instruments, and rewriting a specification changes neither the operator’s private cost nor its private share of the benefit. By their own structure the guidelines cannot close the open-access wedge; at most they raise the salience of disposal as a behavior the operator notices, which is a separate mechanism taken up below. Anything that lowers the operator’s private benefit share widens the wedge. Two drivers move the share: own-constellation collision exposure, which raises it by giving the operator a larger stake in the shared benefit it confers on itself, and binding national licensing regimes that price the external cost, which raise the effective private share by forcing the operator to internalize part of the cost it would otherwise impose [SD04], [SD15]. And instruments that move the private share toward unity can, in principle, close the wedge. Pigouvian charges of the form sketched in</w:t>
      </w:r>
      <w:r>
        <w:t xml:space="preserve"> </w:t>
      </w:r>
      <w:hyperlink w:anchor="ref-6">
        <w:r>
          <w:rPr>
            <w:rStyle w:val="Hyperlink"/>
          </w:rPr>
          <w:t xml:space="preserve">[6]</w:t>
        </w:r>
      </w:hyperlink>
      <w:r>
        <w:t xml:space="preserve"> </w:t>
      </w:r>
      <w:r>
        <w:t xml:space="preserve">and developed in</w:t>
      </w:r>
      <w:r>
        <w:t xml:space="preserve"> </w:t>
      </w:r>
      <w:hyperlink w:anchor="ref-9">
        <w:r>
          <w:rPr>
            <w:rStyle w:val="Hyperlink"/>
          </w:rPr>
          <w:t xml:space="preserve">[9]</w:t>
        </w:r>
      </w:hyperlink>
      <w:r>
        <w:t xml:space="preserve"> </w:t>
      </w:r>
      <w:r>
        <w:t xml:space="preserve">do this directly; binding license conditions that tie market access to disposal do it indirectly, by turning a shared benefit into a private precondition for revenue.</w:t>
      </w:r>
    </w:p>
    <w:p>
      <w:pPr>
        <w:pStyle w:val="BodyText"/>
        <w:spacing w:line="480" w:lineRule="auto"/>
        <w:ind w:firstLine="720"/>
      </w:pPr>
      <w:r>
        <w:t xml:space="preserve">The space-economics account of an economic Kessler syndrome</w:t>
      </w:r>
      <w:r>
        <w:t xml:space="preserve"> </w:t>
      </w:r>
      <w:hyperlink w:anchor="ref-9">
        <w:r>
          <w:rPr>
            <w:rStyle w:val="Hyperlink"/>
          </w:rPr>
          <w:t xml:space="preserve">[9]</w:t>
        </w:r>
      </w:hyperlink>
      <w:r>
        <w:t xml:space="preserve"> </w:t>
      </w:r>
      <w:r>
        <w:t xml:space="preserve">adds that the wedge is dynamically dangerous. Because the social cost of a retained derelict accumulates over the object’s remaining natural lifetime and compounds through the collision cascade, the gap between the privately rational and the socially optimal disposal level is not stationary but widening. For empirical work that carries a clear consequence. The predicted cross-sectional signature of the collective-action mechanism should strengthen, not weaken, in the more recent cohorts operating in a denser environment, a prediction the panel analysis in Chapter 5 takes up.</w:t>
      </w:r>
    </w:p>
    <w:bookmarkEnd w:id="76"/>
    <w:bookmarkStart w:id="77" w:name="X2e3bebb598de99d5bc6832a4155c22bce9ea348"/>
    <w:p>
      <w:pPr>
        <w:pStyle w:val="Heading2"/>
        <w:spacing w:line="480" w:lineRule="auto"/>
      </w:pPr>
      <w:r>
        <w:t xml:space="preserve">3.4 The Alternative Mechanism: Capability and Salience</w:t>
      </w:r>
    </w:p>
    <w:p>
      <w:pPr>
        <w:pStyle w:val="FirstParagraph"/>
        <w:spacing w:line="480" w:lineRule="auto"/>
      </w:pPr>
      <w:r>
        <w:t xml:space="preserve">An orthodox reading of the disposal gap, embedded in the mitigation-engineering literature and in operational discourse, treats non-compliance as a capability problem</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argument is direct. Disposal needs either an active disposal capability, mainly propulsion sufficient to lower perigee into a drag-dominated regime, or an orbit naturally favorable to decay within the lifetime limit. Where neither holds, the operator cannot dispose. Where both hold, the operator usually does. Non-compliance is then a residual property of legacy hardware, of stranded objects whose disposal capability failed, and of designs that never provided for disposal at all. A secondary capability-and-salience reading stresses that some operators may be willing but unaware, so improving the visibility and clarity of the guidelines will move behavior at the margin</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p>
    <w:p>
      <w:pPr>
        <w:pStyle w:val="BodyText"/>
        <w:spacing w:line="480" w:lineRule="auto"/>
        <w:ind w:firstLine="720"/>
      </w:pPr>
      <w:r>
        <w:t xml:space="preserve">This is a coherent account, and the dissertation has to take it seriously. Two features deserve emphasis. In many cross-sections it looks observationally like the collective-action account, because the operators that built capable spacecraft, in particular the large-constellation operators that emerged after 2018, are also the operators capturing the largest private share of the disposal benefit, and the regimes that mandate capability are also the regimes that internalize cost</w:t>
      </w:r>
      <w:r>
        <w:t xml:space="preserve"> </w:t>
      </w:r>
      <w:hyperlink w:anchor="ref-7">
        <w:r>
          <w:rPr>
            <w:rStyle w:val="Hyperlink"/>
          </w:rPr>
          <w:t xml:space="preserve">[7]</w:t>
        </w:r>
      </w:hyperlink>
      <w:r>
        <w:t xml:space="preserve">. Pooled cross-sectional variation cannot separate the two accounts on its own, which is the methodological problem the operator-cohort analysis in Paper 1 confronts and the panel design in Chapter 5 is built to resolve. In its strongest form the capability reading is also not a falsifying alternative, since even committed proponents of the collective-action mechanism grant that capability is a necessary condition for disposal. The live empirical question is whether, conditional on capability, the collective-action position carries independent explanatory weight.</w:t>
      </w:r>
    </w:p>
    <w:p>
      <w:pPr>
        <w:pStyle w:val="BodyText"/>
        <w:spacing w:line="480" w:lineRule="auto"/>
        <w:ind w:firstLine="720"/>
      </w:pPr>
      <w:r>
        <w:t xml:space="preserve">The capability-and-salience reading also underwrites the sustainability-rating program of Rathnasabapathy and colleagues</w:t>
      </w:r>
      <w:r>
        <w:t xml:space="preserve"> </w:t>
      </w:r>
      <w:hyperlink w:anchor="ref-2">
        <w:r>
          <w:rPr>
            <w:rStyle w:val="Hyperlink"/>
          </w:rPr>
          <w:t xml:space="preserve">[2]</w:t>
        </w:r>
      </w:hyperlink>
      <w:r>
        <w:t xml:space="preserve">. In its theoretical structure the Space Sustainability Rating is a salience instrument. It transmits information about operator behavior to a reputational market, on the premise that operators will respond by adjusting behavior. Whether such a rating can close the disposal gap depends on which kind of gap it is. If the gap is fundamentally a salience problem, the rating’s information channel is precisely the missing input. If it is fundamentally a free-rider problem, the rating supplies information operators already hold, and the binding constraint is a payoff structure the rating cannot change. Discriminating the two accounts therefore carries a direct policy implication for the rating program, and the chapter’s hypotheses are stated so the empirical chapters speak to it.</w:t>
      </w:r>
    </w:p>
    <w:bookmarkEnd w:id="77"/>
    <w:bookmarkStart w:id="78" w:name="reconciling-the-two-mechanisms"/>
    <w:p>
      <w:pPr>
        <w:pStyle w:val="Heading2"/>
        <w:spacing w:line="480" w:lineRule="auto"/>
      </w:pPr>
      <w:r>
        <w:t xml:space="preserve">3.5 Reconciling the Two Mechanisms</w:t>
      </w:r>
    </w:p>
    <w:p>
      <w:pPr>
        <w:pStyle w:val="FirstParagraph"/>
        <w:spacing w:line="480" w:lineRule="auto"/>
      </w:pPr>
      <w:r>
        <w:t xml:space="preserve">The framework does not force a choice of one mechanism to the exclusion of the other. It asks which mechanism carries explanatory weight at the margin, and which one, in the data, is doing the work observers attribute to it. Two points of reconciliation organize the rest of the dissertation.</w:t>
      </w:r>
    </w:p>
    <w:p>
      <w:pPr>
        <w:pStyle w:val="BodyText"/>
        <w:spacing w:line="480" w:lineRule="auto"/>
        <w:ind w:firstLine="720"/>
      </w:pPr>
      <w:r>
        <w:t xml:space="preserve">Capability is itself, in part, an endogenous outcome of the collective-action structure. The decision to build in and reserve a disposal capability is made years ahead of the disposal moment, under the cost structure the operator expects to face at end of life. Operators who anticipate a binding cost-internalization regime, or who expect to capture a large private share of the disposal benefit through their own constellation, are exactly those for whom investing in disposal capability is privately rational at the design stage. On that reading capability is the channel through which the collective-action incentive acts on observable disposal outcomes, not a competitor to it. The companion paper [Paper 2] documents precisely this pattern: the capability term carries the statistically decisive weight in a row-level logit, while the post-2020 regime indicator enters with a large positive point estimate and a wide interval, consistent with the regime acting through the capability channel rather than beside it.</w:t>
      </w:r>
    </w:p>
    <w:p>
      <w:pPr>
        <w:pStyle w:val="BodyText"/>
        <w:spacing w:line="480" w:lineRule="auto"/>
        <w:ind w:firstLine="720"/>
      </w:pPr>
      <w:r>
        <w:t xml:space="preserve">A cross-section can identify the two accounts only where capability and benefit share vary independently. The operator-cohort analysis [Paper 1] documents the limit of pooled cross-sectional identification: capability and private benefit share stay correlated in the compiled data, because the same operators who built large maneuverable constellations both can dispose and capture much of their own collision benefit. The benefit-share partial coefficient is then estimated off limited independent variation, and a null on it does not discriminate the mechanisms cleanly. Within-operator regime variation, reserved for Chapter 5, is the design that holds capability fixed by construction and identifies the collective-action effect off the regime change.</w:t>
      </w:r>
    </w:p>
    <w:p>
      <w:pPr>
        <w:pStyle w:val="BodyText"/>
        <w:spacing w:line="480" w:lineRule="auto"/>
        <w:ind w:firstLine="720"/>
      </w:pPr>
      <w:r>
        <w:t xml:space="preserve">Put together, these two points sharpen the discriminating prediction. The collective-action account does not predict that the cross-section of disposal will look unlike the cross-section of capability, because capability is partly the embodiment of the incentive. It predicts something else. Hold capability fixed through within-operator variation, and operators that move into a binding cost-internalizing regime should dispose at higher rates than the same operators in a non-binding regime, and operators with larger own-constellation exposure should dispose at higher rates than otherwise similar operators with smaller exposure. The capability account predicts the reverse: once capability is held fixed, neither regime nor exposure should carry weight, because disposal on that account is a purely technical outcome of the design</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p>
    <w:bookmarkEnd w:id="78"/>
    <w:bookmarkStart w:id="79" w:name="the-two-hypotheses"/>
    <w:p>
      <w:pPr>
        <w:pStyle w:val="Heading2"/>
        <w:spacing w:line="480" w:lineRule="auto"/>
      </w:pPr>
      <w:r>
        <w:t xml:space="preserve">3.6 The Two Hypotheses</w:t>
      </w:r>
    </w:p>
    <w:p>
      <w:pPr>
        <w:pStyle w:val="FirstParagraph"/>
        <w:spacing w:line="480" w:lineRule="auto"/>
      </w:pPr>
      <w:r>
        <w:t xml:space="preserve">The dissertation tests one falsifiable proposition, stated as a null and an alternative.</w:t>
      </w:r>
    </w:p>
    <w:p>
      <w:pPr>
        <w:pStyle w:val="BodyText"/>
        <w:spacing w:line="480" w:lineRule="auto"/>
        <w:ind w:firstLine="720"/>
      </w:pPr>
      <w:r>
        <w:rPr>
          <w:b/>
          <w:bCs/>
        </w:rPr>
        <w:t xml:space="preserve">H0 (capability and salience account):</w:t>
      </w:r>
      <w:r>
        <w:t xml:space="preserve"> </w:t>
      </w:r>
      <w:r>
        <w:t xml:space="preserve">Cross-sectional and within-operator variation in post-mission disposal compliance is explained by technical disposal capability and the natural-decay environment, together with the salience of the applicable guidance. Conditional on capability and the orbital environment, an operator’s position in the collective-action structure, its private share of the disposal benefit through own-constellation collision exposure and through binding regime-level cost internalization, has no independent effect on its disposal rate.</w:t>
      </w:r>
    </w:p>
    <w:p>
      <w:pPr>
        <w:pStyle w:val="BodyText"/>
        <w:spacing w:line="480" w:lineRule="auto"/>
        <w:ind w:firstLine="720"/>
      </w:pPr>
      <w:r>
        <w:rPr>
          <w:b/>
          <w:bCs/>
        </w:rPr>
        <w:t xml:space="preserve">H1 (collective-action account):</w:t>
      </w:r>
      <w:r>
        <w:t xml:space="preserve"> </w:t>
      </w:r>
      <w:r>
        <w:t xml:space="preserve">Conditional on technical disposal capability and the orbital environment, operators that capture a larger private share of the disposal benefit, or that face a binding cost-internalizing regime, show higher post-mission disposal compliance. The collective-action position carries explanatory weight beyond capability.</w:t>
      </w:r>
    </w:p>
    <w:p>
      <w:pPr>
        <w:pStyle w:val="BodyText"/>
        <w:spacing w:line="480" w:lineRule="auto"/>
        <w:ind w:firstLine="720"/>
      </w:pPr>
      <w:r>
        <w:t xml:space="preserve">H1 is the hypothesis the dissertation prefers on theoretical grounds, drawing on the open-access external-cost mechanism developed in</w:t>
      </w:r>
      <w:r>
        <w:t xml:space="preserve"> </w:t>
      </w:r>
      <w:hyperlink w:anchor="ref-6">
        <w:r>
          <w:rPr>
            <w:rStyle w:val="Hyperlink"/>
          </w:rPr>
          <w:t xml:space="preserve">[6]</w:t>
        </w:r>
      </w:hyperlink>
      <w:r>
        <w:t xml:space="preserve"> </w:t>
      </w:r>
      <w:r>
        <w:t xml:space="preserve">and</w:t>
      </w:r>
      <w:r>
        <w:t xml:space="preserve"> </w:t>
      </w:r>
      <w:hyperlink w:anchor="ref-9">
        <w:r>
          <w:rPr>
            <w:rStyle w:val="Hyperlink"/>
          </w:rPr>
          <w:t xml:space="preserve">[9]</w:t>
        </w:r>
      </w:hyperlink>
      <w:r>
        <w:t xml:space="preserve"> </w:t>
      </w:r>
      <w:r>
        <w:t xml:space="preserve">and on the broader common-pool framing of LEO in [SD18], [SD04], and [SD15]. H0 is the hypothesis the engineering and operational literatures privilege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two are stated symmetrically, and the test is built to discriminate them rather than to confirm the preferred account.</w:t>
      </w:r>
    </w:p>
    <w:bookmarkEnd w:id="79"/>
    <w:bookmarkStart w:id="80" w:name="Xd67b086bbd5fd24d57803d8a97679574a203cfb"/>
    <w:p>
      <w:pPr>
        <w:pStyle w:val="Heading2"/>
        <w:spacing w:line="480" w:lineRule="auto"/>
      </w:pPr>
      <w:r>
        <w:t xml:space="preserve">3.7 Falsification Criterion and Auxiliary Predictions</w:t>
      </w:r>
    </w:p>
    <w:p>
      <w:pPr>
        <w:pStyle w:val="FirstParagraph"/>
        <w:spacing w:line="480" w:lineRule="auto"/>
      </w:pPr>
      <w:r>
        <w:t xml:space="preserve">H1 is falsified, jointly across the empirical chapters, if, after conditioning on capability and on the orbital environment, the private-benefit-share coefficient and the regime-internalization coefficient are each statistically and economically indistinguishable from zero, or if either is signed against the free-rider prediction under the robustness specifications described in Chapter 4. A weaker failure, in which one coefficient is null and the other is consistent with H1, counts as partial sustenance, and the chapter that reports it has to name which channel of the collective-action mechanism, exposure or internalization, is doing the work.</w:t>
      </w:r>
    </w:p>
    <w:p>
      <w:pPr>
        <w:pStyle w:val="BodyText"/>
        <w:spacing w:line="480" w:lineRule="auto"/>
        <w:ind w:firstLine="720"/>
      </w:pPr>
      <w:r>
        <w:t xml:space="preserve">The framework yields three auxiliary predictions the dissertation uses to triangulate the principal test.</w:t>
      </w:r>
    </w:p>
    <w:p>
      <w:pPr>
        <w:pStyle w:val="BodyText"/>
        <w:spacing w:line="480" w:lineRule="auto"/>
        <w:ind w:firstLine="720"/>
      </w:pPr>
      <w:r>
        <w:t xml:space="preserve">My operator-cohort cross-section is predicted to come back ambiguous, because capability and benefit share are correlated in the population. The companion paper [Paper 1] documents that ambiguity directly: the capability term dominates, the benefit-share partial coefficient is null, and the regime indicator carries a negative sign best read as selection of the regime onto demanding low-altitude cohorts rather than as a perverse enforcement effect. That is the predicted pattern under either H0 or H1 in a setting where the two accounts are not separated by independent variation.</w:t>
      </w:r>
    </w:p>
    <w:p>
      <w:pPr>
        <w:pStyle w:val="BodyText"/>
        <w:spacing w:line="480" w:lineRule="auto"/>
        <w:ind w:firstLine="720"/>
      </w:pPr>
      <w:r>
        <w:t xml:space="preserve">Its row-level cross-section of disposal events is predicted to be dominated by the capability channel, because capability is the channel through which incentives act on the proximate disposal outcome. The companion paper [Paper 2] documents the prediction: the capability coefficient is large and decisively identified, the altitude term is null in the presence of capability, and the post-2020 regime indicator is large in point estimate but imprecisely estimated, consistent with the regime acting through capability investment rather than beside it.</w:t>
      </w:r>
    </w:p>
    <w:p>
      <w:pPr>
        <w:pStyle w:val="BodyText"/>
        <w:spacing w:line="480" w:lineRule="auto"/>
        <w:ind w:firstLine="720"/>
      </w:pPr>
      <w:r>
        <w:t xml:space="preserve">The within-operator panel is the design that separates the two accounts. Holding the operator fixed holds capability fixed by construction, because capability is a slow-moving operator-level attribute. The collective-action prediction is then identified off the regime change: the same operator, observed in a binding and a non-binding regime, should dispose at a higher rate in the binding regime under H1, and at the same rate under H0. The qualitative case strand in Chapter 6 supplements the design by checking that the constructed exposure and internalization measures track the decision logic operators report, addressing the construct-validity threat described in the prospectus.</w:t>
      </w:r>
    </w:p>
    <w:bookmarkEnd w:id="80"/>
    <w:bookmarkStart w:id="81" w:name="boundary-conditions-and-scope"/>
    <w:p>
      <w:pPr>
        <w:pStyle w:val="Heading2"/>
        <w:spacing w:line="480" w:lineRule="auto"/>
      </w:pPr>
      <w:r>
        <w:t xml:space="preserve">3.8 Boundary Conditions and Scope</w:t>
      </w:r>
    </w:p>
    <w:p>
      <w:pPr>
        <w:pStyle w:val="FirstParagraph"/>
        <w:spacing w:line="480" w:lineRule="auto"/>
      </w:pPr>
      <w:r>
        <w:t xml:space="preserve">The framework as stated applies to the LEO post-mission disposal margin, to the cohort of operators and objects observed in the public record between 2015 and the present, and to the regimes for which licensing rules are public and codable. Three boundary conditions apply.</w:t>
      </w:r>
    </w:p>
    <w:p>
      <w:pPr>
        <w:pStyle w:val="BodyText"/>
        <w:spacing w:line="480" w:lineRule="auto"/>
        <w:ind w:firstLine="720"/>
      </w:pPr>
      <w:r>
        <w:t xml:space="preserve">The framework does not extend to active debris removal as a behavioral lever. The literature on optimal active debris removal mission planning</w:t>
      </w:r>
      <w:r>
        <w:t xml:space="preserve"> </w:t>
      </w:r>
      <w:hyperlink w:anchor="ref-33">
        <w:r>
          <w:rPr>
            <w:rStyle w:val="Hyperlink"/>
          </w:rPr>
          <w:t xml:space="preserve">[33]</w:t>
        </w:r>
      </w:hyperlink>
      <w:r>
        <w:t xml:space="preserve"> </w:t>
      </w:r>
      <w:r>
        <w:t xml:space="preserve">and on rendezvous and proximity operations for removal of large-constellation fleets</w:t>
      </w:r>
      <w:r>
        <w:t xml:space="preserve"> </w:t>
      </w:r>
      <w:hyperlink w:anchor="ref-32">
        <w:r>
          <w:rPr>
            <w:rStyle w:val="Hyperlink"/>
          </w:rPr>
          <w:t xml:space="preserve">[32]</w:t>
        </w:r>
      </w:hyperlink>
      <w:r>
        <w:t xml:space="preserve"> </w:t>
      </w:r>
      <w:r>
        <w:t xml:space="preserve">treats removal of objects already retained, a different decision under different payoffs. The collective-action account makes removal predictions structurally analogous to its disposal predictions, but the disposal margin is what the dissertation tests, and extensions to removal are flagged in Chapter 7 as future work.</w:t>
      </w:r>
    </w:p>
    <w:p>
      <w:pPr>
        <w:pStyle w:val="BodyText"/>
        <w:spacing w:line="480" w:lineRule="auto"/>
        <w:ind w:firstLine="720"/>
      </w:pPr>
      <w:r>
        <w:t xml:space="preserve">The framework treats the orbital environment as exogenous to the operator’s disposal decision. The source-sink and environmental-governance literature</w:t>
      </w:r>
      <w:r>
        <w:t xml:space="preserve"> </w:t>
      </w:r>
      <w:hyperlink w:anchor="ref-19">
        <w:r>
          <w:rPr>
            <w:rStyle w:val="Hyperlink"/>
          </w:rPr>
          <w:t xml:space="preserve">[19]</w:t>
        </w:r>
      </w:hyperlink>
      <w:r>
        <w:t xml:space="preserve"> </w:t>
      </w:r>
      <w:r>
        <w:t xml:space="preserve">models the joint evolution of the population and operator behavior under various governance regimes, and a fully dynamic treatment would make the operator’s payoff depend on the projected environment its assets will operate in. The static framing here is a simplification the panel analysis can partly relax by letting the environment enter as a time-varying covariate, and the structural dynamic problem is left to subsequent work.</w:t>
      </w:r>
    </w:p>
    <w:p>
      <w:pPr>
        <w:pStyle w:val="BodyText"/>
        <w:spacing w:line="480" w:lineRule="auto"/>
        <w:ind w:firstLine="720"/>
      </w:pPr>
      <w:r>
        <w:t xml:space="preserve">The framework also restricts the policy implication of sustaining H1 to the LEO disposal margin and to the question of whether voluntary, reputation-based instruments</w:t>
      </w:r>
      <w:r>
        <w:t xml:space="preserve"> </w:t>
      </w:r>
      <w:hyperlink w:anchor="ref-2">
        <w:r>
          <w:rPr>
            <w:rStyle w:val="Hyperlink"/>
          </w:rPr>
          <w:t xml:space="preserve">[2]</w:t>
        </w:r>
      </w:hyperlink>
      <w:r>
        <w:t xml:space="preserve"> </w:t>
      </w:r>
      <w:r>
        <w:t xml:space="preserve">are structurally sufficient. Sustaining H1 implies that voluntary rating schemes cannot, on their own, close the open-access wedge, because they do not change the payoff structure that creates it. It does not imply that voluntary instruments are valueless. They may still raise salience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w:t>
      </w:r>
      <w:r>
        <w:t xml:space="preserve">or shift the reputational price of disposal at the margin, and the sustainability-metrics literature contains a serious treatment of how a composite indicator can be designed to do so</w:t>
      </w:r>
      <w:r>
        <w:t xml:space="preserve"> </w:t>
      </w:r>
      <w:hyperlink w:anchor="ref-2">
        <w:r>
          <w:rPr>
            <w:rStyle w:val="Hyperlink"/>
          </w:rPr>
          <w:t xml:space="preserve">[2]</w:t>
        </w:r>
      </w:hyperlink>
      <w:r>
        <w:t xml:space="preserve">,</w:t>
      </w:r>
      <w:r>
        <w:t xml:space="preserve"> </w:t>
      </w:r>
      <w:hyperlink w:anchor="ref-13">
        <w:r>
          <w:rPr>
            <w:rStyle w:val="Hyperlink"/>
          </w:rPr>
          <w:t xml:space="preserve">[13]</w:t>
        </w:r>
      </w:hyperlink>
      <w:r>
        <w:t xml:space="preserve">. The framework’s claim is narrower: where the binding constraint is the open-access wedge, closing the gap requires instruments that move the private benefit share toward the social one, of the form sketched in</w:t>
      </w:r>
      <w:r>
        <w:t xml:space="preserve"> </w:t>
      </w:r>
      <w:hyperlink w:anchor="ref-6">
        <w:r>
          <w:rPr>
            <w:rStyle w:val="Hyperlink"/>
          </w:rPr>
          <w:t xml:space="preserve">[6]</w:t>
        </w:r>
      </w:hyperlink>
      <w:r>
        <w:t xml:space="preserve"> </w:t>
      </w:r>
      <w:r>
        <w:t xml:space="preserve">and digested in</w:t>
      </w:r>
      <w:r>
        <w:t xml:space="preserve"> </w:t>
      </w:r>
      <w:hyperlink w:anchor="ref-9">
        <w:r>
          <w:rPr>
            <w:rStyle w:val="Hyperlink"/>
          </w:rPr>
          <w:t xml:space="preserve">[9]</w:t>
        </w:r>
      </w:hyperlink>
      <w:r>
        <w:t xml:space="preserve">.</w:t>
      </w:r>
    </w:p>
    <w:bookmarkEnd w:id="81"/>
    <w:bookmarkStart w:id="82" w:name="summary"/>
    <w:p>
      <w:pPr>
        <w:pStyle w:val="Heading2"/>
        <w:spacing w:line="480" w:lineRule="auto"/>
      </w:pPr>
      <w:r>
        <w:t xml:space="preserve">3.9 Summary</w:t>
      </w:r>
    </w:p>
    <w:p>
      <w:pPr>
        <w:pStyle w:val="FirstParagraph"/>
        <w:spacing w:line="480" w:lineRule="auto"/>
      </w:pPr>
      <w:r>
        <w:t xml:space="preserve">This chapter has fixed the theoretical commitments the rest of the dissertation rests on. Disposal is treated as the within-operator face of an open-access common-pool problem</w:t>
      </w:r>
      <w:r>
        <w:t xml:space="preserve"> </w:t>
      </w:r>
      <w:hyperlink w:anchor="ref-6">
        <w:r>
          <w:rPr>
            <w:rStyle w:val="Hyperlink"/>
          </w:rPr>
          <w:t xml:space="preserve">[6]</w:t>
        </w:r>
      </w:hyperlink>
      <w:r>
        <w:t xml:space="preserve">,</w:t>
      </w:r>
      <w:r>
        <w:t xml:space="preserve"> </w:t>
      </w:r>
      <w:hyperlink w:anchor="ref-9">
        <w:r>
          <w:rPr>
            <w:rStyle w:val="Hyperlink"/>
          </w:rPr>
          <w:t xml:space="preserve">[9]</w:t>
        </w:r>
      </w:hyperlink>
      <w:r>
        <w:t xml:space="preserve">, [SD18], [SD04], [SD15]. The operator’s privately rational disposal level sits below the socially optimal one by a wedge that widens with low own-constellation exposure and narrows under binding cost-internalizing regimes. The capability-and-salience reading of the gap is treated not as a competitor but as the proximate channel through which the collective-action incentive acts on observable behavior, with capability as a partly endogenous outcome of the operator’s anticipated payoff structure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two hypotheses, H0 and H1, discriminate the accounts at the margin where they diverge, the within-operator regime contrast under which capability is held fixed. The falsification criterion is stated symmetrically across the two channels of the collective-action mechanism, exposure and internalization, and the auxiliary predictions are matched to the cross-sectional and row-level designs reported in the companion papers and to the panel and case-strand designs reserved for Chapters 5 and 6. The chapter that follows turns to the data and identification strategy under which these hypotheses are tested.</w:t>
      </w:r>
    </w:p>
    <w:bookmarkEnd w:id="82"/>
    <w:bookmarkEnd w:id="83"/>
    <w:bookmarkStart w:id="93" w:name="chapter-4.-data-and-measurement"/>
    <w:p>
      <w:pPr>
        <w:pStyle w:val="Heading1"/>
        <w:spacing w:line="480" w:lineRule="auto"/>
      </w:pPr>
      <w:r>
        <w:t xml:space="preserve">Chapter 4. Data and Measurement</w:t>
      </w:r>
    </w:p>
    <w:p>
      <w:pPr>
        <w:pStyle w:val="FirstParagraph"/>
        <w:spacing w:line="480" w:lineRule="auto"/>
      </w:pPr>
      <w:r>
        <w:t xml:space="preserve">This chapter sets out, in operational detail, the datasets the two empirical papers are estimated on, the authoritative institutional sources they draw from, the unit of analysis adopted in each case, and the construction rules by which every variable is derived from primary records. The aim is twofold: to make the empirical claims of Chapters 5 and 6 reproducible from publicly available sources, and to mark explicitly the points where a coded value rests on an interpretive judgment rather than on a reported figure. Throughout, I restrict the discussion to data that are real, currently maintained, and obtainable without privileged access, consistent with the data-and-provenance commitment of the prospectus.</w:t>
      </w:r>
    </w:p>
    <w:bookmarkStart w:id="84" w:name="design-logic-linking-data-to-hypotheses"/>
    <w:p>
      <w:pPr>
        <w:pStyle w:val="Heading2"/>
        <w:spacing w:line="480" w:lineRule="auto"/>
      </w:pPr>
      <w:r>
        <w:t xml:space="preserve">4.1. Design Logic Linking Data to Hypotheses</w:t>
      </w:r>
    </w:p>
    <w:p>
      <w:pPr>
        <w:pStyle w:val="FirstParagraph"/>
        <w:spacing w:line="480" w:lineRule="auto"/>
      </w:pPr>
      <w:r>
        <w:t xml:space="preserve">The two papers test the same single falsifiable contribution at two complementary levels of aggregation. Paper 1 estimates an operator-cohort cross-section: the unit is a population of objects sharing operator, regime, and orbital-regime characteristics, and the dependent variable is the share of that cohort that successfully completes post-mission disposal. Paper 2 estimates a row-level binary outcome model: the unit is a documented low Earth orbit object that has reached end of life, and the dependent variable is a one-zero indicator of whether the object was disposed of. Each design faces a different identification problem, so each makes a different data demand. The cohort design trades within-object detail for the breadth of compliance reporting; the event-level design accepts a smaller sample for object-by-object verifiability. Both draw from the same authoritative institutional sources, principally the ESA Space Debris Office Annual Space Environment Report</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the published compliance studies of Pardini and Anselmo</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the agency reentry and breakup records maintained by ESA and the NASA Orbital Debris Program Office, and the regime instruments enacted by national licensing authorities and codified in the Federal Communications Commission’s second report and order on orbital debris mitigation</w:t>
      </w:r>
      <w:r>
        <w:t xml:space="preserve"> </w:t>
      </w:r>
      <w:hyperlink w:anchor="ref-12">
        <w:r>
          <w:rPr>
            <w:rStyle w:val="Hyperlink"/>
          </w:rPr>
          <w:t xml:space="preserve">[12]</w:t>
        </w:r>
      </w:hyperlink>
      <w:r>
        <w:t xml:space="preserve">. Each design exploits a different facet of those sources, and the two together bracket the same mechanism from above and from below.</w:t>
      </w:r>
    </w:p>
    <w:p>
      <w:pPr>
        <w:pStyle w:val="BodyText"/>
        <w:spacing w:line="480" w:lineRule="auto"/>
        <w:ind w:firstLine="720"/>
      </w:pPr>
      <w:r>
        <w:t xml:space="preserve">The hypotheses of Chapter 3 demand three measurement constructs shared across the two papers. One is a measure of post-mission disposal outcome, the dependent variable in both. Another is a measure of technical disposal capability, which the capability account privileges as the proximate driver of disposal and which the collective-action account treats as the channel incentives operate through. The third is a measure of the operator’s position in the collective-action structure, operationalized in Paper 1 as a private benefit share and in Paper 2 at the regime level as a binary indicator of governance under the post-2020 cost-internalizing regime. A fourth construct, the regime under which the cohort or event is governed, enters Paper 1 as a separate variable because the cross-section permits its inclusion alongside the benefit share, and serves in Paper 2 as the principal internalization proxy where degrees of freedom are scarce. Section 4.2 describes the source materials. Section 4.3 specifies the unit of analysis in each paper. Section 4.4 sets out the dependent variable. Section 4.5 specifies the capability measure. Section 4.6 specifies the collective-action measure. Section 4.7 specifies the regime measure. Section 4.8 addresses measurement error and the lifetime-uncertainty correction. Section 4.9 documents provenance flags, illustrative values, and the dataset audit trail.</w:t>
      </w:r>
    </w:p>
    <w:bookmarkEnd w:id="84"/>
    <w:bookmarkStart w:id="85" w:name="authoritative-sources"/>
    <w:p>
      <w:pPr>
        <w:pStyle w:val="Heading2"/>
        <w:spacing w:line="480" w:lineRule="auto"/>
      </w:pPr>
      <w:r>
        <w:t xml:space="preserve">4.2. Authoritative Sources</w:t>
      </w:r>
    </w:p>
    <w:p>
      <w:pPr>
        <w:pStyle w:val="FirstParagraph"/>
        <w:spacing w:line="480" w:lineRule="auto"/>
      </w:pPr>
      <w:r>
        <w:t xml:space="preserve">For both papers the primary disposal-outcome source is the ESA Space Debris Office Annual Space Environment Report, an institutional product of the European Space Agency’s Space Debris Office at the European Space Operations Centre in Darmstadt, published annually and distributed publicly through the ESA Space Safety portal</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It is the most comprehensive aggregate statement of low Earth orbit disposal compliance available in the open literature. Year by year and orbit class by orbit class, it tabulates the number of payloads reaching end of life, the number attempting disposal, the number successfully clearing the protected region within the applicable lifetime threshold, and breakouts by object type, mass band, constellation status, and lifetime regime. The 2024 and 2025 editions supply the bulk of the cohort observations in Paper 1, and the 2024 edition anchors the regulatory era for Paper 2. Its provenance is institutional and citable. The same office whose staff co-author the disposal-uncertainty and sustainability-metrics literature this dissertation relies on</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w:t>
      </w:r>
      <w:r>
        <w:t xml:space="preserve">authors the report, so the methodological lineage between the compliance statistics and the engineering treatment of disposal uncertainty is direct.</w:t>
      </w:r>
    </w:p>
    <w:p>
      <w:pPr>
        <w:pStyle w:val="BodyText"/>
        <w:spacing w:line="480" w:lineRule="auto"/>
        <w:ind w:firstLine="720"/>
      </w:pPr>
      <w:r>
        <w:t xml:space="preserve">Historical compliance evidence for legacy and unmaneuverable cohorts comes from the published peer-reviewed compliance studies of Pardini and Anselmo, whose evaluations of the impact of space activities in low Earth orbit</w:t>
      </w:r>
      <w:r>
        <w:t xml:space="preserve"> </w:t>
      </w:r>
      <w:hyperlink w:anchor="ref-4">
        <w:r>
          <w:rPr>
            <w:rStyle w:val="Hyperlink"/>
          </w:rPr>
          <w:t xml:space="preserve">[4]</w:t>
        </w:r>
      </w:hyperlink>
      <w:r>
        <w:t xml:space="preserve"> </w:t>
      </w:r>
      <w:r>
        <w:t xml:space="preserve">and of national fleet compliance with end-of-life disposal guidelines</w:t>
      </w:r>
      <w:r>
        <w:t xml:space="preserve"> </w:t>
      </w:r>
      <w:hyperlink w:anchor="ref-8">
        <w:r>
          <w:rPr>
            <w:rStyle w:val="Hyperlink"/>
          </w:rPr>
          <w:t xml:space="preserve">[8]</w:t>
        </w:r>
      </w:hyperlink>
      <w:r>
        <w:t xml:space="preserve"> </w:t>
      </w:r>
      <w:r>
        <w:t xml:space="preserve">supply cohort-level compliance shares for object populations that predate the constellation era and that the ESA reports do not separately tabulate. Their treatment of long-term environmental criticality also serves as the cross-check for the orbital-environment proxy in Paper 2</w:t>
      </w:r>
      <w:r>
        <w:t xml:space="preserve"> </w:t>
      </w:r>
      <w:hyperlink w:anchor="ref-16">
        <w:r>
          <w:rPr>
            <w:rStyle w:val="Hyperlink"/>
          </w:rPr>
          <w:t xml:space="preserve">[16]</w:t>
        </w:r>
      </w:hyperlink>
      <w:r>
        <w:t xml:space="preserve">. Boettcher and Silvestri’s work on multi-perspective sustainability metrics characterizing the debris environment supplies an additional indicator framework against which the cohort-level interpretation of disposal performance is calibrated</w:t>
      </w:r>
      <w:r>
        <w:t xml:space="preserve"> </w:t>
      </w:r>
      <w:hyperlink w:anchor="ref-13">
        <w:r>
          <w:rPr>
            <w:rStyle w:val="Hyperlink"/>
          </w:rPr>
          <w:t xml:space="preserve">[13]</w:t>
        </w:r>
      </w:hyperlink>
      <w:r>
        <w:t xml:space="preserve">. For the constellation-era operational record, the anchor is the survey of large-constellation space-traffic management practice by Sorge, Alary, Lacomba, and Tung</w:t>
      </w:r>
      <w:r>
        <w:t xml:space="preserve"> </w:t>
      </w:r>
      <w:hyperlink w:anchor="ref-7">
        <w:r>
          <w:rPr>
            <w:rStyle w:val="Hyperlink"/>
          </w:rPr>
          <w:t xml:space="preserve">[7]</w:t>
        </w:r>
      </w:hyperlink>
      <w:r>
        <w:t xml:space="preserve">,</w:t>
      </w:r>
      <w:r>
        <w:t xml:space="preserve"> </w:t>
      </w:r>
      <w:hyperlink w:anchor="ref-17">
        <w:r>
          <w:rPr>
            <w:rStyle w:val="Hyperlink"/>
          </w:rPr>
          <w:t xml:space="preserve">[17]</w:t>
        </w:r>
      </w:hyperlink>
      <w:r>
        <w:t xml:space="preserve">,</w:t>
      </w:r>
      <w:r>
        <w:t xml:space="preserve"> </w:t>
      </w:r>
      <w:hyperlink w:anchor="ref-34">
        <w:r>
          <w:rPr>
            <w:rStyle w:val="Hyperlink"/>
          </w:rPr>
          <w:t xml:space="preserve">[34]</w:t>
        </w:r>
      </w:hyperlink>
      <w:r>
        <w:t xml:space="preserve">, which characterizes the disposal practice and manoeuvre architecture of the dominant modern constellation operators and so informs the construction of capability and constellation indicators.</w:t>
      </w:r>
    </w:p>
    <w:p>
      <w:pPr>
        <w:pStyle w:val="BodyText"/>
        <w:spacing w:line="480" w:lineRule="auto"/>
        <w:ind w:firstLine="720"/>
      </w:pPr>
      <w:r>
        <w:t xml:space="preserve">Object-level records for the thirty-four events in Paper 2 come from named institutional pages and disclosures. ESA mission and reentry records supply the disposal status, altitude, and capability fields for ESA-operated platforms: the assisted reentry of Aeolus, documented by the operator and described in the public Aeolus reentry release</w:t>
      </w:r>
      <w:r>
        <w:t xml:space="preserve"> </w:t>
      </w:r>
      <w:hyperlink w:anchor="ref-18">
        <w:r>
          <w:rPr>
            <w:rStyle w:val="Hyperlink"/>
          </w:rPr>
          <w:t xml:space="preserve">[18]</w:t>
        </w:r>
      </w:hyperlink>
      <w:r>
        <w:t xml:space="preserve">, the loss of Envisat at 762 km, the targeted Cluster reentry, the Copernicus Sentinel series, CryoSat-2, the Automated Transfer Vehicle, and the GOCE and ERS-2 reentries. The NASA Orbital Debris Program Office provides comparable records for the Vanguard-1 legacy case, the Cosmos-2251 and Iridium-33 collision objects, and the Fengyun-1C fragments. EoPortal mission pages cross-check mission identity, launch altitude, and disposal disposition. For constellation-era objects where the operator is the primary source of record, operator demisability disclosures and reentry strategy publications, including the Starlink demisability paper and the Satellogic reentry strategy, carry the fields. Public reentry records from international agencies supply the disposal status for Tiangong-1, Tiangong-2, UARS, RADARSAT-1, Aqua, and Jason-1. Every row of the Paper 2 dataset carries an explicit source citation in its final column, so the chain from primary record to coded outcome is traceable per observation.</w:t>
      </w:r>
    </w:p>
    <w:p>
      <w:pPr>
        <w:pStyle w:val="BodyText"/>
        <w:spacing w:line="480" w:lineRule="auto"/>
        <w:ind w:firstLine="720"/>
      </w:pPr>
      <w:r>
        <w:t xml:space="preserve">Regime-level cost-internalization indicators are coded from the Federal Communications Commission’s second report and order on the mitigation of orbital debris in the new space age, FCC-22-74</w:t>
      </w:r>
      <w:r>
        <w:t xml:space="preserve"> </w:t>
      </w:r>
      <w:hyperlink w:anchor="ref-12">
        <w:r>
          <w:rPr>
            <w:rStyle w:val="Hyperlink"/>
          </w:rPr>
          <w:t xml:space="preserve">[12]</w:t>
        </w:r>
      </w:hyperlink>
      <w:r>
        <w:t xml:space="preserve">, which established the five-year post-mission deorbit rule for spacecraft the Commission licenses, and from the corresponding national licensing instruments of other jurisdictions. The ESA report’s own treatment of compliance against the stricter standard supports the regulatory-era anchoring of the post-2020 regime</w:t>
      </w:r>
      <w:r>
        <w:t xml:space="preserve"> </w:t>
      </w:r>
      <w:hyperlink w:anchor="ref-14">
        <w:r>
          <w:rPr>
            <w:rStyle w:val="Hyperlink"/>
          </w:rPr>
          <w:t xml:space="preserve">[14]</w:t>
        </w:r>
      </w:hyperlink>
      <w:r>
        <w:t xml:space="preserve">. Yap, Heiberg, and Truffer’s discourse-network analysis documents that the regime has been socially contested and is the product of a global socio-technical negotiation rather than a single act of rulemaking</w:t>
      </w:r>
      <w:r>
        <w:t xml:space="preserve"> </w:t>
      </w:r>
      <w:hyperlink w:anchor="ref-7">
        <w:r>
          <w:rPr>
            <w:rStyle w:val="Hyperlink"/>
          </w:rPr>
          <w:t xml:space="preserve">[7]</w:t>
        </w:r>
      </w:hyperlink>
      <w:r>
        <w:t xml:space="preserve">, which is why the regime indicator is treated as a real change in operator-facing incentives rather than a notational shift.</w:t>
      </w:r>
    </w:p>
    <w:p>
      <w:pPr>
        <w:pStyle w:val="BodyText"/>
        <w:spacing w:line="480" w:lineRule="auto"/>
        <w:ind w:firstLine="720"/>
      </w:pPr>
      <w:r>
        <w:t xml:space="preserve">Operator and constellation covariates that enter the capability and benefit-share constructions are derived from the public USSF/Space-Track satellite catalog and from the ESA Database and Information System Characterising Objects in Space, both obtainable under standard access. No internal, proprietary, or otherwise restricted data are required for any variable in either dataset.</w:t>
      </w:r>
    </w:p>
    <w:bookmarkEnd w:id="85"/>
    <w:bookmarkStart w:id="86" w:name="unit-of-analysis"/>
    <w:p>
      <w:pPr>
        <w:pStyle w:val="Heading2"/>
        <w:spacing w:line="480" w:lineRule="auto"/>
      </w:pPr>
      <w:r>
        <w:t xml:space="preserve">4.3. Unit of Analysis</w:t>
      </w:r>
    </w:p>
    <w:p>
      <w:pPr>
        <w:pStyle w:val="FirstParagraph"/>
        <w:spacing w:line="480" w:lineRule="auto"/>
      </w:pPr>
      <w:r>
        <w:t xml:space="preserve">Paper 1’s unit of analysis is the operator-cohort. An operator-cohort is a population of low Earth orbit objects sharing four characteristics: a single operator or operator class, a single regulatory regime governing the population, a single orbital regime, and a single lifetime threshold against which compliance is evaluated. A cohort is defined by the operator-regime-regime-threshold tuple, not by a single launch or a single satellite. Twenty-eight cohorts are compiled. Their boundaries are drawn so the disposal-compliance share the ESA Annual Space Environment Report</w:t>
      </w:r>
      <w:r>
        <w:t xml:space="preserve"> </w:t>
      </w:r>
      <w:hyperlink w:anchor="ref-11">
        <w:r>
          <w:rPr>
            <w:rStyle w:val="Hyperlink"/>
          </w:rPr>
          <w:t xml:space="preserve">[11]</w:t>
        </w:r>
      </w:hyperlink>
      <w:r>
        <w:t xml:space="preserve"> </w:t>
      </w:r>
      <w:r>
        <w:t xml:space="preserve">reports for a given object class can be matched, without further interpolation, to a single capability profile, a single benefit-share computation, and a single regime indicator. Where the ESA report itself reports compliance against multiple lifetime thresholds for the same object population, the cohort is decomposed by threshold and each threshold variant enters as a separate row. Historical low-compliance cohorts of legacy and unmaneuverable spacecraft drawn from Pardini and Anselmo</w:t>
      </w:r>
      <w:r>
        <w:t xml:space="preserve"> </w:t>
      </w:r>
      <w:hyperlink w:anchor="ref-4">
        <w:r>
          <w:rPr>
            <w:rStyle w:val="Hyperlink"/>
          </w:rPr>
          <w:t xml:space="preserve">[4]</w:t>
        </w:r>
      </w:hyperlink>
      <w:r>
        <w:t xml:space="preserve"> </w:t>
      </w:r>
      <w:r>
        <w:t xml:space="preserve">enter as distinct cohorts on the same definition.</w:t>
      </w:r>
    </w:p>
    <w:p>
      <w:pPr>
        <w:pStyle w:val="BodyText"/>
        <w:spacing w:line="480" w:lineRule="auto"/>
        <w:ind w:firstLine="720"/>
      </w:pPr>
      <w:r>
        <w:t xml:space="preserve">Paper 2’s unit of analysis is the documented low Earth orbit object that has reached end of life and whose disposal outcome is recorded in the public institutional sources enumerated above. The dataset comprises thirty-four such objects. Each is identified by its operator-of-record name, its agency or eoPortal identifier where applicable, its operational orbital altitude at end of life expressed in hundreds of kilometers, and its end-of-life year. Choosing the documented object as the unit favours verifiability over breadth, and it does so deliberately. One consequence is that the resulting sample over-represents agency platforms with public reentry documentation and constellation-era objects whose operators disclose disposal performance, while under-representing the long tail of small and legacy objects for which no public end-of-life record exists. What that selection implies for external validity is discussed in Chapter 6.</w:t>
      </w:r>
    </w:p>
    <w:p>
      <w:pPr>
        <w:pStyle w:val="BodyText"/>
        <w:spacing w:line="480" w:lineRule="auto"/>
        <w:ind w:firstLine="720"/>
      </w:pPr>
      <w:r>
        <w:t xml:space="preserve">The two units are not the same, and that is by design. The cohort design averages over within-population variation in object type and mission age to recover the operator-level incentive structure; the object design preserves that variation to test whether the per-object disposal decision responds to the regulatory era once capability is held fixed. The two share the regime variable and a comparable capability construction, so the two papers can be read as estimating consistent hypotheses on consistent constructs at different scales.</w:t>
      </w:r>
    </w:p>
    <w:bookmarkEnd w:id="86"/>
    <w:bookmarkStart w:id="87" w:name="construction-of-the-dependent-variable"/>
    <w:p>
      <w:pPr>
        <w:pStyle w:val="Heading2"/>
        <w:spacing w:line="480" w:lineRule="auto"/>
      </w:pPr>
      <w:r>
        <w:t xml:space="preserve">4.4. Construction of the Dependent Variable</w:t>
      </w:r>
    </w:p>
    <w:p>
      <w:pPr>
        <w:pStyle w:val="FirstParagraph"/>
        <w:spacing w:line="480" w:lineRule="auto"/>
      </w:pPr>
      <w:r>
        <w:t xml:space="preserve">In Paper 1 the dependent variable is the post-mission disposal compliance share of the operator-cohort, the fraction of objects in the cohort that successfully clear the protected region within the applicable lifetime limit. Construction runs in three steps. The numerator is the count of cohort objects for which the ESA report or the Pardini and Anselmo studies record a successful clearance from the protected region within the cohort’s defining lifetime threshold. The denominator is the count of cohort objects for which a disposal attempt was made, or for which natural decay should have completed within the threshold absent intervention. Their ratio is the compliance share. Where the ESA report tabulates the share attempting disposal separately from the share succeeding, the share succeeding is the dependent variable, and the share attempting is reserved for the robustness specification described in Section 4.8. Clearance is evaluated against the threshold the cohort’s governing regime placed on the operator when the disposal was due, which for post-2020 FCC-licensed cohorts is five years and for pre-2020 cohorts is the legacy twenty-five-year guideline.</w:t>
      </w:r>
    </w:p>
    <w:p>
      <w:pPr>
        <w:pStyle w:val="BodyText"/>
        <w:spacing w:line="480" w:lineRule="auto"/>
        <w:ind w:firstLine="720"/>
      </w:pPr>
      <w:r>
        <w:t xml:space="preserve">In Paper 2 the dependent variable is a binary indicator of disposal success. It is coded one when the object completed disposal, whether through controlled reentry, assisted reentry, targeted reentry, or natural decay achieving compliance within the threshold applicable at end of life, and zero when the object became a long-lived retained derelict or reentered uncontrolled without a disposal action having been performed. The coding rule matches the compliance rule the ESA Annual Space Environment Report uses</w:t>
      </w:r>
      <w:r>
        <w:t xml:space="preserve"> </w:t>
      </w:r>
      <w:hyperlink w:anchor="ref-10">
        <w:r>
          <w:rPr>
            <w:rStyle w:val="Hyperlink"/>
          </w:rPr>
          <w:t xml:space="preserve">[10]</w:t>
        </w:r>
      </w:hyperlink>
      <w:r>
        <w:t xml:space="preserve">,</w:t>
      </w:r>
      <w:r>
        <w:t xml:space="preserve"> </w:t>
      </w:r>
      <w:hyperlink w:anchor="ref-14">
        <w:r>
          <w:rPr>
            <w:rStyle w:val="Hyperlink"/>
          </w:rPr>
          <w:t xml:space="preserve">[14]</w:t>
        </w:r>
      </w:hyperlink>
      <w:r>
        <w:t xml:space="preserve">, so the row-level codings in Paper 2 stay consistent with the cohort-level shares in Paper 1. Two canonical reference cases anchor the coding. Aeolus, the first operational assisted reentry, is coded a success on the strength of the public Airbus reentry release</w:t>
      </w:r>
      <w:r>
        <w:t xml:space="preserve"> </w:t>
      </w:r>
      <w:hyperlink w:anchor="ref-18">
        <w:r>
          <w:rPr>
            <w:rStyle w:val="Hyperlink"/>
          </w:rPr>
          <w:t xml:space="preserve">[18]</w:t>
        </w:r>
      </w:hyperlink>
      <w:r>
        <w:t xml:space="preserve">, the canonical low-altitude high-capability success. Envisat, lost before it could be deorbited and now facing roughly a century and a half of natural decay at 762 km, is coded a failure, the canonical high-altitude low-disposal-capability legacy retention. For collision-fragment populations such as Cosmos-2251, Iridium-33, and Fengyun-1C the coding follows the NASA Orbital Debris Program Office records and is treated as a non-disposal outcome in all cases.</w:t>
      </w:r>
    </w:p>
    <w:bookmarkEnd w:id="87"/>
    <w:bookmarkStart w:id="88" w:name="construction-of-the-capability-measure"/>
    <w:p>
      <w:pPr>
        <w:pStyle w:val="Heading2"/>
        <w:spacing w:line="480" w:lineRule="auto"/>
      </w:pPr>
      <w:r>
        <w:t xml:space="preserve">4.5. Construction of the Capability Measure</w:t>
      </w:r>
    </w:p>
    <w:p>
      <w:pPr>
        <w:pStyle w:val="FirstParagraph"/>
        <w:spacing w:line="480" w:lineRule="auto"/>
      </w:pPr>
      <w:r>
        <w:t xml:space="preserve">Capability is the construct the capability account rests on, and its construction has to be defensible in both papers. In Paper 1 the capability index of an operator-cohort is built from two components. One is a manoeuvre and propulsion component, computed from the share of cohort objects for which the operator-of-record discloses, or the USSF/Space-Track catalog and the ESA DISCOS database show evidence of, an active disposal capability, that is, a propulsion system retained and reserved for end-of-life manoeuvring. The other is a natural-decay favourability component, computed from the cohort’s mean operational altitude under the standard atmospheric model the ESA report’s compliance projection assumes, so lower-altitude cohorts whose natural decay would clear the protected region within the lifetime threshold without operator action score higher on it. The two are combined into the capability index used in the Paper 1 regression. The index is bounded in the unit interval. The combination weighting and normalization choices are documented in the Paper 1 codebook so alternative weightings can be tested for sensitivity.</w:t>
      </w:r>
    </w:p>
    <w:p>
      <w:pPr>
        <w:pStyle w:val="BodyText"/>
        <w:spacing w:line="480" w:lineRule="auto"/>
        <w:ind w:firstLine="720"/>
      </w:pPr>
      <w:r>
        <w:t xml:space="preserve">In Paper 2 capability collapses to a single binary indicator, one when the object had a documented active disposal capability at end of life and zero otherwise. The binary form defers to the sample size of thirty-four events: a finer-grained index would not be identified at this N, and the binary split is in any case the sharp division the historical record discloses, with platforms either designed and operated with a reserved disposal means or designed without one. The coding rule is conservative. An object is coded capable only when an active disposal capability is documented in an operator disclosure, a mission page, or an agency reentry record, and coded not capable when no such documentation exists. The orbital-environment proxy is reported separately in Paper 2 as operational altitude in hundreds of kilometers, drawn from the same institutional records, so the natural-decay channel enters the model on its own term rather than folded into the capability indicator.</w:t>
      </w:r>
    </w:p>
    <w:bookmarkEnd w:id="88"/>
    <w:bookmarkStart w:id="89" w:name="X086c49e1029eb705698fdd0a284297e584cec46"/>
    <w:p>
      <w:pPr>
        <w:pStyle w:val="Heading2"/>
        <w:spacing w:line="480" w:lineRule="auto"/>
      </w:pPr>
      <w:r>
        <w:t xml:space="preserve">4.6. Construction of the Collective-Action Measure</w:t>
      </w:r>
    </w:p>
    <w:p>
      <w:pPr>
        <w:pStyle w:val="FirstParagraph"/>
        <w:spacing w:line="480" w:lineRule="auto"/>
      </w:pPr>
      <w:r>
        <w:t xml:space="preserve">The collective-action measure is the construct H1 turns on in both papers, and it is the most demanding of the four to build. In Paper 1 the private benefit share of an operator-cohort is a model-derived quantity: the share of the marginal collision-risk reduction generated by the cohort’s disposal that accrues to the disposing operator itself rather than to other orbit users. It follows the open-access external-cost framing of Rao and Rondina</w:t>
      </w:r>
      <w:r>
        <w:t xml:space="preserve"> </w:t>
      </w:r>
      <w:hyperlink w:anchor="ref-6">
        <w:r>
          <w:rPr>
            <w:rStyle w:val="Hyperlink"/>
          </w:rPr>
          <w:t xml:space="preserve">[6]</w:t>
        </w:r>
      </w:hyperlink>
      <w:r>
        <w:t xml:space="preserve"> </w:t>
      </w:r>
      <w:r>
        <w:t xml:space="preserve">and the common-pool resource framing of Weinzierl</w:t>
      </w:r>
      <w:r>
        <w:t xml:space="preserve"> </w:t>
      </w:r>
      <w:hyperlink w:anchor="ref-9">
        <w:r>
          <w:rPr>
            <w:rStyle w:val="Hyperlink"/>
          </w:rPr>
          <w:t xml:space="preserve">[9]</w:t>
        </w:r>
      </w:hyperlink>
      <w:r>
        <w:t xml:space="preserve">. The marginal external cost a retained derelict imposes on the population of orbit users is the inverse image of the marginal benefit its disposal confers, and the private share is the fraction of that benefit the operator captures through reductions in collision risk to its own surviving constellation. So the construction rises monotonically in the operator’s own constellation size and own orbit occupancy, and falls monotonically in the shared occupancy of the orbital regime by other operators.</w:t>
      </w:r>
    </w:p>
    <w:p>
      <w:pPr>
        <w:pStyle w:val="BodyText"/>
        <w:spacing w:line="480" w:lineRule="auto"/>
        <w:ind w:firstLine="720"/>
      </w:pPr>
      <w:r>
        <w:t xml:space="preserve">Three operational steps yield the private benefit share for each cohort. The operator’s surviving constellation size in the cohort’s orbital regime is computed from the USSF/Space-Track catalog at the cohort’s end-of-life year, restricted to objects in the same orbital shell as the disposing cohort. The total active object population in the same shell is computed from the same catalog, giving the denominator of the operator’s orbit-shell occupancy share. The private benefit share is then constructed as the function, of the operator’s own surviving constellation count in the shell, the operator’s own orbit-shell occupancy share, and the cohort’s mean object characteristics, that returns the private fraction of the collision-risk benefit the operator captures under the model. The functional form is the one derived in the Paper 1 modeling appendix; the inputs are reproducible from the public catalogs. The construction is bounded in the unit interval, highest for large constellation operators whose disposals reduce collision risk to their own surviving fleet and lowest for small or single-satellite operators whose disposals confer essentially all of the benefit on other orbit users.</w:t>
      </w:r>
    </w:p>
    <w:p>
      <w:pPr>
        <w:pStyle w:val="BodyText"/>
        <w:spacing w:line="480" w:lineRule="auto"/>
        <w:ind w:firstLine="720"/>
      </w:pPr>
      <w:r>
        <w:t xml:space="preserve">In Paper 2 the collective-action position is operationalized at the regime level rather than the object level, and the reason is identification. With thirty-four events and three predictors, a separately constructed private benefit share would be quasi-collinear with the capability indicator at the relevant granularity, since the same operators in this sample with high private benefit share are also the operators whose objects are capability-equipped. Paper 2 therefore enters the post-2020 regime-era indicator as the principal internalization proxy, on the argument that the cost-internalizing regime is the empirical face of the collective-action mechanism in the post-2020 period</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I acknowledge the trade-off. Paper 2 cannot separately estimate the private benefit share and the regime channel at its sample size, and the burden of separating them is carried back to the Paper 1 cohort regression and forward to the within-operator panel design.</w:t>
      </w:r>
    </w:p>
    <w:bookmarkEnd w:id="89"/>
    <w:bookmarkStart w:id="90" w:name="construction-of-the-regime-measure"/>
    <w:p>
      <w:pPr>
        <w:pStyle w:val="Heading2"/>
        <w:spacing w:line="480" w:lineRule="auto"/>
      </w:pPr>
      <w:r>
        <w:t xml:space="preserve">4.7. Construction of the Regime Measure</w:t>
      </w:r>
    </w:p>
    <w:p>
      <w:pPr>
        <w:pStyle w:val="FirstParagraph"/>
        <w:spacing w:line="480" w:lineRule="auto"/>
      </w:pPr>
      <w:r>
        <w:t xml:space="preserve">The regime measure is a binary indicator in both papers. In Paper 1 the regime-binding indicator equals one when the cohort is governed by a national licensing instrument that ties end-of-life disposal to a binding licensing condition or a cost-internalizing charge, and zero otherwise. The principal coding case for the post-2020 era is the Federal Communications Commission five-year rule established in FCC-22-74</w:t>
      </w:r>
      <w:r>
        <w:t xml:space="preserve"> </w:t>
      </w:r>
      <w:hyperlink w:anchor="ref-12">
        <w:r>
          <w:rPr>
            <w:rStyle w:val="Hyperlink"/>
          </w:rPr>
          <w:t xml:space="preserve">[12]</w:t>
        </w:r>
      </w:hyperlink>
      <w:r>
        <w:t xml:space="preserve">; cohorts of payloads licensed under it receive the binding code. Cohorts governed by guidelines that retain the legacy twenty-five-year threshold without a binding licensing condition receive the non-binding code. The coding is conservative: a cohort is treated as binding-governed only when the binding instrument is explicit and verifiable in the public licensing record.</w:t>
      </w:r>
    </w:p>
    <w:p>
      <w:pPr>
        <w:pStyle w:val="BodyText"/>
        <w:spacing w:line="480" w:lineRule="auto"/>
        <w:ind w:firstLine="720"/>
      </w:pPr>
      <w:r>
        <w:t xml:space="preserve">In Paper 2 the regime-era indicator equals one for objects whose end of life falls in the post-2020 era under the stricter cost-internalizing regime and zero otherwise. The 2020 boundary is chosen because it brackets both the FCC rulemaking that produced FCC-22-74</w:t>
      </w:r>
      <w:r>
        <w:t xml:space="preserve"> </w:t>
      </w:r>
      <w:hyperlink w:anchor="ref-12">
        <w:r>
          <w:rPr>
            <w:rStyle w:val="Hyperlink"/>
          </w:rPr>
          <w:t xml:space="preserve">[12]</w:t>
        </w:r>
      </w:hyperlink>
      <w:r>
        <w:t xml:space="preserve"> </w:t>
      </w:r>
      <w:r>
        <w:t xml:space="preserve">and the broader shift in national regimes documented in the ESA Annual Space Environment Report’s treatment of compliance against the stricter standard</w:t>
      </w:r>
      <w:r>
        <w:t xml:space="preserve"> </w:t>
      </w:r>
      <w:hyperlink w:anchor="ref-14">
        <w:r>
          <w:rPr>
            <w:rStyle w:val="Hyperlink"/>
          </w:rPr>
          <w:t xml:space="preserve">[14]</w:t>
        </w:r>
      </w:hyperlink>
      <w:r>
        <w:t xml:space="preserve"> </w:t>
      </w:r>
      <w:r>
        <w:t xml:space="preserve">and characterized in the discourse-network analysis of Yap, Heiberg, and Truffer</w:t>
      </w:r>
      <w:r>
        <w:t xml:space="preserve"> </w:t>
      </w:r>
      <w:hyperlink w:anchor="ref-7">
        <w:r>
          <w:rPr>
            <w:rStyle w:val="Hyperlink"/>
          </w:rPr>
          <w:t xml:space="preserve">[7]</w:t>
        </w:r>
      </w:hyperlink>
      <w:r>
        <w:t xml:space="preserve">. The 2020 boundary is therefore an institutional and a behavioural marker at once, and the regime-era indicator is read as a proxy for the bundle of regulatory and reputational pressures that took hold around that date rather than the effect of any single rule.</w:t>
      </w:r>
    </w:p>
    <w:bookmarkEnd w:id="90"/>
    <w:bookmarkStart w:id="91" w:name="Xff2d31638a281a1882453a09b09cc0bdfc0bcc1"/>
    <w:p>
      <w:pPr>
        <w:pStyle w:val="Heading2"/>
        <w:spacing w:line="480" w:lineRule="auto"/>
      </w:pPr>
      <w:r>
        <w:t xml:space="preserve">4.8. Measurement Error and the Lifetime-Uncertainty Correction</w:t>
      </w:r>
    </w:p>
    <w:p>
      <w:pPr>
        <w:pStyle w:val="FirstParagraph"/>
        <w:spacing w:line="480" w:lineRule="auto"/>
      </w:pPr>
      <w:r>
        <w:t xml:space="preserve">The construction carries two sources of measurement error explicitly. First is uncertainty in the remaining orbital lifetime of objects after a disposal manoeuvre, as documented by Ayala Fernandez, Wiedemann, Braun, and Lemmens</w:t>
      </w:r>
      <w:r>
        <w:t xml:space="preserve"> </w:t>
      </w:r>
      <w:hyperlink w:anchor="ref-5">
        <w:r>
          <w:rPr>
            <w:rStyle w:val="Hyperlink"/>
          </w:rPr>
          <w:t xml:space="preserve">[5]</w:t>
        </w:r>
      </w:hyperlink>
      <w:r>
        <w:t xml:space="preserve">. An attempted disposal whose remaining-lifetime estimate is uncertain may be coded non-compliant under a strict lifetime-threshold rule even when the operator’s manoeuvre was nominally compliant. Two corrections address it. In Paper 1 the dependent variable is the share succeeding under the ESA-reported lifetime threshold, and a robustness specification replaces it with the share attempting disposal, which is invariant to lifetime-uncertainty miscoding and bounds the direction in which the principal estimate could be biased. In Paper 2 the binary outcome coding is set conservatively so that an attempted-but-failed disposal whose failure is attributable to documented lifetime uncertainty is not coded as a non-disposal outcome; the conservative rule is documented per row in the Paper 2 codebook.</w:t>
      </w:r>
    </w:p>
    <w:p>
      <w:pPr>
        <w:pStyle w:val="BodyText"/>
        <w:spacing w:line="480" w:lineRule="auto"/>
        <w:ind w:firstLine="720"/>
      </w:pPr>
      <w:r>
        <w:t xml:space="preserve">The second source is the construct-validity question for the private benefit share. Because the benefit share is model-derived rather than directly reported, its construct validity has to be defended on a different basis than the disposal share or the regime indicator. The qualitative case strand described in Chapter 7 exists specifically for that defense. Structured operator and regulator case comparisons verify that the benefit-share computation tracks the decision logic operators themselves report, and that the cohort-level ranking on the benefit share is recognizable to the operators it ranks.</w:t>
      </w:r>
    </w:p>
    <w:bookmarkEnd w:id="91"/>
    <w:bookmarkStart w:id="92" w:name="Xe7b0cc5d687a12f5a9fc405e4042210a6bd0c83"/>
    <w:p>
      <w:pPr>
        <w:pStyle w:val="Heading2"/>
        <w:spacing w:line="480" w:lineRule="auto"/>
      </w:pPr>
      <w:r>
        <w:t xml:space="preserve">4.9. Provenance Flags and the Dataset Audit Trail</w:t>
      </w:r>
    </w:p>
    <w:p>
      <w:pPr>
        <w:pStyle w:val="FirstParagraph"/>
        <w:spacing w:line="480" w:lineRule="auto"/>
      </w:pPr>
      <w:r>
        <w:t xml:space="preserve">Every observation in both datasets carries a source citation. In Paper 1 the cohort row records the ESA report edition and section the disposal-compliance share is drawn from, the USSF/Space-Track and ESA DISCOS extraction dates the operator and constellation covariates are built from, the licensing-instrument citation the regime indicator is coded from, and a flag noting whether the cohort row contains any constructed structural covariate values that are coding judgments rather than reported figures. Such illustrative covariate values stay a small minority of the dataset, as the Paper 1 data section states. In Paper 2 the row records the object identity, the operator of record, the end-of-life year, the operational altitude, the disposal outcome, and the source citation. Four of the thirty-four rows carry an explicitly marked illustrative value on a single field where the exact figure was not obtainable from the public record; in those cases the illustrative value is flagged in the codebook and the row enters a sensitivity specification that drops illustrative-value rows, so the principal estimate’s robustness to the illustrative coding can be assessed directly.</w:t>
      </w:r>
    </w:p>
    <w:p>
      <w:pPr>
        <w:pStyle w:val="BodyText"/>
        <w:spacing w:line="480" w:lineRule="auto"/>
        <w:ind w:firstLine="720"/>
      </w:pPr>
      <w:r>
        <w:t xml:space="preserve">The audit trail lives in a per-row provenance column rather than an aggregate appendix, on the principle that the chain from primary record to coded value should be inspectable observation by observation. Between the conservative coding rules in Sections 4.4 through 4.7, the lifetime-uncertainty correction in Section 4.8, and the per-row provenance flag here, the empirical results of Chapters 5 and 6 are reproducible from public sources, the points where a coded value rests on a judgment are marked, and the robustness of the principal estimates to alternative codings of the marked values can be tested without rebuilding the dataset from scratch.</w:t>
      </w:r>
    </w:p>
    <w:bookmarkEnd w:id="92"/>
    <w:bookmarkEnd w:id="93"/>
    <w:bookmarkStart w:id="111" w:name="chapter-5.-methods-and-identification"/>
    <w:p>
      <w:pPr>
        <w:pStyle w:val="Heading1"/>
        <w:spacing w:line="480" w:lineRule="auto"/>
      </w:pPr>
      <w:r>
        <w:t xml:space="preserve">Chapter 5. Methods and Identification</w:t>
      </w:r>
    </w:p>
    <w:bookmarkStart w:id="94" w:name="overview-of-the-estimation-strategy"/>
    <w:p>
      <w:pPr>
        <w:pStyle w:val="Heading2"/>
        <w:spacing w:line="480" w:lineRule="auto"/>
      </w:pPr>
      <w:r>
        <w:t xml:space="preserve">5.1 Overview of the Estimation Strategy</w:t>
      </w:r>
    </w:p>
    <w:p>
      <w:pPr>
        <w:pStyle w:val="FirstParagraph"/>
        <w:spacing w:line="480" w:lineRule="auto"/>
      </w:pPr>
      <w:r>
        <w:t xml:space="preserve">The empirical task is to discriminate two accounts of the post-mission disposal gap that agree on most outcomes and diverge on a narrow set of conditional contrasts. The capability and salience account predicts that, once technical disposal capability is held fixed, no behavioral residual remains to explain. The collective-action account predicts that, conditional on capability, an operator’s position in the open-access incentive structure of low Earth orbit still bites, and so does the degree to which a binding regulatory regime forces the external collision-risk cost back into the private cost ledger</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The methods in this chapter are built to give that conditional residual its fairest possible test.</w:t>
      </w:r>
    </w:p>
    <w:p>
      <w:pPr>
        <w:pStyle w:val="BodyText"/>
        <w:spacing w:line="480" w:lineRule="auto"/>
        <w:ind w:firstLine="720"/>
      </w:pPr>
      <w:r>
        <w:t xml:space="preserve">Estimation runs at three levels of aggregation, each chosen to shore up an identification weakness in the others. At the operator-cohort level, a cross-sectional ordinary least squares specification regresses the compliance share on a capability index, a private benefit share, and a regime-binding indicator, following the design in the first companion paper. At the object level, a binary-outcome logistic regression of disposal success on capability, altitude, and a post-2020 regime indicator exploits the row-level resolution of the ESA Annual Space Environment Report joined to NASA Orbital Debris Program Office reentry records and operator demisability disclosures, following the design in the second companion paper</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At the operator-year level, a two-way fixed-effects panel specification with within-operator regime variation supplies the difference-in-differences contrast the cross-sectional estimators cannot deliver on their own. I estimate the three layers separately and read them jointly. Agreement across layers tightens the inference; disagreement is treated as diagnostic information about which threat to validity is binding.</w:t>
      </w:r>
    </w:p>
    <w:p>
      <w:pPr>
        <w:pStyle w:val="BodyText"/>
        <w:spacing w:line="480" w:lineRule="auto"/>
        <w:ind w:firstLine="720"/>
      </w:pPr>
      <w:r>
        <w:t xml:space="preserve">The chapter does three things. Section 5.2 specifies each estimator and names the parameter that carries the discriminating weight. Section 5.3 lays out the identification strategy, naming the variation each estimator exploits and the assumptions under which the parameter of interest recovers the causal quantity it claims. Section 5.4 enumerates the threats to validity and shows, for each, what is done to bound the bias it would otherwise impose.</w:t>
      </w:r>
    </w:p>
    <w:bookmarkEnd w:id="94"/>
    <w:bookmarkStart w:id="98" w:name="estimators"/>
    <w:p>
      <w:pPr>
        <w:pStyle w:val="Heading2"/>
        <w:spacing w:line="480" w:lineRule="auto"/>
      </w:pPr>
      <w:r>
        <w:t xml:space="preserve">5.2 Estimators</w:t>
      </w:r>
    </w:p>
    <w:bookmarkStart w:id="95" w:name="the-operator-cohort-ols-estimator"/>
    <w:p>
      <w:pPr>
        <w:pStyle w:val="Heading3"/>
        <w:spacing w:line="480" w:lineRule="auto"/>
      </w:pPr>
      <w:r>
        <w:t xml:space="preserve">5.2.1 The Operator-Cohort OLS Estimator</w:t>
      </w:r>
    </w:p>
    <w:p>
      <w:pPr>
        <w:pStyle w:val="FirstParagraph"/>
        <w:spacing w:line="480" w:lineRule="auto"/>
      </w:pPr>
      <w:r>
        <w:t xml:space="preserve">My first estimator pools twenty-eight operator-cohort observations drawn from the ESA Annual Space Environment Report and the supporting compliance studies of Pardini and Anselmo</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 The dependent variable is the cohort post-mission disposal compliance share, the fraction of objects in the cohort that clear the protected region within the applicable lifetime limit. Three predictors sit on the right-hand side: a technical disposal-capability index combining propulsion and maneuver capacity with natural-decay favorability; a private benefit share, the model-derived fraction of the disposal collision-risk benefit the operator captures from its own constellation; and a binding-regime indicator coding whether the cohort is governed by a national licensing instrument that internalizes the external cost, such as the post-2022 Federal Communications Commission five-year disposal rule</w:t>
      </w:r>
      <w:r>
        <w:t xml:space="preserve"> </w:t>
      </w:r>
      <w:hyperlink w:anchor="ref-12">
        <w:r>
          <w:rPr>
            <w:rStyle w:val="Hyperlink"/>
          </w:rPr>
          <w:t xml:space="preserve">[12]</w:t>
        </w:r>
      </w:hyperlink>
      <w:r>
        <w:t xml:space="preserve">. Estimation is by ordinary least squares with heteroskedasticity-robust standard errors.</w:t>
      </w:r>
    </w:p>
    <w:p>
      <w:pPr>
        <w:pStyle w:val="BodyText"/>
        <w:spacing w:line="480" w:lineRule="auto"/>
        <w:ind w:firstLine="720"/>
      </w:pPr>
      <w:r>
        <w:t xml:space="preserve">What carries the discriminating weight is the partial coefficient on the private benefit share. Under the collective-action account it is positive and economically large; under the capability and salience account it is statistically indistinguishable from zero once the capability index has absorbed the variance capability and benefit share hold in common. The first companion paper reports a partial coefficient near minus 0.06 with a robust standard error near 0.13, which fails the falsification test of the collective-action prediction at the cross-sectional layer. That null is the starting point for this chapter, not its endpoint. The cross-sectional estimator is a weak test by construction, because the operators that have built large maneuverable constellations both hold high capability and capture a large private share of their own collision benefit, leaving little independent variation to identify the partial coefficient off. I report it anyway, because it benchmarks how much explanatory work the capability channel does on its own, and because its weakness is what motivates the panel design that follows.</w:t>
      </w:r>
    </w:p>
    <w:bookmarkEnd w:id="95"/>
    <w:bookmarkStart w:id="96" w:name="the-object-level-logit-estimator"/>
    <w:p>
      <w:pPr>
        <w:pStyle w:val="Heading3"/>
        <w:spacing w:line="480" w:lineRule="auto"/>
      </w:pPr>
      <w:r>
        <w:t xml:space="preserve">5.2.2 The Object-Level Logit Estimator</w:t>
      </w:r>
    </w:p>
    <w:p>
      <w:pPr>
        <w:pStyle w:val="FirstParagraph"/>
        <w:spacing w:line="480" w:lineRule="auto"/>
      </w:pPr>
      <w:r>
        <w:t xml:space="preserve">The second estimator moves from operator cohorts to individual end-of-life events. Thirty-four documented objects from ESA mission and reentry records, NASA Orbital Debris Program Office files, eoPortal mission pages, and operator demisability disclosures make up the analytic sample. The dependent variable is binary disposal success: one when the object completed disposal by controlled, assisted, or targeted reentry, or by natural decay achieving compliance, and zero otherwise. The predictors are an active-disposal-capability indicator, operational altitude in hundreds of kilometers as a proxy for the strength of the drag-decay environment, and a post-2020 indicator marking the cost-internalizing regime era documented in the ESA Space Environment Report</w:t>
      </w:r>
      <w:r>
        <w:t xml:space="preserve"> </w:t>
      </w:r>
      <w:hyperlink w:anchor="ref-14">
        <w:r>
          <w:rPr>
            <w:rStyle w:val="Hyperlink"/>
          </w:rPr>
          <w:t xml:space="preserve">[14]</w:t>
        </w:r>
      </w:hyperlink>
      <w:r>
        <w:t xml:space="preserve"> </w:t>
      </w:r>
      <w:r>
        <w:t xml:space="preserve">and codified by the Federal Communications Commission Second Report and Order</w:t>
      </w:r>
      <w:r>
        <w:t xml:space="preserve"> </w:t>
      </w:r>
      <w:hyperlink w:anchor="ref-12">
        <w:r>
          <w:rPr>
            <w:rStyle w:val="Hyperlink"/>
          </w:rPr>
          <w:t xml:space="preserve">[12]</w:t>
        </w:r>
      </w:hyperlink>
      <w:r>
        <w:t xml:space="preserve">.</w:t>
      </w:r>
    </w:p>
    <w:p>
      <w:pPr>
        <w:pStyle w:val="BodyText"/>
        <w:spacing w:line="480" w:lineRule="auto"/>
        <w:ind w:firstLine="720"/>
      </w:pPr>
      <w:r>
        <w:t xml:space="preserve">Here the estimating equation models the probability of disposal success as the logistic transform of a linear index in the three predictors. I report coefficients on the log-odds scale with odds ratios, robust z-statistics, and ninety-five percent confidence intervals. The parameter of interest is the coefficient on the post-2020 indicator, which carries the test of whether the regime shift toward cost internalization moves disposal behavior beyond what capability and altitude explain. A quasi-complete-separation diagnostic on the large-constellation indicator forces it out of the estimated specification at this sample size, and I record that exclusion as a limit on what the object-level estimator can resolve. The second companion paper reports a capability coefficient near 4.91 with a robust standard error near 1.59 and a post-2020 coefficient near 1.61 with a robust standard error near 1.56, the regime term positive and large in point estimate but with an interval that crosses zero.</w:t>
      </w:r>
    </w:p>
    <w:bookmarkEnd w:id="96"/>
    <w:bookmarkStart w:id="97" w:name="the-operator-year-panel-estimator"/>
    <w:p>
      <w:pPr>
        <w:pStyle w:val="Heading3"/>
        <w:spacing w:line="480" w:lineRule="auto"/>
      </w:pPr>
      <w:r>
        <w:t xml:space="preserve">5.2.3 The Operator-Year Panel Estimator</w:t>
      </w:r>
    </w:p>
    <w:p>
      <w:pPr>
        <w:pStyle w:val="FirstParagraph"/>
        <w:spacing w:line="480" w:lineRule="auto"/>
      </w:pPr>
      <w:r>
        <w:t xml:space="preserve">The third estimator is the workhorse of the dissertation’s identification claim. It pools operator-year observations of disposal outcomes over the period the ESA report covers and the regime transition spans, regressing the operator-year disposal rate on the binding-regime indicator while absorbing operator and year fixed effects</w:t>
      </w:r>
      <w:r>
        <w:t xml:space="preserve"> </w:t>
      </w:r>
      <w:hyperlink w:anchor="ref-11">
        <w:r>
          <w:rPr>
            <w:rStyle w:val="Hyperlink"/>
          </w:rPr>
          <w:t xml:space="preserve">[11]</w:t>
        </w:r>
      </w:hyperlink>
      <w:r>
        <w:t xml:space="preserve">. The estimating equation is a two-way fixed-effects linear probability model in its base specification, with a logit fixed-effects specification reported as a robustness check. Standard errors are clustered at the operator level to allow arbitrary within-operator serial correlation across years.</w:t>
      </w:r>
    </w:p>
    <w:p>
      <w:pPr>
        <w:pStyle w:val="BodyText"/>
        <w:spacing w:line="480" w:lineRule="auto"/>
        <w:ind w:firstLine="720"/>
      </w:pPr>
      <w:r>
        <w:t xml:space="preserve">Here the discriminating parameter is the within-operator coefficient on the binding-regime indicator, and identifying it does not rest on cross-operator comparisons. The operator fixed effects absorb every time-invariant operator characteristic, including average capability, organizational culture, and home-state propensity. What remains is variation within an operator across years in whether its end-of-life events fall under a binding regime. Where a transition occurs, the estimator reads the within-operator change in disposal rate against the contemporaneous change in the regime indicator, conditional on the year fixed effects that absorb common time shocks hitting all operators at once. This is the difference-in-differences contrast the prospectus reserved for the dissertation’s central test.</w:t>
      </w:r>
    </w:p>
    <w:bookmarkEnd w:id="97"/>
    <w:bookmarkEnd w:id="98"/>
    <w:bookmarkStart w:id="102" w:name="identification-strategy"/>
    <w:p>
      <w:pPr>
        <w:pStyle w:val="Heading2"/>
        <w:spacing w:line="480" w:lineRule="auto"/>
      </w:pPr>
      <w:r>
        <w:t xml:space="preserve">5.3 Identification Strategy</w:t>
      </w:r>
    </w:p>
    <w:bookmarkStart w:id="99" w:name="the-source-of-identifying-variation"/>
    <w:p>
      <w:pPr>
        <w:pStyle w:val="Heading3"/>
        <w:spacing w:line="480" w:lineRule="auto"/>
      </w:pPr>
      <w:r>
        <w:t xml:space="preserve">5.3.1 The Source of Identifying Variation</w:t>
      </w:r>
    </w:p>
    <w:p>
      <w:pPr>
        <w:pStyle w:val="FirstParagraph"/>
        <w:spacing w:line="480" w:lineRule="auto"/>
      </w:pPr>
      <w:r>
        <w:t xml:space="preserve">Raw cross-sectional differences in disposal compliance cannot identify the collective-action mechanism, because the same forces that shape capability also shape benefit share and regime exposure. I exploit three sources of variation instead.</w:t>
      </w:r>
    </w:p>
    <w:p>
      <w:pPr>
        <w:pStyle w:val="BodyText"/>
        <w:spacing w:line="480" w:lineRule="auto"/>
        <w:ind w:firstLine="720"/>
      </w:pPr>
      <w:r>
        <w:t xml:space="preserve">First is within-operator variation across regulatory regimes. A single operator that conducts end-of-life events both before and after a binding domestic regime change, or that flies payloads under multiple licensing jurisdictions with differing disposal enforcement, gives a clean within-operator contrast in which capability is held fixed by construction. The regime change shifts the internalized cost without changing the engineering means available to the operator. Assume capability does not adjust within the relevant operator-year window in response to the regime change, and the within-operator regime coefficient identifies the internalization effect free of the capability confound. That assumption is itself testable, by examining whether subsequent capability investments correlate with regime transitions, and that test is reported as a robustness diagnostic in Chapter 6.</w:t>
      </w:r>
    </w:p>
    <w:p>
      <w:pPr>
        <w:pStyle w:val="BodyText"/>
        <w:spacing w:line="480" w:lineRule="auto"/>
        <w:ind w:firstLine="720"/>
      </w:pPr>
      <w:r>
        <w:t xml:space="preserve">Second is cross-operator variation in own-versus-shared collision exposure. The model-derived private benefit share rises with own-constellation size and own-orbit occupancy, generating predicted compliance differences across operators even within a common capability stratum. Where two operators with similar capability profiles differ sharply in own-constellation footprint, their compliance rates discriminate the free-rider channel directly. This is the variation the first companion paper exploited, and on which it found no signal, and I treat that null as a constraint on how much weight cross-operator benefit-share variation can carry in the final inference.</w:t>
      </w:r>
    </w:p>
    <w:p>
      <w:pPr>
        <w:pStyle w:val="BodyText"/>
        <w:spacing w:line="480" w:lineRule="auto"/>
        <w:ind w:firstLine="720"/>
      </w:pPr>
      <w:r>
        <w:t xml:space="preserve">Third is the temporal regime transition itself, used at the object level. Events under the strict post-2020 disposal regime are compared with otherwise similar pre-2020 events, capability and altitude controlled. I treat the regime transition as exogenous to any single operator’s planning horizon, because the rule changes were imposed by national authorities rather than chosen by the regulated entities, and because the timing of the transition follows political and administrative calendars external to operator-level disposal decisions.</w:t>
      </w:r>
    </w:p>
    <w:bookmarkEnd w:id="99"/>
    <w:bookmarkStart w:id="100" w:name="the-capability-conditioning-logic"/>
    <w:p>
      <w:pPr>
        <w:pStyle w:val="Heading3"/>
        <w:spacing w:line="480" w:lineRule="auto"/>
      </w:pPr>
      <w:r>
        <w:t xml:space="preserve">5.3.2 The Capability Conditioning Logic</w:t>
      </w:r>
    </w:p>
    <w:p>
      <w:pPr>
        <w:pStyle w:val="FirstParagraph"/>
        <w:spacing w:line="480" w:lineRule="auto"/>
      </w:pPr>
      <w:r>
        <w:t xml:space="preserve">The collective-action account never claims capability is irrelevant. It claims capability operates as the proximate channel through which incentives act, because the decision to design in and reserve a disposal capability is made years before end of life under the cost structure the operator anticipates</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 So the identification strategy is not to strip capability out of the inference but to net it out at the moment of disposal and read what remains. Where the within-operator regime coefficient survives capability conditioning, the inference is that the regime moves disposal on a margin capability cannot account for, which supports the internalization claim. Where it does not survive, the inference is that capability has already absorbed the regime’s effect, itself consistent with capability operating as the channel rather than a competing cause, and the data are left unable to discriminate the two accounts at this layer.</w:t>
      </w:r>
    </w:p>
    <w:bookmarkEnd w:id="100"/>
    <w:bookmarkStart w:id="101" w:name="the-measurement-error-correction"/>
    <w:p>
      <w:pPr>
        <w:pStyle w:val="Heading3"/>
        <w:spacing w:line="480" w:lineRule="auto"/>
      </w:pPr>
      <w:r>
        <w:t xml:space="preserve">5.3.3 The Measurement-Error Correction</w:t>
      </w:r>
    </w:p>
    <w:p>
      <w:pPr>
        <w:pStyle w:val="FirstParagraph"/>
        <w:spacing w:line="480" w:lineRule="auto"/>
      </w:pPr>
      <w:r>
        <w:t xml:space="preserve">A documented source of measurement error afflicts the dependent variable. Attempted disposals can be miscoded as failures because the remaining orbital lifetime after the maneuver is uncertain, and an analyst who observes only the eventual outcome cannot always tell a failed maneuver from a successful maneuver whose decay simply runs longer than expected</w:t>
      </w:r>
      <w:r>
        <w:t xml:space="preserve"> </w:t>
      </w:r>
      <w:hyperlink w:anchor="ref-5">
        <w:r>
          <w:rPr>
            <w:rStyle w:val="Hyperlink"/>
          </w:rPr>
          <w:t xml:space="preserve">[5]</w:t>
        </w:r>
      </w:hyperlink>
      <w:r>
        <w:t xml:space="preserve">. The chapter addresses this two ways. The operator-cohort and object-level estimators are reported in both their confirmed-disposal and attempted-disposal codings, so the sensitivity of the parameter of interest to the coding choice is visible. And the panel estimator carries a remaining-lifetime uncertainty correction following the bounds developed by Ayala Fernández and colleagues</w:t>
      </w:r>
      <w:r>
        <w:t xml:space="preserve"> </w:t>
      </w:r>
      <w:hyperlink w:anchor="ref-5">
        <w:r>
          <w:rPr>
            <w:rStyle w:val="Hyperlink"/>
          </w:rPr>
          <w:t xml:space="preserve">[5]</w:t>
        </w:r>
      </w:hyperlink>
      <w:r>
        <w:t xml:space="preserve">, in which an attempted disposal whose remaining lifetime falls inside the uncertainty band of the compliance threshold is coded probabilistically rather than discretely. The correction reduces the systematic understatement of compliance that arises when the confirmed-disposal coding is applied to the most ambiguous cases.</w:t>
      </w:r>
    </w:p>
    <w:bookmarkEnd w:id="101"/>
    <w:bookmarkEnd w:id="102"/>
    <w:bookmarkStart w:id="109" w:name="threats-to-validity-and-their-bounding"/>
    <w:p>
      <w:pPr>
        <w:pStyle w:val="Heading2"/>
        <w:spacing w:line="480" w:lineRule="auto"/>
      </w:pPr>
      <w:r>
        <w:t xml:space="preserve">5.4 Threats to Validity and Their Bounding</w:t>
      </w:r>
    </w:p>
    <w:bookmarkStart w:id="103" w:name="capability-and-exposure-confounding"/>
    <w:p>
      <w:pPr>
        <w:pStyle w:val="Heading3"/>
        <w:spacing w:line="480" w:lineRule="auto"/>
      </w:pPr>
      <w:r>
        <w:t xml:space="preserve">5.4.1 Capability and Exposure Confounding</w:t>
      </w:r>
    </w:p>
    <w:p>
      <w:pPr>
        <w:pStyle w:val="FirstParagraph"/>
        <w:spacing w:line="480" w:lineRule="auto"/>
      </w:pPr>
      <w:r>
        <w:t xml:space="preserve">The first threat is the confounding of capability and benefit share the prospectus flagged. Large constellation operators tend at once to have built greater engineering capability and to capture a larger private share of their own collision benefit. A cross-sectional partial coefficient on benefit share is then identified off the residual variation that survives capability conditioning, which is limited. The bound is the within-operator regime difference-in-differences, which holds capability fixed by construction and re-estimates the regime effect off the temporal regime variation alone. Where that within-operator estimate is consistent in sign and order of magnitude with the cross-sectional benefit-share estimate, the confounding reading of the cross-sectional null is strengthened; where the two diverge, the divergence itself is reported as evidence about where the binding identification constraint sits.</w:t>
      </w:r>
    </w:p>
    <w:bookmarkEnd w:id="103"/>
    <w:bookmarkStart w:id="104" w:name="X7931169b0654705e8332bd5f9b25342c06ff955"/>
    <w:p>
      <w:pPr>
        <w:pStyle w:val="Heading3"/>
        <w:spacing w:line="480" w:lineRule="auto"/>
      </w:pPr>
      <w:r>
        <w:t xml:space="preserve">5.4.2 Measurement Error in the Dependent Variable</w:t>
      </w:r>
    </w:p>
    <w:p>
      <w:pPr>
        <w:pStyle w:val="FirstParagraph"/>
        <w:spacing w:line="480" w:lineRule="auto"/>
      </w:pPr>
      <w:r>
        <w:t xml:space="preserve">The second threat is the systematic miscoding of attempted disposals with uncertain remaining lifetime</w:t>
      </w:r>
      <w:r>
        <w:t xml:space="preserve"> </w:t>
      </w:r>
      <w:hyperlink w:anchor="ref-5">
        <w:r>
          <w:rPr>
            <w:rStyle w:val="Hyperlink"/>
          </w:rPr>
          <w:t xml:space="preserve">[5]</w:t>
        </w:r>
      </w:hyperlink>
      <w:r>
        <w:t xml:space="preserve">. The bound is the dual-coding sensitivity reported throughout, together with the probabilistic correction of Section 5.3.3. Classical measurement error in the dependent variable biases coefficients toward zero, so a positive and distinguishable regime coefficient under the confirmed-disposal coding is a conservative reading, and the corrected coding is reported alongside as a sharper test rather than a more permissive one.</w:t>
      </w:r>
    </w:p>
    <w:bookmarkEnd w:id="104"/>
    <w:bookmarkStart w:id="105" w:name="selection-into-regimes"/>
    <w:p>
      <w:pPr>
        <w:pStyle w:val="Heading3"/>
        <w:spacing w:line="480" w:lineRule="auto"/>
      </w:pPr>
      <w:r>
        <w:t xml:space="preserve">5.4.3 Selection into Regimes</w:t>
      </w:r>
    </w:p>
    <w:p>
      <w:pPr>
        <w:pStyle w:val="FirstParagraph"/>
        <w:spacing w:line="480" w:lineRule="auto"/>
      </w:pPr>
      <w:r>
        <w:t xml:space="preserve">The third threat is endogenous selection of operators into permissive jurisdictions, a flag-of-convenience pattern that would make the binding-regime indicator partly a sorting variable rather than a treatment. Three defenses apply. The panel specification absorbs all time-invariant operator characteristics through operator fixed effects, so the regime coefficient is identified off within-operator transitions rather than the steady-state cross-section of licensing choice. An instrument based on operator nationality predating the constellation decision serves as a robustness check on the within-operator estimate, exploiting the fact that an operator’s home-state regulatory exposure at incorporation is largely predetermined relative to the disposal events it later conducts. And the negative cross-sectional regime coefficient reported in the first companion paper reads as itself diagnostic: it most plausibly reflects that binding regimes such as the five-year rule apply to the demanding lower-altitude cohorts, so the cross-sectional regime indicator partly marks the difficulty of the task it governs, a confound the within-operator estimator removes by construction.</w:t>
      </w:r>
    </w:p>
    <w:bookmarkEnd w:id="105"/>
    <w:bookmarkStart w:id="106" w:name="Xd2174e864bef6f83a292d50f593e2c12a7e0037"/>
    <w:p>
      <w:pPr>
        <w:pStyle w:val="Heading3"/>
        <w:spacing w:line="480" w:lineRule="auto"/>
      </w:pPr>
      <w:r>
        <w:t xml:space="preserve">5.4.4 Construct Validity of the Exposure Measure</w:t>
      </w:r>
    </w:p>
    <w:p>
      <w:pPr>
        <w:pStyle w:val="FirstParagraph"/>
        <w:spacing w:line="480" w:lineRule="auto"/>
      </w:pPr>
      <w:r>
        <w:t xml:space="preserve">A fourth threat is the construct validity of the private benefit share itself, a model-derived rather than an observed quantity. Its bound is the qualitative case strand, a structured comparison of operators selected on the regime margin, used specifically to verify that the constructed benefit-share values track the decision logic operators actually report when interviewed or when their public filings are read against the constructed measure. Where the qualitative evidence and the constructed measure diverge for a given case, the divergence is reported and the case is treated as a marker of construct slippage rather than confirming evidence.</w:t>
      </w:r>
    </w:p>
    <w:bookmarkEnd w:id="106"/>
    <w:bookmarkStart w:id="107" w:name="external-validity"/>
    <w:p>
      <w:pPr>
        <w:pStyle w:val="Heading3"/>
        <w:spacing w:line="480" w:lineRule="auto"/>
      </w:pPr>
      <w:r>
        <w:t xml:space="preserve">5.4.5 External Validity</w:t>
      </w:r>
    </w:p>
    <w:p>
      <w:pPr>
        <w:pStyle w:val="FirstParagraph"/>
        <w:spacing w:line="480" w:lineRule="auto"/>
      </w:pPr>
      <w:r>
        <w:t xml:space="preserve">A fifth threat is the limited external validity of estimates drawn from low Earth orbit disposal to other regimes and to the rating-sufficiency claim</w:t>
      </w:r>
      <w:r>
        <w:t xml:space="preserve"> </w:t>
      </w:r>
      <w:hyperlink w:anchor="ref-2">
        <w:r>
          <w:rPr>
            <w:rStyle w:val="Hyperlink"/>
          </w:rPr>
          <w:t xml:space="preserve">[2]</w:t>
        </w:r>
      </w:hyperlink>
      <w:r>
        <w:t xml:space="preserve">. This chapter confines its policy claim to the low Earth orbit disposal margin and treats any extension to cislunar, geosynchronous, or other regimes as outside the identified domain of the estimator. The implication that voluntary, reputation-based instruments are structurally insufficient is treated as a tested inference from a sustained H1, conditional on the within-operator regime estimate carrying explanatory weight, and not as an independent estimate of how a rating scheme would perform.</w:t>
      </w:r>
    </w:p>
    <w:bookmarkEnd w:id="107"/>
    <w:bookmarkStart w:id="108" w:name="Xe7341033899d7742d88103ebc95fafa48615889"/>
    <w:p>
      <w:pPr>
        <w:pStyle w:val="Heading3"/>
        <w:spacing w:line="480" w:lineRule="auto"/>
      </w:pPr>
      <w:r>
        <w:t xml:space="preserve">5.4.6 Quasi-Complete Separation and Sample Size</w:t>
      </w:r>
    </w:p>
    <w:p>
      <w:pPr>
        <w:pStyle w:val="FirstParagraph"/>
        <w:spacing w:line="480" w:lineRule="auto"/>
      </w:pPr>
      <w:r>
        <w:t xml:space="preserve">A sixth threat, surfaced by the object-level logit estimator, is quasi-complete separation between the large-constellation indicator and the regime-era indicator, which forces the former out of the specification and leaves the latter estimated with a wide interval. Its bound is the operator-year panel, whose larger sample size and within-operator identification break the separation the cross-section of thirty-four events cannot. The panel is the load-bearing test, with the cross-sectional and object-level estimators serving as benchmarks the panel result is read against.</w:t>
      </w:r>
    </w:p>
    <w:bookmarkEnd w:id="108"/>
    <w:bookmarkEnd w:id="109"/>
    <w:bookmarkStart w:id="110" w:name="summary-1"/>
    <w:p>
      <w:pPr>
        <w:pStyle w:val="Heading2"/>
        <w:spacing w:line="480" w:lineRule="auto"/>
      </w:pPr>
      <w:r>
        <w:t xml:space="preserve">5.5 Summary</w:t>
      </w:r>
    </w:p>
    <w:p>
      <w:pPr>
        <w:pStyle w:val="FirstParagraph"/>
        <w:spacing w:line="480" w:lineRule="auto"/>
      </w:pPr>
      <w:r>
        <w:t xml:space="preserve">Three estimators are deployed at three levels of aggregation. The operator-cohort ordinary least squares specification benchmarks the cross-sectional weight of capability and gives the first, deliberately weak test of the benefit-share channel. The object-level logit tests the regime-era effect on a row-level disposal record and surfaces the separation problem that constrains its precision. The operator-year two-way fixed-effects panel delivers the difference-in-differences contrast the prospectus reserved as the dissertation’s central identification claim, holding capability fixed by construction and reading the within-operator regime coefficient as the test of cost internalization. Six threats to validity are enumerated and bounded, four by design choices internal to the estimation, one by a qualitative case strand, and one by the panel itself. The chapter that follows applies these estimators to the data of Chapter 4 and reports the parameter on which the discrimination between the capability and collective-action accounts turns.</w:t>
      </w:r>
    </w:p>
    <w:bookmarkEnd w:id="110"/>
    <w:bookmarkEnd w:id="111"/>
    <w:bookmarkStart w:id="128" w:name="chapter-6.-results"/>
    <w:p>
      <w:pPr>
        <w:pStyle w:val="Heading1"/>
        <w:spacing w:line="480" w:lineRule="auto"/>
      </w:pPr>
      <w:r>
        <w:t xml:space="preserve">Chapter 6. Results</w:t>
      </w:r>
    </w:p>
    <w:p>
      <w:pPr>
        <w:pStyle w:val="FirstParagraph"/>
        <w:spacing w:line="480" w:lineRule="auto"/>
      </w:pPr>
      <w:r>
        <w:t xml:space="preserve">This chapter presents the estimated findings of the two empirical papers that make up the quantitative core of the dissertation. The prospectus argued, and the theoretical chapters restated, that the post-mission disposal gap in low Earth orbit reads two ways. The capability and salience account treats the gap as a technical and informational problem and predicts that, once disposal capability is held fixed, no further behavioral variable carries explanatory weight</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collective-action account, drawn from the open-access commons framing of orbit use, predicts that operators capturing a larger private share of the disposal benefit, or facing a binding cost-internalizing regime, dispose at higher rates net of capability</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Paper 1 estimates an operator-cohort cross-section using ordinary least squares with heteroskedasticity-robust standard errors; Paper 2 estimates an object-level logistic regression of the binary disposal outcome over thirty-four documented end-of-life events. I report the actual coefficients, standard errors, p-values, and fit statistics the configured estimators return, then read each finding against the falsification criterion the dissertation set itself.</w:t>
      </w:r>
    </w:p>
    <w:p>
      <w:pPr>
        <w:pStyle w:val="BodyText"/>
        <w:spacing w:line="480" w:lineRule="auto"/>
        <w:ind w:firstLine="720"/>
      </w:pPr>
      <w:r>
        <w:t xml:space="preserve">The full estimating equations, regression tables, derived effect-size calculations, and the underlying coded datasets appear in Appendix A, referenced rather than reproduced here. What follows is interpretive. It asks what the estimated numbers say about the two competing accounts and where the boundaries of that inference lie.</w:t>
      </w:r>
    </w:p>
    <w:bookmarkStart w:id="118" w:name="Xbfa0dbde695df985fac2c897faa4c6c067b6052"/>
    <w:p>
      <w:pPr>
        <w:pStyle w:val="Heading2"/>
        <w:spacing w:line="480" w:lineRule="auto"/>
      </w:pPr>
      <w:r>
        <w:t xml:space="preserve">6.1 Paper 1: The Operator-Cohort Cross-Section</w:t>
      </w:r>
    </w:p>
    <w:bookmarkStart w:id="112" w:name="specification-and-sample"/>
    <w:p>
      <w:pPr>
        <w:pStyle w:val="Heading3"/>
        <w:spacing w:line="480" w:lineRule="auto"/>
      </w:pPr>
      <w:r>
        <w:t xml:space="preserve">6.1.1 Specification and Sample</w:t>
      </w:r>
    </w:p>
    <w:p>
      <w:pPr>
        <w:pStyle w:val="FirstParagraph"/>
        <w:spacing w:line="480" w:lineRule="auto"/>
      </w:pPr>
      <w:r>
        <w:t xml:space="preserve">The first paper regresses an operator-cohort’s documented post-mission disposal compliance share on three predictors operationalizing the competing accounts: a technical disposal-capability index, a private-benefit-share measure capturing the operator’s collective-action position, and an indicator for whether the cohort is governed by a binding national cost-internalizing disposal regime such as the post-2022 Federal Communications Commission five-year deorbit rule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Twenty-eight operator-cohorts were compiled from the ESA Annual Space Environment Report editions of 2024 and 2025, supplemented by the historical compliance series of Pardini and Anselmo</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and from the FCC’s Second Report and Order on orbital debris mitigation</w:t>
      </w:r>
      <w:r>
        <w:t xml:space="preserve"> </w:t>
      </w:r>
      <w:hyperlink w:anchor="ref-12">
        <w:r>
          <w:rPr>
            <w:rStyle w:val="Hyperlink"/>
          </w:rPr>
          <w:t xml:space="preserve">[12]</w:t>
        </w:r>
      </w:hyperlink>
      <w:r>
        <w:t xml:space="preserve">. The estimator is ordinary least squares with heteroskedasticity-robust HC1 standard errors. This is the specification most generous to the collective-action account: the private-benefit-share variable enters alongside capability, so any partial weight it carries net of capability is identified directly as its partial coefficient.</w:t>
      </w:r>
    </w:p>
    <w:bookmarkEnd w:id="112"/>
    <w:bookmarkStart w:id="113" w:name="model-fit"/>
    <w:p>
      <w:pPr>
        <w:pStyle w:val="Heading3"/>
        <w:spacing w:line="480" w:lineRule="auto"/>
      </w:pPr>
      <w:r>
        <w:t xml:space="preserve">6.1.2 Model Fit</w:t>
      </w:r>
    </w:p>
    <w:p>
      <w:pPr>
        <w:pStyle w:val="FirstParagraph"/>
        <w:spacing w:line="480" w:lineRule="auto"/>
      </w:pPr>
      <w:r>
        <w:t xml:space="preserve">For a behavioral specification with three predictors on twenty-eight observations, the model fits the cross-section materially well. The coefficient of determination is 0.5744 with an adjusted value of 0.5212, so roughly fifty-seven percent of the variation in cohort disposal compliance is accounted for, and the adjustment for degrees of freedom keeps the substance of that explanation</w:t>
      </w:r>
      <w:r>
        <w:t xml:space="preserve"> </w:t>
      </w:r>
      <w:hyperlink w:anchor="ref-4">
        <w:r>
          <w:rPr>
            <w:rStyle w:val="Hyperlink"/>
          </w:rPr>
          <w:t xml:space="preserve">[4]</w:t>
        </w:r>
      </w:hyperlink>
      <w:r>
        <w:t xml:space="preserve">. The joint null that the three predictors carry no information is rejected decisively: the model F-statistic is 13.806 with an associated p-value of 1.948 times ten to the minus five. Taken in the aggregate, the specification has real traction over the observed cross-section. That is the first thing the data settle. The disposal record across operator-cohorts is not random with respect to the variables the two accounts privilege, and a regression on capability, exposure, and regime captures most of what there is to capture in this sample.</w:t>
      </w:r>
    </w:p>
    <w:bookmarkEnd w:id="113"/>
    <w:bookmarkStart w:id="114" w:name="the-capability-channel"/>
    <w:p>
      <w:pPr>
        <w:pStyle w:val="Heading3"/>
        <w:spacing w:line="480" w:lineRule="auto"/>
      </w:pPr>
      <w:r>
        <w:t xml:space="preserve">6.1.3 The Capability Channel</w:t>
      </w:r>
    </w:p>
    <w:p>
      <w:pPr>
        <w:pStyle w:val="FirstParagraph"/>
        <w:spacing w:line="480" w:lineRule="auto"/>
      </w:pPr>
      <w:r>
        <w:t xml:space="preserve">What dominates the estimated model is the capability coefficient, which the configured ordinary-least-squares procedure returns at 0.8298 with a heteroskedasticity-robust standard error of 0.1374, for a p-value rounded to 0.0000 in the reported precision. The estimate is sharply identified and is the single largest term in the model in both magnitude and statistical weight. Read on the natural scale of the dependent variable, an operator-cohort moving from the lowest to the highest value of the capability index carries an expected disposal-compliance share roughly 0.83 higher, which in disposal terms is the distance between a cohort that almost never clears the protected region and one that almost always does. The intercept of 0.2162, with a robust standard error of 0.0879 and a p-value of 0.0139, fixes the cohort baseline below one-quarter compliance once the predictors are set to their reference values, and the capability slope drives the fitted compliance share through the rest of the observed range.</w:t>
      </w:r>
    </w:p>
    <w:p>
      <w:pPr>
        <w:pStyle w:val="BodyText"/>
        <w:spacing w:line="480" w:lineRule="auto"/>
        <w:ind w:firstLine="720"/>
      </w:pPr>
      <w:r>
        <w:t xml:space="preserve">For the capability account the implication is straightforward and supportive. Disposal capability, operationalized as manoeuvre and propulsion capacity combined with natural-decay favourability, does the heavy lifting in this cross-section. Read it as engineering or as design-for-disposal, the channel through which the cross-section organizes itself is technical. That squares with the engineering literature’s treatment of disposal as a design and operations problem</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and it squares with the prior the mitigation guidelines have rested on: the operator who can dispose, does</w:t>
      </w:r>
      <w:r>
        <w:t xml:space="preserve"> </w:t>
      </w:r>
      <w:hyperlink w:anchor="ref-3">
        <w:r>
          <w:rPr>
            <w:rStyle w:val="Hyperlink"/>
          </w:rPr>
          <w:t xml:space="preserve">[3]</w:t>
        </w:r>
      </w:hyperlink>
      <w:r>
        <w:t xml:space="preserve">.</w:t>
      </w:r>
    </w:p>
    <w:bookmarkEnd w:id="114"/>
    <w:bookmarkStart w:id="115" w:name="the-free-rider-channel"/>
    <w:p>
      <w:pPr>
        <w:pStyle w:val="Heading3"/>
        <w:spacing w:line="480" w:lineRule="auto"/>
      </w:pPr>
      <w:r>
        <w:t xml:space="preserve">6.1.4 The Free-Rider Channel</w:t>
      </w:r>
    </w:p>
    <w:p>
      <w:pPr>
        <w:pStyle w:val="FirstParagraph"/>
        <w:spacing w:line="480" w:lineRule="auto"/>
      </w:pPr>
      <w:r>
        <w:t xml:space="preserve">Everything turns on the private-benefit-share term, the discriminating coefficient the falsification criterion of H1 rests on. The estimator returns a coefficient of -0.0629 with a robust standard error of 0.1301 and a p-value of 0.6286. By any conventional threshold the estimate is statistically indistinguishable from zero, and in point estimate it is faintly signed against the free-rider prediction. The ninety-five percent confidence interval implied by the standard error runs roughly from -0.32 to +0.19 and brackets zero comfortably. Under the falsification rule stated in Chapter 3 and reiterated in the prospectus, this is a failure to reject H0 on the collective-action coefficient. Hold technical capability fixed and the constructed measure of an operator’s private benefit share carries no independent explanatory weight for the observed disposal-compliance share.</w:t>
      </w:r>
    </w:p>
    <w:p>
      <w:pPr>
        <w:pStyle w:val="BodyText"/>
        <w:spacing w:line="480" w:lineRule="auto"/>
        <w:ind w:firstLine="720"/>
      </w:pPr>
      <w:r>
        <w:t xml:space="preserve">Two readings of the null are available, and they are not mutually exclusive. The first takes the estimate at face value. On the compiled cohort cross-section, what predicts who disposes is whether the cohort can dispose, not where the cohort sits in the collective-action structure once capability has been netted out. If that reading is correct, then for policy the message is that voluntary, reputation-based instruments</w:t>
      </w:r>
      <w:r>
        <w:t xml:space="preserve"> </w:t>
      </w:r>
      <w:hyperlink w:anchor="ref-2">
        <w:r>
          <w:rPr>
            <w:rStyle w:val="Hyperlink"/>
          </w:rPr>
          <w:t xml:space="preserve">[2]</w:t>
        </w:r>
      </w:hyperlink>
      <w:r>
        <w:t xml:space="preserve"> </w:t>
      </w:r>
      <w:r>
        <w:t xml:space="preserve">will move disposal behavior only insofar as they move capability investment, and the immediate margin for closing the gap is the design-for-disposal margin: propulsion and manoeuvre requirements, demisability mandates, and natural-decay-favourable orbit assignment.</w:t>
      </w:r>
    </w:p>
    <w:p>
      <w:pPr>
        <w:pStyle w:val="BodyText"/>
        <w:spacing w:line="480" w:lineRule="auto"/>
        <w:ind w:firstLine="720"/>
      </w:pPr>
      <w:r>
        <w:t xml:space="preserve">The second reading is methodological. The capability index and the private-benefit-share measure are not orthogonal in the population the cohorts are drawn from. The same operators that built large, manoeuvrable constellations both can dispose, in the technical sense, and capture much of the private benefit of disposing, in the collective-action sense. So the partial coefficient on private benefit share is estimated off the residual variation that survives after capability has absorbed the shared component, and on twenty-eight observations that residual variation is limited. Read honestly, the cross-section cannot separate the two channels cleanly enough to convict the collective-action account, and the burden of identification falls to the within-operator regime contrast the dissertation reserves for the panel design and for the qualitative case strand. The null estimated here should be read as a failure to detect a free-rider signature in the cross-section, not as a refutation of the collective-action mechanism in the population</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p>
    <w:bookmarkEnd w:id="115"/>
    <w:bookmarkStart w:id="116" w:name="the-regime-indicator"/>
    <w:p>
      <w:pPr>
        <w:pStyle w:val="Heading3"/>
        <w:spacing w:line="480" w:lineRule="auto"/>
      </w:pPr>
      <w:r>
        <w:t xml:space="preserve">6.1.5 The Regime Indicator</w:t>
      </w:r>
    </w:p>
    <w:p>
      <w:pPr>
        <w:pStyle w:val="FirstParagraph"/>
        <w:spacing w:line="480" w:lineRule="auto"/>
      </w:pPr>
      <w:r>
        <w:t xml:space="preserve">A third predictor, the indicator for a binding cost-internalizing disposal regime, enters at -0.1571 with a robust standard error of 0.0747 and a p-value of 0.0355. The coefficient is statistically distinguishable from zero at conventional thresholds and is negatively signed, which on a naive enforcement reading would be perverse: a binding regime associated with lower observed compliance, not higher. The naive reading is the wrong one. Binding regimes such as the FCC five-year rule</w:t>
      </w:r>
      <w:r>
        <w:t xml:space="preserve"> </w:t>
      </w:r>
      <w:hyperlink w:anchor="ref-12">
        <w:r>
          <w:rPr>
            <w:rStyle w:val="Hyperlink"/>
          </w:rPr>
          <w:t xml:space="preserve">[12]</w:t>
        </w:r>
      </w:hyperlink>
      <w:r>
        <w:t xml:space="preserve"> </w:t>
      </w:r>
      <w:r>
        <w:t xml:space="preserve">apply to precisely the demanding, lower-altitude, harder-to-clear cohorts on which the bar has been set highest in the modern era, so the indicator partly marks the difficulty of the disposal task it governs rather than the deterrent power of the rule. The point estimate is consistent with confounding between the regime variable and the structural difficulty of the cohort, exactly the confounding the prospectus flagged as a threat to validity and exactly the kind within-operator regime variation is designed to break. The narrow lesson is that raw compliance differences across jurisdictions cannot be read as enforcement effects when regime and task difficulty are bundled together, a caution the rating-and-metric literature has not consistently observed</w:t>
      </w:r>
      <w:r>
        <w:t xml:space="preserve"> </w:t>
      </w:r>
      <w:hyperlink w:anchor="ref-2">
        <w:r>
          <w:rPr>
            <w:rStyle w:val="Hyperlink"/>
          </w:rPr>
          <w:t xml:space="preserve">[2]</w:t>
        </w:r>
      </w:hyperlink>
      <w:r>
        <w:t xml:space="preserve">,</w:t>
      </w:r>
      <w:r>
        <w:t xml:space="preserve"> </w:t>
      </w:r>
      <w:hyperlink w:anchor="ref-13">
        <w:r>
          <w:rPr>
            <w:rStyle w:val="Hyperlink"/>
          </w:rPr>
          <w:t xml:space="preserve">[13]</w:t>
        </w:r>
      </w:hyperlink>
      <w:r>
        <w:t xml:space="preserve">.</w:t>
      </w:r>
    </w:p>
    <w:bookmarkEnd w:id="116"/>
    <w:bookmarkStart w:id="117" w:name="synthesis-for-paper-1"/>
    <w:p>
      <w:pPr>
        <w:pStyle w:val="Heading3"/>
        <w:spacing w:line="480" w:lineRule="auto"/>
      </w:pPr>
      <w:r>
        <w:t xml:space="preserve">6.1.6 Synthesis for Paper 1</w:t>
      </w:r>
    </w:p>
    <w:p>
      <w:pPr>
        <w:pStyle w:val="FirstParagraph"/>
        <w:spacing w:line="480" w:lineRule="auto"/>
      </w:pPr>
      <w:r>
        <w:t xml:space="preserve">The cross-section returns a model that fits well, a capability channel that dominates and is sharply identified, a free-rider channel that does not survive conditioning on capability, and a regime indicator whose negative sign is best read as task-difficulty confounding rather than a behavioral effect of regulation. On the falsification criterion the paper set itself, the null on the collective-action coefficient is not rejected. So the paper reports, against its own preferred hypothesis, that the cross-sectional pattern of post-mission disposal in the compiled operator-cohort sample is governed by technical capability and not by the constructed measure of free-rider position once capability is netted out. The paper does not license the converse conclusion that the collective-action mechanism is absent in the population. What it licenses is the narrower conclusion that the mechanism does not announce itself in this cross-section, and that the search for its empirical face has to proceed through within-operator variation that holds capability fixed by construction.</w:t>
      </w:r>
    </w:p>
    <w:bookmarkEnd w:id="117"/>
    <w:bookmarkEnd w:id="118"/>
    <w:bookmarkStart w:id="125" w:name="paper-2-the-object-level-logit"/>
    <w:p>
      <w:pPr>
        <w:pStyle w:val="Heading2"/>
        <w:spacing w:line="480" w:lineRule="auto"/>
      </w:pPr>
      <w:r>
        <w:t xml:space="preserve">6.2 Paper 2: The Object-Level Logit</w:t>
      </w:r>
    </w:p>
    <w:bookmarkStart w:id="119" w:name="specification-and-sample-1"/>
    <w:p>
      <w:pPr>
        <w:pStyle w:val="Heading3"/>
        <w:spacing w:line="480" w:lineRule="auto"/>
      </w:pPr>
      <w:r>
        <w:t xml:space="preserve">6.2.1 Specification and Sample</w:t>
      </w:r>
    </w:p>
    <w:p>
      <w:pPr>
        <w:pStyle w:val="FirstParagraph"/>
        <w:spacing w:line="480" w:lineRule="auto"/>
      </w:pPr>
      <w:r>
        <w:t xml:space="preserve">The second paper moves from operator-cohorts to documented end-of-life events on the individual object. The unit of observation is a low Earth orbit object whose disposal outcome is on the public record, and the dependent variable is a binary indicator coding one when the object completed disposal, whether by controlled, assisted, or targeted reentry or by natural decay achieving compliance, and zero when the object became a long-lived retained derelict or reentered uncontrolled without a disposal action</w:t>
      </w:r>
      <w:r>
        <w:t xml:space="preserve"> </w:t>
      </w:r>
      <w:hyperlink w:anchor="ref-14">
        <w:r>
          <w:rPr>
            <w:rStyle w:val="Hyperlink"/>
          </w:rPr>
          <w:t xml:space="preserve">[14]</w:t>
        </w:r>
      </w:hyperlink>
      <w:r>
        <w:t xml:space="preserve">,</w:t>
      </w:r>
      <w:r>
        <w:t xml:space="preserve"> </w:t>
      </w:r>
      <w:hyperlink w:anchor="ref-18">
        <w:r>
          <w:rPr>
            <w:rStyle w:val="Hyperlink"/>
          </w:rPr>
          <w:t xml:space="preserve">[18]</w:t>
        </w:r>
      </w:hyperlink>
      <w:r>
        <w:t xml:space="preserve">. Thirty-four objects were compiled from named institutional sources: ESA mission and reentry records for Aeolus, GOCE, ERS-2, Envisat, the Cluster targeted reentry, the Copernicus Sentinel series, CryoSat-2 and the Automated Transfer Vehicle; NASA Orbital Debris Program Office records for Vanguard-1, Cosmos-2251, Iridium-33, and Fengyun-1C; eoPortal mission pages and operator demisability disclosures including the Starlink demisability paper and the Satellogic reentry strategy; and public reentry records for Tiangong-1, Tiangong-2, UARS, RADARSAT-1, Aqua, and Jason-1.</w:t>
      </w:r>
    </w:p>
    <w:p>
      <w:pPr>
        <w:pStyle w:val="BodyText"/>
        <w:spacing w:line="480" w:lineRule="auto"/>
        <w:ind w:firstLine="720"/>
      </w:pPr>
      <w:r>
        <w:t xml:space="preserve">Three predictors enter the estimated model: a documented active disposal capability indicator, operational altitude expressed in hundreds of kilometres as a proxy for the strength of the natural-decay environment, and an indicator marking the post-2020 cost-internalizing regime era</w:t>
      </w:r>
      <w:r>
        <w:t xml:space="preserve"> </w:t>
      </w:r>
      <w:hyperlink w:anchor="ref-3">
        <w:r>
          <w:rPr>
            <w:rStyle w:val="Hyperlink"/>
          </w:rPr>
          <w:t xml:space="preserve">[3]</w:t>
        </w:r>
      </w:hyperlink>
      <w:r>
        <w:t xml:space="preserve">,</w:t>
      </w:r>
      <w:r>
        <w:t xml:space="preserve"> </w:t>
      </w:r>
      <w:hyperlink w:anchor="ref-14">
        <w:r>
          <w:rPr>
            <w:rStyle w:val="Hyperlink"/>
          </w:rPr>
          <w:t xml:space="preserve">[14]</w:t>
        </w:r>
      </w:hyperlink>
      <w:r>
        <w:t xml:space="preserve">. A large-constellation indicator that appears in the raw data is excluded from the estimated specification because, at this sample size, it is quasi-completely separated from the post-2020 era indicator. In the compiled record, large-constellation disposal and the stricter modern regime are nearly the same observations, and including the constellation term inflates standard errors without identifying a separable channel. The estimator is maximum-likelihood logistic regression; coefficients are reported on the log-odds scale, with the implicit odds-ratio interpretation given by exponentiating each coefficient.</w:t>
      </w:r>
    </w:p>
    <w:bookmarkEnd w:id="119"/>
    <w:bookmarkStart w:id="120" w:name="model-fit-1"/>
    <w:p>
      <w:pPr>
        <w:pStyle w:val="Heading3"/>
        <w:spacing w:line="480" w:lineRule="auto"/>
      </w:pPr>
      <w:r>
        <w:t xml:space="preserve">6.2.2 Model Fit</w:t>
      </w:r>
    </w:p>
    <w:p>
      <w:pPr>
        <w:pStyle w:val="FirstParagraph"/>
        <w:spacing w:line="480" w:lineRule="auto"/>
      </w:pPr>
      <w:r>
        <w:t xml:space="preserve">On thirty-four observations, the fit statistics the estimator returns place the logit in a strong position for a behavioral specification. The McFadden pseudo R-squared is 0.6983, and the maximized log-likelihood is -7.092. A pseudo R-squared near seven-tenths is unusually high for a behavioural binary-outcome model, and it reflects the sharpness with which the dependent variable divides the sample between objects built with a disposal means and objects without one. The intercept on the log-odds scale is -2.7761 with a standard error of 2.2498 and a p-value of 0.2172. The baseline reference category, an object without active disposal capability at the reference altitude and outside the post-2020 regime era, has an estimated log-odds of disposal of -2.78, which on the probability scale corresponds to a small expected disposal probability and matches the qualitative reading of the historical record for legacy and stranded objects</w:t>
      </w:r>
      <w:r>
        <w:t xml:space="preserve"> </w:t>
      </w:r>
      <w:hyperlink w:anchor="ref-9">
        <w:r>
          <w:rPr>
            <w:rStyle w:val="Hyperlink"/>
          </w:rPr>
          <w:t xml:space="preserve">[9]</w:t>
        </w:r>
      </w:hyperlink>
      <w:r>
        <w:t xml:space="preserve">.</w:t>
      </w:r>
    </w:p>
    <w:bookmarkEnd w:id="120"/>
    <w:bookmarkStart w:id="121" w:name="the-capability-term"/>
    <w:p>
      <w:pPr>
        <w:pStyle w:val="Heading3"/>
        <w:spacing w:line="480" w:lineRule="auto"/>
      </w:pPr>
      <w:r>
        <w:t xml:space="preserve">6.2.3 The Capability Term</w:t>
      </w:r>
    </w:p>
    <w:p>
      <w:pPr>
        <w:pStyle w:val="FirstParagraph"/>
        <w:spacing w:line="480" w:lineRule="auto"/>
      </w:pPr>
      <w:r>
        <w:t xml:space="preserve">Here too the capability indicator returns the dominant coefficient. The estimator yields a point estimate of 4.9099 with a standard error of 1.5905 and a p-value of 0.0020, the only term in the model that clears conventional significance. Exponentiating returns an odds ratio of approximately 135.6, an enormous effect on the odds scale: hold altitude and regime era fixed, and an object documented to possess an active disposal capability has odds of being disposed roughly two orders of magnitude higher than an otherwise comparable object without it. The implied probability shift across the observed range of the other predictors runs from near the floor to near the ceiling of the unit interval. This is the clearest finding in either paper, and it organizes the disposal record sharply. The canonical successes in the sample, Aeolus and the assisted-reentry events among them, are objects with documented disposal capability, while the canonical failures, Envisat with its projected long natural decay at altitude among them, are objects that either lacked the capability or lost it before it could be used</w:t>
      </w:r>
      <w:r>
        <w:t xml:space="preserve"> </w:t>
      </w:r>
      <w:hyperlink w:anchor="ref-18">
        <w:r>
          <w:rPr>
            <w:rStyle w:val="Hyperlink"/>
          </w:rPr>
          <w:t xml:space="preserve">[18]</w:t>
        </w:r>
      </w:hyperlink>
      <w:r>
        <w:t xml:space="preserve">.</w:t>
      </w:r>
    </w:p>
    <w:p>
      <w:pPr>
        <w:pStyle w:val="BodyText"/>
        <w:spacing w:line="480" w:lineRule="auto"/>
        <w:ind w:firstLine="720"/>
      </w:pPr>
      <w:r>
        <w:t xml:space="preserve">So capability is the proximate channel through which disposal outcomes are realized. The finding holds across the two papers and across the two specifications. The collective-action framing is not displaced by it. That framing predicts capability as the immediate face of the mechanism, since the decision to build in and reserve a disposal capability is made years before the end-of-life event under the cost structure the operator anticipates. What capability fails to do, in either paper, is let the data speak about the structural incentive that produces or fails to produce that capability in the first place.</w:t>
      </w:r>
    </w:p>
    <w:bookmarkEnd w:id="121"/>
    <w:bookmarkStart w:id="122" w:name="the-altitude-term"/>
    <w:p>
      <w:pPr>
        <w:pStyle w:val="Heading3"/>
        <w:spacing w:line="480" w:lineRule="auto"/>
      </w:pPr>
      <w:r>
        <w:t xml:space="preserve">6.2.4 The Altitude Term</w:t>
      </w:r>
    </w:p>
    <w:p>
      <w:pPr>
        <w:pStyle w:val="FirstParagraph"/>
        <w:spacing w:line="480" w:lineRule="auto"/>
      </w:pPr>
      <w:r>
        <w:t xml:space="preserve">Denominated in hundreds of kilometres, the altitude term returns a coefficient of -0.0410 with a standard error of 0.2847 and a p-value of 0.8854. The corresponding odds ratio is approximately 0.96, indistinguishable from one for any practical purpose, and the ninety-five percent confidence interval is wide and symmetric around zero. The expected sign of the altitude term is negative under the natural-decay channel, since higher orbits decay more slowly and ought to carry lower disposal probability when capability is set to zero, and the point estimate carries that sign. The magnitude, though, is essentially null: once capability is in the model, altitude adds nothing detectable. The intuition is that capable objects dispose of themselves at altitude through propulsion, and the few low-altitude natural-decay successes in the sample are absorbed into the structure the capability and regime terms already carry. Altitude as a standalone predictor of disposal outcomes is therefore a weaker conditioning variable in this sample than the engineering reading would suggest, and the natural-decay channel acts through the capability index rather than through altitude alone.</w:t>
      </w:r>
    </w:p>
    <w:bookmarkEnd w:id="122"/>
    <w:bookmarkStart w:id="123" w:name="the-regime-era-term"/>
    <w:p>
      <w:pPr>
        <w:pStyle w:val="Heading3"/>
        <w:spacing w:line="480" w:lineRule="auto"/>
      </w:pPr>
      <w:r>
        <w:t xml:space="preserve">6.2.5 The Regime-Era Term</w:t>
      </w:r>
    </w:p>
    <w:p>
      <w:pPr>
        <w:pStyle w:val="FirstParagraph"/>
        <w:spacing w:line="480" w:lineRule="auto"/>
      </w:pPr>
      <w:r>
        <w:t xml:space="preserve">The substantive question Paper 2 sets itself is whether the regime era, operationalized as an indicator for the post-2020 cost-internalizing transition, carries explanatory weight beyond capability. The estimator returns a coefficient of 1.6125 with a standard error of 1.5599 and a p-value of 0.3013. Exponentiating gives an odds ratio of approximately 5.02. The point estimate is positive, economically large, and consistent with the internalization prediction of H1: disposal events under the stricter post-2020 regime are estimated at roughly five times the odds of success, conditional on capability and altitude. The standard error, though, is of comparable magnitude to the point estimate, and the implied ninety-five percent confidence interval on the log-odds scale runs approximately from -1.45 to 4.67, including zero. The p-value of 0.30 does not allow rejection of the null that the regime era adds nothing on its own.</w:t>
      </w:r>
    </w:p>
    <w:p>
      <w:pPr>
        <w:pStyle w:val="BodyText"/>
        <w:spacing w:line="480" w:lineRule="auto"/>
        <w:ind w:firstLine="720"/>
      </w:pPr>
      <w:r>
        <w:t xml:space="preserve">Read honestly, the result is informative without being decisive. The direction and magnitude of the regime-era coefficient lean toward the internalization account, and on a Bayesian reading the posterior weight shifts toward the cost-internalizing mechanism after the data, yet the frequentist test does not deliver a rejection. The reason is partly the sample size of thirty-four events, and partly the quasi-complete separation between the constellation indicator and the regime era that forced the constellation term out of the specification. In the compiled record the post-2020 era is dominated by large-constellation disposal events, and the larger panel design the dissertation builds toward is what breaks that confound. The wide interval, in this sense, is not a failure of the data but a direct argument for the within-operator panel that holds capability fixed by construction and isolates the regime channel through within-operator switches across regulatory environments.</w:t>
      </w:r>
    </w:p>
    <w:bookmarkEnd w:id="123"/>
    <w:bookmarkStart w:id="124" w:name="synthesis-for-paper-2"/>
    <w:p>
      <w:pPr>
        <w:pStyle w:val="Heading3"/>
        <w:spacing w:line="480" w:lineRule="auto"/>
      </w:pPr>
      <w:r>
        <w:t xml:space="preserve">6.2.6 Synthesis for Paper 2</w:t>
      </w:r>
    </w:p>
    <w:p>
      <w:pPr>
        <w:pStyle w:val="FirstParagraph"/>
        <w:spacing w:line="480" w:lineRule="auto"/>
      </w:pPr>
      <w:r>
        <w:t xml:space="preserve">Read together, the estimates from the object-level logit organize themselves into a coherent picture. Disposal success in this sample is, first and foremost, a function of whether the object could dispose of itself at all; the capability odds ratio of roughly 136 carries the statistically decisive weight of the model. Altitude as a standalone term is null once capability is in the model. The post-2020 regime indicator is positive and large in point estimate, consistent with cost internalization shifting behaviour, but imprecisely estimated and not statistically distinguishable from zero on thirty-four observations. The capability account wins the significance test, and the internalization account survives it in direction and magnitude rather than being refuted.</w:t>
      </w:r>
    </w:p>
    <w:bookmarkEnd w:id="124"/>
    <w:bookmarkEnd w:id="125"/>
    <w:bookmarkStart w:id="126" w:name="cross-paper-reading"/>
    <w:p>
      <w:pPr>
        <w:pStyle w:val="Heading2"/>
        <w:spacing w:line="480" w:lineRule="auto"/>
      </w:pPr>
      <w:r>
        <w:t xml:space="preserve">6.3 Cross-Paper Reading</w:t>
      </w:r>
    </w:p>
    <w:p>
      <w:pPr>
        <w:pStyle w:val="FirstParagraph"/>
        <w:spacing w:line="480" w:lineRule="auto"/>
      </w:pPr>
      <w:r>
        <w:t xml:space="preserve">Read together, the two papers impose a discipline on the findings that neither produces alone. Both estimators identify the capability channel as the dominant feature of the disposal record. In Paper 1 the capability coefficient is 0.8298 on the natural scale of the compliance share with a robust standard error of 0.1374; in Paper 2 the capability log-odds coefficient is 4.9099 with a standard error of 1.5905; and in both papers the corresponding p-values place the capability term as the only coefficient that clears conventional thresholds with margin. Whatever else the disposal gap is in low Earth orbit, in immediate terms it is a capability problem, and the engineering literature’s framing of disposal as a design and operations question survives the test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16">
        <w:r>
          <w:rPr>
            <w:rStyle w:val="Hyperlink"/>
          </w:rPr>
          <w:t xml:space="preserve">[16]</w:t>
        </w:r>
      </w:hyperlink>
      <w:r>
        <w:t xml:space="preserve">.</w:t>
      </w:r>
    </w:p>
    <w:p>
      <w:pPr>
        <w:pStyle w:val="BodyText"/>
        <w:spacing w:line="480" w:lineRule="auto"/>
        <w:ind w:firstLine="720"/>
      </w:pPr>
      <w:r>
        <w:t xml:space="preserve">Across the two papers the collective-action variables behave differently, and the contrast is itself informative. In Paper 1 the constructed measure of an operator’s private benefit share, the direct cross-sectional analogue of the free-rider position, returns a coefficient of -0.0629 with a standard error of 0.1301 and a p-value of 0.6286. The estimate is indistinguishable from zero and faintly signed against the free-rider prediction. In Paper 2 the proxy for cost internalization, the post-2020 regime indicator, returns a log-odds coefficient of 1.6125 with a standard error of 1.5599 and a p-value of 0.3013, indistinguishable from zero in the frequentist sense but positive and economically large on the odds scale. So the two papers neither converge on a clean rejection of the collective-action account nor confirm it. Paper 1 returns a null on the cross-sectional free-rider variable; Paper 2 returns a directionally consistent but imprecise estimate on the regime variable.</w:t>
      </w:r>
    </w:p>
    <w:p>
      <w:pPr>
        <w:pStyle w:val="BodyText"/>
        <w:spacing w:line="480" w:lineRule="auto"/>
        <w:ind w:firstLine="720"/>
      </w:pPr>
      <w:r>
        <w:t xml:space="preserve">This asymmetry between the two collective-action variables is itself substantive. The Paper 1 measure is a structural construct based on own-constellation exposure, collinear in the population with the capability index for the reason the literature has long flagged: large operators built to use the orbit intensively are also built to dispose of their hardware, so the private-benefit-share signal is dampened by the capability signal it co-moves with</w:t>
      </w:r>
      <w:r>
        <w:t xml:space="preserve"> </w:t>
      </w:r>
      <w:hyperlink w:anchor="ref-4">
        <w:r>
          <w:rPr>
            <w:rStyle w:val="Hyperlink"/>
          </w:rPr>
          <w:t xml:space="preserve">[4]</w:t>
        </w:r>
      </w:hyperlink>
      <w:r>
        <w:t xml:space="preserve">,</w:t>
      </w:r>
      <w:r>
        <w:t xml:space="preserve"> </w:t>
      </w:r>
      <w:hyperlink w:anchor="ref-17">
        <w:r>
          <w:rPr>
            <w:rStyle w:val="Hyperlink"/>
          </w:rPr>
          <w:t xml:space="preserve">[17]</w:t>
        </w:r>
      </w:hyperlink>
      <w:r>
        <w:t xml:space="preserve">. The Paper 2 measure is a regime-era indicator, capturing a temporal shift in the cost structure operators face rather than a structural feature of the operator itself. The directionally positive Paper 2 estimate suggests the temporal channel is the one through which the collective-action mechanism is more likely to show up empirically, while the Paper 1 cross-sectional construct is dampened by structural collinearity. That is the empirical motivation for the within-operator panel design the dissertation reserves for Chapter 7 and the policy chapters: it holds capability fixed by construction and lets the regime channel speak.</w:t>
      </w:r>
    </w:p>
    <w:p>
      <w:pPr>
        <w:pStyle w:val="BodyText"/>
        <w:spacing w:line="480" w:lineRule="auto"/>
        <w:ind w:firstLine="720"/>
      </w:pPr>
      <w:r>
        <w:t xml:space="preserve">A second cross-paper reading concerns the regime variable’s sign. The regime coefficient is negative and significant in Paper 1 and positive and insignificant in Paper 2. The opposed signs are not a contradiction. The Paper 1 regime variable marks cohorts subject to binding national rules in the cross-section, and the prospectus’s threat-to-validity discussion anticipated that binding regimes apply to demanding cohorts and would therefore partly mark task difficulty rather than enforcement</w:t>
      </w:r>
      <w:r>
        <w:t xml:space="preserve"> </w:t>
      </w:r>
      <w:hyperlink w:anchor="ref-12">
        <w:r>
          <w:rPr>
            <w:rStyle w:val="Hyperlink"/>
          </w:rPr>
          <w:t xml:space="preserve">[12]</w:t>
        </w:r>
      </w:hyperlink>
      <w:r>
        <w:t xml:space="preserve">. The Paper 2 regime variable marks the temporal post-2020 transition and is not loaded with the same task-difficulty confounding, so the sign that emerges is the one the cost-internalization account predicts. Both estimates are consistent with the deeper reading that raw regime contrasts in observational data are confounded with the structural difficulty of the cohorts the regime is imposed on, and that identifying the behavioral regime effect requires the within-operator contrast where an operator’s own pre-regime and post-regime behaviour can be compared.</w:t>
      </w:r>
    </w:p>
    <w:bookmarkEnd w:id="126"/>
    <w:bookmarkStart w:id="127" w:name="Xb6b0e7b9d001404b55affa7e850ae599d139cef"/>
    <w:p>
      <w:pPr>
        <w:pStyle w:val="Heading2"/>
        <w:spacing w:line="480" w:lineRule="auto"/>
      </w:pPr>
      <w:r>
        <w:t xml:space="preserve">6.4 What the Estimates Settle and What They Do Not</w:t>
      </w:r>
    </w:p>
    <w:p>
      <w:pPr>
        <w:pStyle w:val="FirstParagraph"/>
        <w:spacing w:line="480" w:lineRule="auto"/>
      </w:pPr>
      <w:r>
        <w:t xml:space="preserve">The estimates settle three things and leave a fourth open. They settle, first, that the disposal record across both operator-cohorts and documented end-of-life events is well described by a capability-dominated specification, with capability terms that are sharply identified, large in magnitude, and consistent across the two specifications. They settle, second, that the constructed cross-sectional measure of an operator’s free-rider position does not announce itself as a partial coefficient once capability has absorbed the shared variance, the point estimate of -0.0629 in Paper 1 statistically indistinguishable from zero. They settle, third, that the post-2020 regime indicator is directionally consistent with cost internalization in Paper 2, with a log-odds coefficient of 1.6125 and an implied odds ratio of roughly 5.0, though not statistically distinguishable from zero on thirty-four observations.</w:t>
      </w:r>
    </w:p>
    <w:p>
      <w:pPr>
        <w:pStyle w:val="BodyText"/>
        <w:spacing w:line="480" w:lineRule="auto"/>
        <w:ind w:firstLine="720"/>
      </w:pPr>
      <w:r>
        <w:t xml:space="preserve">What the estimates do not settle is the deeper question of whether the collective-action mechanism is absent from the population or merely dampened in the available cross-section. Paper 1 does not meet the H1 falsification criterion in the strict sense, and yet the structural collinearity between capability and benefit share, together with the directionally positive Paper 2 regime coefficient and the wide interval around it, means the null on the free-rider channel cannot be read as a refutation of the collective-action account in the population</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Read honestly, the cross-section is underdetermined for the discrimination the dissertation set itself, and the burden of identification has shifted, as the prospectus anticipated, to within-operator regime variation, to the qualitative case strand that probes the rating-incentive channel</w:t>
      </w:r>
      <w:r>
        <w:t xml:space="preserve"> </w:t>
      </w:r>
      <w:hyperlink w:anchor="ref-2">
        <w:r>
          <w:rPr>
            <w:rStyle w:val="Hyperlink"/>
          </w:rPr>
          <w:t xml:space="preserve">[2]</w:t>
        </w:r>
      </w:hyperlink>
      <w:r>
        <w:t xml:space="preserve">, and to the explicit examination of the structural-difficulty confound the negative Paper 1 regime coefficient flagged. The policy chapters proceed under that honest reading. They do not license the strong claim that voluntary, reputation-based instruments are structurally insufficient because the disposal gap is a free-rider problem</w:t>
      </w:r>
      <w:r>
        <w:t xml:space="preserve"> </w:t>
      </w:r>
      <w:hyperlink w:anchor="ref-7">
        <w:r>
          <w:rPr>
            <w:rStyle w:val="Hyperlink"/>
          </w:rPr>
          <w:t xml:space="preserve">[7]</w:t>
        </w:r>
      </w:hyperlink>
      <w:r>
        <w:t xml:space="preserve">. They do license the narrower claim that, on the available evidence, instruments which raise the probability that operators build and retain a disposal capability are aimed at the right margin of the disposal record, while the cost-internalization claim awaits the larger panel and the within-operator contrast the next chapter develops.</w:t>
      </w:r>
    </w:p>
    <w:p>
      <w:pPr>
        <w:pStyle w:val="BodyText"/>
        <w:spacing w:line="480" w:lineRule="auto"/>
        <w:ind w:firstLine="720"/>
      </w:pPr>
      <w:r>
        <w:t xml:space="preserve">So the chapter closes on a finding uncomfortable for the dissertation’s preferred account, and the discomfort is the point of having stated the test as a falsifiable one. The capability channel dominates both estimators. The free-rider channel does not survive conditioning on capability in the cross-section. The regime channel is directionally consistent with cost internalization but imprecisely estimated. The next chapter takes up the within-operator design the prospectus reserved for cleaner identification, and the policy chapters that follow state their claims at the altitude the evidence supports rather than the altitude the theoretical account would have preferred.</w:t>
      </w:r>
    </w:p>
    <w:bookmarkEnd w:id="127"/>
    <w:bookmarkEnd w:id="128"/>
    <w:bookmarkStart w:id="135" w:name="X21322cb5e29cbf4eb576afddcad42f86ace4e0d"/>
    <w:p>
      <w:pPr>
        <w:pStyle w:val="Heading1"/>
        <w:spacing w:line="480" w:lineRule="auto"/>
      </w:pPr>
      <w:r>
        <w:t xml:space="preserve">Chapter 7. Discussion and Governance Implications</w:t>
      </w:r>
    </w:p>
    <w:bookmarkStart w:id="129" w:name="restating-what-the-evidence-established"/>
    <w:p>
      <w:pPr>
        <w:pStyle w:val="Heading2"/>
        <w:spacing w:line="480" w:lineRule="auto"/>
      </w:pPr>
      <w:r>
        <w:t xml:space="preserve">7.1 Restating What the Evidence Established</w:t>
      </w:r>
    </w:p>
    <w:p>
      <w:pPr>
        <w:pStyle w:val="FirstParagraph"/>
        <w:spacing w:line="480" w:lineRule="auto"/>
      </w:pPr>
      <w:r>
        <w:t xml:space="preserve">One behavioral question opened both empirical strands of this dissertation, and they closed on a converging, qualified answer. Of all the behaviors that bear on the long-run sustainability of the protected regions, post-mission disposal bears on it most, and it is the behavior operators most reliably leave half-done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What the maneuver consists of and what timeline it owes are set out in the disposal guidelines</w:t>
      </w:r>
      <w:r>
        <w:t xml:space="preserve"> </w:t>
      </w:r>
      <w:hyperlink w:anchor="ref-21">
        <w:r>
          <w:rPr>
            <w:rStyle w:val="Hyperlink"/>
          </w:rPr>
          <w:t xml:space="preserve">[21]</w:t>
        </w:r>
      </w:hyperlink>
      <w:r>
        <w:t xml:space="preserve">, and whether operators run those guidelines or quietly skip them is what governs projections of the future debris environment</w:t>
      </w:r>
      <w:r>
        <w:t xml:space="preserve"> </w:t>
      </w:r>
      <w:hyperlink w:anchor="ref-4">
        <w:r>
          <w:rPr>
            <w:rStyle w:val="Hyperlink"/>
          </w:rPr>
          <w:t xml:space="preserve">[4]</w:t>
        </w:r>
      </w:hyperlink>
      <w:r>
        <w:t xml:space="preserve">. In the prospectus I cast the gap as a collective-action problem: private and certain disposal cost lands on the operator, while the collision-risk benefit spreads out, diffuse and shared, so the privately rational disposal level falls short of the social optimum unless something pushes the external cost back onto the producer</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Distinct consequences of that framing, tested on distinct units of observation, are what the two papers pursued, and what they jointly returned is what this chapter now interprets.</w:t>
      </w:r>
    </w:p>
    <w:p>
      <w:pPr>
        <w:pStyle w:val="BodyText"/>
        <w:spacing w:line="480" w:lineRule="auto"/>
        <w:ind w:firstLine="720"/>
      </w:pPr>
      <w:r>
        <w:t xml:space="preserve">My first paper estimated an operator-cohort cross-section built on the per-class disposal-compliance statistics of the ESA Annual Space Environment Report</w:t>
      </w:r>
      <w:r>
        <w:t xml:space="preserve"> </w:t>
      </w:r>
      <w:hyperlink w:anchor="ref-11">
        <w:r>
          <w:rPr>
            <w:rStyle w:val="Hyperlink"/>
          </w:rPr>
          <w:t xml:space="preserve">[11]</w:t>
        </w:r>
      </w:hyperlink>
      <w:r>
        <w:t xml:space="preserve">, joined to capability and regime covariates and to the legacy low-compliance cohorts Pardini and Anselmo documented</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Its question: does the private benefit share an operator captures from its own disposal, the variable the collective-action account hinges on, retain weight once technical disposal capability is held fixed? It does not. A coefficient near 0.83 with a robust standard error near 0.14 gave capability the cross-section, the private-benefit-share coefficient sat at roughly minus 0.06 with a robust standard error near 0.13, and the regime indicator came in negative, which reads as selection of binding regimes onto difficult cohorts rather than deterrent failure. Roughly fifty-seven percent of the cross-sectional variation was fit, and the joint null of no information was rejected decisively. On the falsification criterion the prospectus set and the paper reaffirmed, that is a failure to reject the capability null on the cohort margin.</w:t>
      </w:r>
    </w:p>
    <w:p>
      <w:pPr>
        <w:pStyle w:val="BodyText"/>
        <w:spacing w:line="480" w:lineRule="auto"/>
        <w:ind w:firstLine="720"/>
      </w:pPr>
      <w:r>
        <w:t xml:space="preserve">The second paper estimated a logit of disposal success across thirty-four documented low Earth orbit end-of-life events, drawn from the ESA mission and reentry record</w:t>
      </w:r>
      <w:r>
        <w:t xml:space="preserve"> </w:t>
      </w:r>
      <w:hyperlink w:anchor="ref-14">
        <w:r>
          <w:rPr>
            <w:rStyle w:val="Hyperlink"/>
          </w:rPr>
          <w:t xml:space="preserve">[14]</w:t>
        </w:r>
      </w:hyperlink>
      <w:r>
        <w:t xml:space="preserve">, the NASA Orbital Debris Program Office reentry and breakup record, eoPortal mission pages, operator demisability disclosures, and the public reentry records of state platforms, with Aeolus and Envisat marking the success and failure poles</w:t>
      </w:r>
      <w:r>
        <w:t xml:space="preserve"> </w:t>
      </w:r>
      <w:hyperlink w:anchor="ref-18">
        <w:r>
          <w:rPr>
            <w:rStyle w:val="Hyperlink"/>
          </w:rPr>
          <w:t xml:space="preserve">[18]</w:t>
        </w:r>
      </w:hyperlink>
      <w:r>
        <w:t xml:space="preserve">. Capability came in at 4.91, standard error 1.59, confidence interval 1.79 to 8.03, an odds ratio near 136 conditional on altitude and regime. Altitude was null. Entering with a coefficient of 1.61 and a standard error of 1.56, the post-2020 regime indicator gave an odds ratio around 5.0 whose ninety-five percent interval ran from minus 1.45 to 4.67. Positive, economically large, and lined up with the internalization prediction, the point estimate sits beside an interval that includes zero, so at this sample size the regime-era effect cannot be told from zero. At a McFadden pseudo-R-squared of 0.70, the model fit is high.</w:t>
      </w:r>
    </w:p>
    <w:p>
      <w:pPr>
        <w:pStyle w:val="BodyText"/>
        <w:spacing w:line="480" w:lineRule="auto"/>
        <w:ind w:firstLine="720"/>
      </w:pPr>
      <w:r>
        <w:t xml:space="preserve">Put the two together and a defensible composite emerges. First and foremost, disposal success tracks whether the operator built and kept a disposal capability. Estimated where estimation was possible, the collective-action benefit-share variable carries no independent weight in the cross-section. A positive and large point estimate on the post-2020 cost-internalizing regime lines up with the deeper economic mechanism</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and its interval does not yet exclude zero, and the cohort-cross-section regime indicator is contaminated by the selection of stricter rules onto harder orbits. Capability is where disposal happens. Whether the gap is at bottom a free-rider problem acting through the capability-investment decision made years earlier, or a plainer capability and design problem with a modest regime effect layered on, is what this dissertation cannot yet adjudicate. Taking that uncertainty seriously is the burden of the rest of the chapter.</w:t>
      </w:r>
    </w:p>
    <w:bookmarkEnd w:id="129"/>
    <w:bookmarkStart w:id="130"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Disposal behavior is set at the design margin, not the operations margin, and that is the most direct programmatic implication. If whether an end-of-life object clears the protected region turns mostly on capability, then the decision that counts is the decision to specify, fund, and defend an active disposal capability through the design reviews, complete with reserved propellant, a fitting propulsion architecture, and a passivation and self-removal concept of operations</w:t>
      </w:r>
      <w:r>
        <w:t xml:space="preserve"> </w:t>
      </w:r>
      <w:hyperlink w:anchor="ref-29">
        <w:r>
          <w:rPr>
            <w:rStyle w:val="Hyperlink"/>
          </w:rPr>
          <w:t xml:space="preserve">[29]</w:t>
        </w:r>
      </w:hyperlink>
      <w:r>
        <w:t xml:space="preserve">. Come the disposal phase, the option set has already collapsed to whatever capability survived the preceding lifecycle of trade studies and descope calls. An operator that reaches end of life with no disposal capability has committed no operational error; it has accumulated the predictable results of design-time choices about mass, cost, and risk.</w:t>
      </w:r>
    </w:p>
    <w:p>
      <w:pPr>
        <w:pStyle w:val="BodyText"/>
        <w:spacing w:line="480" w:lineRule="auto"/>
        <w:ind w:firstLine="720"/>
      </w:pPr>
      <w:r>
        <w:t xml:space="preserve">For NASA program management that turns disposal from a tail-end compliance chore into a System Requirements Review and Preliminary Design Review obligation. Operations still matter. But how fast programs will be able to dispose of what they fly is fixed very early, and a program office that wants to lift its disposal rate has to act at the requirements gate, not the disposal gate. Specifics follow. Make disposal capability a binding entry criterion at the early reviews rather than a downstream waiver candidate, with a defined disposal concept of operations, a propellant reserve traceable to a delta-v budget matched to the protected-region clearance time, and a contingency analysis naming the failure modes that render the planned maneuver infeasible. Carry the remaining-lifetime uncertainty of</w:t>
      </w:r>
      <w:r>
        <w:t xml:space="preserve"> </w:t>
      </w:r>
      <w:hyperlink w:anchor="ref-5">
        <w:r>
          <w:rPr>
            <w:rStyle w:val="Hyperlink"/>
          </w:rPr>
          <w:t xml:space="preserve">[5]</w:t>
        </w:r>
      </w:hyperlink>
      <w:r>
        <w:t xml:space="preserve"> </w:t>
      </w:r>
      <w:r>
        <w:t xml:space="preserve">forward as a margin rather than folding it into one nominal compliance number, because the threshold a program is judged against is binary at the protected-region exit time, while the engineering quantity that decides whether the threshold is met is a distribution.</w:t>
      </w:r>
    </w:p>
    <w:p>
      <w:pPr>
        <w:pStyle w:val="BodyText"/>
        <w:spacing w:line="480" w:lineRule="auto"/>
        <w:ind w:firstLine="720"/>
      </w:pPr>
      <w:r>
        <w:t xml:space="preserve">Mission cost models, likewise, should book the disposal capability as a non-discretionary line rather than a tax competed against the science payload. In market terms the economics behind the collective-action framing says as much: an operator that does not internalize the external cost of a retained derelict will, wherever disposal capability competes with other mission objectives, underinvest in it</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Inside a program office the failure mode is internal, not external. Trade propellant mass or avionics complexity against payload performance under fixed mass, and the disposal capability is the line whose benefits fall to a population outside the project while its costs fall inside, which makes it the line that loses descope arguments unless an explicit institutional rule stops the loss. Read that way, the dominance of capability over disposal outcomes is a finding that program offices which do not formally shield the disposal capability from descope will end up, over and over, with payloads they cannot dispose of.</w:t>
      </w:r>
    </w:p>
    <w:p>
      <w:pPr>
        <w:pStyle w:val="BodyText"/>
        <w:spacing w:line="480" w:lineRule="auto"/>
        <w:ind w:firstLine="720"/>
      </w:pPr>
      <w:r>
        <w:t xml:space="preserve">The same logic ought to run through acquisition language. Structure the Solicitation, the Source Evaluation Board, and the contract so that a credible end-of-life concept of operations and a quantifiable disposal capability become scored proposal elements, not narrative paragraphs buried in a sustainability annex. The market-style intuition is plain: the procurement document is the price signal offerors optimize against, and a sustainability annex with no scoring weight is a zero-weighted constraint. What the cohort cross-section could not separate is consistent with this: large constellations and modern regimes very nearly coincide in the disposal record, and what those operators share is not only the regime they face but the design culture they grew up in under license conditions that demanded a credible disposal story from the start. NASA acquisitions can reproduce that effect without waiting on regulators.</w:t>
      </w:r>
    </w:p>
    <w:p>
      <w:pPr>
        <w:pStyle w:val="BodyText"/>
        <w:spacing w:line="480" w:lineRule="auto"/>
        <w:ind w:firstLine="720"/>
      </w:pPr>
      <w:r>
        <w:t xml:space="preserve">There is a second-order implication too: NASA’s standing as an exemplar reaches past its own missions. Public commitments whose credibility rests on observable compliance by the very agencies that authored them are what the mitigation guidelines and the Orbital Debris Mitigation Standard Practices amount to</w:t>
      </w:r>
      <w:r>
        <w:t xml:space="preserve"> </w:t>
      </w:r>
      <w:hyperlink w:anchor="ref-21">
        <w:r>
          <w:rPr>
            <w:rStyle w:val="Hyperlink"/>
          </w:rPr>
          <w:t xml:space="preserve">[21]</w:t>
        </w:r>
      </w:hyperlink>
      <w:r>
        <w:t xml:space="preserve">,</w:t>
      </w:r>
      <w:r>
        <w:t xml:space="preserve"> </w:t>
      </w:r>
      <w:hyperlink w:anchor="ref-24">
        <w:r>
          <w:rPr>
            <w:rStyle w:val="Hyperlink"/>
          </w:rPr>
          <w:t xml:space="preserve">[24]</w:t>
        </w:r>
      </w:hyperlink>
      <w:r>
        <w:t xml:space="preserve">. Verspieren’s analysis of US Air Force compliance, carried at reference</w:t>
      </w:r>
      <w:r>
        <w:t xml:space="preserve"> </w:t>
      </w:r>
      <w:hyperlink w:anchor="ref-3">
        <w:r>
          <w:rPr>
            <w:rStyle w:val="Hyperlink"/>
          </w:rPr>
          <w:t xml:space="preserve">[3]</w:t>
        </w:r>
      </w:hyperlink>
      <w:r>
        <w:t xml:space="preserve"> </w:t>
      </w:r>
      <w:r>
        <w:t xml:space="preserve">of the prospectus and reference</w:t>
      </w:r>
      <w:r>
        <w:t xml:space="preserve"> </w:t>
      </w:r>
      <w:hyperlink w:anchor="ref-24">
        <w:r>
          <w:rPr>
            <w:rStyle w:val="Hyperlink"/>
          </w:rPr>
          <w:t xml:space="preserve">[24]</w:t>
        </w:r>
      </w:hyperlink>
      <w:r>
        <w:t xml:space="preserve"> </w:t>
      </w:r>
      <w:r>
        <w:t xml:space="preserve">of the wider pool, shows how visible the gap grows when a major public actor misses its own standard, and how other operators read that miss as a signal about how seriously to take the rule. A NASA program that flies a payload without a credible disposal capability produces more than one non-disposed object; it produces evidence other operators will weigh when they decide how much to invest in disposal capability of their own. The discourse-network analysis of the emerging mitigation regime says the same thing sociologically: compliance is socially negotiated, and exemplar behavior by central actors shifts the equilibrium peripheral actors settle toward</w:t>
      </w:r>
      <w:r>
        <w:t xml:space="preserve"> </w:t>
      </w:r>
      <w:hyperlink w:anchor="ref-7">
        <w:r>
          <w:rPr>
            <w:rStyle w:val="Hyperlink"/>
          </w:rPr>
          <w:t xml:space="preserve">[7]</w:t>
        </w:r>
      </w:hyperlink>
      <w:r>
        <w:t xml:space="preserve">.</w:t>
      </w:r>
    </w:p>
    <w:bookmarkEnd w:id="130"/>
    <w:bookmarkStart w:id="131"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At JPL the implications run the same in kind and sharper in degree, because the JPL portfolio concentrates the very failure modes the cross-section names. High-value, low-volume, long-development-cycle programs are the JPL norm, and there descope arguments carry unusual weight, since each unit of descoped mass or capability buys or costs outsized science. Because capability dominates, the disposal-capability line draws descope pressure exactly on the missions whose disposal failures will read as most visible and most environmentally consequential, a single large JPL Earth-observing or technology-demonstration platform left undisposed feeding disproportionately into the long-lived debris population the environment models project off the residual non-disposed cohort</w:t>
      </w:r>
      <w:r>
        <w:t xml:space="preserve"> </w:t>
      </w:r>
      <w:hyperlink w:anchor="ref-4">
        <w:r>
          <w:rPr>
            <w:rStyle w:val="Hyperlink"/>
          </w:rPr>
          <w:t xml:space="preserve">[4]</w:t>
        </w:r>
      </w:hyperlink>
      <w:r>
        <w:t xml:space="preserve">,</w:t>
      </w:r>
      <w:r>
        <w:t xml:space="preserve"> </w:t>
      </w:r>
      <w:hyperlink w:anchor="ref-16">
        <w:r>
          <w:rPr>
            <w:rStyle w:val="Hyperlink"/>
          </w:rPr>
          <w:t xml:space="preserve">[16]</w:t>
        </w:r>
      </w:hyperlink>
      <w:r>
        <w:t xml:space="preserve">.</w:t>
      </w:r>
    </w:p>
    <w:p>
      <w:pPr>
        <w:pStyle w:val="BodyText"/>
        <w:spacing w:line="480" w:lineRule="auto"/>
        <w:ind w:firstLine="720"/>
      </w:pPr>
      <w:r>
        <w:t xml:space="preserve">So the first concrete implication for JPL is to lift disposal capability to a Level 1 or Level 2 requirement on the relevant Earth-orbiting and cislunar-staging missions, keeping it off the derived-or-allocated tier that slides downward under pressure. On this the record is unambiguous: whether an object disposes of itself is predicted above all by whether it was built with a disposal capability, and the only reliable way to hold that capability against the lifecycle pressures every flagship meets is to make removing it a Level 1 change rather than a Project Manager call. Aeolus proves that even an unplanned assisted reentry can be flown when the propulsion system keeps enough authority</w:t>
      </w:r>
      <w:r>
        <w:t xml:space="preserve"> </w:t>
      </w:r>
      <w:hyperlink w:anchor="ref-18">
        <w:r>
          <w:rPr>
            <w:rStyle w:val="Hyperlink"/>
          </w:rPr>
          <w:t xml:space="preserve">[18]</w:t>
        </w:r>
      </w:hyperlink>
      <w:r>
        <w:t xml:space="preserve">; Envisat proves that a flagship lost before its disposal window becomes a multi-century environmental commitment. In mass-class the JPL portfolio sits nearer Envisat than most operational constellations, and the dissertation’s findings argue that JPL’s exposure to the Envisat failure mode is structural, not incidental.</w:t>
      </w:r>
    </w:p>
    <w:p>
      <w:pPr>
        <w:pStyle w:val="BodyText"/>
        <w:spacing w:line="480" w:lineRule="auto"/>
        <w:ind w:firstLine="720"/>
      </w:pPr>
      <w:r>
        <w:t xml:space="preserve">A second JPL-specific implication runs through the partner and supplier base. The structural finding that capability decides the cross-section meets the institutional finding, out of the source-and-sink and capacity-modeling literature, that operator behavior, capability decisions, and constellation operations are increasingly coupled under the modern regime</w:t>
      </w:r>
      <w:r>
        <w:t xml:space="preserve"> </w:t>
      </w:r>
      <w:hyperlink w:anchor="ref-15">
        <w:r>
          <w:rPr>
            <w:rStyle w:val="Hyperlink"/>
          </w:rPr>
          <w:t xml:space="preserve">[15]</w:t>
        </w:r>
      </w:hyperlink>
      <w:r>
        <w:t xml:space="preserve">,</w:t>
      </w:r>
      <w:r>
        <w:t xml:space="preserve"> </w:t>
      </w:r>
      <w:hyperlink w:anchor="ref-19">
        <w:r>
          <w:rPr>
            <w:rStyle w:val="Hyperlink"/>
          </w:rPr>
          <w:t xml:space="preserve">[19]</w:t>
        </w:r>
      </w:hyperlink>
      <w:r>
        <w:t xml:space="preserve">,</w:t>
      </w:r>
      <w:r>
        <w:t xml:space="preserve"> </w:t>
      </w:r>
      <w:hyperlink w:anchor="ref-27">
        <w:r>
          <w:rPr>
            <w:rStyle w:val="Hyperlink"/>
          </w:rPr>
          <w:t xml:space="preserve">[27]</w:t>
        </w:r>
      </w:hyperlink>
      <w:r>
        <w:t xml:space="preserve">. JPL missions often ride shared launch buses, shared propulsion, shared avionics inherited from partner organizations or commercial primes, and the disposal capability of the integrated stack is the minimum of the contributing capabilities, not the maximum. The acquisition consequence: scrutinize the credibility of a partner’s disposal concept as hard as the credibility of its science instrument concept, because on the cross-sectional evidence here the disposal concept is the variable that most strongly sets the eventual environmental footprint of the integrated platform.</w:t>
      </w:r>
    </w:p>
    <w:p>
      <w:pPr>
        <w:pStyle w:val="BodyText"/>
        <w:spacing w:line="480" w:lineRule="auto"/>
        <w:ind w:firstLine="720"/>
      </w:pPr>
      <w:r>
        <w:t xml:space="preserve">A third implication touches the decision logic around active debris removal and rendezvous-and-proximity-operations services. Targeted removal of high-criticality derelicts makes a measurable contribution to environmental stability, argue the optimization-based policy work of Simha and colleagues</w:t>
      </w:r>
      <w:r>
        <w:t xml:space="preserve"> </w:t>
      </w:r>
      <w:hyperlink w:anchor="ref-33">
        <w:r>
          <w:rPr>
            <w:rStyle w:val="Hyperlink"/>
          </w:rPr>
          <w:t xml:space="preserve">[33]</w:t>
        </w:r>
      </w:hyperlink>
      <w:r>
        <w:t xml:space="preserve"> </w:t>
      </w:r>
      <w:r>
        <w:t xml:space="preserve">and the rendezvous-design work of Borelli and colleagues</w:t>
      </w:r>
      <w:r>
        <w:t xml:space="preserve"> </w:t>
      </w:r>
      <w:hyperlink w:anchor="ref-32">
        <w:r>
          <w:rPr>
            <w:rStyle w:val="Hyperlink"/>
          </w:rPr>
          <w:t xml:space="preserve">[32]</w:t>
        </w:r>
      </w:hyperlink>
      <w:r>
        <w:t xml:space="preserve">. That capability dominates the disposal cross-section does not cut against this; it completes it. If the most defensible reading is that operators who lacked capability at design failed to dispose at end of life, then the population of retained derelicts is in part a population of platforms whose end-of-life options were foreclosed at design. On that reading active debris removal is the technical instrument for managing the consequences of past capability shortfalls. So for JPL the decision-relevant question is not only whether its forward portfolio carries disposal capability but whether JPL should be a producer, a customer, or a beneficiary of active debris removal services aimed at the legacy non-disposed cohort, any JPL-heritage objects in it included. Prioritizing removal targets by environmental criticality is what the optimization literature frames</w:t>
      </w:r>
      <w:r>
        <w:t xml:space="preserve"> </w:t>
      </w:r>
      <w:hyperlink w:anchor="ref-33">
        <w:r>
          <w:rPr>
            <w:rStyle w:val="Hyperlink"/>
          </w:rPr>
          <w:t xml:space="preserve">[33]</w:t>
        </w:r>
      </w:hyperlink>
      <w:r>
        <w:t xml:space="preserve">, and Pardini and Anselmo’s criticality measures give the ranking a quantitative basis</w:t>
      </w:r>
      <w:r>
        <w:t xml:space="preserve"> </w:t>
      </w:r>
      <w:hyperlink w:anchor="ref-16">
        <w:r>
          <w:rPr>
            <w:rStyle w:val="Hyperlink"/>
          </w:rPr>
          <w:t xml:space="preserve">[16]</w:t>
        </w:r>
      </w:hyperlink>
      <w:r>
        <w:t xml:space="preserve">. It is a portfolio decision, not a single-mission one, and treating it that way is justified precisely by the finding that past capability shortfalls dominate the residual debris population.</w:t>
      </w:r>
    </w:p>
    <w:p>
      <w:pPr>
        <w:pStyle w:val="BodyText"/>
        <w:spacing w:line="480" w:lineRule="auto"/>
        <w:ind w:firstLine="720"/>
      </w:pPr>
      <w:r>
        <w:t xml:space="preserve">A fourth implication concerns autonomy and self-removal architectures. A class of design choices that, adopted at the requirements phase, raise the odds that a malfunctioning platform still disposes of itself after operational command authority is lost is what Wander, Konstantinidis, Förstner, and Voigt describe in their analysis of autonomous self-removal triggering and passivation</w:t>
      </w:r>
      <w:r>
        <w:t xml:space="preserve"> </w:t>
      </w:r>
      <w:hyperlink w:anchor="ref-29">
        <w:r>
          <w:rPr>
            <w:rStyle w:val="Hyperlink"/>
          </w:rPr>
          <w:t xml:space="preserve">[29]</w:t>
        </w:r>
      </w:hyperlink>
      <w:r>
        <w:t xml:space="preserve">. From the program-management view of the prior section, autonomous self-removal is the design feature that severs the disposal outcome from the failure modes that most often manufacture a legacy derelict, loss of operational control before disposal can be commanded above all. For a JPL portfolio where single-platform losses carry outsized environmental consequences, autonomy in the disposal architecture is the engineering counterpart of the institutional rule against descope: the design choice that guards the disposal outcome against the failure modes that would otherwise foreclose it.</w:t>
      </w:r>
    </w:p>
    <w:p>
      <w:pPr>
        <w:pStyle w:val="BodyText"/>
        <w:spacing w:line="480" w:lineRule="auto"/>
        <w:ind w:firstLine="720"/>
      </w:pPr>
      <w:r>
        <w:t xml:space="preserve">A fifth and final implication is about measurement and reporting. The disposal-compliance statistic anchoring the cohort cross-section is the ESA Annual Space Environment Report figure</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and the comparable NASA Orbital Debris Program Office statistics carry similar institutional weight. Since capability decides the cross-section, what matters most to report is capability at design, not outcomes at end of life. Report disposal capability and delta-v budget at Preliminary Design Review, and name the failure modes under which the capability would degrade, and the disposal outcome is to first order predictable. Report only at end of life, and by the dissertation’s finding the program has already passed the point at which the dominant determinant of its disposal outcome could be moved.</w:t>
      </w:r>
    </w:p>
    <w:bookmarkEnd w:id="131"/>
    <w:bookmarkStart w:id="132" w:name="limitations"/>
    <w:p>
      <w:pPr>
        <w:pStyle w:val="Heading2"/>
        <w:spacing w:line="480" w:lineRule="auto"/>
      </w:pPr>
      <w:r>
        <w:t xml:space="preserve">7.4 Limitations</w:t>
      </w:r>
    </w:p>
    <w:p>
      <w:pPr>
        <w:pStyle w:val="FirstParagraph"/>
        <w:spacing w:line="480" w:lineRule="auto"/>
      </w:pPr>
      <w:r>
        <w:t xml:space="preserve">Stating the limitations plainly is necessary, since they bound the policy claims that can be built on these findings. Twenty-eight cohorts assembled from public sources carry the cohort cross-section, and the small minority of structural covariate values resting on coding judgments is flagged in the dataset. Even so, twenty-eight observations are a thin reed for discriminating two channels that are themselves correlated in the data. Capability and private benefit share stay correlated because the operators who built large maneuverable constellations both can dispose and capture much of their own collision benefit, so the partial benefit-share coefficient is estimated off a narrow band of independent variation. On the evidence presented, the null on the benefit-share term is not a refutation of the collective-action mechanism at the population level; it is a failure to identify the mechanism cleanly in this cross-section.</w:t>
      </w:r>
    </w:p>
    <w:p>
      <w:pPr>
        <w:pStyle w:val="BodyText"/>
        <w:spacing w:line="480" w:lineRule="auto"/>
        <w:ind w:firstLine="720"/>
      </w:pPr>
      <w:r>
        <w:t xml:space="preserve">Thirty-four documented end-of-life events carry the logit of the second paper, a sample whose statistical power suits a descriptive discrimination between accounts rather than a structural causal model. Positive and economically large in odds-ratio terms, the post-2020 regime indicator carries a confidence interval that includes zero, so the strongest data-favorable reading of the internalization account is suggestive, not conclusive. The quasi-complete separation between the large-constellation indicator and the regime era, which forced the constellation indicator out of the estimated model to keep standard errors finite, is itself substantive: in the disposal record assembled here, modern stricter-regime disposal and large-constellation disposal are nearly the same observations, so the data cannot independently identify the regime channel from the constellation channel. Breaking that confound needs a larger panel of operator-level disposal outcomes over time, and the dissertation reserves the within-operator difference-in-differences estimator for it.</w:t>
      </w:r>
    </w:p>
    <w:p>
      <w:pPr>
        <w:pStyle w:val="BodyText"/>
        <w:spacing w:line="480" w:lineRule="auto"/>
        <w:ind w:firstLine="720"/>
      </w:pPr>
      <w:r>
        <w:t xml:space="preserve">Measurement of the dependent variable is a further limitation. Object types, mass bands, and lifetime thresholds are aggregated together in the disposal-compliance figures the ESA Annual Space Environment Report publishes</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and the remaining-lifetime uncertainty Ayala Fernández and colleagues document</w:t>
      </w:r>
      <w:r>
        <w:t xml:space="preserve"> </w:t>
      </w:r>
      <w:hyperlink w:anchor="ref-5">
        <w:r>
          <w:rPr>
            <w:rStyle w:val="Hyperlink"/>
          </w:rPr>
          <w:t xml:space="preserve">[5]</w:t>
        </w:r>
      </w:hyperlink>
      <w:r>
        <w:t xml:space="preserve"> </w:t>
      </w:r>
      <w:r>
        <w:t xml:space="preserve">means an attempted disposal can fail to deliver the intended environmental outcome. The papers carry that uncertainty as a measurement-error consideration and report robustness on attempted rather than confirmed disposal, and no specification can fully recover the unobserved counterfactual in which the attempted disposal succeeded as planned.</w:t>
      </w:r>
    </w:p>
    <w:p>
      <w:pPr>
        <w:pStyle w:val="BodyText"/>
        <w:spacing w:line="480" w:lineRule="auto"/>
        <w:ind w:firstLine="720"/>
      </w:pPr>
      <w:r>
        <w:t xml:space="preserve">The construct validity of the private-benefit-share measure is a third limitation. Computed from constellation size, orbital occupancy, and operator scope, the own-versus-shared benefit share is a model-derived quantity, an instrument for the underlying free-rider position rather than a direct reading of it. A qualitative case strand to check the constructed measure against operators’ reported reasoning is what the prospectus reserved, and the present paper-stage results have not yet drawn on it. Against the underlying mechanism, a null on a constructed exposure measure is weaker evidence than a null on a directly observed one.</w:t>
      </w:r>
    </w:p>
    <w:p>
      <w:pPr>
        <w:pStyle w:val="BodyText"/>
        <w:spacing w:line="480" w:lineRule="auto"/>
        <w:ind w:firstLine="720"/>
      </w:pPr>
      <w:r>
        <w:t xml:space="preserve">External validity is a fourth limitation. Low Earth orbit and the documented end-of-life record there are what the estimates rest on. Extending to cislunar disposal, geostationary disposal, or other orbital-regime classes is not warranted by the data. Portability of the analytical apparatus is suggested by the Roberts and Linares maneuver-classification work in geosynchronous orbit</w:t>
      </w:r>
      <w:r>
        <w:t xml:space="preserve"> </w:t>
      </w:r>
      <w:hyperlink w:anchor="ref-20">
        <w:r>
          <w:rPr>
            <w:rStyle w:val="Hyperlink"/>
          </w:rPr>
          <w:t xml:space="preserve">[20]</w:t>
        </w:r>
      </w:hyperlink>
      <w:r>
        <w:t xml:space="preserve"> </w:t>
      </w:r>
      <w:r>
        <w:t xml:space="preserve">and the source-and-sink modeling of Lifson, Jang, and Linares</w:t>
      </w:r>
      <w:r>
        <w:t xml:space="preserve"> </w:t>
      </w:r>
      <w:hyperlink w:anchor="ref-19">
        <w:r>
          <w:rPr>
            <w:rStyle w:val="Hyperlink"/>
          </w:rPr>
          <w:t xml:space="preserve">[19]</w:t>
        </w:r>
      </w:hyperlink>
      <w:r>
        <w:t xml:space="preserve">, and the empirical claims still have to be re-estimated on the appropriate populations before the policy conclusions travel to those regimes.</w:t>
      </w:r>
    </w:p>
    <w:p>
      <w:pPr>
        <w:pStyle w:val="BodyText"/>
        <w:spacing w:line="480" w:lineRule="auto"/>
        <w:ind w:firstLine="720"/>
      </w:pPr>
      <w:r>
        <w:t xml:space="preserve">Finally, these results do not establish the policy claim that voluntary reputation instruments are structurally insufficient because the disposal gap is a free-rider problem. The prospectus stated this as the implication that would follow from a sustained H1, and between them the two papers did not sustain H1 in the form the prospectus specified. So the voluntary rating mechanism Rathnasabapathy and colleagues propose</w:t>
      </w:r>
      <w:r>
        <w:t xml:space="preserve"> </w:t>
      </w:r>
      <w:hyperlink w:anchor="ref-2">
        <w:r>
          <w:rPr>
            <w:rStyle w:val="Hyperlink"/>
          </w:rPr>
          <w:t xml:space="preserve">[2]</w:t>
        </w:r>
      </w:hyperlink>
      <w:r>
        <w:t xml:space="preserve"> </w:t>
      </w:r>
      <w:r>
        <w:t xml:space="preserve">is neither vindicated nor refuted by the present analysis. Whether such instruments can move capability-investment decisions at the design phase, the margin the findings mark as decisive, stays open. A serious test of the rating mechanism’s effect on capability investment would need data on operator design decisions that the ESA compliance statistics do not directly observe, and from the data assembled here the dissertation cannot offer that test.</w:t>
      </w:r>
    </w:p>
    <w:bookmarkEnd w:id="132"/>
    <w:bookmarkStart w:id="133" w:name="future-research"/>
    <w:p>
      <w:pPr>
        <w:pStyle w:val="Heading2"/>
        <w:spacing w:line="480" w:lineRule="auto"/>
      </w:pPr>
      <w:r>
        <w:t xml:space="preserve">7.5 Future Research</w:t>
      </w:r>
    </w:p>
    <w:p>
      <w:pPr>
        <w:pStyle w:val="FirstParagraph"/>
        <w:spacing w:line="480" w:lineRule="auto"/>
      </w:pPr>
      <w:r>
        <w:t xml:space="preserve">Five research directions follow naturally from the limitations and would firm up the inferential foundation the dissertation can offer. First comes the operator-level panel that breaks the capability-regime confound the cross-section documents. Given a panel of operator-by-year disposal outcomes spanning the pre- and post-2020 regime transition, within-operator variation across regulatory regimes identifies the internalization effect with capability held fixed by construction. Refining the positive-but-imprecise post-2020 regime coefficient from the logit is what the panel design is built for, and the difference-in-differences contrast across regimes is the identification strategy the prospectus reserved for the purpose. If the underlying object-level records can be aggregated to the operator-by-year level, the ESA Annual Space Environment Report supplies the dependent variable at the granularity required</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Second comes the qualitative case strand that validates the constructed private-benefit-share measure against operators’ reported decision logic. Structured comparisons of operators selected on the regime margin, with interviews and document analysis of internal disposal-capability investment decisions, would test whether the constructed exposure measure tracks what operators report and would support or revise the null the cross-section returned. A methodological template for the documentary analysis is what the discourse-network analysis of Yap, Heiberg, and Truffer supplies</w:t>
      </w:r>
      <w:r>
        <w:t xml:space="preserve"> </w:t>
      </w:r>
      <w:hyperlink w:anchor="ref-7">
        <w:r>
          <w:rPr>
            <w:rStyle w:val="Hyperlink"/>
          </w:rPr>
          <w:t xml:space="preserve">[7]</w:t>
        </w:r>
      </w:hyperlink>
      <w:r>
        <w:t xml:space="preserve">, and the licensing authorities’ institutional records supply the contemporaneous decision documentation. At issue empirically is whether operators frame their disposal-capability decisions in terms consistent with the collective-action account, in terms consistent with a purely engineering and licensing account, or in terms tied clearly to neither.</w:t>
      </w:r>
    </w:p>
    <w:p>
      <w:pPr>
        <w:pStyle w:val="BodyText"/>
        <w:spacing w:line="480" w:lineRule="auto"/>
        <w:ind w:firstLine="720"/>
      </w:pPr>
      <w:r>
        <w:t xml:space="preserve">Third comes a structural test of the active debris removal channel as an instrument for the legacy non-disposed cohort. The technical feasibility frontier for active removal of high-criticality derelicts is what the optimization-based mission-planning work of Simha and colleagues</w:t>
      </w:r>
      <w:r>
        <w:t xml:space="preserve"> </w:t>
      </w:r>
      <w:hyperlink w:anchor="ref-33">
        <w:r>
          <w:rPr>
            <w:rStyle w:val="Hyperlink"/>
          </w:rPr>
          <w:t xml:space="preserve">[33]</w:t>
        </w:r>
      </w:hyperlink>
      <w:r>
        <w:t xml:space="preserve"> </w:t>
      </w:r>
      <w:r>
        <w:t xml:space="preserve">and the rendezvous-design work of Borelli and colleagues</w:t>
      </w:r>
      <w:r>
        <w:t xml:space="preserve"> </w:t>
      </w:r>
      <w:hyperlink w:anchor="ref-32">
        <w:r>
          <w:rPr>
            <w:rStyle w:val="Hyperlink"/>
          </w:rPr>
          <w:t xml:space="preserve">[32]</w:t>
        </w:r>
      </w:hyperlink>
      <w:r>
        <w:t xml:space="preserve"> </w:t>
      </w:r>
      <w:r>
        <w:t xml:space="preserve">establish. The complementary economic question is whether the social cost of legacy retained objects, as the source-and-sink models</w:t>
      </w:r>
      <w:r>
        <w:t xml:space="preserve"> </w:t>
      </w:r>
      <w:hyperlink w:anchor="ref-19">
        <w:r>
          <w:rPr>
            <w:rStyle w:val="Hyperlink"/>
          </w:rPr>
          <w:t xml:space="preserve">[19]</w:t>
        </w:r>
      </w:hyperlink>
      <w:r>
        <w:t xml:space="preserve"> </w:t>
      </w:r>
      <w:r>
        <w:t xml:space="preserve">and the criticality measures</w:t>
      </w:r>
      <w:r>
        <w:t xml:space="preserve"> </w:t>
      </w:r>
      <w:hyperlink w:anchor="ref-16">
        <w:r>
          <w:rPr>
            <w:rStyle w:val="Hyperlink"/>
          </w:rPr>
          <w:t xml:space="preserve">[16]</w:t>
        </w:r>
      </w:hyperlink>
      <w:r>
        <w:t xml:space="preserve"> </w:t>
      </w:r>
      <w:r>
        <w:t xml:space="preserve">quantify it, justifies the removal cost under defensible assumptions about the marginal external cost of a retained object</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Parameterized on the documented derelicts the disposal record names, a benefit-cost analysis of targeted removal would inform the portfolio decision NASA and JPL both face on whether to be producers, customers, or beneficiaries of active removal services. A complementary cost basis from the user side is what the Skopic, Liang, and Yi assessment of the operational impacts of orbital debris supplies</w:t>
      </w:r>
      <w:r>
        <w:t xml:space="preserve"> </w:t>
      </w:r>
      <w:hyperlink w:anchor="ref-22">
        <w:r>
          <w:rPr>
            <w:rStyle w:val="Hyperlink"/>
          </w:rPr>
          <w:t xml:space="preserve">[22]</w:t>
        </w:r>
      </w:hyperlink>
      <w:r>
        <w:t xml:space="preserve">.</w:t>
      </w:r>
    </w:p>
    <w:p>
      <w:pPr>
        <w:pStyle w:val="BodyText"/>
        <w:spacing w:line="480" w:lineRule="auto"/>
        <w:ind w:firstLine="720"/>
      </w:pPr>
      <w:r>
        <w:t xml:space="preserve">Fourth comes extending the capability and internalization framework to the next-generation propulsion and self-removal architectures the engineering literature is beginning to sketch. A maturing technical base on which design-time disposal capability can be made cheaper, lighter, and more autonomous is what the vacuum arc thruster efficiency work of Huang and Li</w:t>
      </w:r>
      <w:r>
        <w:t xml:space="preserve"> </w:t>
      </w:r>
      <w:hyperlink w:anchor="ref-30">
        <w:r>
          <w:rPr>
            <w:rStyle w:val="Hyperlink"/>
          </w:rPr>
          <w:t xml:space="preserve">[30]</w:t>
        </w:r>
      </w:hyperlink>
      <w:r>
        <w:t xml:space="preserve">, the autonomous self-removal architecture of Wander, Konstantinidis, Förstner, and Voigt</w:t>
      </w:r>
      <w:r>
        <w:t xml:space="preserve"> </w:t>
      </w:r>
      <w:hyperlink w:anchor="ref-29">
        <w:r>
          <w:rPr>
            <w:rStyle w:val="Hyperlink"/>
          </w:rPr>
          <w:t xml:space="preserve">[29]</w:t>
        </w:r>
      </w:hyperlink>
      <w:r>
        <w:t xml:space="preserve">, and the rendezvous and proximity operations work surveyed in</w:t>
      </w:r>
      <w:r>
        <w:t xml:space="preserve"> </w:t>
      </w:r>
      <w:hyperlink w:anchor="ref-32">
        <w:r>
          <w:rPr>
            <w:rStyle w:val="Hyperlink"/>
          </w:rPr>
          <w:t xml:space="preserve">[32]</w:t>
        </w:r>
      </w:hyperlink>
      <w:r>
        <w:t xml:space="preserve"> </w:t>
      </w:r>
      <w:r>
        <w:t xml:space="preserve">suggest. If capability dominates disposal outcomes, then the cost of capability dominates the rate at which the operator population converges to a disposal-capable steady state. Tracking how the marginal cost of disposal capability moves with these technologies, and how operator responsiveness to that cost varies with regime, is the empirical question that ties the engineering trajectory to the behavioral one. The natural empirical setting for it is the Sorge, Alary, Lacomba, and Tung analysis of large-constellation traffic management</w:t>
      </w:r>
      <w:r>
        <w:t xml:space="preserve"> </w:t>
      </w:r>
      <w:hyperlink w:anchor="ref-17">
        <w:r>
          <w:rPr>
            <w:rStyle w:val="Hyperlink"/>
          </w:rPr>
          <w:t xml:space="preserve">[17]</w:t>
        </w:r>
      </w:hyperlink>
      <w:r>
        <w:t xml:space="preserve">,</w:t>
      </w:r>
      <w:r>
        <w:t xml:space="preserve"> </w:t>
      </w:r>
      <w:hyperlink w:anchor="ref-34">
        <w:r>
          <w:rPr>
            <w:rStyle w:val="Hyperlink"/>
          </w:rPr>
          <w:t xml:space="preserve">[34]</w:t>
        </w:r>
      </w:hyperlink>
      <w:r>
        <w:t xml:space="preserve">.</w:t>
      </w:r>
    </w:p>
    <w:p>
      <w:pPr>
        <w:pStyle w:val="BodyText"/>
        <w:spacing w:line="480" w:lineRule="auto"/>
        <w:ind w:firstLine="720"/>
      </w:pPr>
      <w:r>
        <w:t xml:space="preserve">Fifth comes the regulatory architecture itself. The negative sign on the regime indicator in the cohort cross-section, which the first paper attributes to selection of stricter rules onto harder cohorts, warns that the link between rules and outcomes is mediated by the difficulty of the task a rule governs. So future research on the design of cost-internalizing instruments should model the interaction of rule stringency and task difficulty explicitly rather than treat them as additive. Sound at the level of marginal external cost, the Pigouvian-tax intuition recurring in the economics literature</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w:t>
      </w:r>
      <w:r>
        <w:t xml:space="preserve">does not, as stated, address the heterogeneity of disposal cost across orbits and platform classes. A more carefully designed instrument, calibrated to that heterogeneity and to the capability-investment margin the dissertation marks as decisive, is the policy translation the empirical work makes possible and that subsequent research should attempt. The dynamic and capacity-aware foundations such an instrument can be built on are what the model-based control framework for space debris management of Rusconi and Colombo</w:t>
      </w:r>
      <w:r>
        <w:t xml:space="preserve"> </w:t>
      </w:r>
      <w:hyperlink w:anchor="ref-28">
        <w:r>
          <w:rPr>
            <w:rStyle w:val="Hyperlink"/>
          </w:rPr>
          <w:t xml:space="preserve">[28]</w:t>
        </w:r>
      </w:hyperlink>
      <w:r>
        <w:t xml:space="preserve"> </w:t>
      </w:r>
      <w:r>
        <w:t xml:space="preserve">and the space capacity management framework of Colombo and colleagues</w:t>
      </w:r>
      <w:r>
        <w:t xml:space="preserve"> </w:t>
      </w:r>
      <w:hyperlink w:anchor="ref-27">
        <w:r>
          <w:rPr>
            <w:rStyle w:val="Hyperlink"/>
          </w:rPr>
          <w:t xml:space="preserve">[27]</w:t>
        </w:r>
      </w:hyperlink>
      <w:r>
        <w:t xml:space="preserve"> </w:t>
      </w:r>
      <w:r>
        <w:t xml:space="preserve">provide.</w:t>
      </w:r>
    </w:p>
    <w:bookmarkEnd w:id="133"/>
    <w:bookmarkStart w:id="134" w:name="closing-synthesis"/>
    <w:p>
      <w:pPr>
        <w:pStyle w:val="Heading2"/>
        <w:spacing w:line="480" w:lineRule="auto"/>
      </w:pPr>
      <w:r>
        <w:t xml:space="preserve">7.6 Closing Synthesis</w:t>
      </w:r>
    </w:p>
    <w:p>
      <w:pPr>
        <w:pStyle w:val="FirstParagraph"/>
        <w:spacing w:line="480" w:lineRule="auto"/>
      </w:pPr>
      <w:r>
        <w:t xml:space="preserve">Whether the disposal gap in low Earth orbit is a collective-action problem or a capability problem is the question the dissertation opened with. A measured answer is what the assembled evidence gives. In the cross-section of operator cohorts and in the row-level record of documented end-of-life events, the dominant predictor of whether an object disposes of itself is whether the operator built and kept a disposal capability. The free-rider variable does not survive conditioning on capability in the cross-section, and the cost-internalizing regime indicator is positive and economically large yet cannot be cleanly told from zero at present sample sizes. For NASA program management and JPL decision-making, the actionable implication is that disposal behavior is settled at the design margin, and that shielding the disposal capability from descope pressure at the requirements gate is the institutional intervention with the largest expected effect on the eventual environmental footprint of the flown portfolio. The deeper economic claim that voluntary instruments are structurally insufficient these results do not establish, and it remains the open question the panel design and the qualitative case strand are built to answer. What the dissertation has established is that the gap is mediated by capability, and that an account of how disposal capability is itself produced, by design culture, by acquisition language, by licensing regime, and by the economic architecture around them, is the next inferential frontier on which the disposal gap will be either closed or sustained.</w:t>
      </w:r>
    </w:p>
    <w:bookmarkEnd w:id="134"/>
    <w:bookmarkEnd w:id="135"/>
    <w:bookmarkStart w:id="196" w:name="chapter-8.-conclusion"/>
    <w:p>
      <w:pPr>
        <w:pStyle w:val="Heading1"/>
        <w:spacing w:line="480" w:lineRule="auto"/>
      </w:pPr>
      <w:r>
        <w:t xml:space="preserve">Chapter 8. Conclusion</w:t>
      </w:r>
    </w:p>
    <w:bookmarkStart w:id="136" w:name="restating-the-argument"/>
    <w:p>
      <w:pPr>
        <w:pStyle w:val="Heading2"/>
        <w:spacing w:line="480" w:lineRule="auto"/>
      </w:pPr>
      <w:r>
        <w:t xml:space="preserve">8.1 Restating the Argument</w:t>
      </w:r>
    </w:p>
    <w:p>
      <w:pPr>
        <w:pStyle w:val="FirstParagraph"/>
        <w:spacing w:line="480" w:lineRule="auto"/>
      </w:pPr>
      <w:r>
        <w:t xml:space="preserve">Two accounts of the post-mission disposal gap in low Earth orbit were what this dissertation set out to tell apart. One is orthodox and reads the shortfall as a matter of rules, information, and engineering: operators leave hardware in orbit because the guidelines read unclearly, because propagation tools run imprecise, or because the hardware to deorbit was never there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The other comes from the economics of common-pool resources and reads the shortfall as the equilibrium a collective-action problem would predict, one where a single operator swallows the whole private cost of disposal while the collision-risk benefit spreads across every user of the orbit</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What an operator does at end of life is exactly where the two accounts part company, and observed data are what the dissertation put the predictions to.</w:t>
      </w:r>
    </w:p>
    <w:p>
      <w:pPr>
        <w:pStyle w:val="BodyText"/>
        <w:spacing w:line="480" w:lineRule="auto"/>
        <w:ind w:firstLine="720"/>
      </w:pPr>
      <w:r>
        <w:t xml:space="preserve">At the outset I committed to a single falsifiable proposition. Hold technical disposal capability fixed, and an operator’s place in the collective-action structure should still carry explanatory weight if a free-rider problem drives the gap, and should carry none if a capability problem drives it. Refined into two complementary designs, that commitment shaped the whole investigation. Chapter 5’s operator-cohort cross-section, built on the analysis in the cohort paper, drew twenty-eight named cohorts from the ESA Space Environment Report</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w:t>
      </w:r>
      <w:r>
        <w:t xml:space="preserve">and from the Italian and aggregate compliance studies of Pardini and Anselmo</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and it estimated how much a private-benefit-share measure explains once a technical capability index is held fixed. Chapter 6’s event-level logit drew thirty-four documented end-of-life events, with the Aeolus assisted reentry</w:t>
      </w:r>
      <w:r>
        <w:t xml:space="preserve"> </w:t>
      </w:r>
      <w:hyperlink w:anchor="ref-18">
        <w:r>
          <w:rPr>
            <w:rStyle w:val="Hyperlink"/>
          </w:rPr>
          <w:t xml:space="preserve">[18]</w:t>
        </w:r>
      </w:hyperlink>
      <w:r>
        <w:t xml:space="preserve"> </w:t>
      </w:r>
      <w:r>
        <w:t xml:space="preserve">and the Envisat retention failure at the two poles, and it estimated how much the post-2020 cost-internalizing regime</w:t>
      </w:r>
      <w:r>
        <w:t xml:space="preserve"> </w:t>
      </w:r>
      <w:hyperlink w:anchor="ref-12">
        <w:r>
          <w:rPr>
            <w:rStyle w:val="Hyperlink"/>
          </w:rPr>
          <w:t xml:space="preserve">[12]</w:t>
        </w:r>
      </w:hyperlink>
      <w:r>
        <w:t xml:space="preserve"> </w:t>
      </w:r>
      <w:r>
        <w:t xml:space="preserve">explains once capability and altitude are held fixed.</w:t>
      </w:r>
    </w:p>
    <w:p>
      <w:pPr>
        <w:pStyle w:val="BodyText"/>
        <w:spacing w:line="480" w:lineRule="auto"/>
        <w:ind w:firstLine="720"/>
      </w:pPr>
      <w:r>
        <w:t xml:space="preserve">What both designs found, the dissertation neither predicted nor shielded itself against. Capability dominates each specification. In the cohort cross-section its coefficient lands near 0.83, with a robust standard error of roughly 0.14 and a p-value below 0.001, while the private-benefit-share term falls to about negative 0.06, statistically indistinguishable from zero and faintly signed against the free-rider prediction. In the event-level logit the capability indicator carries a coefficient of 4.91 with a standard error of 1.59, a z-statistic of 3.09, and an odds ratio on the order of 136, while the post-2020 regime indicator, positive and large in point estimate at an odds ratio of about five, comes back imprecise, its confidence interval spanning zero. In both designs, whether an object can dispose of itself is what does the explanatory work. The free-rider signature the collective-action account had promised surfaces cleanly in neither specification.</w:t>
      </w:r>
    </w:p>
    <w:bookmarkEnd w:id="136"/>
    <w:bookmarkStart w:id="137" w:name="what-the-argument-now-looks-like"/>
    <w:p>
      <w:pPr>
        <w:pStyle w:val="Heading2"/>
        <w:spacing w:line="480" w:lineRule="auto"/>
      </w:pPr>
      <w:r>
        <w:t xml:space="preserve">8.2 What the Argument Now Looks Like</w:t>
      </w:r>
    </w:p>
    <w:p>
      <w:pPr>
        <w:pStyle w:val="FirstParagraph"/>
        <w:spacing w:line="480" w:lineRule="auto"/>
      </w:pPr>
      <w:r>
        <w:t xml:space="preserve">Read honestly, these results do not vindicate the orthodox engineering account, and the dissertation declines to read them that way. What they do is reframe where the collective-action mechanism actually operates. Capability is not the rival to internalization. It is the channel internalization runs through. Designing, building, qualifying, fueling, and retaining a disposal capability is a decision taken years ahead of end of life, under whatever cost structure the operator expects to face across the program lifetime. What shapes the capability investment the data then reveal as decisive is exactly this: whether the operator expects the external cost of a retained derelict to be priced, by a licensing condition, a deorbit deadline, an insurance regime, or a sustainability rating that gates market access. So the cross-sectional null on the benefit-share term and the positive-but-imprecise regime term in the event logit do not refute the collective-action account. They move it. The mechanism lives one design cycle upstream of the disposal event, in the capability investment, not at the disposal event itself.</w:t>
      </w:r>
    </w:p>
    <w:p>
      <w:pPr>
        <w:pStyle w:val="BodyText"/>
        <w:spacing w:line="480" w:lineRule="auto"/>
        <w:ind w:firstLine="720"/>
      </w:pPr>
      <w:r>
        <w:t xml:space="preserve">Relocating the mechanism is no rescue. It is a substantive theoretical claim, and consequences follow from it. Once the collective-action problem is realized upstream in the capability investment, the policy instruments most often argued at the disposal margin turn out to be aimed at the wrong moment. A voluntary sustainability rating that signals operator behavior at end of life</w:t>
      </w:r>
      <w:r>
        <w:t xml:space="preserve"> </w:t>
      </w:r>
      <w:hyperlink w:anchor="ref-2">
        <w:r>
          <w:rPr>
            <w:rStyle w:val="Hyperlink"/>
          </w:rPr>
          <w:t xml:space="preserve">[2]</w:t>
        </w:r>
      </w:hyperlink>
      <w:r>
        <w:t xml:space="preserve"> </w:t>
      </w:r>
      <w:r>
        <w:t xml:space="preserve">cannot go back and give a legacy platform the propellant, the demisable structure</w:t>
      </w:r>
      <w:r>
        <w:t xml:space="preserve"> </w:t>
      </w:r>
      <w:hyperlink w:anchor="ref-13">
        <w:r>
          <w:rPr>
            <w:rStyle w:val="Hyperlink"/>
          </w:rPr>
          <w:t xml:space="preserve">[13]</w:t>
        </w:r>
      </w:hyperlink>
      <w:r>
        <w:t xml:space="preserve">, or the active thruster</w:t>
      </w:r>
      <w:r>
        <w:t xml:space="preserve"> </w:t>
      </w:r>
      <w:hyperlink w:anchor="ref-29">
        <w:r>
          <w:rPr>
            <w:rStyle w:val="Hyperlink"/>
          </w:rPr>
          <w:t xml:space="preserve">[29]</w:t>
        </w:r>
      </w:hyperlink>
      <w:r>
        <w:t xml:space="preserve">,</w:t>
      </w:r>
      <w:r>
        <w:t xml:space="preserve"> </w:t>
      </w:r>
      <w:hyperlink w:anchor="ref-30">
        <w:r>
          <w:rPr>
            <w:rStyle w:val="Hyperlink"/>
          </w:rPr>
          <w:t xml:space="preserve">[30]</w:t>
        </w:r>
      </w:hyperlink>
      <w:r>
        <w:t xml:space="preserve"> </w:t>
      </w:r>
      <w:r>
        <w:t xml:space="preserve">it never carried. Only insofar as it credibly changes the cost the operator faces across the program lifetime can it shift the next design cycle, and the dissertation turns up no evidence that voluntary reputation instruments carry that credibility on their own. What is aimed at the right moment binds the capability investment directly: licensing conditions of the kind the FCC five-year deorbit rule introduced</w:t>
      </w:r>
      <w:r>
        <w:t xml:space="preserve"> </w:t>
      </w:r>
      <w:hyperlink w:anchor="ref-12">
        <w:r>
          <w:rPr>
            <w:rStyle w:val="Hyperlink"/>
          </w:rPr>
          <w:t xml:space="preserve">[12]</w:t>
        </w:r>
      </w:hyperlink>
      <w:r>
        <w:t xml:space="preserve">, the design-for-disposal mandates the demisability literature implies</w:t>
      </w:r>
      <w:r>
        <w:t xml:space="preserve"> </w:t>
      </w:r>
      <w:hyperlink w:anchor="ref-18">
        <w:r>
          <w:rPr>
            <w:rStyle w:val="Hyperlink"/>
          </w:rPr>
          <w:t xml:space="preserve">[18]</w:t>
        </w:r>
      </w:hyperlink>
      <w:r>
        <w:t xml:space="preserve">, and the cost-internalizing charges Rao and Rondina derive from the open-access externality structure</w:t>
      </w:r>
      <w:r>
        <w:t xml:space="preserve"> </w:t>
      </w:r>
      <w:hyperlink w:anchor="ref-6">
        <w:r>
          <w:rPr>
            <w:rStyle w:val="Hyperlink"/>
          </w:rPr>
          <w:t xml:space="preserve">[6]</w:t>
        </w:r>
      </w:hyperlink>
      <w:r>
        <w:t xml:space="preserve">. Cast this way, the internalization account fits what the dissertation found rather than falling to it.</w:t>
      </w:r>
    </w:p>
    <w:bookmarkEnd w:id="137"/>
    <w:bookmarkStart w:id="138" w:name="contribution-to-knowledge"/>
    <w:p>
      <w:pPr>
        <w:pStyle w:val="Heading2"/>
        <w:spacing w:line="480" w:lineRule="auto"/>
      </w:pPr>
      <w:r>
        <w:t xml:space="preserve">8.3 Contribution to Knowledge</w:t>
      </w:r>
    </w:p>
    <w:p>
      <w:pPr>
        <w:pStyle w:val="FirstParagraph"/>
        <w:spacing w:line="480" w:lineRule="auto"/>
      </w:pPr>
      <w:r>
        <w:t xml:space="preserve">Four contributions to the literature it entered come out of this dissertation.</w:t>
      </w:r>
    </w:p>
    <w:p>
      <w:pPr>
        <w:pStyle w:val="BodyText"/>
        <w:spacing w:line="480" w:lineRule="auto"/>
        <w:ind w:firstLine="720"/>
      </w:pPr>
      <w:r>
        <w:t xml:space="preserve">The empirical one comes first: joining a behavioral economic mechanism to operator-level disposal outcomes. For years the mitigation-engineering literature has quantified the disposal shortfall and projected its environmental consequences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16">
        <w:r>
          <w:rPr>
            <w:rStyle w:val="Hyperlink"/>
          </w:rPr>
          <w:t xml:space="preserve">[16]</w:t>
        </w:r>
      </w:hyperlink>
      <w:r>
        <w:t xml:space="preserve">,</w:t>
      </w:r>
      <w:r>
        <w:t xml:space="preserve"> </w:t>
      </w:r>
      <w:hyperlink w:anchor="ref-22">
        <w:r>
          <w:rPr>
            <w:rStyle w:val="Hyperlink"/>
          </w:rPr>
          <w:t xml:space="preserve">[22]</w:t>
        </w:r>
      </w:hyperlink>
      <w:r>
        <w:t xml:space="preserve">, and for years the space-economics literature has argued from theory that orbit use is an open-access commons whose external costs go uninternalized</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Largely the two have run on parallel tracks. Compiling a cross-section of twenty-eight named operator-cohorts and an event-level sample of thirty-four documented end-of-life cases, and estimating both the capability and the collective-action terms in the same specifications, the dissertation supplies the first joint test that uses observed disposal outcomes to tell the mechanisms apart. What it returned is not what the prospectus expected, and it is the more useful for that.</w:t>
      </w:r>
    </w:p>
    <w:p>
      <w:pPr>
        <w:pStyle w:val="BodyText"/>
        <w:spacing w:line="480" w:lineRule="auto"/>
        <w:ind w:firstLine="720"/>
      </w:pPr>
      <w:r>
        <w:t xml:space="preserve">A methodological lesson comes second, out of the cross-section itself. No cross-section in which capability and benefit share are correlated by construction can cleanly extract the free-rider signature, because the same operators who built large manoeuvrable constellations both can dispose and capture much of their own collision benefit. So the honest conclusion from the cohort design is not that the collective-action mechanism is absent from the population but that identifying it needs within-operator variation to hold capability fixed by construction. Whoever takes up the disposal gap next will have to find that variation, in within-operator regime shifts, in operator nationality that predates the constellation decision, or in natural experiments like the FCC five-year rule transition</w:t>
      </w:r>
      <w:r>
        <w:t xml:space="preserve"> </w:t>
      </w:r>
      <w:hyperlink w:anchor="ref-12">
        <w:r>
          <w:rPr>
            <w:rStyle w:val="Hyperlink"/>
          </w:rPr>
          <w:t xml:space="preserve">[12]</w:t>
        </w:r>
      </w:hyperlink>
      <w:r>
        <w:t xml:space="preserve">, rather than asking the cross-section to deliver a partial coefficient the data cannot identify.</w:t>
      </w:r>
    </w:p>
    <w:p>
      <w:pPr>
        <w:pStyle w:val="BodyText"/>
        <w:spacing w:line="480" w:lineRule="auto"/>
        <w:ind w:firstLine="720"/>
      </w:pPr>
      <w:r>
        <w:t xml:space="preserve">Relocating the collective-action mechanism from the disposal event to the capability investment is the third contribution. It is theoretical, and it bridges the engineering and economics literatures rather than picking one over the other. It fits the constellation-era operations literature, where disposal performance climbs precisely as large operators and stricter regimes reshape the design environment</w:t>
      </w:r>
      <w:r>
        <w:t xml:space="preserve"> </w:t>
      </w:r>
      <w:hyperlink w:anchor="ref-17">
        <w:r>
          <w:rPr>
            <w:rStyle w:val="Hyperlink"/>
          </w:rPr>
          <w:t xml:space="preserve">[17]</w:t>
        </w:r>
      </w:hyperlink>
      <w:r>
        <w:t xml:space="preserve">,</w:t>
      </w:r>
      <w:r>
        <w:t xml:space="preserve"> </w:t>
      </w:r>
      <w:hyperlink w:anchor="ref-34">
        <w:r>
          <w:rPr>
            <w:rStyle w:val="Hyperlink"/>
          </w:rPr>
          <w:t xml:space="preserve">[34]</w:t>
        </w:r>
      </w:hyperlink>
      <w:r>
        <w:t xml:space="preserve">, and it fits the active-debris-removal literature, where the binding constraint on remediation turns out to be not the absence of a method but the absence of an incentive aligned with the social return</w:t>
      </w:r>
      <w:r>
        <w:t xml:space="preserve"> </w:t>
      </w:r>
      <w:hyperlink w:anchor="ref-26">
        <w:r>
          <w:rPr>
            <w:rStyle w:val="Hyperlink"/>
          </w:rPr>
          <w:t xml:space="preserve">[26]</w:t>
        </w:r>
      </w:hyperlink>
      <w:r>
        <w:t xml:space="preserve">,</w:t>
      </w:r>
      <w:r>
        <w:t xml:space="preserve"> </w:t>
      </w:r>
      <w:hyperlink w:anchor="ref-32">
        <w:r>
          <w:rPr>
            <w:rStyle w:val="Hyperlink"/>
          </w:rPr>
          <w:t xml:space="preserve">[32]</w:t>
        </w:r>
      </w:hyperlink>
      <w:r>
        <w:t xml:space="preserve">,</w:t>
      </w:r>
      <w:r>
        <w:t xml:space="preserve"> </w:t>
      </w:r>
      <w:hyperlink w:anchor="ref-33">
        <w:r>
          <w:rPr>
            <w:rStyle w:val="Hyperlink"/>
          </w:rPr>
          <w:t xml:space="preserve">[33]</w:t>
        </w:r>
      </w:hyperlink>
      <w:r>
        <w:t xml:space="preserve">. It also clarifies what governance instruments, space capacity management</w:t>
      </w:r>
      <w:r>
        <w:t xml:space="preserve"> </w:t>
      </w:r>
      <w:hyperlink w:anchor="ref-27">
        <w:r>
          <w:rPr>
            <w:rStyle w:val="Hyperlink"/>
          </w:rPr>
          <w:t xml:space="preserve">[27]</w:t>
        </w:r>
      </w:hyperlink>
      <w:r>
        <w:t xml:space="preserve">, model-based control of the debris environment</w:t>
      </w:r>
      <w:r>
        <w:t xml:space="preserve"> </w:t>
      </w:r>
      <w:hyperlink w:anchor="ref-28">
        <w:r>
          <w:rPr>
            <w:rStyle w:val="Hyperlink"/>
          </w:rPr>
          <w:t xml:space="preserve">[28]</w:t>
        </w:r>
      </w:hyperlink>
      <w:r>
        <w:t xml:space="preserve">, source-sink evolutionary models</w:t>
      </w:r>
      <w:r>
        <w:t xml:space="preserve"> </w:t>
      </w:r>
      <w:hyperlink w:anchor="ref-19">
        <w:r>
          <w:rPr>
            <w:rStyle w:val="Hyperlink"/>
          </w:rPr>
          <w:t xml:space="preserve">[19]</w:t>
        </w:r>
      </w:hyperlink>
      <w:r>
        <w:t xml:space="preserve">, sustainability-metric composites</w:t>
      </w:r>
      <w:r>
        <w:t xml:space="preserve"> </w:t>
      </w:r>
      <w:hyperlink w:anchor="ref-2">
        <w:r>
          <w:rPr>
            <w:rStyle w:val="Hyperlink"/>
          </w:rPr>
          <w:t xml:space="preserve">[2]</w:t>
        </w:r>
      </w:hyperlink>
      <w:r>
        <w:t xml:space="preserve">,</w:t>
      </w:r>
      <w:r>
        <w:t xml:space="preserve"> </w:t>
      </w:r>
      <w:hyperlink w:anchor="ref-13">
        <w:r>
          <w:rPr>
            <w:rStyle w:val="Hyperlink"/>
          </w:rPr>
          <w:t xml:space="preserve">[13]</w:t>
        </w:r>
      </w:hyperlink>
      <w:r>
        <w:t xml:space="preserve">, can and cannot do. They can shape the cost structure that governs capability investment. They cannot conjure the capability once it has been omitted.</w:t>
      </w:r>
    </w:p>
    <w:p>
      <w:pPr>
        <w:pStyle w:val="BodyText"/>
        <w:spacing w:line="480" w:lineRule="auto"/>
        <w:ind w:firstLine="720"/>
      </w:pPr>
      <w:r>
        <w:t xml:space="preserve">A practical implication for how the disposal-compliance literature is conducted comes fourth. The cleanest small finding the dissertation produced is the negative coefficient on the binding regime indicator in the cohort cross-section. Taken naively, it says binding regimes such as the five-year rule cut compliance, which is implausible. Taken as a selection effect, it says binding regimes fall precisely on the demanding lower-altitude cohorts whose disposal task is hardest, so the indicator partly marks task difficulty rather than deterrent power. This selection structure has gone under-acknowledged in the compliance-assessment literature, and the cohort analysis here is the first to put numbers on it. No future compliance comparison across jurisdictions can read raw differences as enforcement effects without first instrumenting for the difficulty of the cohorts a given regime governs.</w:t>
      </w:r>
    </w:p>
    <w:bookmarkEnd w:id="138"/>
    <w:bookmarkStart w:id="139" w:name="limits-of-the-argument"/>
    <w:p>
      <w:pPr>
        <w:pStyle w:val="Heading2"/>
        <w:spacing w:line="480" w:lineRule="auto"/>
      </w:pPr>
      <w:r>
        <w:t xml:space="preserve">8.4 Limits of the Argument</w:t>
      </w:r>
    </w:p>
    <w:p>
      <w:pPr>
        <w:pStyle w:val="FirstParagraph"/>
        <w:spacing w:line="480" w:lineRule="auto"/>
      </w:pPr>
      <w:r>
        <w:t xml:space="preserve">Candor about what the dissertation has not done is owed here. Both samples are small. Twenty-eight cohorts and thirty-four events suffice to estimate the discriminating coefficients with usable standard errors, and they do not suffice to carry strong claims about the structural causal model behind them. The cross-section cannot pull capability and benefit share apart cleanly enough to convict the free-rider account, and at the sample size available the event logit cannot pull the post-2020 regime indicator apart from the constellation indicator, the two being quasi-completely separated. As a defense against miscoding the dependent variable, the measurement-error correction for attempted-but-failed disposals</w:t>
      </w:r>
      <w:r>
        <w:t xml:space="preserve"> </w:t>
      </w:r>
      <w:hyperlink w:anchor="ref-5">
        <w:r>
          <w:rPr>
            <w:rStyle w:val="Hyperlink"/>
          </w:rPr>
          <w:t xml:space="preserve">[5]</w:t>
        </w:r>
      </w:hyperlink>
      <w:r>
        <w:t xml:space="preserve"> </w:t>
      </w:r>
      <w:r>
        <w:t xml:space="preserve">reaches only partway, and it leaves untouched the deeper worry that disposal capability and disposal intent are not perfectly observable in archival data. The qualitative case strand, anchored on the discourse-network analysis of the emerging debris regime</w:t>
      </w:r>
      <w:r>
        <w:t xml:space="preserve"> </w:t>
      </w:r>
      <w:hyperlink w:anchor="ref-7">
        <w:r>
          <w:rPr>
            <w:rStyle w:val="Hyperlink"/>
          </w:rPr>
          <w:t xml:space="preserve">[7]</w:t>
        </w:r>
      </w:hyperlink>
      <w:r>
        <w:t xml:space="preserve"> </w:t>
      </w:r>
      <w:r>
        <w:t xml:space="preserve">and on the operator-cohort narratives behind the ESA report</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confirms that the capability index tracks the engineering reality operators report, and it cannot on its own identify the internalization effect on capability investment. The external-validity restriction the prospectus set holds: these estimates rest on LEO disposal in the period through 2025, and without further work they do not travel to the cislunar regime, to active debris removal at scale, or to the sustainability-rating channel treated as a market-access condition rather than a reputation signal.</w:t>
      </w:r>
    </w:p>
    <w:bookmarkEnd w:id="139"/>
    <w:bookmarkStart w:id="140" w:name="an-agenda-for-the-next-cycle"/>
    <w:p>
      <w:pPr>
        <w:pStyle w:val="Heading2"/>
        <w:spacing w:line="480" w:lineRule="auto"/>
      </w:pPr>
      <w:r>
        <w:t xml:space="preserve">8.5 An Agenda for the Next Cycle</w:t>
      </w:r>
    </w:p>
    <w:p>
      <w:pPr>
        <w:pStyle w:val="FirstParagraph"/>
        <w:spacing w:line="480" w:lineRule="auto"/>
      </w:pPr>
      <w:r>
        <w:t xml:space="preserve">Continuing this work most naturally means building the within-operator panel the prospectus reserved and the cross-section now shows to be necessary. Here the empirical question is whether one operator, watched before and after a binding regime change such as the FCC five-year rule</w:t>
      </w:r>
      <w:r>
        <w:t xml:space="preserve"> </w:t>
      </w:r>
      <w:hyperlink w:anchor="ref-12">
        <w:r>
          <w:rPr>
            <w:rStyle w:val="Hyperlink"/>
          </w:rPr>
          <w:t xml:space="preserve">[12]</w:t>
        </w:r>
      </w:hyperlink>
      <w:r>
        <w:t xml:space="preserve">, moves its capability investment in ways that surface in disposal outcomes a design cycle later. The difference-in-differences contrast is the identification strategy the dissertation has earned the right to run, precisely because the cross-sectional findings prove the cross-section alone cannot bear it. A comparative regulatory study is a second extension: code national licensing instruments</w:t>
      </w:r>
      <w:r>
        <w:t xml:space="preserve"> </w:t>
      </w:r>
      <w:hyperlink w:anchor="ref-3">
        <w:r>
          <w:rPr>
            <w:rStyle w:val="Hyperlink"/>
          </w:rPr>
          <w:t xml:space="preserve">[3]</w:t>
        </w:r>
      </w:hyperlink>
      <w:r>
        <w:t xml:space="preserve">,</w:t>
      </w:r>
      <w:r>
        <w:t xml:space="preserve"> </w:t>
      </w:r>
      <w:hyperlink w:anchor="ref-12">
        <w:r>
          <w:rPr>
            <w:rStyle w:val="Hyperlink"/>
          </w:rPr>
          <w:t xml:space="preserve">[12]</w:t>
        </w:r>
      </w:hyperlink>
      <w:r>
        <w:t xml:space="preserve"> </w:t>
      </w:r>
      <w:r>
        <w:t xml:space="preserve">for the strictness, timing, and credibility of their cost-internalizing provisions, then regress operator capability investment on those features. A rating-as-market-access study is a third: read the Space Sustainability Rating</w:t>
      </w:r>
      <w:r>
        <w:t xml:space="preserve"> </w:t>
      </w:r>
      <w:hyperlink w:anchor="ref-2">
        <w:r>
          <w:rPr>
            <w:rStyle w:val="Hyperlink"/>
          </w:rPr>
          <w:t xml:space="preserve">[2]</w:t>
        </w:r>
      </w:hyperlink>
      <w:r>
        <w:t xml:space="preserve"> </w:t>
      </w:r>
      <w:r>
        <w:t xml:space="preserve">not as a reputation signal but as a possible gate on insurance, launch access, or national licensing approval, where its credibility might bind in a way the present design cannot see.</w:t>
      </w:r>
    </w:p>
    <w:p>
      <w:pPr>
        <w:pStyle w:val="BodyText"/>
        <w:spacing w:line="480" w:lineRule="auto"/>
        <w:ind w:firstLine="720"/>
      </w:pPr>
      <w:r>
        <w:t xml:space="preserve">An agenda for the operational research community follows as well. Mission designs in the active-debris-removal literature are now concrete and costed</w:t>
      </w:r>
      <w:r>
        <w:t xml:space="preserve"> </w:t>
      </w:r>
      <w:hyperlink w:anchor="ref-26">
        <w:r>
          <w:rPr>
            <w:rStyle w:val="Hyperlink"/>
          </w:rPr>
          <w:t xml:space="preserve">[26]</w:t>
        </w:r>
      </w:hyperlink>
      <w:r>
        <w:t xml:space="preserve">,</w:t>
      </w:r>
      <w:r>
        <w:t xml:space="preserve"> </w:t>
      </w:r>
      <w:hyperlink w:anchor="ref-32">
        <w:r>
          <w:rPr>
            <w:rStyle w:val="Hyperlink"/>
          </w:rPr>
          <w:t xml:space="preserve">[32]</w:t>
        </w:r>
      </w:hyperlink>
      <w:r>
        <w:t xml:space="preserve">,</w:t>
      </w:r>
      <w:r>
        <w:t xml:space="preserve"> </w:t>
      </w:r>
      <w:hyperlink w:anchor="ref-33">
        <w:r>
          <w:rPr>
            <w:rStyle w:val="Hyperlink"/>
          </w:rPr>
          <w:t xml:space="preserve">[33]</w:t>
        </w:r>
      </w:hyperlink>
      <w:r>
        <w:t xml:space="preserve">, and the source-sink modeling literature can now project the environmental return on removal investment with documented uncertainty</w:t>
      </w:r>
      <w:r>
        <w:t xml:space="preserve"> </w:t>
      </w:r>
      <w:hyperlink w:anchor="ref-19">
        <w:r>
          <w:rPr>
            <w:rStyle w:val="Hyperlink"/>
          </w:rPr>
          <w:t xml:space="preserve">[19]</w:t>
        </w:r>
      </w:hyperlink>
      <w:r>
        <w:t xml:space="preserve">. What comes next is whether the cost-internalizing instruments the dissertation argues are needed to close the disposal gap can be designed at the same time to fund the remediation the legacy non-disposed population now demands. That is a public-finance and regulatory-design question, and it is the one on which the long-run trajectory of low Earth orbit most plausibly hangs.</w:t>
      </w:r>
    </w:p>
    <w:bookmarkEnd w:id="140"/>
    <w:bookmarkStart w:id="141" w:name="closing-statement"/>
    <w:p>
      <w:pPr>
        <w:pStyle w:val="Heading2"/>
        <w:spacing w:line="480" w:lineRule="auto"/>
      </w:pPr>
      <w:r>
        <w:t xml:space="preserve">8.6 Closing Statement</w:t>
      </w:r>
    </w:p>
    <w:p>
      <w:pPr>
        <w:pStyle w:val="FirstParagraph"/>
        <w:spacing w:line="480" w:lineRule="auto"/>
      </w:pPr>
      <w:r>
        <w:t xml:space="preserve">A wager opened this dissertation: that the post-mission disposal gap was the visible face of a collective-action failure, and that joining a behavioral mechanism to operator-level data would settle it. The data did not settle the wager as placed. They settled a sharper one. What proximately determines disposal is the capability the operator built into the platform, and what distally determines that capability is the cost structure the platform was designed under. The free-rider problem is real, and it works upstream of the moment the disposal record gets written. Instruments that touch only the downstream moment will not move the upstream investment the data show to be decisive, and the instruments that can move it are the cost-internalizing licensing, charging, and design-mandate instruments the open-access framing has long prescribed and the engineering literature has yet to fully absorb</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 This dissertation’s contribution is not to have refuted the collective-action account, and not to have rescued the engineering account. It is to have shown, on observed disposal outcomes, where the mechanism lives and where the policy instruments therefore belong.</w:t>
      </w:r>
    </w:p>
    <w:p>
      <w:pPr>
        <w:pStyle w:val="BodyText"/>
        <w:spacing w:line="480" w:lineRule="auto"/>
        <w:ind w:firstLine="720"/>
      </w:pPr>
      <w:r>
        <w:t xml:space="preserve">Sustaining low Earth orbit is not a matter of writing better rules at the disposal margin. It is a matter of pricing the external cost of a retained derelict early enough in the design cycle that the operator who would otherwise skip a disposal capability finds building one the cheaper course. That is where the collective-action argument now stands, and that is the form to carry into the next phase of empirical and regulatory work.</w:t>
      </w:r>
    </w:p>
    <w:bookmarkEnd w:id="141"/>
    <w:bookmarkStart w:id="195" w:name="references"/>
    <w:p>
      <w:pPr>
        <w:pStyle w:val="Heading2"/>
        <w:spacing w:line="480" w:lineRule="auto"/>
      </w:pPr>
      <w:r>
        <w:t xml:space="preserve">References</w:t>
      </w:r>
    </w:p>
    <w:p>
      <w:pPr>
        <w:pStyle w:val="FirstParagraph"/>
        <w:spacing w:line="480" w:lineRule="auto"/>
      </w:pPr>
      <w:bookmarkStart w:id="142" w:name="ref-1"/>
      <w:bookmarkEnd w:id="142"/>
      <w:r>
        <w:t xml:space="preserve">1. R. Walls, D. Gaylor, V. Reddy, R. Furfaro, and M. Jah,</w:t>
      </w:r>
      <w:r>
        <w:t xml:space="preserve"> </w:t>
      </w:r>
      <w:r>
        <w:t xml:space="preserve">“Assessing the IADC Space Debris Mitigation Guidelines: A Case for Ontology-based Data Management,”</w:t>
      </w:r>
      <w:r>
        <w:t xml:space="preserve"> </w:t>
      </w:r>
      <w:r>
        <w:t xml:space="preserve">Proc. Advanced Maui Optical and Space Surveillance Technologies (AMOS) Conference, 2016.</w:t>
      </w:r>
    </w:p>
    <w:p>
      <w:pPr>
        <w:pStyle w:val="BodyText"/>
        <w:spacing w:line="480" w:lineRule="auto"/>
        <w:ind w:firstLine="720"/>
      </w:pPr>
      <w:bookmarkStart w:id="143" w:name="ref-2"/>
      <w:bookmarkEnd w:id="143"/>
      <w:r>
        <w:t xml:space="preserve">2. M. Rathnasabapathy, F. Letizia, S. Lemmens, M. Jah, S. J. Potter, N. Khlystov, et al.,</w:t>
      </w:r>
      <w:r>
        <w:t xml:space="preserve"> </w:t>
      </w:r>
      <w:r>
        <w:t xml:space="preserve">“Space sustainability rating: Designing a composite indicator to incentivize satellite operators to pursue long-term sustainability of the space environment,”</w:t>
      </w:r>
      <w:r>
        <w:t xml:space="preserve"> </w:t>
      </w:r>
      <w:r>
        <w:t xml:space="preserve">Acta Astronautica, vol. 232, 2025, doi:</w:t>
      </w:r>
      <w:r>
        <w:t xml:space="preserve"> </w:t>
      </w:r>
      <w:hyperlink r:id="rId144">
        <w:r>
          <w:rPr>
            <w:rStyle w:val="Hyperlink"/>
          </w:rPr>
          <w:t xml:space="preserve">10.1016/j.actaastro.2025.03.034</w:t>
        </w:r>
      </w:hyperlink>
    </w:p>
    <w:p>
      <w:pPr>
        <w:pStyle w:val="BodyText"/>
        <w:spacing w:line="480" w:lineRule="auto"/>
        <w:ind w:firstLine="720"/>
      </w:pPr>
      <w:bookmarkStart w:id="145" w:name="ref-3"/>
      <w:bookmarkEnd w:id="145"/>
      <w:r>
        <w:t xml:space="preserve">3. Q. Verspieren,</w:t>
      </w:r>
      <w:r>
        <w:t xml:space="preserve"> </w:t>
      </w:r>
      <w:r>
        <w:t xml:space="preserve">“The US Air Force Compliance with the Orbital Debris Mitigation Standard Practices,”</w:t>
      </w:r>
      <w:r>
        <w:t xml:space="preserve"> </w:t>
      </w:r>
      <w:r>
        <w:t xml:space="preserve">Proc. Advanced Maui Optical and Space Surveillance Technologies (AMOS) Conference, 2020.</w:t>
      </w:r>
    </w:p>
    <w:p>
      <w:pPr>
        <w:pStyle w:val="BodyText"/>
        <w:spacing w:line="480" w:lineRule="auto"/>
        <w:ind w:firstLine="720"/>
      </w:pPr>
      <w:bookmarkStart w:id="146" w:name="ref-4"/>
      <w:bookmarkEnd w:id="146"/>
      <w:r>
        <w:t xml:space="preserve">4. C. Pardini and L. Anselmo,</w:t>
      </w:r>
      <w:r>
        <w:t xml:space="preserve"> </w:t>
      </w:r>
      <w:r>
        <w:t xml:space="preserve">“Evaluating the impact of space activities in low earth orbit,”</w:t>
      </w:r>
      <w:r>
        <w:t xml:space="preserve"> </w:t>
      </w:r>
      <w:r>
        <w:t xml:space="preserve">Acta Astronautica, vol. 184, 2021, doi:</w:t>
      </w:r>
      <w:r>
        <w:t xml:space="preserve"> </w:t>
      </w:r>
      <w:hyperlink r:id="rId147">
        <w:r>
          <w:rPr>
            <w:rStyle w:val="Hyperlink"/>
          </w:rPr>
          <w:t xml:space="preserve">10.1016/j.actaastro.2021.03.030</w:t>
        </w:r>
      </w:hyperlink>
    </w:p>
    <w:p>
      <w:pPr>
        <w:pStyle w:val="BodyText"/>
        <w:spacing w:line="480" w:lineRule="auto"/>
        <w:ind w:firstLine="720"/>
      </w:pPr>
      <w:bookmarkStart w:id="148" w:name="ref-5"/>
      <w:bookmarkEnd w:id="148"/>
      <w:r>
        <w:t xml:space="preserve">5. L. Ayala Fernández, C. Wiedemann, V. Braun, and S. Lemmens,</w:t>
      </w:r>
      <w:r>
        <w:t xml:space="preserve"> </w:t>
      </w:r>
      <w:r>
        <w:t xml:space="preserve">“Uncertainty in Remaining Orbital Lifetime Estimation After Post-Mission Disposal,”</w:t>
      </w:r>
      <w:r>
        <w:t xml:space="preserve"> </w:t>
      </w:r>
      <w:r>
        <w:t xml:space="preserve">Proc. Advanced Maui Optical and Space Surveillance Technologies (AMOS) Conference, 2023, doi:</w:t>
      </w:r>
      <w:r>
        <w:t xml:space="preserve"> </w:t>
      </w:r>
      <w:hyperlink r:id="rId149">
        <w:r>
          <w:rPr>
            <w:rStyle w:val="Hyperlink"/>
          </w:rPr>
          <w:t xml:space="preserve">10.64861/QKCI9457</w:t>
        </w:r>
      </w:hyperlink>
    </w:p>
    <w:p>
      <w:pPr>
        <w:pStyle w:val="BodyText"/>
        <w:spacing w:line="480" w:lineRule="auto"/>
        <w:ind w:firstLine="720"/>
      </w:pPr>
      <w:bookmarkStart w:id="150" w:name="ref-6"/>
      <w:bookmarkEnd w:id="150"/>
      <w:r>
        <w:t xml:space="preserve">6. A. Rao and G. Rondina,</w:t>
      </w:r>
      <w:r>
        <w:t xml:space="preserve"> </w:t>
      </w:r>
      <w:r>
        <w:t xml:space="preserve">“The Economics of Orbit Use: Open Access, External Costs, and Runaway Debris Growth,”</w:t>
      </w:r>
      <w:r>
        <w:t xml:space="preserve"> </w:t>
      </w:r>
      <w:r>
        <w:t xml:space="preserve">Journal of the Association of Environmental and Resource Economists, 2024, doi:</w:t>
      </w:r>
      <w:r>
        <w:t xml:space="preserve"> </w:t>
      </w:r>
      <w:hyperlink r:id="rId151">
        <w:r>
          <w:rPr>
            <w:rStyle w:val="Hyperlink"/>
          </w:rPr>
          <w:t xml:space="preserve">10.1086/730695</w:t>
        </w:r>
      </w:hyperlink>
    </w:p>
    <w:p>
      <w:pPr>
        <w:pStyle w:val="BodyText"/>
        <w:spacing w:line="480" w:lineRule="auto"/>
        <w:ind w:firstLine="720"/>
      </w:pPr>
      <w:bookmarkStart w:id="152" w:name="ref-7"/>
      <w:bookmarkEnd w:id="152"/>
      <w:r>
        <w:t xml:space="preserve">7. X.-S. Yap, J. Heiberg, and B. Truffer,</w:t>
      </w:r>
      <w:r>
        <w:t xml:space="preserve"> </w:t>
      </w:r>
      <w:r>
        <w:t xml:space="preserve">“The emerging global socio-technical regime for tackling space debris: A discourse network analysis,”</w:t>
      </w:r>
      <w:r>
        <w:t xml:space="preserve"> </w:t>
      </w:r>
      <w:r>
        <w:t xml:space="preserve">Acta Astronautica, vol. 207, 2023, doi:</w:t>
      </w:r>
      <w:r>
        <w:t xml:space="preserve"> </w:t>
      </w:r>
      <w:hyperlink r:id="rId153">
        <w:r>
          <w:rPr>
            <w:rStyle w:val="Hyperlink"/>
          </w:rPr>
          <w:t xml:space="preserve">10.1016/j.actaastro.2023.01.016</w:t>
        </w:r>
      </w:hyperlink>
    </w:p>
    <w:p>
      <w:pPr>
        <w:pStyle w:val="BodyText"/>
        <w:spacing w:line="480" w:lineRule="auto"/>
        <w:ind w:firstLine="720"/>
      </w:pPr>
      <w:bookmarkStart w:id="154" w:name="ref-8"/>
      <w:bookmarkEnd w:id="154"/>
      <w:r>
        <w:t xml:space="preserve">8. Cross-reference to the open-access external-cost framing in [6];</w:t>
      </w:r>
      <w:r>
        <w:t xml:space="preserve"> </w:t>
      </w:r>
      <w:r>
        <w:t xml:space="preserve">“An Economic Kessler Syndrome”</w:t>
      </w:r>
      <w:r>
        <w:t xml:space="preserve"> </w:t>
      </w:r>
      <w:r>
        <w:t xml:space="preserve">digest, Pigouvian debris-tax restoring social optimum (Space Economy Papers corpus, key S7).</w:t>
      </w:r>
    </w:p>
    <w:p>
      <w:pPr>
        <w:pStyle w:val="BodyText"/>
        <w:spacing w:line="480" w:lineRule="auto"/>
        <w:ind w:firstLine="720"/>
      </w:pPr>
      <w:bookmarkStart w:id="155" w:name="ref-9"/>
      <w:bookmarkEnd w:id="155"/>
      <w:r>
        <w:t xml:space="preserve">9. Pardini and L. Anselmo,</w:t>
      </w:r>
      <w:r>
        <w:t xml:space="preserve"> </w:t>
      </w:r>
      <w:r>
        <w:t xml:space="preserve">“Compliance of the Italian satellites in low Earth orbit with the end-of-life disposal guidelines for space debris mitigation and ranking of their long-term criticality for the environment,”</w:t>
      </w:r>
      <w:r>
        <w:t xml:space="preserve"> </w:t>
      </w:r>
      <w:r>
        <w:t xml:space="preserve">Acta Astronautica, vol. 114, pp. 93-100, 2015, doi:</w:t>
      </w:r>
      <w:r>
        <w:t xml:space="preserve"> </w:t>
      </w:r>
      <w:hyperlink r:id="rId156">
        <w:r>
          <w:rPr>
            <w:rStyle w:val="Hyperlink"/>
          </w:rPr>
          <w:t xml:space="preserve">10.1016/j.actaastro.2015.04.024</w:t>
        </w:r>
      </w:hyperlink>
    </w:p>
    <w:p>
      <w:pPr>
        <w:pStyle w:val="BodyText"/>
        <w:spacing w:line="480" w:lineRule="auto"/>
        <w:ind w:firstLine="720"/>
      </w:pPr>
      <w:bookmarkStart w:id="157" w:name="ref-10"/>
      <w:bookmarkEnd w:id="157"/>
      <w:r>
        <w:t xml:space="preserve">10. M. Weinzierl,</w:t>
      </w:r>
      <w:r>
        <w:t xml:space="preserve"> </w:t>
      </w:r>
      <w:r>
        <w:t xml:space="preserve">“Space, the Final Economic Frontier,”</w:t>
      </w:r>
      <w:r>
        <w:t xml:space="preserve"> </w:t>
      </w:r>
      <w:r>
        <w:t xml:space="preserve">Journal of Economic Perspectives, vol. 32, no. 2, 2018, doi:</w:t>
      </w:r>
      <w:r>
        <w:t xml:space="preserve"> </w:t>
      </w:r>
      <w:hyperlink r:id="rId158">
        <w:r>
          <w:rPr>
            <w:rStyle w:val="Hyperlink"/>
          </w:rPr>
          <w:t xml:space="preserve">10.1257/jep.32.2.173</w:t>
        </w:r>
      </w:hyperlink>
    </w:p>
    <w:p>
      <w:pPr>
        <w:pStyle w:val="BodyText"/>
        <w:spacing w:line="480" w:lineRule="auto"/>
        <w:ind w:firstLine="720"/>
      </w:pPr>
      <w:bookmarkStart w:id="159" w:name="ref-11"/>
      <w:bookmarkEnd w:id="159"/>
      <w:r>
        <w:t xml:space="preserve">11. European Space Agency Space Debris Office, ESA Annual Space Environment Report, ESA/ESOC, Darmstadt, 2024 and 2025 editions.</w:t>
      </w:r>
    </w:p>
    <w:p>
      <w:pPr>
        <w:pStyle w:val="BodyText"/>
        <w:spacing w:line="480" w:lineRule="auto"/>
        <w:ind w:firstLine="720"/>
      </w:pPr>
      <w:bookmarkStart w:id="160" w:name="ref-12"/>
      <w:bookmarkEnd w:id="160"/>
      <w:r>
        <w:t xml:space="preserve">12. Federal Communications Commission,</w:t>
      </w:r>
      <w:r>
        <w:t xml:space="preserve"> </w:t>
      </w:r>
      <w:r>
        <w:t xml:space="preserve">“Mitigation of Orbital Debris in the New Space Age,”</w:t>
      </w:r>
      <w:r>
        <w:t xml:space="preserve"> </w:t>
      </w:r>
      <w:r>
        <w:t xml:space="preserve">Second Report and Order, FCC-22-74, 2022.</w:t>
      </w:r>
    </w:p>
    <w:p>
      <w:pPr>
        <w:pStyle w:val="BodyText"/>
        <w:spacing w:line="480" w:lineRule="auto"/>
        <w:ind w:firstLine="720"/>
      </w:pPr>
      <w:bookmarkStart w:id="161" w:name="ref-13"/>
      <w:bookmarkEnd w:id="161"/>
      <w:r>
        <w:t xml:space="preserve">13. L. Böttcher and S. Silvestri,</w:t>
      </w:r>
      <w:r>
        <w:t xml:space="preserve"> </w:t>
      </w:r>
      <w:r>
        <w:t xml:space="preserve">“Multi-perspective analysis of sustainability metrics characterising the debris environment,”</w:t>
      </w:r>
      <w:r>
        <w:t xml:space="preserve"> </w:t>
      </w:r>
      <w:r>
        <w:t xml:space="preserve">Acta Astronautica, vol. 219, 2024. doi:</w:t>
      </w:r>
      <w:r>
        <w:t xml:space="preserve"> </w:t>
      </w:r>
      <w:hyperlink r:id="rId162">
        <w:r>
          <w:rPr>
            <w:rStyle w:val="Hyperlink"/>
          </w:rPr>
          <w:t xml:space="preserve">10.1016/j.actaastro.2024.03.002</w:t>
        </w:r>
      </w:hyperlink>
    </w:p>
    <w:p>
      <w:pPr>
        <w:pStyle w:val="BodyText"/>
        <w:spacing w:line="480" w:lineRule="auto"/>
        <w:ind w:firstLine="720"/>
      </w:pPr>
      <w:bookmarkStart w:id="163" w:name="ref-14"/>
      <w:bookmarkEnd w:id="163"/>
      <w:r>
        <w:t xml:space="preserve">14. European Space Agency, ESA Space Environment Report 2024. Darmstadt: ESA Space Debris Office, 2024. Available: https://www.esa.int/Space_Safety/Space_Debris/ESA_Space_Environment_Report_2024</w:t>
      </w:r>
    </w:p>
    <w:p>
      <w:pPr>
        <w:pStyle w:val="BodyText"/>
        <w:spacing w:line="480" w:lineRule="auto"/>
        <w:ind w:firstLine="720"/>
      </w:pPr>
      <w:bookmarkStart w:id="164" w:name="ref-15"/>
      <w:bookmarkEnd w:id="164"/>
      <w:r>
        <w:t xml:space="preserve">15. M. A. Sturza, M. D. Dankberg, and W. N. Blount,</w:t>
      </w:r>
      <w:r>
        <w:t xml:space="preserve"> </w:t>
      </w:r>
      <w:r>
        <w:t xml:space="preserve">“LEO Capacity Modeling for Sustainable Design,”</w:t>
      </w:r>
      <w:r>
        <w:t xml:space="preserve"> </w:t>
      </w:r>
      <w:r>
        <w:t xml:space="preserve">Proc. Advanced Maui Optical and Space Surveillance Technologies (AMOS) Conference, 2022. Available: https://amostech.com/TechnicalPapers/2022/Space-Debris/Sturza.pdf</w:t>
      </w:r>
    </w:p>
    <w:p>
      <w:pPr>
        <w:pStyle w:val="BodyText"/>
        <w:spacing w:line="480" w:lineRule="auto"/>
        <w:ind w:firstLine="720"/>
      </w:pPr>
      <w:bookmarkStart w:id="165" w:name="ref-16"/>
      <w:bookmarkEnd w:id="165"/>
      <w:r>
        <w:t xml:space="preserve">16. C. Pardini and L. Anselmo,</w:t>
      </w:r>
      <w:r>
        <w:t xml:space="preserve"> </w:t>
      </w:r>
      <w:r>
        <w:t xml:space="preserve">“Using the space debris flux to assess the criticality of the environment in low Earth orbit,”</w:t>
      </w:r>
      <w:r>
        <w:t xml:space="preserve"> </w:t>
      </w:r>
      <w:r>
        <w:t xml:space="preserve">Acta Astronautica, vol. 198, 2022. doi:</w:t>
      </w:r>
      <w:r>
        <w:t xml:space="preserve"> </w:t>
      </w:r>
      <w:hyperlink r:id="rId166">
        <w:r>
          <w:rPr>
            <w:rStyle w:val="Hyperlink"/>
          </w:rPr>
          <w:t xml:space="preserve">10.1016/j.actaastro.2022.05.045</w:t>
        </w:r>
      </w:hyperlink>
    </w:p>
    <w:p>
      <w:pPr>
        <w:pStyle w:val="BodyText"/>
        <w:spacing w:line="480" w:lineRule="auto"/>
        <w:ind w:firstLine="720"/>
      </w:pPr>
      <w:bookmarkStart w:id="167" w:name="ref-17"/>
      <w:bookmarkEnd w:id="167"/>
      <w:r>
        <w:t xml:space="preserve">17. M. E. Sorge, D. Alary, F. Lacomba, and H. Tung,</w:t>
      </w:r>
      <w:r>
        <w:t xml:space="preserve"> </w:t>
      </w:r>
      <w:r>
        <w:t xml:space="preserve">“Space traffic management: Large constellations,”</w:t>
      </w:r>
      <w:r>
        <w:t xml:space="preserve"> </w:t>
      </w:r>
      <w:r>
        <w:t xml:space="preserve">Acta Astronautica, 2025. doi:</w:t>
      </w:r>
      <w:r>
        <w:t xml:space="preserve"> </w:t>
      </w:r>
      <w:hyperlink r:id="rId168">
        <w:r>
          <w:rPr>
            <w:rStyle w:val="Hyperlink"/>
          </w:rPr>
          <w:t xml:space="preserve">10.1016/j.actaastro.2025.01.043</w:t>
        </w:r>
      </w:hyperlink>
    </w:p>
    <w:p>
      <w:pPr>
        <w:pStyle w:val="BodyText"/>
        <w:spacing w:line="480" w:lineRule="auto"/>
        <w:ind w:firstLine="720"/>
      </w:pPr>
      <w:bookmarkStart w:id="169" w:name="ref-18"/>
      <w:bookmarkEnd w:id="169"/>
      <w:r>
        <w:t xml:space="preserve">18. Airbus,</w:t>
      </w:r>
      <w:r>
        <w:t xml:space="preserve"> </w:t>
      </w:r>
      <w:r>
        <w:t xml:space="preserve">“Aeolus’ assisted reentry, a successful experiment to reduce space debris,”</w:t>
      </w:r>
      <w:r>
        <w:t xml:space="preserve"> </w:t>
      </w:r>
      <w:r>
        <w:t xml:space="preserve">Airbus Newsroom, 2023. Available: https://www.airbus.com/en/newsroom/stories/2023-10-aeolus-assisted-reentry-a-successful-experiment-to-reduce-space-debris</w:t>
      </w:r>
    </w:p>
    <w:p>
      <w:pPr>
        <w:pStyle w:val="BodyText"/>
        <w:spacing w:line="480" w:lineRule="auto"/>
        <w:ind w:firstLine="720"/>
      </w:pPr>
      <w:bookmarkStart w:id="170" w:name="ref-19"/>
      <w:bookmarkEnd w:id="170"/>
      <w:r>
        <w:t xml:space="preserve">19.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171">
        <w:r>
          <w:rPr>
            <w:rStyle w:val="Hyperlink"/>
          </w:rPr>
          <w:t xml:space="preserve">10.64861/FKER7625</w:t>
        </w:r>
      </w:hyperlink>
    </w:p>
    <w:p>
      <w:pPr>
        <w:pStyle w:val="BodyText"/>
        <w:spacing w:line="480" w:lineRule="auto"/>
        <w:ind w:firstLine="720"/>
      </w:pPr>
      <w:bookmarkStart w:id="172" w:name="ref-20"/>
      <w:bookmarkEnd w:id="172"/>
      <w:r>
        <w:t xml:space="preserve">20. Thomas G. Roberts, Massachusetts Institute of Technology; Richard Linares, Massachusetts Institute of Technology. Geosynchronous Satellite Maneuver Classification via Supervised Machine Learning (2021).</w:t>
      </w:r>
    </w:p>
    <w:p>
      <w:pPr>
        <w:pStyle w:val="BodyText"/>
        <w:spacing w:line="480" w:lineRule="auto"/>
        <w:ind w:firstLine="720"/>
      </w:pPr>
      <w:bookmarkStart w:id="173" w:name="ref-21"/>
      <w:bookmarkEnd w:id="173"/>
      <w:r>
        <w:t xml:space="preserve">21. Ramona Walls, CyVerse, University of Arizona, David Gaylor, University of Arizona, Vishnu Reddy, Planetary Science Institute, Roberto, Furfaro, University of Arizona, Moriba Jah, University of Arizona. Assessing the IADC Space Debris Mitigation Guidelines: A Case for Ontology-based Data Management (2016).</w:t>
      </w:r>
    </w:p>
    <w:p>
      <w:pPr>
        <w:pStyle w:val="BodyText"/>
        <w:spacing w:line="480" w:lineRule="auto"/>
        <w:ind w:firstLine="720"/>
      </w:pPr>
      <w:bookmarkStart w:id="174" w:name="ref-22"/>
      <w:bookmarkEnd w:id="174"/>
      <w:r>
        <w:t xml:space="preserve">22. Benjamin Skopic, Institute for Defense Analyses; Cameron Liang, Institute for Defense Analyses; Hannah Yi, Institute for Defense Analyses. Assessing the Operational Impacts of Orbital Debris (2025). doi:</w:t>
      </w:r>
      <w:r>
        <w:t xml:space="preserve"> </w:t>
      </w:r>
      <w:hyperlink r:id="rId175">
        <w:r>
          <w:rPr>
            <w:rStyle w:val="Hyperlink"/>
          </w:rPr>
          <w:t xml:space="preserve">10.64861/SCHO4201</w:t>
        </w:r>
      </w:hyperlink>
    </w:p>
    <w:p>
      <w:pPr>
        <w:pStyle w:val="BodyText"/>
        <w:spacing w:line="480" w:lineRule="auto"/>
        <w:ind w:firstLine="720"/>
      </w:pPr>
      <w:bookmarkStart w:id="176" w:name="ref-23"/>
      <w:bookmarkEnd w:id="176"/>
      <w:r>
        <w:t xml:space="preserve">23. Jaedong Seong, Korea Aerospace Research Institute (KARI); Okchul Jung, Korea Aerospace Research Institute (KARI); Dae Won Chung, Korea Aerospace Research Institute (KARI). KARI Recent Activities on SSA &amp; STM (2019).</w:t>
      </w:r>
    </w:p>
    <w:p>
      <w:pPr>
        <w:pStyle w:val="BodyText"/>
        <w:spacing w:line="480" w:lineRule="auto"/>
        <w:ind w:firstLine="720"/>
      </w:pPr>
      <w:bookmarkStart w:id="177" w:name="ref-24"/>
      <w:bookmarkEnd w:id="177"/>
      <w:r>
        <w:t xml:space="preserve">24. Quentin Verspieren, The University of Tokyo. The US Air Force Compliance with the Orbital Debris Mitigation Standard Practices (2020).</w:t>
      </w:r>
    </w:p>
    <w:p>
      <w:pPr>
        <w:pStyle w:val="BodyText"/>
        <w:spacing w:line="480" w:lineRule="auto"/>
        <w:ind w:firstLine="720"/>
      </w:pPr>
      <w:bookmarkStart w:id="178" w:name="ref-25"/>
      <w:bookmarkEnd w:id="178"/>
      <w:r>
        <w:t xml:space="preserve">25. Roberto Furfaro, University of Arizona, Richard Linares, University of Minnesota, David Gaylor, University of Arizona, Moriba Jah, University of Arizona, Ramona Walls, Cyverse, University of Arizona. Resident Space Object Characterization and Behavior Understanding via Machine Learning and Ontology-based Bayesian Networks (2016).</w:t>
      </w:r>
    </w:p>
    <w:p>
      <w:pPr>
        <w:pStyle w:val="BodyText"/>
        <w:spacing w:line="480" w:lineRule="auto"/>
        <w:ind w:firstLine="720"/>
      </w:pPr>
      <w:bookmarkStart w:id="179" w:name="ref-26"/>
      <w:bookmarkEnd w:id="179"/>
      <w:r>
        <w:t xml:space="preserve">26. Susanne Peters, Universität der Bundeswehr München, Roger Förstner, Universität der Bundeswehr München, Hauke Fiedler, Deutches Zentrum für Luft- und Raumfahrt DLR. Mission Design and Simulation Considerations for ADReS-A (2016).</w:t>
      </w:r>
    </w:p>
    <w:p>
      <w:pPr>
        <w:pStyle w:val="BodyText"/>
        <w:spacing w:line="480" w:lineRule="auto"/>
        <w:ind w:firstLine="720"/>
      </w:pPr>
      <w:bookmarkStart w:id="180" w:name="ref-27"/>
      <w:bookmarkEnd w:id="180"/>
      <w:r>
        <w:t xml:space="preserve">27.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181">
        <w:r>
          <w:rPr>
            <w:rStyle w:val="Hyperlink"/>
          </w:rPr>
          <w:t xml:space="preserve">10.1016/j.actaastro.2025.01.069</w:t>
        </w:r>
      </w:hyperlink>
    </w:p>
    <w:p>
      <w:pPr>
        <w:pStyle w:val="BodyText"/>
        <w:spacing w:line="480" w:lineRule="auto"/>
        <w:ind w:firstLine="720"/>
      </w:pPr>
      <w:bookmarkStart w:id="182" w:name="ref-28"/>
      <w:bookmarkEnd w:id="182"/>
      <w:r>
        <w:t xml:space="preserve">28. Martina Rusconi; Camilla Colombo. A model-based control framework for space debris management (2025). doi:</w:t>
      </w:r>
      <w:r>
        <w:t xml:space="preserve"> </w:t>
      </w:r>
      <w:hyperlink r:id="rId183">
        <w:r>
          <w:rPr>
            <w:rStyle w:val="Hyperlink"/>
          </w:rPr>
          <w:t xml:space="preserve">10.1016/j.actaastro.2025.12.018</w:t>
        </w:r>
      </w:hyperlink>
    </w:p>
    <w:p>
      <w:pPr>
        <w:pStyle w:val="BodyText"/>
        <w:spacing w:line="480" w:lineRule="auto"/>
        <w:ind w:firstLine="720"/>
      </w:pPr>
      <w:bookmarkStart w:id="184" w:name="ref-29"/>
      <w:bookmarkEnd w:id="184"/>
      <w:r>
        <w:t xml:space="preserve">29. Alexandra Wander; Konstantinos Konstantinidis; Roger Förstner; Philipp Voigt. Autonomy and operational concept for self-removal of spacecraft: Status detection, removal triggering and passivation (2019). doi:</w:t>
      </w:r>
      <w:r>
        <w:t xml:space="preserve"> </w:t>
      </w:r>
      <w:hyperlink r:id="rId185">
        <w:r>
          <w:rPr>
            <w:rStyle w:val="Hyperlink"/>
          </w:rPr>
          <w:t xml:space="preserve">10.1016/j.actaastro.2019.07.014</w:t>
        </w:r>
      </w:hyperlink>
    </w:p>
    <w:p>
      <w:pPr>
        <w:pStyle w:val="BodyText"/>
        <w:spacing w:line="480" w:lineRule="auto"/>
        <w:ind w:firstLine="720"/>
      </w:pPr>
      <w:bookmarkStart w:id="186" w:name="ref-30"/>
      <w:bookmarkEnd w:id="186"/>
      <w:r>
        <w:t xml:space="preserve">30. Ping-Han Huang; Yueh-Heng Li Li. Optimization of vacuum arc thruster efficiency through inductive energy storage circuit control (2026). doi:</w:t>
      </w:r>
      <w:r>
        <w:t xml:space="preserve"> </w:t>
      </w:r>
      <w:hyperlink r:id="rId187">
        <w:r>
          <w:rPr>
            <w:rStyle w:val="Hyperlink"/>
          </w:rPr>
          <w:t xml:space="preserve">10.1016/j.actaastro.2025.12.063</w:t>
        </w:r>
      </w:hyperlink>
    </w:p>
    <w:p>
      <w:pPr>
        <w:pStyle w:val="BodyText"/>
        <w:spacing w:line="480" w:lineRule="auto"/>
        <w:ind w:firstLine="720"/>
      </w:pPr>
      <w:bookmarkStart w:id="188" w:name="ref-31"/>
      <w:bookmarkEnd w:id="188"/>
      <w:r>
        <w:t xml:space="preserve">31. Tobias Degen; John C. Barentine; Gyula I.G. Józsa; Thomas Walter; Jacqueline Degen. Mitigating satellite trails through retroreflective coatings: A proposal for preserving the night sky (2026). doi:</w:t>
      </w:r>
      <w:r>
        <w:t xml:space="preserve"> </w:t>
      </w:r>
      <w:hyperlink r:id="rId189">
        <w:r>
          <w:rPr>
            <w:rStyle w:val="Hyperlink"/>
          </w:rPr>
          <w:t xml:space="preserve">10.1016/j.actaastro.2026.01.042</w:t>
        </w:r>
      </w:hyperlink>
    </w:p>
    <w:p>
      <w:pPr>
        <w:pStyle w:val="BodyText"/>
        <w:spacing w:line="480" w:lineRule="auto"/>
        <w:ind w:firstLine="720"/>
      </w:pPr>
      <w:bookmarkStart w:id="190" w:name="ref-32"/>
      <w:bookmarkEnd w:id="190"/>
      <w:r>
        <w:t xml:space="preserve">32. Giacomo Borelli; Gabriella Gaias; Camilla Colombo. Rendezvous and proximity operations design of an active debris removal service to a large constellation fleet (2023). doi:</w:t>
      </w:r>
      <w:r>
        <w:t xml:space="preserve"> </w:t>
      </w:r>
      <w:hyperlink r:id="rId191">
        <w:r>
          <w:rPr>
            <w:rStyle w:val="Hyperlink"/>
          </w:rPr>
          <w:t xml:space="preserve">10.1016/j.actaastro.2023.01.021</w:t>
        </w:r>
      </w:hyperlink>
    </w:p>
    <w:p>
      <w:pPr>
        <w:pStyle w:val="BodyText"/>
        <w:spacing w:line="480" w:lineRule="auto"/>
        <w:ind w:firstLine="720"/>
      </w:pPr>
      <w:bookmarkStart w:id="192" w:name="ref-33"/>
      <w:bookmarkEnd w:id="192"/>
      <w:r>
        <w:t xml:space="preserve">33. Nihal Simha; Simone Servadio; Miles Lifson; Giovanni Lavezzi; Richard Linares. Optimal Active Debris Removal mission planning to inform policy decisions (2024). doi:</w:t>
      </w:r>
      <w:r>
        <w:t xml:space="preserve"> </w:t>
      </w:r>
      <w:hyperlink r:id="rId193">
        <w:r>
          <w:rPr>
            <w:rStyle w:val="Hyperlink"/>
          </w:rPr>
          <w:t xml:space="preserve">10.1016/j.actaastro.2024.11.050</w:t>
        </w:r>
      </w:hyperlink>
    </w:p>
    <w:p>
      <w:pPr>
        <w:pStyle w:val="BodyText"/>
        <w:spacing w:line="480" w:lineRule="auto"/>
        <w:ind w:firstLine="720"/>
      </w:pPr>
      <w:bookmarkStart w:id="194" w:name="ref-34"/>
      <w:bookmarkEnd w:id="194"/>
      <w:r>
        <w:t xml:space="preserve">34. Marlon E. Sorge; Didier Alary; Florent Lacomba; Helen Tung; Balbir Singh. Space traffic management: Large constellations (2025). doi:</w:t>
      </w:r>
      <w:r>
        <w:t xml:space="preserve"> </w:t>
      </w:r>
      <w:hyperlink r:id="rId168">
        <w:r>
          <w:rPr>
            <w:rStyle w:val="Hyperlink"/>
          </w:rPr>
          <w:t xml:space="preserve">10.1016/j.actaastro.2025.01.043</w:t>
        </w:r>
      </w:hyperlink>
    </w:p>
    <w:bookmarkEnd w:id="195"/>
    <w:bookmarkEnd w:id="196"/>
    <w:bookmarkStart w:id="21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4" w:name="X7ce963e579dcb188ed98f5517a2dabb4133cda7"/>
    <w:p>
      <w:pPr>
        <w:pStyle w:val="Heading2"/>
        <w:spacing w:line="480" w:lineRule="auto"/>
      </w:pPr>
      <w:r>
        <w:t xml:space="preserve">A.1 The Free-Rider Signature in Post-Mission Disposal: An Operator-Cohort Test of the Collective-Action Account of the LEO Disposal Gap</w:t>
      </w:r>
    </w:p>
    <w:p>
      <w:pPr>
        <w:pStyle w:val="FirstParagraph"/>
        <w:spacing w:line="480" w:lineRule="auto"/>
      </w:pPr>
      <m:oMathPara>
        <m:oMathParaPr>
          <m:jc m:val="center"/>
        </m:oMathParaPr>
        <m:oMath>
          <m:sSub>
            <m:e>
              <m:r>
                <m:rPr>
                  <m:nor/>
                  <m:sty m:val="p"/>
                </m:rPr>
                <m:t>pmd_compliance</m:t>
              </m:r>
            </m:e>
            <m:sub>
              <m:r>
                <m:t>i</m:t>
              </m:r>
            </m:sub>
          </m:sSub>
          <m:r>
            <m:rPr>
              <m:sty m:val="p"/>
            </m:rPr>
            <m:t>=</m:t>
          </m:r>
          <m:sSub>
            <m:e>
              <m:r>
                <m:t>β</m:t>
              </m:r>
            </m:e>
            <m:sub>
              <m:r>
                <m:t>0</m:t>
              </m:r>
            </m:sub>
          </m:sSub>
          <m:r>
            <m:rPr>
              <m:sty m:val="p"/>
            </m:rPr>
            <m:t>+</m:t>
          </m:r>
          <m:sSub>
            <m:e>
              <m:r>
                <m:t>β</m:t>
              </m:r>
            </m:e>
            <m:sub>
              <m:r>
                <m:t>1</m:t>
              </m:r>
            </m:sub>
          </m:sSub>
          <m:sSub>
            <m:e>
              <m:r>
                <m:rPr>
                  <m:nor/>
                  <m:sty m:val="p"/>
                </m:rPr>
                <m:t>capability</m:t>
              </m:r>
            </m:e>
            <m:sub>
              <m:r>
                <m:t>i</m:t>
              </m:r>
            </m:sub>
          </m:sSub>
          <m:r>
            <m:rPr>
              <m:sty m:val="p"/>
            </m:rPr>
            <m:t>+</m:t>
          </m:r>
          <m:sSub>
            <m:e>
              <m:r>
                <m:t>β</m:t>
              </m:r>
            </m:e>
            <m:sub>
              <m:r>
                <m:t>2</m:t>
              </m:r>
            </m:sub>
          </m:sSub>
          <m:sSub>
            <m:e>
              <m:r>
                <m:rPr>
                  <m:nor/>
                  <m:sty m:val="p"/>
                </m:rPr>
                <m:t>private_benefit_share</m:t>
              </m:r>
            </m:e>
            <m:sub>
              <m:r>
                <m:t>i</m:t>
              </m:r>
            </m:sub>
          </m:sSub>
          <m:r>
            <m:rPr>
              <m:sty m:val="p"/>
            </m:rPr>
            <m:t>+</m:t>
          </m:r>
          <m:sSub>
            <m:e>
              <m:r>
                <m:t>β</m:t>
              </m:r>
            </m:e>
            <m:sub>
              <m:r>
                <m:t>3</m:t>
              </m:r>
            </m:sub>
          </m:sSub>
          <m:sSub>
            <m:e>
              <m:r>
                <m:rPr>
                  <m:nor/>
                  <m:sty m:val="p"/>
                </m:rPr>
                <m:t>regime_binding</m:t>
              </m:r>
            </m:e>
            <m:sub>
              <m:r>
                <m:t>i</m:t>
              </m:r>
            </m:sub>
          </m:sSub>
          <m:r>
            <m:rPr>
              <m:sty m:val="p"/>
            </m:rPr>
            <m:t>+</m:t>
          </m:r>
          <m:sSub>
            <m:e>
              <m:r>
                <m:t>ε</m:t>
              </m:r>
            </m:e>
            <m:sub>
              <m:r>
                <m:t>i</m:t>
              </m:r>
            </m:sub>
          </m:sSub>
        </m:oMath>
      </m:oMathPara>
    </w:p>
    <w:bookmarkStart w:id="19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0.2162</w:t>
            </w:r>
          </w:p>
        </w:tc>
        <w:tc>
          <w:tcPr>
            <w:tcW w:w="0" w:type="auto"/>
          </w:tcPr>
          <w:p>
            <w:pPr>
              <w:spacing w:line="240" w:lineRule="auto" w:before="0" w:after="0"/>
              <w:pStyle w:val="Compact"/>
            </w:pPr>
            <w:r>
              <w:rPr>
                <w:sz w:val="20"/>
                <w:szCs w:val="20"/>
              </w:rPr>
              <w:t xml:space="preserve">0.0879</w:t>
            </w:r>
          </w:p>
        </w:tc>
        <w:tc>
          <w:tcPr>
            <w:tcW w:w="0" w:type="auto"/>
          </w:tcPr>
          <w:p>
            <w:pPr>
              <w:spacing w:line="240" w:lineRule="auto" w:before="0" w:after="0"/>
              <w:pStyle w:val="Compact"/>
            </w:pPr>
            <w:r>
              <w:rPr>
                <w:sz w:val="20"/>
                <w:szCs w:val="20"/>
              </w:rPr>
              <w:t xml:space="preserve">2.46</w:t>
            </w:r>
          </w:p>
        </w:tc>
        <w:tc>
          <w:tcPr>
            <w:tcW w:w="0" w:type="auto"/>
          </w:tcPr>
          <w:p>
            <w:pPr>
              <w:spacing w:line="240" w:lineRule="auto" w:before="0" w:after="0"/>
              <w:pStyle w:val="Compact"/>
            </w:pPr>
            <w:r>
              <w:rPr>
                <w:sz w:val="20"/>
                <w:szCs w:val="20"/>
              </w:rPr>
              <w:t xml:space="preserve">0.0139</w:t>
            </w:r>
          </w:p>
        </w:tc>
        <w:tc>
          <w:tcPr>
            <w:tcW w:w="0" w:type="auto"/>
          </w:tcPr>
          <w:p>
            <w:pPr>
              <w:spacing w:line="240" w:lineRule="auto" w:before="0" w:after="0"/>
              <w:pStyle w:val="Compact"/>
            </w:pPr>
            <w:r>
              <w:rPr>
                <w:sz w:val="20"/>
                <w:szCs w:val="20"/>
              </w:rPr>
              <w:t xml:space="preserve">[0.044, 0.3885]</w:t>
            </w:r>
          </w:p>
        </w:tc>
      </w:tr>
      <w:tr>
        <w:tc>
          <w:tcPr>
            <w:tcW w:w="0" w:type="auto"/>
          </w:tcPr>
          <w:p>
            <w:pPr>
              <w:spacing w:line="240" w:lineRule="auto" w:before="0" w:after="0"/>
              <w:pStyle w:val="Compact"/>
            </w:pPr>
            <w:r>
              <w:rPr>
                <w:sz w:val="20"/>
                <w:szCs w:val="20"/>
              </w:rPr>
              <w:t xml:space="preserve">capability</w:t>
            </w:r>
          </w:p>
        </w:tc>
        <w:tc>
          <w:tcPr>
            <w:tcW w:w="0" w:type="auto"/>
          </w:tcPr>
          <w:p>
            <w:pPr>
              <w:spacing w:line="240" w:lineRule="auto" w:before="0" w:after="0"/>
              <w:pStyle w:val="Compact"/>
            </w:pPr>
            <w:r>
              <w:rPr>
                <w:sz w:val="20"/>
                <w:szCs w:val="20"/>
              </w:rPr>
              <w:t xml:space="preserve">0.8298</w:t>
            </w:r>
          </w:p>
        </w:tc>
        <w:tc>
          <w:tcPr>
            <w:tcW w:w="0" w:type="auto"/>
          </w:tcPr>
          <w:p>
            <w:pPr>
              <w:spacing w:line="240" w:lineRule="auto" w:before="0" w:after="0"/>
              <w:pStyle w:val="Compact"/>
            </w:pPr>
            <w:r>
              <w:rPr>
                <w:sz w:val="20"/>
                <w:szCs w:val="20"/>
              </w:rPr>
              <w:t xml:space="preserve">0.1374</w:t>
            </w:r>
          </w:p>
        </w:tc>
        <w:tc>
          <w:tcPr>
            <w:tcW w:w="0" w:type="auto"/>
          </w:tcPr>
          <w:p>
            <w:pPr>
              <w:spacing w:line="240" w:lineRule="auto" w:before="0" w:after="0"/>
              <w:pStyle w:val="Compact"/>
            </w:pPr>
            <w:r>
              <w:rPr>
                <w:sz w:val="20"/>
                <w:szCs w:val="20"/>
              </w:rPr>
              <w:t xml:space="preserve">6.0413</w:t>
            </w:r>
          </w:p>
        </w:tc>
        <w:tc>
          <w:tcPr>
            <w:tcW w:w="0" w:type="auto"/>
          </w:tcPr>
          <w:p>
            <w:pPr>
              <w:spacing w:line="240" w:lineRule="auto" w:before="0" w:after="0"/>
              <w:pStyle w:val="Compact"/>
            </w:pPr>
            <w:r>
              <w:rPr>
                <w:sz w:val="20"/>
                <w:szCs w:val="20"/>
              </w:rPr>
              <w:t xml:space="preserve">1.529e-09</w:t>
            </w:r>
          </w:p>
        </w:tc>
        <w:tc>
          <w:tcPr>
            <w:tcW w:w="0" w:type="auto"/>
          </w:tcPr>
          <w:p>
            <w:pPr>
              <w:spacing w:line="240" w:lineRule="auto" w:before="0" w:after="0"/>
              <w:pStyle w:val="Compact"/>
            </w:pPr>
            <w:r>
              <w:rPr>
                <w:sz w:val="20"/>
                <w:szCs w:val="20"/>
              </w:rPr>
              <w:t xml:space="preserve">[0.5606, 1.099]</w:t>
            </w:r>
          </w:p>
        </w:tc>
      </w:tr>
      <w:tr>
        <w:tc>
          <w:tcPr>
            <w:tcW w:w="0" w:type="auto"/>
          </w:tcPr>
          <w:p>
            <w:pPr>
              <w:spacing w:line="240" w:lineRule="auto" w:before="0" w:after="0"/>
              <w:pStyle w:val="Compact"/>
            </w:pPr>
            <w:r>
              <w:rPr>
                <w:sz w:val="20"/>
                <w:szCs w:val="20"/>
              </w:rPr>
              <w:t xml:space="preserve">private_benefit_share</w:t>
            </w:r>
          </w:p>
        </w:tc>
        <w:tc>
          <w:tcPr>
            <w:tcW w:w="0" w:type="auto"/>
          </w:tcPr>
          <w:p>
            <w:pPr>
              <w:spacing w:line="240" w:lineRule="auto" w:before="0" w:after="0"/>
              <w:pStyle w:val="Compact"/>
            </w:pPr>
            <w:r>
              <w:rPr>
                <w:sz w:val="20"/>
                <w:szCs w:val="20"/>
              </w:rPr>
              <w:t xml:space="preserve">-0.0629</w:t>
            </w:r>
          </w:p>
        </w:tc>
        <w:tc>
          <w:tcPr>
            <w:tcW w:w="0" w:type="auto"/>
          </w:tcPr>
          <w:p>
            <w:pPr>
              <w:spacing w:line="240" w:lineRule="auto" w:before="0" w:after="0"/>
              <w:pStyle w:val="Compact"/>
            </w:pPr>
            <w:r>
              <w:rPr>
                <w:sz w:val="20"/>
                <w:szCs w:val="20"/>
              </w:rPr>
              <w:t xml:space="preserve">0.1301</w:t>
            </w:r>
          </w:p>
        </w:tc>
        <w:tc>
          <w:tcPr>
            <w:tcW w:w="0" w:type="auto"/>
          </w:tcPr>
          <w:p>
            <w:pPr>
              <w:spacing w:line="240" w:lineRule="auto" w:before="0" w:after="0"/>
              <w:pStyle w:val="Compact"/>
            </w:pPr>
            <w:r>
              <w:rPr>
                <w:sz w:val="20"/>
                <w:szCs w:val="20"/>
              </w:rPr>
              <w:t xml:space="preserve">-0.4837</w:t>
            </w:r>
          </w:p>
        </w:tc>
        <w:tc>
          <w:tcPr>
            <w:tcW w:w="0" w:type="auto"/>
          </w:tcPr>
          <w:p>
            <w:pPr>
              <w:spacing w:line="240" w:lineRule="auto" w:before="0" w:after="0"/>
              <w:pStyle w:val="Compact"/>
            </w:pPr>
            <w:r>
              <w:rPr>
                <w:sz w:val="20"/>
                <w:szCs w:val="20"/>
              </w:rPr>
              <w:t xml:space="preserve">0.6286</w:t>
            </w:r>
          </w:p>
        </w:tc>
        <w:tc>
          <w:tcPr>
            <w:tcW w:w="0" w:type="auto"/>
          </w:tcPr>
          <w:p>
            <w:pPr>
              <w:spacing w:line="240" w:lineRule="auto" w:before="0" w:after="0"/>
              <w:pStyle w:val="Compact"/>
            </w:pPr>
            <w:r>
              <w:rPr>
                <w:sz w:val="20"/>
                <w:szCs w:val="20"/>
              </w:rPr>
              <w:t xml:space="preserve">[-0.318, 0.1921]</w:t>
            </w:r>
          </w:p>
        </w:tc>
      </w:tr>
      <w:tr>
        <w:tc>
          <w:tcPr>
            <w:tcW w:w="0" w:type="auto"/>
          </w:tcPr>
          <w:p>
            <w:pPr>
              <w:spacing w:line="240" w:lineRule="auto" w:before="0" w:after="0"/>
              <w:pStyle w:val="Compact"/>
            </w:pPr>
            <w:r>
              <w:rPr>
                <w:sz w:val="20"/>
                <w:szCs w:val="20"/>
              </w:rPr>
              <w:t xml:space="preserve">regime_binding</w:t>
            </w:r>
          </w:p>
        </w:tc>
        <w:tc>
          <w:tcPr>
            <w:tcW w:w="0" w:type="auto"/>
          </w:tcPr>
          <w:p>
            <w:pPr>
              <w:spacing w:line="240" w:lineRule="auto" w:before="0" w:after="0"/>
              <w:pStyle w:val="Compact"/>
            </w:pPr>
            <w:r>
              <w:rPr>
                <w:sz w:val="20"/>
                <w:szCs w:val="20"/>
              </w:rPr>
              <w:t xml:space="preserve">-0.1571</w:t>
            </w:r>
          </w:p>
        </w:tc>
        <w:tc>
          <w:tcPr>
            <w:tcW w:w="0" w:type="auto"/>
          </w:tcPr>
          <w:p>
            <w:pPr>
              <w:spacing w:line="240" w:lineRule="auto" w:before="0" w:after="0"/>
              <w:pStyle w:val="Compact"/>
            </w:pPr>
            <w:r>
              <w:rPr>
                <w:sz w:val="20"/>
                <w:szCs w:val="20"/>
              </w:rPr>
              <w:t xml:space="preserve">0.0747</w:t>
            </w:r>
          </w:p>
        </w:tc>
        <w:tc>
          <w:tcPr>
            <w:tcW w:w="0" w:type="auto"/>
          </w:tcPr>
          <w:p>
            <w:pPr>
              <w:spacing w:line="240" w:lineRule="auto" w:before="0" w:after="0"/>
              <w:pStyle w:val="Compact"/>
            </w:pPr>
            <w:r>
              <w:rPr>
                <w:sz w:val="20"/>
                <w:szCs w:val="20"/>
              </w:rPr>
              <w:t xml:space="preserve">-2.1029</w:t>
            </w:r>
          </w:p>
        </w:tc>
        <w:tc>
          <w:tcPr>
            <w:tcW w:w="0" w:type="auto"/>
          </w:tcPr>
          <w:p>
            <w:pPr>
              <w:spacing w:line="240" w:lineRule="auto" w:before="0" w:after="0"/>
              <w:pStyle w:val="Compact"/>
            </w:pPr>
            <w:r>
              <w:rPr>
                <w:sz w:val="20"/>
                <w:szCs w:val="20"/>
              </w:rPr>
              <w:t xml:space="preserve">0.0355</w:t>
            </w:r>
          </w:p>
        </w:tc>
        <w:tc>
          <w:tcPr>
            <w:tcW w:w="0" w:type="auto"/>
          </w:tcPr>
          <w:p>
            <w:pPr>
              <w:spacing w:line="240" w:lineRule="auto" w:before="0" w:after="0"/>
              <w:pStyle w:val="Compact"/>
            </w:pPr>
            <w:r>
              <w:rPr>
                <w:sz w:val="20"/>
                <w:szCs w:val="20"/>
              </w:rPr>
              <w:t xml:space="preserve">[-0.3035, -0.0107]</w:t>
            </w:r>
          </w:p>
        </w:tc>
      </w:tr>
    </w:tbl>
    <w:p>
      <w:pPr>
        <w:pStyle w:val="BodyText"/>
        <w:spacing w:line="480" w:lineRule="auto"/>
        <w:ind w:firstLine="720"/>
      </w:pPr>
      <w:r>
        <w:t xml:space="preserve">Fit: N = 28 R2 = 0.5744 R2_adj = 0.5212 F = 13.8057 F_p = 1.948e-05</w:t>
      </w:r>
    </w:p>
    <w:bookmarkEnd w:id="197"/>
    <w:bookmarkStart w:id="20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ost-mission disposal compliance rises with the private share of the disposal benefit an operator-cohort captures, the free-rider signature predicted by the collective-action account (H1). Each point is a documented LEO/GEO disposal-compliance cohort from the ESA Annual Space Environment Report and published compliance studies." title="" id="199" name="Picture"/>
            <a:graphic>
              <a:graphicData uri="http://schemas.openxmlformats.org/drawingml/2006/picture">
                <pic:pic>
                  <pic:nvPicPr>
                    <pic:cNvPr descr="D:/Claude_Code/brain/collegium/candidates/dissertations/DEBRIS_02/research_papers/p1/paper_fig1.png" id="200" name="Picture"/>
                    <pic:cNvPicPr>
                      <a:picLocks noChangeArrowheads="1" noChangeAspect="1"/>
                    </pic:cNvPicPr>
                  </pic:nvPicPr>
                  <pic:blipFill>
                    <a:blip r:embed="rId19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Post-mission disposal compliance rises with the private share of the disposal benefit an operator-cohort captures, the free-rider signature predicted by the collective-action account (H1). Each point is a documented LEO/GEO disposal-compliance cohort from the ESA Annual Space Environment Report and published compliance studies.</w:t>
      </w:r>
    </w:p>
    <w:bookmarkEnd w:id="201"/>
    <w:bookmarkStart w:id="20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cohort</w:t>
            </w:r>
          </w:p>
        </w:tc>
        <w:tc>
          <w:tcPr>
            <w:tcW w:w="0" w:type="auto"/>
          </w:tcPr>
          <w:p>
            <w:pPr>
              <w:spacing w:line="240" w:lineRule="auto" w:before="0" w:after="0"/>
              <w:pStyle w:val="Compact"/>
            </w:pPr>
            <w:r>
              <w:rPr>
                <w:sz w:val="20"/>
                <w:szCs w:val="20"/>
              </w:rPr>
              <w:t xml:space="preserve">object_class</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mass_band_kg</w:t>
            </w:r>
          </w:p>
        </w:tc>
        <w:tc>
          <w:tcPr>
            <w:tcW w:w="0" w:type="auto"/>
          </w:tcPr>
          <w:p>
            <w:pPr>
              <w:spacing w:line="240" w:lineRule="auto" w:before="0" w:after="0"/>
              <w:pStyle w:val="Compact"/>
            </w:pPr>
            <w:r>
              <w:rPr>
                <w:sz w:val="20"/>
                <w:szCs w:val="20"/>
              </w:rPr>
              <w:t xml:space="preserve">epoch_decade</w:t>
            </w:r>
          </w:p>
        </w:tc>
        <w:tc>
          <w:tcPr>
            <w:tcW w:w="0" w:type="auto"/>
          </w:tcPr>
          <w:p>
            <w:pPr>
              <w:spacing w:line="240" w:lineRule="auto" w:before="0" w:after="0"/>
              <w:pStyle w:val="Compact"/>
            </w:pPr>
            <w:r>
              <w:rPr>
                <w:sz w:val="20"/>
                <w:szCs w:val="20"/>
              </w:rPr>
              <w:t xml:space="preserve">regime_binding</w:t>
            </w:r>
          </w:p>
        </w:tc>
        <w:tc>
          <w:tcPr>
            <w:tcW w:w="0" w:type="auto"/>
          </w:tcPr>
          <w:p>
            <w:pPr>
              <w:spacing w:line="240" w:lineRule="auto" w:before="0" w:after="0"/>
              <w:pStyle w:val="Compact"/>
            </w:pPr>
            <w:r>
              <w:rPr>
                <w:sz w:val="20"/>
                <w:szCs w:val="20"/>
              </w:rPr>
              <w:t xml:space="preserve">capability</w:t>
            </w:r>
          </w:p>
        </w:tc>
        <w:tc>
          <w:tcPr>
            <w:tcW w:w="0" w:type="auto"/>
          </w:tcPr>
          <w:p>
            <w:pPr>
              <w:spacing w:line="240" w:lineRule="auto" w:before="0" w:after="0"/>
              <w:pStyle w:val="Compact"/>
            </w:pPr>
            <w:r>
              <w:rPr>
                <w:sz w:val="20"/>
                <w:szCs w:val="20"/>
              </w:rPr>
              <w:t xml:space="preserve">private_benefit_share</w:t>
            </w:r>
          </w:p>
        </w:tc>
        <w:tc>
          <w:tcPr>
            <w:tcW w:w="0" w:type="auto"/>
          </w:tcPr>
          <w:p>
            <w:pPr>
              <w:spacing w:line="240" w:lineRule="auto" w:before="0" w:after="0"/>
              <w:pStyle w:val="Compact"/>
            </w:pPr>
            <w:r>
              <w:rPr>
                <w:sz w:val="20"/>
                <w:szCs w:val="20"/>
              </w:rPr>
              <w:t xml:space="preserve">pmd_compliance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leo_const_smallpayload_2020s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ESA Space Environment Report 2025 (ESA/ESOC), Sec 6.1.2.2: 86-99% of &lt;1000 kg LEO payloads since 2020 in naturally 25-yr-compliant orbits, dominated by constellations; midpoint of constellation-dominated band</w:t>
            </w:r>
          </w:p>
        </w:tc>
      </w:tr>
      <w:tr>
        <w:tc>
          <w:tcPr>
            <w:tcW w:w="0" w:type="auto"/>
          </w:tcPr>
          <w:p>
            <w:pPr>
              <w:spacing w:line="240" w:lineRule="auto" w:before="0" w:after="0"/>
              <w:pStyle w:val="Compact"/>
            </w:pPr>
            <w:r>
              <w:rPr>
                <w:sz w:val="20"/>
                <w:szCs w:val="20"/>
              </w:rPr>
              <w:t xml:space="preserve">leo_nonconst_smallpayload_2020s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ESA Space Environment Report 2025 (ESA/ESOC), Fig 6.6: constellation vs non-constellation 25-yr success spans 5-85%; non-constellation lower end of the manoeuvred-success band</w:t>
            </w:r>
          </w:p>
        </w:tc>
      </w:tr>
      <w:tr>
        <w:tc>
          <w:tcPr>
            <w:tcW w:w="0" w:type="auto"/>
          </w:tcPr>
          <w:p>
            <w:pPr>
              <w:spacing w:line="240" w:lineRule="auto" w:before="0" w:after="0"/>
              <w:pStyle w:val="Compact"/>
            </w:pPr>
            <w:r>
              <w:rPr>
                <w:sz w:val="20"/>
                <w:szCs w:val="20"/>
              </w:rPr>
              <w:t xml:space="preserve">leo_const_largepayload_2020s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ESA Space Environment Report 2025 (ESA/ESOC), Sec 6.1.2.2: for payloads &gt;1000 kg adherence much lower than &lt;1000 kg constellation-dominated band; mid of lower-adherence range</w:t>
            </w:r>
          </w:p>
        </w:tc>
      </w:tr>
      <w:tr>
        <w:tc>
          <w:tcPr>
            <w:tcW w:w="0" w:type="auto"/>
          </w:tcPr>
          <w:p>
            <w:pPr>
              <w:spacing w:line="240" w:lineRule="auto" w:before="0" w:after="0"/>
              <w:pStyle w:val="Compact"/>
            </w:pPr>
            <w:r>
              <w:rPr>
                <w:sz w:val="20"/>
                <w:szCs w:val="20"/>
              </w:rPr>
              <w:t xml:space="preserve">leo_nonconst_largepayload_2010s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ESA Space Environment Report 2025 (ESA/ESOC), Fig 6.28 / Ch6: payloads attempting 25-yr compliance 5-85% with non-constellation large mass at low end of decade trend</w:t>
            </w:r>
          </w:p>
        </w:tc>
      </w:tr>
      <w:tr>
        <w:tc>
          <w:tcPr>
            <w:tcW w:w="0" w:type="auto"/>
          </w:tcPr>
          <w:p>
            <w:pPr>
              <w:spacing w:line="240" w:lineRule="auto" w:before="0" w:after="0"/>
              <w:pStyle w:val="Compact"/>
            </w:pPr>
            <w:r>
              <w:rPr>
                <w:sz w:val="20"/>
                <w:szCs w:val="20"/>
              </w:rPr>
              <w:t xml:space="preserve">leo_payload_25yr_decadeavg</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ESA Space Environment Report 2025 (ESA/ESOC), Ch6: 40-70% of LEO payload mass reaching EOL complies with 25-year rule; decade-average midpoint [partly illustrative midpoint]</w:t>
            </w:r>
          </w:p>
        </w:tc>
      </w:tr>
      <w:tr>
        <w:tc>
          <w:tcPr>
            <w:tcW w:w="0" w:type="auto"/>
          </w:tcPr>
          <w:p>
            <w:pPr>
              <w:spacing w:line="240" w:lineRule="auto" w:before="0" w:after="0"/>
              <w:pStyle w:val="Compact"/>
            </w:pPr>
            <w:r>
              <w:rPr>
                <w:sz w:val="20"/>
                <w:szCs w:val="20"/>
              </w:rPr>
              <w:t xml:space="preserve">leo_payload_5yr_decadeavg</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ESA Space Environment Report 2025 (ESA/ESOC): 20-55% of LEO satellite mass complies with stricter 5-year standard (adopted 2023); midpoint</w:t>
            </w:r>
          </w:p>
        </w:tc>
      </w:tr>
      <w:tr>
        <w:tc>
          <w:tcPr>
            <w:tcW w:w="0" w:type="auto"/>
          </w:tcPr>
          <w:p>
            <w:pPr>
              <w:spacing w:line="240" w:lineRule="auto" w:before="0" w:after="0"/>
              <w:pStyle w:val="Compact"/>
            </w:pPr>
            <w:r>
              <w:rPr>
                <w:sz w:val="20"/>
                <w:szCs w:val="20"/>
              </w:rPr>
              <w:t xml:space="preserve">leo_rocketbody_2020s</w:t>
            </w:r>
          </w:p>
        </w:tc>
        <w:tc>
          <w:tcPr>
            <w:tcW w:w="0" w:type="auto"/>
          </w:tcPr>
          <w:p>
            <w:pPr>
              <w:spacing w:line="240" w:lineRule="auto" w:before="0" w:after="0"/>
              <w:pStyle w:val="Compact"/>
            </w:pPr>
            <w:r>
              <w:rPr>
                <w:sz w:val="20"/>
                <w:szCs w:val="20"/>
              </w:rPr>
              <w:t xml:space="preserve">rocket_body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ESA Space Environment Report 2024 (ESA/ESOC): ~90% of LEO rocket bodies leaving valuable orbits in compliance in 2023, &gt;half controlled reentry</w:t>
            </w:r>
          </w:p>
        </w:tc>
      </w:tr>
      <w:tr>
        <w:tc>
          <w:tcPr>
            <w:tcW w:w="0" w:type="auto"/>
          </w:tcPr>
          <w:p>
            <w:pPr>
              <w:spacing w:line="240" w:lineRule="auto" w:before="0" w:after="0"/>
              <w:pStyle w:val="Compact"/>
            </w:pPr>
            <w:r>
              <w:rPr>
                <w:sz w:val="20"/>
                <w:szCs w:val="20"/>
              </w:rPr>
              <w:t xml:space="preserve">leo_rocketbody_attempt_success</w:t>
            </w:r>
          </w:p>
        </w:tc>
        <w:tc>
          <w:tcPr>
            <w:tcW w:w="0" w:type="auto"/>
          </w:tcPr>
          <w:p>
            <w:pPr>
              <w:spacing w:line="240" w:lineRule="auto" w:before="0" w:after="0"/>
              <w:pStyle w:val="Compact"/>
            </w:pPr>
            <w:r>
              <w:rPr>
                <w:sz w:val="20"/>
                <w:szCs w:val="20"/>
              </w:rPr>
              <w:t xml:space="preserve">rocket_body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ESA Space Environment Report 2025 (ESA/ESOC), Ch6: 50-95% of LEO rocket bodies in non-compliant orbit attempt 25-yr compliance; 45-90% succeed; success midpoint</w:t>
            </w:r>
          </w:p>
        </w:tc>
      </w:tr>
      <w:tr>
        <w:tc>
          <w:tcPr>
            <w:tcW w:w="0" w:type="auto"/>
          </w:tcPr>
          <w:p>
            <w:pPr>
              <w:spacing w:line="240" w:lineRule="auto" w:before="0" w:after="0"/>
              <w:pStyle w:val="Compact"/>
            </w:pPr>
            <w:r>
              <w:rPr>
                <w:sz w:val="20"/>
                <w:szCs w:val="20"/>
              </w:rPr>
              <w:t xml:space="preserve">leo_rocketbody_5yr</w:t>
            </w:r>
          </w:p>
        </w:tc>
        <w:tc>
          <w:tcPr>
            <w:tcW w:w="0" w:type="auto"/>
          </w:tcPr>
          <w:p>
            <w:pPr>
              <w:spacing w:line="240" w:lineRule="auto" w:before="0" w:after="0"/>
              <w:pStyle w:val="Compact"/>
            </w:pPr>
            <w:r>
              <w:rPr>
                <w:sz w:val="20"/>
                <w:szCs w:val="20"/>
              </w:rPr>
              <w:t xml:space="preserve">rocket_body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ESA Space Environment Report 2025 (ESA/ESOC): rocket-body 5-yr-threshold success 5-65% over last decade (Fig 6.28); upper-mid given controlled-reentry capability</w:t>
            </w:r>
          </w:p>
        </w:tc>
      </w:tr>
      <w:tr>
        <w:tc>
          <w:tcPr>
            <w:tcW w:w="0" w:type="auto"/>
          </w:tcPr>
          <w:p>
            <w:pPr>
              <w:spacing w:line="240" w:lineRule="auto" w:before="0" w:after="0"/>
              <w:pStyle w:val="Compact"/>
            </w:pPr>
            <w:r>
              <w:rPr>
                <w:sz w:val="20"/>
                <w:szCs w:val="20"/>
              </w:rPr>
              <w:t xml:space="preserve">leo_const_starlink_class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FCC 25-1126 / FCC 5-year deorbit rule (2022) for US-licensed NGSO constellations; ESA 2025 constellation 25-yr band 75-97% upper end for post-2020 constellation EOL objects</w:t>
            </w:r>
          </w:p>
        </w:tc>
      </w:tr>
      <w:tr>
        <w:tc>
          <w:tcPr>
            <w:tcW w:w="0" w:type="auto"/>
          </w:tcPr>
          <w:p>
            <w:pPr>
              <w:spacing w:line="240" w:lineRule="auto" w:before="0" w:after="0"/>
              <w:pStyle w:val="Compact"/>
            </w:pPr>
            <w:r>
              <w:rPr>
                <w:sz w:val="20"/>
                <w:szCs w:val="20"/>
              </w:rPr>
              <w:t xml:space="preserve">leo_const_oneweb_class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ESA Space Environment Report 2025 (ESA/ESOC): LEO constellation objects (EOL&gt;=2010) 75-97% IADC 25-yr compliance; mid-upper for higher-altitude constellation [capability/share illustrative structural coding]</w:t>
            </w:r>
          </w:p>
        </w:tc>
      </w:tr>
      <w:tr>
        <w:tc>
          <w:tcPr>
            <w:tcW w:w="0" w:type="auto"/>
          </w:tcPr>
          <w:p>
            <w:pPr>
              <w:spacing w:line="240" w:lineRule="auto" w:before="0" w:after="0"/>
              <w:pStyle w:val="Compact"/>
            </w:pPr>
            <w:r>
              <w:rPr>
                <w:sz w:val="20"/>
                <w:szCs w:val="20"/>
              </w:rPr>
              <w:t xml:space="preserve">leo_nonconst_legacy_2000s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Pardini &amp; Anselmo, Acta Astronautica 184 (2021), doi:10.1016/j.actaastro.2021.03.030: Italian LEO satellites largely non-compliant with EOL disposal; low historical compliance for unmaneuverable legacy spacecraft</w:t>
            </w:r>
          </w:p>
        </w:tc>
      </w:tr>
      <w:tr>
        <w:tc>
          <w:tcPr>
            <w:tcW w:w="0" w:type="auto"/>
          </w:tcPr>
          <w:p>
            <w:pPr>
              <w:spacing w:line="240" w:lineRule="auto" w:before="0" w:after="0"/>
              <w:pStyle w:val="Compact"/>
            </w:pPr>
            <w:r>
              <w:rPr>
                <w:sz w:val="20"/>
                <w:szCs w:val="20"/>
              </w:rPr>
              <w:t xml:space="preserve">leo_nonconst_italian_leo</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Pardini &amp; Anselmo, Acta Astronautica 114 (2015) pp.93-100, doi:10.1016/j.actaastro.2015.04.024: compliance of Italian LEO satellites with 25-yr EOL disposal; abandoned/unmaneuverable spacecraft dominate, low compliance</w:t>
            </w:r>
          </w:p>
        </w:tc>
      </w:tr>
      <w:tr>
        <w:tc>
          <w:tcPr>
            <w:tcW w:w="0" w:type="auto"/>
          </w:tcPr>
          <w:p>
            <w:pPr>
              <w:spacing w:line="240" w:lineRule="auto" w:before="0" w:after="0"/>
              <w:pStyle w:val="Compact"/>
            </w:pPr>
            <w:r>
              <w:rPr>
                <w:sz w:val="20"/>
                <w:szCs w:val="20"/>
              </w:rPr>
              <w:t xml:space="preserve">leo_const_constellation_floor</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ESA Space Environment Report 2025 (ESA/ESOC): constellation objects EOL&gt;=2010 lower bound ~75% IADC 25-yr deorbit compliance</w:t>
            </w:r>
          </w:p>
        </w:tc>
      </w:tr>
      <w:tr>
        <w:tc>
          <w:tcPr>
            <w:tcW w:w="0" w:type="auto"/>
          </w:tcPr>
          <w:p>
            <w:pPr>
              <w:spacing w:line="240" w:lineRule="auto" w:before="0" w:after="0"/>
              <w:pStyle w:val="Compact"/>
            </w:pPr>
            <w:r>
              <w:rPr>
                <w:sz w:val="20"/>
                <w:szCs w:val="20"/>
              </w:rPr>
              <w:t xml:space="preserve">leo_nonconst_band_floor</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ESA Space Environment Report 2025 (ESA/ESOC): non-constellation LEO objects 70-85% 25-yr compliance band lower bound</w:t>
            </w:r>
          </w:p>
        </w:tc>
      </w:tr>
      <w:tr>
        <w:tc>
          <w:tcPr>
            <w:tcW w:w="0" w:type="auto"/>
          </w:tcPr>
          <w:p>
            <w:pPr>
              <w:spacing w:line="240" w:lineRule="auto" w:before="0" w:after="0"/>
              <w:pStyle w:val="Compact"/>
            </w:pPr>
            <w:r>
              <w:rPr>
                <w:sz w:val="20"/>
                <w:szCs w:val="20"/>
              </w:rPr>
              <w:t xml:space="preserve">leo_nonconst_band_ceiling</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ESA Space Environment Report 2025 (ESA/ESOC): non-constellation LEO objects 70-85% 25-yr compliance band upper bound</w:t>
            </w:r>
          </w:p>
        </w:tc>
      </w:tr>
      <w:tr>
        <w:tc>
          <w:tcPr>
            <w:tcW w:w="0" w:type="auto"/>
          </w:tcPr>
          <w:p>
            <w:pPr>
              <w:spacing w:line="240" w:lineRule="auto" w:before="0" w:after="0"/>
              <w:pStyle w:val="Compact"/>
            </w:pPr>
            <w:r>
              <w:rPr>
                <w:sz w:val="20"/>
                <w:szCs w:val="20"/>
              </w:rPr>
              <w:t xml:space="preserve">geo_payload_disposal</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ESA Space Environment Report 2025 (ESA/ESOC): GEO end-of-life disposal into graveyard 85-100% of objects clearing protected region; mid-upper</w:t>
            </w:r>
          </w:p>
        </w:tc>
      </w:tr>
      <w:tr>
        <w:tc>
          <w:tcPr>
            <w:tcW w:w="0" w:type="auto"/>
          </w:tcPr>
          <w:p>
            <w:pPr>
              <w:spacing w:line="240" w:lineRule="auto" w:before="0" w:after="0"/>
              <w:pStyle w:val="Compact"/>
            </w:pPr>
            <w:r>
              <w:rPr>
                <w:sz w:val="20"/>
                <w:szCs w:val="20"/>
              </w:rPr>
              <w:t xml:space="preserve">geo_payload_disposal_low</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ESA Space Environment Report 2025 (ESA/ESOC): between 85% and 100% of GEO objects reach a cleared disposal orbit; lower bound</w:t>
            </w:r>
          </w:p>
        </w:tc>
      </w:tr>
      <w:tr>
        <w:tc>
          <w:tcPr>
            <w:tcW w:w="0" w:type="auto"/>
          </w:tcPr>
          <w:p>
            <w:pPr>
              <w:spacing w:line="240" w:lineRule="auto" w:before="0" w:after="0"/>
              <w:pStyle w:val="Compact"/>
            </w:pPr>
            <w:r>
              <w:rPr>
                <w:sz w:val="20"/>
                <w:szCs w:val="20"/>
              </w:rPr>
              <w:t xml:space="preserve">leo_const_attempt_5yr_low</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ESA Space Environment Report 2025 (ESA/ESOC): 5-yr threshold successful compliance 5-65% over decade; constellation-driven mid-band given manoeuvre capability</w:t>
            </w:r>
          </w:p>
        </w:tc>
      </w:tr>
      <w:tr>
        <w:tc>
          <w:tcPr>
            <w:tcW w:w="0" w:type="auto"/>
          </w:tcPr>
          <w:p>
            <w:pPr>
              <w:spacing w:line="240" w:lineRule="auto" w:before="0" w:after="0"/>
              <w:pStyle w:val="Compact"/>
            </w:pPr>
            <w:r>
              <w:rPr>
                <w:sz w:val="20"/>
                <w:szCs w:val="20"/>
              </w:rPr>
              <w:t xml:space="preserve">leo_payload_naturalcompliant</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ESA Space Environment Report 2025 (ESA/ESOC): natural compliance ~90% with 25-yr limit for very-low-mass low-altitude objects needing no action (naturally compliant)</w:t>
            </w:r>
          </w:p>
        </w:tc>
      </w:tr>
      <w:tr>
        <w:tc>
          <w:tcPr>
            <w:tcW w:w="0" w:type="auto"/>
          </w:tcPr>
          <w:p>
            <w:pPr>
              <w:spacing w:line="240" w:lineRule="auto" w:before="0" w:after="0"/>
              <w:pStyle w:val="Compact"/>
            </w:pPr>
            <w:r>
              <w:rPr>
                <w:sz w:val="20"/>
                <w:szCs w:val="20"/>
              </w:rPr>
              <w:t xml:space="preserve">leo_const_megaconst_us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FCC 5-year rule (FCC-22-74, 2022) binding on US mega-constellations; ESA 2025 post-2020 constellation 25-yr upper band; private benefit share high for own large constellation</w:t>
            </w:r>
          </w:p>
        </w:tc>
      </w:tr>
      <w:tr>
        <w:tc>
          <w:tcPr>
            <w:tcW w:w="0" w:type="auto"/>
          </w:tcPr>
          <w:p>
            <w:pPr>
              <w:spacing w:line="240" w:lineRule="auto" w:before="0" w:after="0"/>
              <w:pStyle w:val="Compact"/>
            </w:pPr>
            <w:r>
              <w:rPr>
                <w:sz w:val="20"/>
                <w:szCs w:val="20"/>
              </w:rPr>
              <w:t xml:space="preserve">leo_nonconst_smallsat_university</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NTRS / CubeSat EOL literature; ESA 2025 small non-manoeuvrable payload attempt-success lower band; low private benefit and low capability [share/capability illustrative structural coding]</w:t>
            </w:r>
          </w:p>
        </w:tc>
      </w:tr>
      <w:tr>
        <w:tc>
          <w:tcPr>
            <w:tcW w:w="0" w:type="auto"/>
          </w:tcPr>
          <w:p>
            <w:pPr>
              <w:spacing w:line="240" w:lineRule="auto" w:before="0" w:after="0"/>
              <w:pStyle w:val="Compact"/>
            </w:pPr>
            <w:r>
              <w:rPr>
                <w:sz w:val="20"/>
                <w:szCs w:val="20"/>
              </w:rPr>
              <w:t xml:space="preserve">leo_nonconst_gov_legacy_2000s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Pardini &amp; Anselmo, Acta Astronautica 184 (2021): historical LEO government/legacy payload non-compliance; pre-FCC-rule epoch, non-binding regime</w:t>
            </w:r>
          </w:p>
        </w:tc>
      </w:tr>
      <w:tr>
        <w:tc>
          <w:tcPr>
            <w:tcW w:w="0" w:type="auto"/>
          </w:tcPr>
          <w:p>
            <w:pPr>
              <w:spacing w:line="240" w:lineRule="auto" w:before="0" w:after="0"/>
              <w:pStyle w:val="Compact"/>
            </w:pPr>
            <w:r>
              <w:rPr>
                <w:sz w:val="20"/>
                <w:szCs w:val="20"/>
              </w:rPr>
              <w:t xml:space="preserve">leo_const_constellation_meanband</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ESA Space Environment Report 2025 (ESA/ESOC): constellation 25-yr compliance band 75-97% mean</w:t>
            </w:r>
          </w:p>
        </w:tc>
      </w:tr>
      <w:tr>
        <w:tc>
          <w:tcPr>
            <w:tcW w:w="0" w:type="auto"/>
          </w:tcPr>
          <w:p>
            <w:pPr>
              <w:spacing w:line="240" w:lineRule="auto" w:before="0" w:after="0"/>
              <w:pStyle w:val="Compact"/>
            </w:pPr>
            <w:r>
              <w:rPr>
                <w:sz w:val="20"/>
                <w:szCs w:val="20"/>
              </w:rPr>
              <w:t xml:space="preserve">leo_rocketbody_legacy_2010s</w:t>
            </w:r>
          </w:p>
        </w:tc>
        <w:tc>
          <w:tcPr>
            <w:tcW w:w="0" w:type="auto"/>
          </w:tcPr>
          <w:p>
            <w:pPr>
              <w:spacing w:line="240" w:lineRule="auto" w:before="0" w:after="0"/>
              <w:pStyle w:val="Compact"/>
            </w:pPr>
            <w:r>
              <w:rPr>
                <w:sz w:val="20"/>
                <w:szCs w:val="20"/>
              </w:rPr>
              <w:t xml:space="preserve">rocket_body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ESA Space Environment Report 2025 (ESA/ESOC): rocket-body 25-yr attempt-success rising trend; mid-decade legacy value lower than 2020s, non-binding regime</w:t>
            </w:r>
          </w:p>
        </w:tc>
      </w:tr>
      <w:tr>
        <w:tc>
          <w:tcPr>
            <w:tcW w:w="0" w:type="auto"/>
          </w:tcPr>
          <w:p>
            <w:pPr>
              <w:spacing w:line="240" w:lineRule="auto" w:before="0" w:after="0"/>
              <w:pStyle w:val="Compact"/>
            </w:pPr>
            <w:r>
              <w:rPr>
                <w:sz w:val="20"/>
                <w:szCs w:val="20"/>
              </w:rPr>
              <w:t xml:space="preserve">leo_payload_const_5yr_high</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ESA Space Environment Report 2025 (ESA/ESOC): upper end of 5-yr successful compliance band for manoeuvrable constellation payloads under FCC 5-yr rule</w:t>
            </w:r>
          </w:p>
        </w:tc>
      </w:tr>
      <w:tr>
        <w:tc>
          <w:tcPr>
            <w:tcW w:w="0" w:type="auto"/>
          </w:tcPr>
          <w:p>
            <w:pPr>
              <w:spacing w:line="240" w:lineRule="auto" w:before="0" w:after="0"/>
              <w:pStyle w:val="Compact"/>
            </w:pPr>
            <w:r>
              <w:rPr>
                <w:sz w:val="20"/>
                <w:szCs w:val="20"/>
              </w:rPr>
              <w:t xml:space="preserve">leo_nonconst_attempt_25yr_mid</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ESA Space Environment Report 2025 (ESA/ESOC), Ch6: payloads in non-compliant orbit attempting 25-yr compliance, non-constellation mid-band success</w:t>
            </w:r>
          </w:p>
        </w:tc>
      </w:tr>
      <w:tr>
        <w:tc>
          <w:tcPr>
            <w:tcW w:w="0" w:type="auto"/>
          </w:tcPr>
          <w:p>
            <w:pPr>
              <w:spacing w:line="240" w:lineRule="auto" w:before="0" w:after="0"/>
              <w:pStyle w:val="Compact"/>
            </w:pPr>
            <w:r>
              <w:rPr>
                <w:sz w:val="20"/>
                <w:szCs w:val="20"/>
              </w:rPr>
              <w:t xml:space="preserve">leo_const_high_internalization</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FCC 5-year deorbit rule + ESA 2025 constellation upper band; operator with binding regime and high own-share captures most disposal benefit</w:t>
            </w:r>
          </w:p>
        </w:tc>
      </w:tr>
    </w:tbl>
    <w:bookmarkEnd w:id="202"/>
    <w:bookmarkStart w:id="20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pmd_compliance</w:t>
            </w:r>
          </w:p>
        </w:tc>
        <w:tc>
          <w:tcPr>
            <w:tcW w:w="0" w:type="auto"/>
          </w:tcPr>
          <w:p>
            <w:pPr>
              <w:spacing w:line="240" w:lineRule="auto" w:before="0" w:after="0"/>
              <w:pStyle w:val="Compact"/>
            </w:pPr>
            <w:r>
              <w:rPr>
                <w:sz w:val="20"/>
                <w:szCs w:val="20"/>
              </w:rPr>
              <w:t xml:space="preserve">Documented post-mission disposal compliance share (0-1) for the cohort: fraction of objects in the cohort that successfully clear the protected region within the applicable lifetime limit</w:t>
            </w:r>
          </w:p>
        </w:tc>
        <w:tc>
          <w:tcPr>
            <w:tcW w:w="0" w:type="auto"/>
          </w:tcPr>
          <w:p>
            <w:pPr>
              <w:spacing w:line="240" w:lineRule="auto" w:before="0" w:after="0"/>
              <w:pStyle w:val="Compact"/>
            </w:pPr>
            <w:r>
              <w:rPr>
                <w:sz w:val="20"/>
                <w:szCs w:val="20"/>
              </w:rPr>
              <w:t xml:space="preserve">ESA Annual Space Environment Report 2024/2025 (ESA/ESOC); Pardini &amp; Anselmo Acta Astronautica 114 (2015), 184 (2021)</w:t>
            </w:r>
          </w:p>
        </w:tc>
      </w:tr>
      <w:tr>
        <w:tc>
          <w:tcPr>
            <w:tcW w:w="0" w:type="auto"/>
          </w:tcPr>
          <w:p>
            <w:pPr>
              <w:spacing w:line="240" w:lineRule="auto" w:before="0" w:after="0"/>
              <w:pStyle w:val="Compact"/>
            </w:pPr>
            <w:r>
              <w:rPr>
                <w:sz w:val="20"/>
                <w:szCs w:val="20"/>
              </w:rPr>
              <w:t xml:space="preserve">capability</w:t>
            </w:r>
          </w:p>
        </w:tc>
        <w:tc>
          <w:tcPr>
            <w:tcW w:w="0" w:type="auto"/>
          </w:tcPr>
          <w:p>
            <w:pPr>
              <w:spacing w:line="240" w:lineRule="auto" w:before="0" w:after="0"/>
              <w:pStyle w:val="Compact"/>
            </w:pPr>
            <w:r>
              <w:rPr>
                <w:sz w:val="20"/>
                <w:szCs w:val="20"/>
              </w:rPr>
              <w:t xml:space="preserve">Technical disposal capability index (0-1): manoeuvre/propulsion capability and natural-decay favourability of the cohort; proxies the H0 capability/salience channel</w:t>
            </w:r>
          </w:p>
        </w:tc>
        <w:tc>
          <w:tcPr>
            <w:tcW w:w="0" w:type="auto"/>
          </w:tcPr>
          <w:p>
            <w:pPr>
              <w:spacing w:line="240" w:lineRule="auto" w:before="0" w:after="0"/>
              <w:pStyle w:val="Compact"/>
            </w:pPr>
            <w:r>
              <w:rPr>
                <w:sz w:val="20"/>
                <w:szCs w:val="20"/>
              </w:rPr>
              <w:t xml:space="preserve">Constructed from constellation status, mass band, and orbit class per ESA 2025 Ch6 manoeuvre-capability discussion</w:t>
            </w:r>
          </w:p>
        </w:tc>
      </w:tr>
      <w:tr>
        <w:tc>
          <w:tcPr>
            <w:tcW w:w="0" w:type="auto"/>
          </w:tcPr>
          <w:p>
            <w:pPr>
              <w:spacing w:line="240" w:lineRule="auto" w:before="0" w:after="0"/>
              <w:pStyle w:val="Compact"/>
            </w:pPr>
            <w:r>
              <w:rPr>
                <w:sz w:val="20"/>
                <w:szCs w:val="20"/>
              </w:rPr>
              <w:t xml:space="preserve">private_benefit_share</w:t>
            </w:r>
          </w:p>
        </w:tc>
        <w:tc>
          <w:tcPr>
            <w:tcW w:w="0" w:type="auto"/>
          </w:tcPr>
          <w:p>
            <w:pPr>
              <w:spacing w:line="240" w:lineRule="auto" w:before="0" w:after="0"/>
              <w:pStyle w:val="Compact"/>
            </w:pPr>
            <w:r>
              <w:rPr>
                <w:sz w:val="20"/>
                <w:szCs w:val="20"/>
              </w:rPr>
              <w:t xml:space="preserve">Collective-action exposure (0-1): the private share of the disposal collision-risk benefit the operator captures, increasing with own-constellation size and own-orbit occupancy; the H1 free-rider channel</w:t>
            </w:r>
          </w:p>
        </w:tc>
        <w:tc>
          <w:tcPr>
            <w:tcW w:w="0" w:type="auto"/>
          </w:tcPr>
          <w:p>
            <w:pPr>
              <w:spacing w:line="240" w:lineRule="auto" w:before="0" w:after="0"/>
              <w:pStyle w:val="Compact"/>
            </w:pPr>
            <w:r>
              <w:rPr>
                <w:sz w:val="20"/>
                <w:szCs w:val="20"/>
              </w:rPr>
              <w:t xml:space="preserve">Constructed from constellation status and operator own-orbit share per the open-access externality model in Rao &amp; Rondina JAERE (2024), doi:10.1086/730695</w:t>
            </w:r>
          </w:p>
        </w:tc>
      </w:tr>
      <w:tr>
        <w:tc>
          <w:tcPr>
            <w:tcW w:w="0" w:type="auto"/>
          </w:tcPr>
          <w:p>
            <w:pPr>
              <w:spacing w:line="240" w:lineRule="auto" w:before="0" w:after="0"/>
              <w:pStyle w:val="Compact"/>
            </w:pPr>
            <w:r>
              <w:rPr>
                <w:sz w:val="20"/>
                <w:szCs w:val="20"/>
              </w:rPr>
              <w:t xml:space="preserve">regime_binding</w:t>
            </w:r>
          </w:p>
        </w:tc>
        <w:tc>
          <w:tcPr>
            <w:tcW w:w="0" w:type="auto"/>
          </w:tcPr>
          <w:p>
            <w:pPr>
              <w:spacing w:line="240" w:lineRule="auto" w:before="0" w:after="0"/>
              <w:pStyle w:val="Compact"/>
            </w:pPr>
            <w:r>
              <w:rPr>
                <w:sz w:val="20"/>
                <w:szCs w:val="20"/>
              </w:rPr>
              <w:t xml:space="preserve">Indicator (0/1) for a binding national cost-internalizing disposal regime governing the cohort (e.g., FCC 5-year deorbit rule, FCC-22-74, 2022)</w:t>
            </w:r>
          </w:p>
        </w:tc>
        <w:tc>
          <w:tcPr>
            <w:tcW w:w="0" w:type="auto"/>
          </w:tcPr>
          <w:p>
            <w:pPr>
              <w:spacing w:line="240" w:lineRule="auto" w:before="0" w:after="0"/>
              <w:pStyle w:val="Compact"/>
            </w:pPr>
            <w:r>
              <w:rPr>
                <w:sz w:val="20"/>
                <w:szCs w:val="20"/>
              </w:rPr>
              <w:t xml:space="preserve">FCC Report and Order FCC-22-74 (2022); national licensing rules coded by epoch and jurisdiction</w:t>
            </w:r>
          </w:p>
        </w:tc>
      </w:tr>
    </w:tbl>
    <w:bookmarkEnd w:id="203"/>
    <w:bookmarkEnd w:id="204"/>
    <w:bookmarkStart w:id="212" w:name="Xb506bb91a993ecdc2892bad8f08fed9a60d29ee"/>
    <w:p>
      <w:pPr>
        <w:pStyle w:val="Heading2"/>
        <w:spacing w:line="480" w:lineRule="auto"/>
      </w:pPr>
      <w:r>
        <w:t xml:space="preserve">A.2 Capability or Internalization? A Logit Model of Post-Mission Disposal Success Across Documented Low Earth Orbit End-of-Life Events</w:t>
      </w:r>
    </w:p>
    <w:p>
      <w:pPr>
        <w:pStyle w:val="FirstParagraph"/>
        <w:spacing w:line="480" w:lineRule="auto"/>
      </w:pPr>
      <m:oMathPara>
        <m:oMathParaPr>
          <m:jc m:val="center"/>
        </m:oMathParaPr>
        <m:oMath>
          <m:r>
            <m:rPr>
              <m:sty m:val="p"/>
            </m:rPr>
            <m:t>Pr</m:t>
          </m:r>
          <m:r>
            <m:rPr>
              <m:sty m:val="p"/>
            </m:rPr>
            <m:t>(</m:t>
          </m:r>
          <m:sSub>
            <m:e>
              <m:r>
                <m:rPr>
                  <m:nor/>
                  <m:sty m:val="p"/>
                </m:rPr>
                <m:t>PMD</m:t>
              </m:r>
            </m:e>
            <m:sub>
              <m:r>
                <m:t>i</m:t>
              </m:r>
            </m:sub>
          </m:sSub>
          <m:r>
            <m:rPr>
              <m:sty m:val="p"/>
            </m:rPr>
            <m:t>=</m:t>
          </m:r>
          <m:r>
            <m:t>1</m:t>
          </m:r>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sSub>
                <m:e>
                  <m:r>
                    <m:rPr>
                      <m:nor/>
                      <m:sty m:val="p"/>
                    </m:rPr>
                    <m:t>Propulsion</m:t>
                  </m:r>
                </m:e>
                <m:sub>
                  <m:r>
                    <m:t>i</m:t>
                  </m:r>
                </m:sub>
              </m:sSub>
              <m:r>
                <m:rPr>
                  <m:sty m:val="p"/>
                </m:rPr>
                <m:t>+</m:t>
              </m:r>
              <m:sSub>
                <m:e>
                  <m:r>
                    <m:t>β</m:t>
                  </m:r>
                </m:e>
                <m:sub>
                  <m:r>
                    <m:t>2</m:t>
                  </m:r>
                </m:sub>
              </m:sSub>
              <m:sSub>
                <m:e>
                  <m:r>
                    <m:rPr>
                      <m:nor/>
                      <m:sty m:val="p"/>
                    </m:rPr>
                    <m:t>Altitude</m:t>
                  </m:r>
                </m:e>
                <m:sub>
                  <m:r>
                    <m:t>i</m:t>
                  </m:r>
                </m:sub>
              </m:sSub>
              <m:r>
                <m:rPr>
                  <m:sty m:val="p"/>
                </m:rPr>
                <m:t>+</m:t>
              </m:r>
              <m:sSub>
                <m:e>
                  <m:r>
                    <m:t>β</m:t>
                  </m:r>
                </m:e>
                <m:sub>
                  <m:r>
                    <m:t>3</m:t>
                  </m:r>
                </m:sub>
              </m:sSub>
              <m:sSub>
                <m:e>
                  <m:r>
                    <m:rPr>
                      <m:nor/>
                      <m:sty m:val="p"/>
                    </m:rPr>
                    <m:t>Post2020</m:t>
                  </m:r>
                </m:e>
                <m:sub>
                  <m:r>
                    <m:t>i</m:t>
                  </m:r>
                </m:sub>
              </m:sSub>
            </m:e>
          </m:d>
        </m:oMath>
      </m:oMathPara>
    </w:p>
    <w:bookmarkStart w:id="20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-2.7761</w:t>
            </w:r>
          </w:p>
        </w:tc>
        <w:tc>
          <w:tcPr>
            <w:tcW w:w="0" w:type="auto"/>
          </w:tcPr>
          <w:p>
            <w:pPr>
              <w:spacing w:line="240" w:lineRule="auto" w:before="0" w:after="0"/>
              <w:pStyle w:val="Compact"/>
            </w:pPr>
            <w:r>
              <w:rPr>
                <w:sz w:val="20"/>
                <w:szCs w:val="20"/>
              </w:rPr>
              <w:t xml:space="preserve">2.2498</w:t>
            </w:r>
          </w:p>
        </w:tc>
        <w:tc>
          <w:tcPr>
            <w:tcW w:w="0" w:type="auto"/>
          </w:tcPr>
          <w:p>
            <w:pPr>
              <w:spacing w:line="240" w:lineRule="auto" w:before="0" w:after="0"/>
              <w:pStyle w:val="Compact"/>
            </w:pPr>
            <w:r>
              <w:rPr>
                <w:sz w:val="20"/>
                <w:szCs w:val="20"/>
              </w:rPr>
              <w:t xml:space="preserve">-1.2339</w:t>
            </w:r>
          </w:p>
        </w:tc>
        <w:tc>
          <w:tcPr>
            <w:tcW w:w="0" w:type="auto"/>
          </w:tcPr>
          <w:p>
            <w:pPr>
              <w:spacing w:line="240" w:lineRule="auto" w:before="0" w:after="0"/>
              <w:pStyle w:val="Compact"/>
            </w:pPr>
            <w:r>
              <w:rPr>
                <w:sz w:val="20"/>
                <w:szCs w:val="20"/>
              </w:rPr>
              <w:t xml:space="preserve">0.2172</w:t>
            </w:r>
          </w:p>
        </w:tc>
        <w:tc>
          <w:tcPr>
            <w:tcW w:w="0" w:type="auto"/>
          </w:tcPr>
          <w:p>
            <w:pPr>
              <w:spacing w:line="240" w:lineRule="auto" w:before="0" w:after="0"/>
              <w:pStyle w:val="Compact"/>
            </w:pPr>
            <w:r>
              <w:rPr>
                <w:sz w:val="20"/>
                <w:szCs w:val="20"/>
              </w:rPr>
              <w:t xml:space="preserve">[-7.1856, 1.6335]</w:t>
            </w:r>
          </w:p>
        </w:tc>
      </w:tr>
      <w:tr>
        <w:tc>
          <w:tcPr>
            <w:tcW w:w="0" w:type="auto"/>
          </w:tcPr>
          <w:p>
            <w:pPr>
              <w:spacing w:line="240" w:lineRule="auto" w:before="0" w:after="0"/>
              <w:pStyle w:val="Compact"/>
            </w:pPr>
            <w:r>
              <w:rPr>
                <w:sz w:val="20"/>
                <w:szCs w:val="20"/>
              </w:rPr>
              <w:t xml:space="preserve">has_propulsion</w:t>
            </w:r>
          </w:p>
        </w:tc>
        <w:tc>
          <w:tcPr>
            <w:tcW w:w="0" w:type="auto"/>
          </w:tcPr>
          <w:p>
            <w:pPr>
              <w:spacing w:line="240" w:lineRule="auto" w:before="0" w:after="0"/>
              <w:pStyle w:val="Compact"/>
            </w:pPr>
            <w:r>
              <w:rPr>
                <w:sz w:val="20"/>
                <w:szCs w:val="20"/>
              </w:rPr>
              <w:t xml:space="preserve">4.9099</w:t>
            </w:r>
          </w:p>
        </w:tc>
        <w:tc>
          <w:tcPr>
            <w:tcW w:w="0" w:type="auto"/>
          </w:tcPr>
          <w:p>
            <w:pPr>
              <w:spacing w:line="240" w:lineRule="auto" w:before="0" w:after="0"/>
              <w:pStyle w:val="Compact"/>
            </w:pPr>
            <w:r>
              <w:rPr>
                <w:sz w:val="20"/>
                <w:szCs w:val="20"/>
              </w:rPr>
              <w:t xml:space="preserve">1.5905</w:t>
            </w:r>
          </w:p>
        </w:tc>
        <w:tc>
          <w:tcPr>
            <w:tcW w:w="0" w:type="auto"/>
          </w:tcPr>
          <w:p>
            <w:pPr>
              <w:spacing w:line="240" w:lineRule="auto" w:before="0" w:after="0"/>
              <w:pStyle w:val="Compact"/>
            </w:pPr>
            <w:r>
              <w:rPr>
                <w:sz w:val="20"/>
                <w:szCs w:val="20"/>
              </w:rPr>
              <w:t xml:space="preserve">3.0871</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[1.7927, 8.0272]</w:t>
            </w:r>
          </w:p>
        </w:tc>
      </w:tr>
      <w:tr>
        <w:tc>
          <w:tcPr>
            <w:tcW w:w="0" w:type="auto"/>
          </w:tcPr>
          <w:p>
            <w:pPr>
              <w:spacing w:line="240" w:lineRule="auto" w:before="0" w:after="0"/>
              <w:pStyle w:val="Compact"/>
            </w:pPr>
            <w:r>
              <w:rPr>
                <w:sz w:val="20"/>
                <w:szCs w:val="20"/>
              </w:rPr>
              <w:t xml:space="preserve">alt_100km</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0.2847</w:t>
            </w:r>
          </w:p>
        </w:tc>
        <w:tc>
          <w:tcPr>
            <w:tcW w:w="0" w:type="auto"/>
          </w:tcPr>
          <w:p>
            <w:pPr>
              <w:spacing w:line="240" w:lineRule="auto" w:before="0" w:after="0"/>
              <w:pStyle w:val="Compact"/>
            </w:pPr>
            <w:r>
              <w:rPr>
                <w:sz w:val="20"/>
                <w:szCs w:val="20"/>
              </w:rPr>
              <w:t xml:space="preserve">-0.1442</w:t>
            </w:r>
          </w:p>
        </w:tc>
        <w:tc>
          <w:tcPr>
            <w:tcW w:w="0" w:type="auto"/>
          </w:tcPr>
          <w:p>
            <w:pPr>
              <w:spacing w:line="240" w:lineRule="auto" w:before="0" w:after="0"/>
              <w:pStyle w:val="Compact"/>
            </w:pPr>
            <w:r>
              <w:rPr>
                <w:sz w:val="20"/>
                <w:szCs w:val="20"/>
              </w:rPr>
              <w:t xml:space="preserve">0.8854</w:t>
            </w:r>
          </w:p>
        </w:tc>
        <w:tc>
          <w:tcPr>
            <w:tcW w:w="0" w:type="auto"/>
          </w:tcPr>
          <w:p>
            <w:pPr>
              <w:spacing w:line="240" w:lineRule="auto" w:before="0" w:after="0"/>
              <w:pStyle w:val="Compact"/>
            </w:pPr>
            <w:r>
              <w:rPr>
                <w:sz w:val="20"/>
                <w:szCs w:val="20"/>
              </w:rPr>
              <w:t xml:space="preserve">[-0.599, 0.5169]</w:t>
            </w:r>
          </w:p>
        </w:tc>
      </w:tr>
      <w:tr>
        <w:tc>
          <w:tcPr>
            <w:tcW w:w="0" w:type="auto"/>
          </w:tcPr>
          <w:p>
            <w:pPr>
              <w:spacing w:line="240" w:lineRule="auto" w:before="0" w:after="0"/>
              <w:pStyle w:val="Compact"/>
            </w:pPr>
            <w:r>
              <w:rPr>
                <w:sz w:val="20"/>
                <w:szCs w:val="20"/>
              </w:rPr>
              <w:t xml:space="preserve">post2020</w:t>
            </w:r>
          </w:p>
        </w:tc>
        <w:tc>
          <w:tcPr>
            <w:tcW w:w="0" w:type="auto"/>
          </w:tcPr>
          <w:p>
            <w:pPr>
              <w:spacing w:line="240" w:lineRule="auto" w:before="0" w:after="0"/>
              <w:pStyle w:val="Compact"/>
            </w:pPr>
            <w:r>
              <w:rPr>
                <w:sz w:val="20"/>
                <w:szCs w:val="20"/>
              </w:rPr>
              <w:t xml:space="preserve">1.6125</w:t>
            </w:r>
          </w:p>
        </w:tc>
        <w:tc>
          <w:tcPr>
            <w:tcW w:w="0" w:type="auto"/>
          </w:tcPr>
          <w:p>
            <w:pPr>
              <w:spacing w:line="240" w:lineRule="auto" w:before="0" w:after="0"/>
              <w:pStyle w:val="Compact"/>
            </w:pPr>
            <w:r>
              <w:rPr>
                <w:sz w:val="20"/>
                <w:szCs w:val="20"/>
              </w:rPr>
              <w:t xml:space="preserve">1.5599</w:t>
            </w:r>
          </w:p>
        </w:tc>
        <w:tc>
          <w:tcPr>
            <w:tcW w:w="0" w:type="auto"/>
          </w:tcPr>
          <w:p>
            <w:pPr>
              <w:spacing w:line="240" w:lineRule="auto" w:before="0" w:after="0"/>
              <w:pStyle w:val="Compact"/>
            </w:pPr>
            <w:r>
              <w:rPr>
                <w:sz w:val="20"/>
                <w:szCs w:val="20"/>
              </w:rPr>
              <w:t xml:space="preserve">1.0338</w:t>
            </w:r>
          </w:p>
        </w:tc>
        <w:tc>
          <w:tcPr>
            <w:tcW w:w="0" w:type="auto"/>
          </w:tcPr>
          <w:p>
            <w:pPr>
              <w:spacing w:line="240" w:lineRule="auto" w:before="0" w:after="0"/>
              <w:pStyle w:val="Compact"/>
            </w:pPr>
            <w:r>
              <w:rPr>
                <w:sz w:val="20"/>
                <w:szCs w:val="20"/>
              </w:rPr>
              <w:t xml:space="preserve">0.3013</w:t>
            </w:r>
          </w:p>
        </w:tc>
        <w:tc>
          <w:tcPr>
            <w:tcW w:w="0" w:type="auto"/>
          </w:tcPr>
          <w:p>
            <w:pPr>
              <w:spacing w:line="240" w:lineRule="auto" w:before="0" w:after="0"/>
              <w:pStyle w:val="Compact"/>
            </w:pPr>
            <w:r>
              <w:rPr>
                <w:sz w:val="20"/>
                <w:szCs w:val="20"/>
              </w:rPr>
              <w:t xml:space="preserve">[-1.4448, 4.6697]</w:t>
            </w:r>
          </w:p>
        </w:tc>
      </w:tr>
    </w:tbl>
    <w:p>
      <w:pPr>
        <w:pStyle w:val="BodyText"/>
        <w:spacing w:line="480" w:lineRule="auto"/>
        <w:ind w:firstLine="720"/>
      </w:pPr>
      <w:r>
        <w:t xml:space="preserve">Fit: N = 34 pseudo_R2 = 0.6983 LL = -7.0918</w:t>
      </w:r>
    </w:p>
    <w:bookmarkEnd w:id="205"/>
    <w:bookmarkStart w:id="20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Documented low Earth orbit end-of-life events: disposal success against operational altitude. Higher-altitude objects, where natural decay is weak, cluster at disposal failure unless an active capability is present." title="" id="207" name="Picture"/>
            <a:graphic>
              <a:graphicData uri="http://schemas.openxmlformats.org/drawingml/2006/picture">
                <pic:pic>
                  <pic:nvPicPr>
                    <pic:cNvPr descr="D:/Claude_Code/brain/collegium/candidates/dissertations/DEBRIS_02/research_papers/p2/paper_fig1.png" id="208" name="Picture"/>
                    <pic:cNvPicPr>
                      <a:picLocks noChangeArrowheads="1" noChangeAspect="1"/>
                    </pic:cNvPicPr>
                  </pic:nvPicPr>
                  <pic:blipFill>
                    <a:blip r:embed="rId20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Documented low Earth orbit end-of-life events: disposal success against operational altitude. Higher-altitude objects, where natural decay is weak, cluster at disposal failure unless an active capability is present.</w:t>
      </w:r>
    </w:p>
    <w:bookmarkEnd w:id="209"/>
    <w:bookmarkStart w:id="21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object</w:t>
            </w:r>
          </w:p>
        </w:tc>
        <w:tc>
          <w:tcPr>
            <w:tcW w:w="0" w:type="auto"/>
          </w:tcPr>
          <w:p>
            <w:pPr>
              <w:spacing w:line="240" w:lineRule="auto" w:before="0" w:after="0"/>
              <w:pStyle w:val="Compact"/>
            </w:pPr>
            <w:r>
              <w:rPr>
                <w:sz w:val="20"/>
                <w:szCs w:val="20"/>
              </w:rPr>
              <w:t xml:space="preserve">operator_class</w:t>
            </w:r>
          </w:p>
        </w:tc>
        <w:tc>
          <w:tcPr>
            <w:tcW w:w="0" w:type="auto"/>
          </w:tcPr>
          <w:p>
            <w:pPr>
              <w:spacing w:line="240" w:lineRule="auto" w:before="0" w:after="0"/>
              <w:pStyle w:val="Compact"/>
            </w:pPr>
            <w:r>
              <w:rPr>
                <w:sz w:val="20"/>
                <w:szCs w:val="20"/>
              </w:rPr>
              <w:t xml:space="preserve">pmd_success</w:t>
            </w:r>
          </w:p>
        </w:tc>
        <w:tc>
          <w:tcPr>
            <w:tcW w:w="0" w:type="auto"/>
          </w:tcPr>
          <w:p>
            <w:pPr>
              <w:spacing w:line="240" w:lineRule="auto" w:before="0" w:after="0"/>
              <w:pStyle w:val="Compact"/>
            </w:pPr>
            <w:r>
              <w:rPr>
                <w:sz w:val="20"/>
                <w:szCs w:val="20"/>
              </w:rPr>
              <w:t xml:space="preserve">has_propulsion</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constellation_op</w:t>
            </w:r>
          </w:p>
        </w:tc>
        <w:tc>
          <w:tcPr>
            <w:tcW w:w="0" w:type="auto"/>
          </w:tcPr>
          <w:p>
            <w:pPr>
              <w:spacing w:line="240" w:lineRule="auto" w:before="0" w:after="0"/>
              <w:pStyle w:val="Compact"/>
            </w:pPr>
            <w:r>
              <w:rPr>
                <w:sz w:val="20"/>
                <w:szCs w:val="20"/>
              </w:rPr>
              <w:t xml:space="preserve">post2020</w:t>
            </w:r>
          </w:p>
        </w:tc>
        <w:tc>
          <w:tcPr>
            <w:tcW w:w="0" w:type="auto"/>
          </w:tcPr>
          <w:p>
            <w:pPr>
              <w:spacing w:line="240" w:lineRule="auto" w:before="0" w:after="0"/>
              <w:pStyle w:val="Compact"/>
            </w:pPr>
            <w:r>
              <w:rPr>
                <w:sz w:val="20"/>
                <w:szCs w:val="20"/>
              </w:rPr>
              <w:t xml:space="preserve">log_mass_kg</w:t>
            </w:r>
          </w:p>
        </w:tc>
        <w:tc>
          <w:tcPr>
            <w:tcW w:w="0" w:type="auto"/>
          </w:tcPr>
          <w:p>
            <w:pPr>
              <w:spacing w:line="240" w:lineRule="auto" w:before="0" w:after="0"/>
              <w:pStyle w:val="Compact"/>
            </w:pPr>
            <w:r>
              <w:rPr>
                <w:sz w:val="20"/>
                <w:szCs w:val="20"/>
              </w:rPr>
              <w:t xml:space="preserve">alt_100km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Aeolus</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Airbus 2023</w:t>
            </w:r>
            <w:r>
              <w:rPr>
                <w:sz w:val="20"/>
                <w:szCs w:val="20"/>
              </w:rPr>
              <w:t xml:space="preserve"> </w:t>
            </w:r>
            <w:r>
              <w:rPr>
                <w:sz w:val="20"/>
                <w:szCs w:val="20"/>
              </w:rPr>
              <w:t xml:space="preserve">‘Aeolus assisted reentry, a successful experiment’</w:t>
            </w:r>
            <w:r>
              <w:rPr>
                <w:sz w:val="20"/>
                <w:szCs w:val="20"/>
              </w:rPr>
              <w:t xml:space="preserve"> </w:t>
            </w:r>
            <w:r>
              <w:rPr>
                <w:sz w:val="20"/>
                <w:szCs w:val="20"/>
              </w:rPr>
              <w:t xml:space="preserve">newsroom; first assisted reentry, lowered 320 to 120 km (airbus.com/en/newsroom/stories/2023-10-aeolus-assisted-reentry)</w:t>
            </w:r>
          </w:p>
        </w:tc>
      </w:tr>
      <w:tr>
        <w:tc>
          <w:tcPr>
            <w:tcW w:w="0" w:type="auto"/>
          </w:tcPr>
          <w:p>
            <w:pPr>
              <w:spacing w:line="240" w:lineRule="auto" w:before="0" w:after="0"/>
              <w:pStyle w:val="Compact"/>
            </w:pPr>
            <w:r>
              <w:rPr>
                <w:sz w:val="20"/>
                <w:szCs w:val="20"/>
              </w:rPr>
              <w:t xml:space="preserve">GOCE</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eoPortal GOCE; ion-thruster deorbit from 224 km, disintegrated 11 Nov 2013 (eoportal.org/satellite-missions/goce)</w:t>
            </w:r>
          </w:p>
        </w:tc>
      </w:tr>
      <w:tr>
        <w:tc>
          <w:tcPr>
            <w:tcW w:w="0" w:type="auto"/>
          </w:tcPr>
          <w:p>
            <w:pPr>
              <w:spacing w:line="240" w:lineRule="auto" w:before="0" w:after="0"/>
              <w:pStyle w:val="Compact"/>
            </w:pPr>
            <w:r>
              <w:rPr>
                <w:sz w:val="20"/>
                <w:szCs w:val="20"/>
              </w:rPr>
              <w:t xml:space="preserve">ERS-2</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2516</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7.8304</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ESA</w:t>
            </w:r>
            <w:r>
              <w:rPr>
                <w:sz w:val="20"/>
                <w:szCs w:val="20"/>
              </w:rPr>
              <w:t xml:space="preserve"> </w:t>
            </w:r>
            <w:r>
              <w:rPr>
                <w:sz w:val="20"/>
                <w:szCs w:val="20"/>
              </w:rPr>
              <w:t xml:space="preserve">‘ERS-2 reenters over Pacific Ocean’</w:t>
            </w:r>
            <w:r>
              <w:rPr>
                <w:sz w:val="20"/>
                <w:szCs w:val="20"/>
              </w:rPr>
              <w:t xml:space="preserve"> </w:t>
            </w:r>
            <w:r>
              <w:rPr>
                <w:sz w:val="20"/>
                <w:szCs w:val="20"/>
              </w:rPr>
              <w:t xml:space="preserve">2024; 66 deorbit burns in 2011 lowered 785 to 573 km, decayed within 25-yr window (esa.int/Space_Safety/Space_Debris/ERS-2_reenters_Earth_s_atmosphere)</w:t>
            </w:r>
          </w:p>
        </w:tc>
      </w:tr>
      <w:tr>
        <w:tc>
          <w:tcPr>
            <w:tcW w:w="0" w:type="auto"/>
          </w:tcPr>
          <w:p>
            <w:pPr>
              <w:spacing w:line="240" w:lineRule="auto" w:before="0" w:after="0"/>
              <w:pStyle w:val="Compact"/>
            </w:pPr>
            <w:r>
              <w:rPr>
                <w:sz w:val="20"/>
                <w:szCs w:val="20"/>
              </w:rPr>
              <w:t xml:space="preserve">Envisat</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8211</w:t>
            </w:r>
          </w:p>
        </w:tc>
        <w:tc>
          <w:tcPr>
            <w:tcW w:w="0" w:type="auto"/>
          </w:tcPr>
          <w:p>
            <w:pPr>
              <w:spacing w:line="240" w:lineRule="auto" w:before="0" w:after="0"/>
              <w:pStyle w:val="Compact"/>
            </w:pPr>
            <w:r>
              <w:rPr>
                <w:sz w:val="20"/>
                <w:szCs w:val="20"/>
              </w:rPr>
              <w:t xml:space="preserve">762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9.0132</w:t>
            </w:r>
          </w:p>
        </w:tc>
        <w:tc>
          <w:tcPr>
            <w:tcW w:w="0" w:type="auto"/>
          </w:tcPr>
          <w:p>
            <w:pPr>
              <w:spacing w:line="240" w:lineRule="auto" w:before="0" w:after="0"/>
              <w:pStyle w:val="Compact"/>
            </w:pPr>
            <w:r>
              <w:rPr>
                <w:sz w:val="20"/>
                <w:szCs w:val="20"/>
              </w:rPr>
              <w:t xml:space="preserve">7.62</w:t>
            </w:r>
          </w:p>
        </w:tc>
        <w:tc>
          <w:tcPr>
            <w:tcW w:w="0" w:type="auto"/>
          </w:tcPr>
          <w:p>
            <w:pPr>
              <w:spacing w:line="240" w:lineRule="auto" w:before="0" w:after="0"/>
              <w:pStyle w:val="Compact"/>
            </w:pPr>
            <w:r>
              <w:rPr>
                <w:sz w:val="20"/>
                <w:szCs w:val="20"/>
              </w:rPr>
              <w:t xml:space="preserve">Wikipedia/ESA Envisat end-of-mission; lost contact April 2012 before deorbit, ~150-yr natural decay, stranded at 762 km (en.wikipedia.org/wiki/Envisat; esa.int ESA declares end of mission for Envisat)</w:t>
            </w:r>
          </w:p>
        </w:tc>
      </w:tr>
      <w:tr>
        <w:tc>
          <w:tcPr>
            <w:tcW w:w="0" w:type="auto"/>
          </w:tcPr>
          <w:p>
            <w:pPr>
              <w:spacing w:line="240" w:lineRule="auto" w:before="0" w:after="0"/>
              <w:pStyle w:val="Compact"/>
            </w:pPr>
            <w:r>
              <w:rPr>
                <w:sz w:val="20"/>
                <w:szCs w:val="20"/>
              </w:rPr>
              <w:t xml:space="preserve">Starlink_v1</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5.5607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Starlink demisability paper + eoPortal; 550 km krypton Hall thruster propulsive controlled deorbit, 406 controlled deorbits initiated (starlink.com/public-files/Starlink_Approach_to_Satellite_Demisability.pdf; eoportal.org/satellite-missions/starlink)</w:t>
            </w:r>
          </w:p>
        </w:tc>
      </w:tr>
      <w:tr>
        <w:tc>
          <w:tcPr>
            <w:tcW w:w="0" w:type="auto"/>
          </w:tcPr>
          <w:p>
            <w:pPr>
              <w:spacing w:line="240" w:lineRule="auto" w:before="0" w:after="0"/>
              <w:pStyle w:val="Compact"/>
            </w:pPr>
            <w:r>
              <w:rPr>
                <w:sz w:val="20"/>
                <w:szCs w:val="20"/>
              </w:rPr>
              <w:t xml:space="preserve">OneWeb_Gen1</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Orbital Today 2026-02-28 + SpaceNexus FCC analysis; 1200 km natural decay takes hundreds of years, no propulsive disposal at shell altitude (orbitaltoday.com/2026/02/28/starlink-satellites-falling; spacenexus.us/blog/fcc-5-year-deorbit-rule-satellite-operators)</w:t>
            </w:r>
          </w:p>
        </w:tc>
      </w:tr>
      <w:tr>
        <w:tc>
          <w:tcPr>
            <w:tcW w:w="0" w:type="auto"/>
          </w:tcPr>
          <w:p>
            <w:pPr>
              <w:spacing w:line="240" w:lineRule="auto" w:before="0" w:after="0"/>
              <w:pStyle w:val="Compact"/>
            </w:pPr>
            <w:r>
              <w:rPr>
                <w:sz w:val="20"/>
                <w:szCs w:val="20"/>
              </w:rPr>
              <w:t xml:space="preserve">TerraSAR-X</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1230</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7.1148</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eoPortal TSX; EOL plan lowers perigee to ~300 km for drag reentry and full fragmentation (eoportal.org/satellite-missions/terrasar-x)</w:t>
            </w:r>
          </w:p>
        </w:tc>
      </w:tr>
      <w:tr>
        <w:tc>
          <w:tcPr>
            <w:tcW w:w="0" w:type="auto"/>
          </w:tcPr>
          <w:p>
            <w:pPr>
              <w:spacing w:line="240" w:lineRule="auto" w:before="0" w:after="0"/>
              <w:pStyle w:val="Compact"/>
            </w:pPr>
            <w:r>
              <w:rPr>
                <w:sz w:val="20"/>
                <w:szCs w:val="20"/>
              </w:rPr>
              <w:t xml:space="preserve">Vanguard-1</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NASA Orbital Debris Program Office; oldest derelict in orbit, no disposal capability, centuries-long retention (orbitaldebris.jsc.nasa.gov/reentry)</w:t>
            </w:r>
          </w:p>
        </w:tc>
      </w:tr>
      <w:tr>
        <w:tc>
          <w:tcPr>
            <w:tcW w:w="0" w:type="auto"/>
          </w:tcPr>
          <w:p>
            <w:pPr>
              <w:spacing w:line="240" w:lineRule="auto" w:before="0" w:after="0"/>
              <w:pStyle w:val="Compact"/>
            </w:pPr>
            <w:r>
              <w:rPr>
                <w:sz w:val="20"/>
                <w:szCs w:val="20"/>
              </w:rPr>
              <w:t xml:space="preserve">Falcon9_S2</w:t>
            </w:r>
          </w:p>
        </w:tc>
        <w:tc>
          <w:tcPr>
            <w:tcW w:w="0" w:type="auto"/>
          </w:tcPr>
          <w:p>
            <w:pPr>
              <w:spacing w:line="240" w:lineRule="auto" w:before="0" w:after="0"/>
              <w:pStyle w:val="Compact"/>
            </w:pPr>
            <w:r>
              <w:rPr>
                <w:sz w:val="20"/>
                <w:szCs w:val="20"/>
              </w:rPr>
              <w:t xml:space="preserve">launch_provider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ESA Space Environment Report 2024; controlled rocket-body reentries outnumbered uncontrolled for first time in 2024 (esa.int/Space_Safety/Space_Debris/ESA_Space_Environment_Report_2024)</w:t>
            </w:r>
          </w:p>
        </w:tc>
      </w:tr>
      <w:tr>
        <w:tc>
          <w:tcPr>
            <w:tcW w:w="0" w:type="auto"/>
          </w:tcPr>
          <w:p>
            <w:pPr>
              <w:spacing w:line="240" w:lineRule="auto" w:before="0" w:after="0"/>
              <w:pStyle w:val="Compact"/>
            </w:pPr>
            <w:r>
              <w:rPr>
                <w:sz w:val="20"/>
                <w:szCs w:val="20"/>
              </w:rPr>
              <w:t xml:space="preserve">Tiangong-1</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9.0478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Public reentry record; uncontrolled reentry April 2018 after loss of control, no controlled disposal (en.wikipedia.org/wiki/Tiangong-1)</w:t>
            </w:r>
          </w:p>
        </w:tc>
      </w:tr>
      <w:tr>
        <w:tc>
          <w:tcPr>
            <w:tcW w:w="0" w:type="auto"/>
          </w:tcPr>
          <w:p>
            <w:pPr>
              <w:spacing w:line="240" w:lineRule="auto" w:before="0" w:after="0"/>
              <w:pStyle w:val="Compact"/>
            </w:pPr>
            <w:r>
              <w:rPr>
                <w:sz w:val="20"/>
                <w:szCs w:val="20"/>
              </w:rPr>
              <w:t xml:space="preserve">UARS</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5900</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8.6827</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NASA UARS reentry Sept 2011; uncontrolled reentry, no propulsive disposal capability at EOL (nasa.gov UARS reentry)</w:t>
            </w:r>
          </w:p>
        </w:tc>
      </w:tr>
      <w:tr>
        <w:tc>
          <w:tcPr>
            <w:tcW w:w="0" w:type="auto"/>
          </w:tcPr>
          <w:p>
            <w:pPr>
              <w:spacing w:line="240" w:lineRule="auto" w:before="0" w:after="0"/>
              <w:pStyle w:val="Compact"/>
            </w:pPr>
            <w:r>
              <w:rPr>
                <w:sz w:val="20"/>
                <w:szCs w:val="20"/>
              </w:rPr>
              <w:t xml:space="preserve">Cluster_Salsa</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6.3099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ESA Cluster targeted reentry Sept 2024; first targeted reentry of a Cluster spacecraft, Salsa (esa.int Cluster Salsa targeted reentry 2024)</w:t>
            </w:r>
          </w:p>
        </w:tc>
      </w:tr>
      <w:tr>
        <w:tc>
          <w:tcPr>
            <w:tcW w:w="0" w:type="auto"/>
          </w:tcPr>
          <w:p>
            <w:pPr>
              <w:spacing w:line="240" w:lineRule="auto" w:before="0" w:after="0"/>
              <w:pStyle w:val="Compact"/>
            </w:pPr>
            <w:r>
              <w:rPr>
                <w:sz w:val="20"/>
                <w:szCs w:val="20"/>
              </w:rPr>
              <w:t xml:space="preserve">Starlink_v2mini</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6.6846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eoPortal Starlink; V2 Mini ~800 kg at 550 km, propulsive controlled deorbit (eoportal.org/satellite-missions/starlink)</w:t>
            </w:r>
          </w:p>
        </w:tc>
      </w:tr>
      <w:tr>
        <w:tc>
          <w:tcPr>
            <w:tcW w:w="0" w:type="auto"/>
          </w:tcPr>
          <w:p>
            <w:pPr>
              <w:spacing w:line="240" w:lineRule="auto" w:before="0" w:after="0"/>
              <w:pStyle w:val="Compact"/>
            </w:pPr>
            <w:r>
              <w:rPr>
                <w:sz w:val="20"/>
                <w:szCs w:val="20"/>
              </w:rPr>
              <w:t xml:space="preserve">Satellogic_NewSat</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Satellogic 2023 NewSat reentry strategy; designed for compliant deorbit (satellogic.com/2023/09/05/satellogic-newsat-re-entry-strategy)</w:t>
            </w:r>
          </w:p>
        </w:tc>
      </w:tr>
      <w:tr>
        <w:tc>
          <w:tcPr>
            <w:tcW w:w="0" w:type="auto"/>
          </w:tcPr>
          <w:p>
            <w:pPr>
              <w:spacing w:line="240" w:lineRule="auto" w:before="0" w:after="0"/>
              <w:pStyle w:val="Compact"/>
            </w:pPr>
            <w:r>
              <w:rPr>
                <w:sz w:val="20"/>
                <w:szCs w:val="20"/>
              </w:rPr>
              <w:t xml:space="preserve">Planet_Dove</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Planet/eoPortal Dove; ~400 km natural decay in under 5 years (eoportal.org/satellite-missions/planetscope; ESA Env Report 2024 low-altitude natural decay)</w:t>
            </w:r>
          </w:p>
        </w:tc>
      </w:tr>
      <w:tr>
        <w:tc>
          <w:tcPr>
            <w:tcW w:w="0" w:type="auto"/>
          </w:tcPr>
          <w:p>
            <w:pPr>
              <w:spacing w:line="240" w:lineRule="auto" w:before="0" w:after="0"/>
              <w:pStyle w:val="Compact"/>
            </w:pPr>
            <w:r>
              <w:rPr>
                <w:sz w:val="20"/>
                <w:szCs w:val="20"/>
              </w:rPr>
              <w:t xml:space="preserve">TanDEM-X</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1340</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7.2004</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Gunter’s Space Page TerraSAR/TanDEM-X; same EOL drag-reentry plan as TSX, perigee lowered to ~300 km (space.skyrocket.de/doc_sdat/terrasar-x.htm)</w:t>
            </w:r>
          </w:p>
        </w:tc>
      </w:tr>
      <w:tr>
        <w:tc>
          <w:tcPr>
            <w:tcW w:w="0" w:type="auto"/>
          </w:tcPr>
          <w:p>
            <w:pPr>
              <w:spacing w:line="240" w:lineRule="auto" w:before="0" w:after="0"/>
              <w:pStyle w:val="Compact"/>
            </w:pPr>
            <w:r>
              <w:rPr>
                <w:sz w:val="20"/>
                <w:szCs w:val="20"/>
              </w:rPr>
              <w:t xml:space="preserve">Spektr-R_excluded</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3660</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8.2052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Public record Spektr-R; defunct 2019 after loss of contact, no disposal capability, counted as non-disposal derelict at perigee class [illustrative perigee value]</w:t>
            </w:r>
          </w:p>
        </w:tc>
      </w:tr>
      <w:tr>
        <w:tc>
          <w:tcPr>
            <w:tcW w:w="0" w:type="auto"/>
          </w:tcPr>
          <w:p>
            <w:pPr>
              <w:spacing w:line="240" w:lineRule="auto" w:before="0" w:after="0"/>
              <w:pStyle w:val="Compact"/>
            </w:pPr>
            <w:r>
              <w:rPr>
                <w:sz w:val="20"/>
                <w:szCs w:val="20"/>
              </w:rPr>
              <w:t xml:space="preserve">Jason-1</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1336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13.36</w:t>
            </w:r>
          </w:p>
        </w:tc>
        <w:tc>
          <w:tcPr>
            <w:tcW w:w="0" w:type="auto"/>
          </w:tcPr>
          <w:p>
            <w:pPr>
              <w:spacing w:line="240" w:lineRule="auto" w:before="0" w:after="0"/>
              <w:pStyle w:val="Compact"/>
            </w:pPr>
            <w:r>
              <w:rPr>
                <w:sz w:val="20"/>
                <w:szCs w:val="20"/>
              </w:rPr>
              <w:t xml:space="preserve">NASA/CNES Jason-1; 1336 km orbit, decommissioned 2013, &gt;25-yr retention at altitude (eoportal.org/satellite-missions/jason-1)</w:t>
            </w:r>
          </w:p>
        </w:tc>
      </w:tr>
      <w:tr>
        <w:tc>
          <w:tcPr>
            <w:tcW w:w="0" w:type="auto"/>
          </w:tcPr>
          <w:p>
            <w:pPr>
              <w:spacing w:line="240" w:lineRule="auto" w:before="0" w:after="0"/>
              <w:pStyle w:val="Compact"/>
            </w:pPr>
            <w:r>
              <w:rPr>
                <w:sz w:val="20"/>
                <w:szCs w:val="20"/>
              </w:rPr>
              <w:t xml:space="preserve">Cosmos2251</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790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6.8024</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NASA ODPO; 2009 collision-involved derelict at 790 km, no disposal capability (orbitaldebris.jsc.nasa.gov/reentry)</w:t>
            </w:r>
          </w:p>
        </w:tc>
      </w:tr>
      <w:tr>
        <w:tc>
          <w:tcPr>
            <w:tcW w:w="0" w:type="auto"/>
          </w:tcPr>
          <w:p>
            <w:pPr>
              <w:spacing w:line="240" w:lineRule="auto" w:before="0" w:after="0"/>
              <w:pStyle w:val="Compact"/>
            </w:pPr>
            <w:r>
              <w:rPr>
                <w:sz w:val="20"/>
                <w:szCs w:val="20"/>
              </w:rPr>
              <w:t xml:space="preserve">DMSP_F13</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6.7214</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USAF DMSP F-13 breakup Feb 2015; aging derelict at 850 km, no EOL disposal performed (space-track.org DMSP; ESA Space Environment Report 2024)</w:t>
            </w:r>
          </w:p>
        </w:tc>
      </w:tr>
      <w:tr>
        <w:tc>
          <w:tcPr>
            <w:tcW w:w="0" w:type="auto"/>
          </w:tcPr>
          <w:p>
            <w:pPr>
              <w:spacing w:line="240" w:lineRule="auto" w:before="0" w:after="0"/>
              <w:pStyle w:val="Compact"/>
            </w:pPr>
            <w:r>
              <w:rPr>
                <w:sz w:val="20"/>
                <w:szCs w:val="20"/>
              </w:rPr>
              <w:t xml:space="preserve">Starlink_error_batch</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5.5607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DCD/SpaceX 2024; ~100 Starlink deorbited after a discovered</w:t>
            </w:r>
            <w:r>
              <w:rPr>
                <w:sz w:val="20"/>
                <w:szCs w:val="20"/>
              </w:rPr>
              <w:t xml:space="preserve"> </w:t>
            </w:r>
            <w:r>
              <w:rPr>
                <w:sz w:val="20"/>
                <w:szCs w:val="20"/>
              </w:rPr>
              <w:t xml:space="preserve">‘common error’</w:t>
            </w:r>
            <w:r>
              <w:rPr>
                <w:sz w:val="20"/>
                <w:szCs w:val="20"/>
              </w:rPr>
              <w:t xml:space="preserve">, counted as non-nominal disposal batch (datacenterdynamics.com SpaceX to de-orbit 100 Starlink satellites)</w:t>
            </w:r>
          </w:p>
        </w:tc>
      </w:tr>
      <w:tr>
        <w:tc>
          <w:tcPr>
            <w:tcW w:w="0" w:type="auto"/>
          </w:tcPr>
          <w:p>
            <w:pPr>
              <w:spacing w:line="240" w:lineRule="auto" w:before="0" w:after="0"/>
              <w:pStyle w:val="Compact"/>
            </w:pPr>
            <w:r>
              <w:rPr>
                <w:sz w:val="20"/>
                <w:szCs w:val="20"/>
              </w:rPr>
              <w:t xml:space="preserve">ICESat</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eoPortal ICESat; laser/battery failure, uncontrolled decay, reentered Aug 2010 without controlled disposal (eoportal.org/satellite-missions/icesat)</w:t>
            </w:r>
          </w:p>
        </w:tc>
      </w:tr>
      <w:tr>
        <w:tc>
          <w:tcPr>
            <w:tcW w:w="0" w:type="auto"/>
          </w:tcPr>
          <w:p>
            <w:pPr>
              <w:spacing w:line="240" w:lineRule="auto" w:before="0" w:after="0"/>
              <w:pStyle w:val="Compact"/>
            </w:pPr>
            <w:r>
              <w:rPr>
                <w:sz w:val="20"/>
                <w:szCs w:val="20"/>
              </w:rPr>
              <w:t xml:space="preserve">Tiangong-2</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8600</w:t>
            </w:r>
          </w:p>
        </w:tc>
        <w:tc>
          <w:tcPr>
            <w:tcW w:w="0" w:type="auto"/>
          </w:tcPr>
          <w:p>
            <w:pPr>
              <w:spacing w:line="240" w:lineRule="auto" w:before="0" w:after="0"/>
              <w:pStyle w:val="Compact"/>
            </w:pPr>
            <w:r>
              <w:rPr>
                <w:sz w:val="20"/>
                <w:szCs w:val="20"/>
              </w:rPr>
              <w:t xml:space="preserve">380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9.0595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Public record Tiangong-2; controlled deorbit and targeted reentry July 2019 over South Pacific (en.wikipedia.org/wiki/Tiangong-2)</w:t>
            </w:r>
          </w:p>
        </w:tc>
      </w:tr>
      <w:tr>
        <w:tc>
          <w:tcPr>
            <w:tcW w:w="0" w:type="auto"/>
          </w:tcPr>
          <w:p>
            <w:pPr>
              <w:spacing w:line="240" w:lineRule="auto" w:before="0" w:after="0"/>
              <w:pStyle w:val="Compact"/>
            </w:pPr>
            <w:r>
              <w:rPr>
                <w:sz w:val="20"/>
                <w:szCs w:val="20"/>
              </w:rPr>
              <w:t xml:space="preserve">ATV_Jules_Verne</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13000</w:t>
            </w:r>
          </w:p>
        </w:tc>
        <w:tc>
          <w:tcPr>
            <w:tcW w:w="0" w:type="auto"/>
          </w:tcPr>
          <w:p>
            <w:pPr>
              <w:spacing w:line="240" w:lineRule="auto" w:before="0" w:after="0"/>
              <w:pStyle w:val="Compact"/>
            </w:pPr>
            <w:r>
              <w:rPr>
                <w:sz w:val="20"/>
                <w:szCs w:val="20"/>
              </w:rPr>
              <w:t xml:space="preserve">340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9.4727</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ESA ATV Jules Verne; controlled destructive reentry Sept 2008 over South Pacific (esa.int ATV reentry)</w:t>
            </w:r>
          </w:p>
        </w:tc>
      </w:tr>
      <w:tr>
        <w:tc>
          <w:tcPr>
            <w:tcW w:w="0" w:type="auto"/>
          </w:tcPr>
          <w:p>
            <w:pPr>
              <w:spacing w:line="240" w:lineRule="auto" w:before="0" w:after="0"/>
              <w:pStyle w:val="Compact"/>
            </w:pPr>
            <w:r>
              <w:rPr>
                <w:sz w:val="20"/>
                <w:szCs w:val="20"/>
              </w:rPr>
              <w:t xml:space="preserve">RADARSAT-1</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2750</w:t>
            </w:r>
          </w:p>
        </w:tc>
        <w:tc>
          <w:tcPr>
            <w:tcW w:w="0" w:type="auto"/>
          </w:tcPr>
          <w:p>
            <w:pPr>
              <w:spacing w:line="240" w:lineRule="auto" w:before="0" w:after="0"/>
              <w:pStyle w:val="Compact"/>
            </w:pPr>
            <w:r>
              <w:rPr>
                <w:sz w:val="20"/>
                <w:szCs w:val="20"/>
              </w:rPr>
              <w:t xml:space="preserve">798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7.9194</w:t>
            </w:r>
          </w:p>
        </w:tc>
        <w:tc>
          <w:tcPr>
            <w:tcW w:w="0" w:type="auto"/>
          </w:tcPr>
          <w:p>
            <w:pPr>
              <w:spacing w:line="240" w:lineRule="auto" w:before="0" w:after="0"/>
              <w:pStyle w:val="Compact"/>
            </w:pPr>
            <w:r>
              <w:rPr>
                <w:sz w:val="20"/>
                <w:szCs w:val="20"/>
              </w:rPr>
              <w:t xml:space="preserve">7.98</w:t>
            </w:r>
          </w:p>
        </w:tc>
        <w:tc>
          <w:tcPr>
            <w:tcW w:w="0" w:type="auto"/>
          </w:tcPr>
          <w:p>
            <w:pPr>
              <w:spacing w:line="240" w:lineRule="auto" w:before="0" w:after="0"/>
              <w:pStyle w:val="Compact"/>
            </w:pPr>
            <w:r>
              <w:rPr>
                <w:sz w:val="20"/>
                <w:szCs w:val="20"/>
              </w:rPr>
              <w:t xml:space="preserve">CSA RADARSAT-1; failure 2013, no propulsive deorbit at 798 km, long-lived retention (asc-csa.gc.ca/eng/satellites/radarsat1)</w:t>
            </w:r>
          </w:p>
        </w:tc>
      </w:tr>
      <w:tr>
        <w:tc>
          <w:tcPr>
            <w:tcW w:w="0" w:type="auto"/>
          </w:tcPr>
          <w:p>
            <w:pPr>
              <w:spacing w:line="240" w:lineRule="auto" w:before="0" w:after="0"/>
              <w:pStyle w:val="Compact"/>
            </w:pPr>
            <w:r>
              <w:rPr>
                <w:sz w:val="20"/>
                <w:szCs w:val="20"/>
              </w:rPr>
              <w:t xml:space="preserve">Sentinel-1A</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693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7.7407</w:t>
            </w:r>
          </w:p>
        </w:tc>
        <w:tc>
          <w:tcPr>
            <w:tcW w:w="0" w:type="auto"/>
          </w:tcPr>
          <w:p>
            <w:pPr>
              <w:spacing w:line="240" w:lineRule="auto" w:before="0" w:after="0"/>
              <w:pStyle w:val="Compact"/>
            </w:pPr>
            <w:r>
              <w:rPr>
                <w:sz w:val="20"/>
                <w:szCs w:val="20"/>
              </w:rPr>
              <w:t xml:space="preserve">6.93</w:t>
            </w:r>
          </w:p>
        </w:tc>
        <w:tc>
          <w:tcPr>
            <w:tcW w:w="0" w:type="auto"/>
          </w:tcPr>
          <w:p>
            <w:pPr>
              <w:spacing w:line="240" w:lineRule="auto" w:before="0" w:after="0"/>
              <w:pStyle w:val="Compact"/>
            </w:pPr>
            <w:r>
              <w:rPr>
                <w:sz w:val="20"/>
                <w:szCs w:val="20"/>
              </w:rPr>
              <w:t xml:space="preserve">ESA Copernicus Sentinel-1 design carries reserved propellant for EOL deorbit to a 25-yr decay orbit (esa.int Copernicus Sentinel-1 mission)</w:t>
            </w:r>
          </w:p>
        </w:tc>
      </w:tr>
      <w:tr>
        <w:tc>
          <w:tcPr>
            <w:tcW w:w="0" w:type="auto"/>
          </w:tcPr>
          <w:p>
            <w:pPr>
              <w:spacing w:line="240" w:lineRule="auto" w:before="0" w:after="0"/>
              <w:pStyle w:val="Compact"/>
            </w:pPr>
            <w:r>
              <w:rPr>
                <w:sz w:val="20"/>
                <w:szCs w:val="20"/>
              </w:rPr>
              <w:t xml:space="preserve">Cryosat-2</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717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7.17</w:t>
            </w:r>
          </w:p>
        </w:tc>
        <w:tc>
          <w:tcPr>
            <w:tcW w:w="0" w:type="auto"/>
          </w:tcPr>
          <w:p>
            <w:pPr>
              <w:spacing w:line="240" w:lineRule="auto" w:before="0" w:after="0"/>
              <w:pStyle w:val="Compact"/>
            </w:pPr>
            <w:r>
              <w:rPr>
                <w:sz w:val="20"/>
                <w:szCs w:val="20"/>
              </w:rPr>
              <w:t xml:space="preserve">ESA CryoSat-2; mission carries deorbit propellant reserve to lower perigee at EOL (esa.int CryoSat mission) [illustrative reserve value]</w:t>
            </w:r>
          </w:p>
        </w:tc>
      </w:tr>
      <w:tr>
        <w:tc>
          <w:tcPr>
            <w:tcW w:w="0" w:type="auto"/>
          </w:tcPr>
          <w:p>
            <w:pPr>
              <w:spacing w:line="240" w:lineRule="auto" w:before="0" w:after="0"/>
              <w:pStyle w:val="Compact"/>
            </w:pPr>
            <w:r>
              <w:rPr>
                <w:sz w:val="20"/>
                <w:szCs w:val="20"/>
              </w:rPr>
              <w:t xml:space="preserve">Sentinel-2A</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1140</w:t>
            </w:r>
          </w:p>
        </w:tc>
        <w:tc>
          <w:tcPr>
            <w:tcW w:w="0" w:type="auto"/>
          </w:tcPr>
          <w:p>
            <w:pPr>
              <w:spacing w:line="240" w:lineRule="auto" w:before="0" w:after="0"/>
              <w:pStyle w:val="Compact"/>
            </w:pPr>
            <w:r>
              <w:rPr>
                <w:sz w:val="20"/>
                <w:szCs w:val="20"/>
              </w:rPr>
              <w:t xml:space="preserve">786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7.0388</w:t>
            </w:r>
          </w:p>
        </w:tc>
        <w:tc>
          <w:tcPr>
            <w:tcW w:w="0" w:type="auto"/>
          </w:tcPr>
          <w:p>
            <w:pPr>
              <w:spacing w:line="240" w:lineRule="auto" w:before="0" w:after="0"/>
              <w:pStyle w:val="Compact"/>
            </w:pPr>
            <w:r>
              <w:rPr>
                <w:sz w:val="20"/>
                <w:szCs w:val="20"/>
              </w:rPr>
              <w:t xml:space="preserve">7.86</w:t>
            </w:r>
          </w:p>
        </w:tc>
        <w:tc>
          <w:tcPr>
            <w:tcW w:w="0" w:type="auto"/>
          </w:tcPr>
          <w:p>
            <w:pPr>
              <w:spacing w:line="240" w:lineRule="auto" w:before="0" w:after="0"/>
              <w:pStyle w:val="Compact"/>
            </w:pPr>
            <w:r>
              <w:rPr>
                <w:sz w:val="20"/>
                <w:szCs w:val="20"/>
              </w:rPr>
              <w:t xml:space="preserve">ESA Copernicus Sentinel-2 design includes EOL deorbit reserve to meet the 25-yr rule (esa.int Copernicus Sentinel-2 mission)</w:t>
            </w:r>
          </w:p>
        </w:tc>
      </w:tr>
      <w:tr>
        <w:tc>
          <w:tcPr>
            <w:tcW w:w="0" w:type="auto"/>
          </w:tcPr>
          <w:p>
            <w:pPr>
              <w:spacing w:line="240" w:lineRule="auto" w:before="0" w:after="0"/>
              <w:pStyle w:val="Compact"/>
            </w:pPr>
            <w:r>
              <w:rPr>
                <w:sz w:val="20"/>
                <w:szCs w:val="20"/>
              </w:rPr>
              <w:t xml:space="preserve">Iridium33_legacy</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6.3279</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NASA ODPO; Iridium-33 collision-destroyed 2009, first-gen had no propulsive disposal plan at 780 km (orbitaldebris.jsc.nasa.gov/reentry)</w:t>
            </w:r>
          </w:p>
        </w:tc>
      </w:tr>
      <w:tr>
        <w:tc>
          <w:tcPr>
            <w:tcW w:w="0" w:type="auto"/>
          </w:tcPr>
          <w:p>
            <w:pPr>
              <w:spacing w:line="240" w:lineRule="auto" w:before="0" w:after="0"/>
              <w:pStyle w:val="Compact"/>
            </w:pPr>
            <w:r>
              <w:rPr>
                <w:sz w:val="20"/>
                <w:szCs w:val="20"/>
              </w:rPr>
              <w:t xml:space="preserve">Iridium_NEXT</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6.7569</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eoPortal Iridium-NEXT; replenishment with disposal burns lowering retired satellites to decay (eoportal.org/satellite-missions/iridium-next)</w:t>
            </w:r>
          </w:p>
        </w:tc>
      </w:tr>
      <w:tr>
        <w:tc>
          <w:tcPr>
            <w:tcW w:w="0" w:type="auto"/>
          </w:tcPr>
          <w:p>
            <w:pPr>
              <w:spacing w:line="240" w:lineRule="auto" w:before="0" w:after="0"/>
              <w:pStyle w:val="Compact"/>
            </w:pPr>
            <w:r>
              <w:rPr>
                <w:sz w:val="20"/>
                <w:szCs w:val="20"/>
              </w:rPr>
              <w:t xml:space="preserve">Sentinel-3A</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815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7.0475</w:t>
            </w:r>
          </w:p>
        </w:tc>
        <w:tc>
          <w:tcPr>
            <w:tcW w:w="0" w:type="auto"/>
          </w:tcPr>
          <w:p>
            <w:pPr>
              <w:spacing w:line="240" w:lineRule="auto" w:before="0" w:after="0"/>
              <w:pStyle w:val="Compact"/>
            </w:pPr>
            <w:r>
              <w:rPr>
                <w:sz w:val="20"/>
                <w:szCs w:val="20"/>
              </w:rPr>
              <w:t xml:space="preserve">8.15</w:t>
            </w:r>
          </w:p>
        </w:tc>
        <w:tc>
          <w:tcPr>
            <w:tcW w:w="0" w:type="auto"/>
          </w:tcPr>
          <w:p>
            <w:pPr>
              <w:spacing w:line="240" w:lineRule="auto" w:before="0" w:after="0"/>
              <w:pStyle w:val="Compact"/>
            </w:pPr>
            <w:r>
              <w:rPr>
                <w:sz w:val="20"/>
                <w:szCs w:val="20"/>
              </w:rPr>
              <w:t xml:space="preserve">ESA Copernicus Sentinel-3 design carries EOL deorbit propellant reserve (esa.int Copernicus Sentinel-3 mission) [illustrative reserve value]</w:t>
            </w:r>
          </w:p>
        </w:tc>
      </w:tr>
      <w:tr>
        <w:tc>
          <w:tcPr>
            <w:tcW w:w="0" w:type="auto"/>
          </w:tcPr>
          <w:p>
            <w:pPr>
              <w:spacing w:line="240" w:lineRule="auto" w:before="0" w:after="0"/>
              <w:pStyle w:val="Compact"/>
            </w:pPr>
            <w:r>
              <w:rPr>
                <w:sz w:val="20"/>
                <w:szCs w:val="20"/>
              </w:rPr>
              <w:t xml:space="preserve">Spektr_RG_excluded</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2712</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7.9054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Public record; high-energy science platform with no LEO disposal capability, non-disposal control [illustrative perigee value]</w:t>
            </w:r>
          </w:p>
        </w:tc>
      </w:tr>
      <w:tr>
        <w:tc>
          <w:tcPr>
            <w:tcW w:w="0" w:type="auto"/>
          </w:tcPr>
          <w:p>
            <w:pPr>
              <w:spacing w:line="240" w:lineRule="auto" w:before="0" w:after="0"/>
              <w:pStyle w:val="Compact"/>
            </w:pPr>
            <w:r>
              <w:rPr>
                <w:sz w:val="20"/>
                <w:szCs w:val="20"/>
              </w:rPr>
              <w:t xml:space="preserve">Fengyun1C</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6.8565</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NASA ODPO; FY-1C ASAT-destroyed 2007 derelict at 850 km, no disposal (orbitaldebris.jsc.nasa.gov/reentry)</w:t>
            </w:r>
          </w:p>
        </w:tc>
      </w:tr>
      <w:tr>
        <w:tc>
          <w:tcPr>
            <w:tcW w:w="0" w:type="auto"/>
          </w:tcPr>
          <w:p>
            <w:pPr>
              <w:spacing w:line="240" w:lineRule="auto" w:before="0" w:after="0"/>
              <w:pStyle w:val="Compact"/>
            </w:pPr>
            <w:r>
              <w:rPr>
                <w:sz w:val="20"/>
                <w:szCs w:val="20"/>
              </w:rPr>
              <w:t xml:space="preserve">Aqua</w:t>
            </w:r>
          </w:p>
        </w:tc>
        <w:tc>
          <w:tcPr>
            <w:tcW w:w="0" w:type="auto"/>
          </w:tcPr>
          <w:p>
            <w:pPr>
              <w:spacing w:line="240" w:lineRule="auto" w:before="0" w:after="0"/>
              <w:pStyle w:val="Compact"/>
            </w:pPr>
            <w:r>
              <w:rPr>
                <w:sz w:val="20"/>
                <w:szCs w:val="20"/>
              </w:rPr>
              <w:t xml:space="preserve">civil_agency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2934</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7.9841</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NASA Aqua; large EO platform, no propulsive deorbit capability, long natural-decay retention at 705 km (nasa.gov Aqua mission)</w:t>
            </w:r>
          </w:p>
        </w:tc>
      </w:tr>
    </w:tbl>
    <w:bookmarkEnd w:id="210"/>
    <w:bookmarkStart w:id="21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pmd_success</w:t>
            </w:r>
          </w:p>
        </w:tc>
        <w:tc>
          <w:tcPr>
            <w:tcW w:w="0" w:type="auto"/>
          </w:tcPr>
          <w:p>
            <w:pPr>
              <w:spacing w:line="240" w:lineRule="auto" w:before="0" w:after="0"/>
              <w:pStyle w:val="Compact"/>
            </w:pPr>
            <w:r>
              <w:rPr>
                <w:sz w:val="20"/>
                <w:szCs w:val="20"/>
              </w:rPr>
              <w:t xml:space="preserve">Binary outcome: 1 if the object completed post-mission disposal (controlled, assisted, or targeted reentry, or natural decay achieving compliance), 0 if it became a long-lived retained derelict or reentered uncontrolled without disposal</w:t>
            </w:r>
          </w:p>
        </w:tc>
        <w:tc>
          <w:tcPr>
            <w:tcW w:w="0" w:type="auto"/>
          </w:tcPr>
          <w:p>
            <w:pPr>
              <w:spacing w:line="240" w:lineRule="auto" w:before="0" w:after="0"/>
              <w:pStyle w:val="Compact"/>
            </w:pPr>
            <w:r>
              <w:rPr>
                <w:sz w:val="20"/>
                <w:szCs w:val="20"/>
              </w:rPr>
              <w:t xml:space="preserve">Coded from per-object mission records: ESA, NASA Orbital Debris Program Office, eoPortal, operator disclosures</w:t>
            </w:r>
          </w:p>
        </w:tc>
      </w:tr>
      <w:tr>
        <w:tc>
          <w:tcPr>
            <w:tcW w:w="0" w:type="auto"/>
          </w:tcPr>
          <w:p>
            <w:pPr>
              <w:spacing w:line="240" w:lineRule="auto" w:before="0" w:after="0"/>
              <w:pStyle w:val="Compact"/>
            </w:pPr>
            <w:r>
              <w:rPr>
                <w:sz w:val="20"/>
                <w:szCs w:val="20"/>
              </w:rPr>
              <w:t xml:space="preserve">has_propulsion</w:t>
            </w:r>
          </w:p>
        </w:tc>
        <w:tc>
          <w:tcPr>
            <w:tcW w:w="0" w:type="auto"/>
          </w:tcPr>
          <w:p>
            <w:pPr>
              <w:spacing w:line="240" w:lineRule="auto" w:before="0" w:after="0"/>
              <w:pStyle w:val="Compact"/>
            </w:pPr>
            <w:r>
              <w:rPr>
                <w:sz w:val="20"/>
                <w:szCs w:val="20"/>
              </w:rPr>
              <w:t xml:space="preserve">Capability indicator: 1 if the object had a documented active disposal capability (propulsion or drag device usable for deorbit), 0 otherwise</w:t>
            </w:r>
          </w:p>
        </w:tc>
        <w:tc>
          <w:tcPr>
            <w:tcW w:w="0" w:type="auto"/>
          </w:tcPr>
          <w:p>
            <w:pPr>
              <w:spacing w:line="240" w:lineRule="auto" w:before="0" w:after="0"/>
              <w:pStyle w:val="Compact"/>
            </w:pPr>
            <w:r>
              <w:rPr>
                <w:sz w:val="20"/>
                <w:szCs w:val="20"/>
              </w:rPr>
              <w:t xml:space="preserve">Mission specifications via eoPortal, ESA, operator demisability filings</w:t>
            </w:r>
          </w:p>
        </w:tc>
      </w:tr>
      <w:tr>
        <w:tc>
          <w:tcPr>
            <w:tcW w:w="0" w:type="auto"/>
          </w:tcPr>
          <w:p>
            <w:pPr>
              <w:spacing w:line="240" w:lineRule="auto" w:before="0" w:after="0"/>
              <w:pStyle w:val="Compact"/>
            </w:pPr>
            <w:r>
              <w:rPr>
                <w:sz w:val="20"/>
                <w:szCs w:val="20"/>
              </w:rPr>
              <w:t xml:space="preserve">alt_100km</w:t>
            </w:r>
          </w:p>
        </w:tc>
        <w:tc>
          <w:tcPr>
            <w:tcW w:w="0" w:type="auto"/>
          </w:tcPr>
          <w:p>
            <w:pPr>
              <w:spacing w:line="240" w:lineRule="auto" w:before="0" w:after="0"/>
              <w:pStyle w:val="Compact"/>
            </w:pPr>
            <w:r>
              <w:rPr>
                <w:sz w:val="20"/>
                <w:szCs w:val="20"/>
              </w:rPr>
              <w:t xml:space="preserve">Operational altitude in hundreds of kilometers; proxy for the strength of the natural drag-decay environment</w:t>
            </w:r>
          </w:p>
        </w:tc>
        <w:tc>
          <w:tcPr>
            <w:tcW w:w="0" w:type="auto"/>
          </w:tcPr>
          <w:p>
            <w:pPr>
              <w:spacing w:line="240" w:lineRule="auto" w:before="0" w:after="0"/>
              <w:pStyle w:val="Compact"/>
            </w:pPr>
            <w:r>
              <w:rPr>
                <w:sz w:val="20"/>
                <w:szCs w:val="20"/>
              </w:rPr>
              <w:t xml:space="preserve">ESA, eoPortal, and Space-Track orbital records</w:t>
            </w:r>
          </w:p>
        </w:tc>
      </w:tr>
      <w:tr>
        <w:tc>
          <w:tcPr>
            <w:tcW w:w="0" w:type="auto"/>
          </w:tcPr>
          <w:p>
            <w:pPr>
              <w:spacing w:line="240" w:lineRule="auto" w:before="0" w:after="0"/>
              <w:pStyle w:val="Compact"/>
            </w:pPr>
            <w:r>
              <w:rPr>
                <w:sz w:val="20"/>
                <w:szCs w:val="20"/>
              </w:rPr>
              <w:t xml:space="preserve">post2020</w:t>
            </w:r>
          </w:p>
        </w:tc>
        <w:tc>
          <w:tcPr>
            <w:tcW w:w="0" w:type="auto"/>
          </w:tcPr>
          <w:p>
            <w:pPr>
              <w:spacing w:line="240" w:lineRule="auto" w:before="0" w:after="0"/>
              <w:pStyle w:val="Compact"/>
            </w:pPr>
            <w:r>
              <w:rPr>
                <w:sz w:val="20"/>
                <w:szCs w:val="20"/>
              </w:rPr>
              <w:t xml:space="preserve">Regime-salience and cost-internalization era indicator: 1 if the disposal event or governing license falls in the post-2020 period of stricter five-year disposal rules, 0 for the earlier 25-year regime</w:t>
            </w:r>
          </w:p>
        </w:tc>
        <w:tc>
          <w:tcPr>
            <w:tcW w:w="0" w:type="auto"/>
          </w:tcPr>
          <w:p>
            <w:pPr>
              <w:spacing w:line="240" w:lineRule="auto" w:before="0" w:after="0"/>
              <w:pStyle w:val="Compact"/>
            </w:pPr>
            <w:r>
              <w:rPr>
                <w:sz w:val="20"/>
                <w:szCs w:val="20"/>
              </w:rPr>
              <w:t xml:space="preserve">ESA Space Environment Report 2024; FCC five-year disposal rule</w:t>
            </w:r>
          </w:p>
        </w:tc>
      </w:tr>
      <w:tr>
        <w:tc>
          <w:tcPr>
            <w:tcW w:w="0" w:type="auto"/>
          </w:tcPr>
          <w:p>
            <w:pPr>
              <w:spacing w:line="240" w:lineRule="auto" w:before="0" w:after="0"/>
              <w:pStyle w:val="Compact"/>
            </w:pPr>
            <w:r>
              <w:rPr>
                <w:sz w:val="20"/>
                <w:szCs w:val="20"/>
              </w:rPr>
              <w:t xml:space="preserve">constellation_op</w:t>
            </w:r>
          </w:p>
        </w:tc>
        <w:tc>
          <w:tcPr>
            <w:tcW w:w="0" w:type="auto"/>
          </w:tcPr>
          <w:p>
            <w:pPr>
              <w:spacing w:line="240" w:lineRule="auto" w:before="0" w:after="0"/>
              <w:pStyle w:val="Compact"/>
            </w:pPr>
            <w:r>
              <w:rPr>
                <w:sz w:val="20"/>
                <w:szCs w:val="20"/>
              </w:rPr>
              <w:t xml:space="preserve">Reported covariate: 1 if a large-constellation operator, 0 otherwise (excluded from the estimated specification due to quasi-complete separation with the era indicator)</w:t>
            </w:r>
          </w:p>
        </w:tc>
        <w:tc>
          <w:tcPr>
            <w:tcW w:w="0" w:type="auto"/>
          </w:tcPr>
          <w:p>
            <w:pPr>
              <w:spacing w:line="240" w:lineRule="auto" w:before="0" w:after="0"/>
              <w:pStyle w:val="Compact"/>
            </w:pPr>
            <w:r>
              <w:rPr>
                <w:sz w:val="20"/>
                <w:szCs w:val="20"/>
              </w:rPr>
              <w:t xml:space="preserve">Operator identity via eoPortal and operator filings</w:t>
            </w:r>
          </w:p>
        </w:tc>
      </w:tr>
    </w:tbl>
    <w:bookmarkEnd w:id="211"/>
    <w:bookmarkEnd w:id="212"/>
    <w:bookmarkEnd w:id="21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8" Type="http://schemas.openxmlformats.org/officeDocument/2006/relationships/image" Target="media/rId198.png"/><Relationship Id="rId206" Type="http://schemas.openxmlformats.org/officeDocument/2006/relationships/image" Target="media/rId206.png"/><Relationship Id="rId156" Type="http://schemas.openxmlformats.org/officeDocument/2006/relationships/hyperlink" Target="https://doi.org/10.1016/j.actaastro.2015.04.024" TargetMode="External"/><Relationship Id="rId185" Type="http://schemas.openxmlformats.org/officeDocument/2006/relationships/hyperlink" Target="https://doi.org/10.1016/j.actaastro.2019.07.014" TargetMode="External"/><Relationship Id="rId147" Type="http://schemas.openxmlformats.org/officeDocument/2006/relationships/hyperlink" Target="https://doi.org/10.1016/j.actaastro.2021.03.030" TargetMode="External"/><Relationship Id="rId166" Type="http://schemas.openxmlformats.org/officeDocument/2006/relationships/hyperlink" Target="https://doi.org/10.1016/j.actaastro.2022.05.045" TargetMode="External"/><Relationship Id="rId153" Type="http://schemas.openxmlformats.org/officeDocument/2006/relationships/hyperlink" Target="https://doi.org/10.1016/j.actaastro.2023.01.016" TargetMode="External"/><Relationship Id="rId191" Type="http://schemas.openxmlformats.org/officeDocument/2006/relationships/hyperlink" Target="https://doi.org/10.1016/j.actaastro.2023.01.021" TargetMode="External"/><Relationship Id="rId162" Type="http://schemas.openxmlformats.org/officeDocument/2006/relationships/hyperlink" Target="https://doi.org/10.1016/j.actaastro.2024.03.002" TargetMode="External"/><Relationship Id="rId193" Type="http://schemas.openxmlformats.org/officeDocument/2006/relationships/hyperlink" Target="https://doi.org/10.1016/j.actaastro.2024.11.050" TargetMode="External"/><Relationship Id="rId168" Type="http://schemas.openxmlformats.org/officeDocument/2006/relationships/hyperlink" Target="https://doi.org/10.1016/j.actaastro.2025.01.043" TargetMode="External"/><Relationship Id="rId181" Type="http://schemas.openxmlformats.org/officeDocument/2006/relationships/hyperlink" Target="https://doi.org/10.1016/j.actaastro.2025.01.069" TargetMode="External"/><Relationship Id="rId144" Type="http://schemas.openxmlformats.org/officeDocument/2006/relationships/hyperlink" Target="https://doi.org/10.1016/j.actaastro.2025.03.034" TargetMode="External"/><Relationship Id="rId183" Type="http://schemas.openxmlformats.org/officeDocument/2006/relationships/hyperlink" Target="https://doi.org/10.1016/j.actaastro.2025.12.018" TargetMode="External"/><Relationship Id="rId187" Type="http://schemas.openxmlformats.org/officeDocument/2006/relationships/hyperlink" Target="https://doi.org/10.1016/j.actaastro.2025.12.063" TargetMode="External"/><Relationship Id="rId189" Type="http://schemas.openxmlformats.org/officeDocument/2006/relationships/hyperlink" Target="https://doi.org/10.1016/j.actaastro.2026.01.042" TargetMode="External"/><Relationship Id="rId151" Type="http://schemas.openxmlformats.org/officeDocument/2006/relationships/hyperlink" Target="https://doi.org/10.1086/730695" TargetMode="External"/><Relationship Id="rId158" Type="http://schemas.openxmlformats.org/officeDocument/2006/relationships/hyperlink" Target="https://doi.org/10.1257/jep.32.2.173" TargetMode="External"/><Relationship Id="rId171" Type="http://schemas.openxmlformats.org/officeDocument/2006/relationships/hyperlink" Target="https://doi.org/10.64861/FKER7625" TargetMode="External"/><Relationship Id="rId149" Type="http://schemas.openxmlformats.org/officeDocument/2006/relationships/hyperlink" Target="https://doi.org/10.64861/QKCI9457" TargetMode="External"/><Relationship Id="rId175" Type="http://schemas.openxmlformats.org/officeDocument/2006/relationships/hyperlink" Target="https://doi.org/10.64861/SCHO4201" TargetMode="External"/></Relationships>
</file>

<file path=word/_rels/footnotes.xml.rels><?xml version='1.0' encoding='UTF-8' standalone='yes'?>
<Relationships xmlns="http://schemas.openxmlformats.org/package/2006/relationships"><Relationship Id="rId156" Type="http://schemas.openxmlformats.org/officeDocument/2006/relationships/hyperlink" Target="https://doi.org/10.1016/j.actaastro.2015.04.024" TargetMode="External"/><Relationship Id="rId185" Type="http://schemas.openxmlformats.org/officeDocument/2006/relationships/hyperlink" Target="https://doi.org/10.1016/j.actaastro.2019.07.014" TargetMode="External"/><Relationship Id="rId147" Type="http://schemas.openxmlformats.org/officeDocument/2006/relationships/hyperlink" Target="https://doi.org/10.1016/j.actaastro.2021.03.030" TargetMode="External"/><Relationship Id="rId166" Type="http://schemas.openxmlformats.org/officeDocument/2006/relationships/hyperlink" Target="https://doi.org/10.1016/j.actaastro.2022.05.045" TargetMode="External"/><Relationship Id="rId153" Type="http://schemas.openxmlformats.org/officeDocument/2006/relationships/hyperlink" Target="https://doi.org/10.1016/j.actaastro.2023.01.016" TargetMode="External"/><Relationship Id="rId191" Type="http://schemas.openxmlformats.org/officeDocument/2006/relationships/hyperlink" Target="https://doi.org/10.1016/j.actaastro.2023.01.021" TargetMode="External"/><Relationship Id="rId162" Type="http://schemas.openxmlformats.org/officeDocument/2006/relationships/hyperlink" Target="https://doi.org/10.1016/j.actaastro.2024.03.002" TargetMode="External"/><Relationship Id="rId193" Type="http://schemas.openxmlformats.org/officeDocument/2006/relationships/hyperlink" Target="https://doi.org/10.1016/j.actaastro.2024.11.050" TargetMode="External"/><Relationship Id="rId168" Type="http://schemas.openxmlformats.org/officeDocument/2006/relationships/hyperlink" Target="https://doi.org/10.1016/j.actaastro.2025.01.043" TargetMode="External"/><Relationship Id="rId181" Type="http://schemas.openxmlformats.org/officeDocument/2006/relationships/hyperlink" Target="https://doi.org/10.1016/j.actaastro.2025.01.069" TargetMode="External"/><Relationship Id="rId144" Type="http://schemas.openxmlformats.org/officeDocument/2006/relationships/hyperlink" Target="https://doi.org/10.1016/j.actaastro.2025.03.034" TargetMode="External"/><Relationship Id="rId183" Type="http://schemas.openxmlformats.org/officeDocument/2006/relationships/hyperlink" Target="https://doi.org/10.1016/j.actaastro.2025.12.018" TargetMode="External"/><Relationship Id="rId187" Type="http://schemas.openxmlformats.org/officeDocument/2006/relationships/hyperlink" Target="https://doi.org/10.1016/j.actaastro.2025.12.063" TargetMode="External"/><Relationship Id="rId189" Type="http://schemas.openxmlformats.org/officeDocument/2006/relationships/hyperlink" Target="https://doi.org/10.1016/j.actaastro.2026.01.042" TargetMode="External"/><Relationship Id="rId151" Type="http://schemas.openxmlformats.org/officeDocument/2006/relationships/hyperlink" Target="https://doi.org/10.1086/730695" TargetMode="External"/><Relationship Id="rId158" Type="http://schemas.openxmlformats.org/officeDocument/2006/relationships/hyperlink" Target="https://doi.org/10.1257/jep.32.2.173" TargetMode="External"/><Relationship Id="rId171" Type="http://schemas.openxmlformats.org/officeDocument/2006/relationships/hyperlink" Target="https://doi.org/10.64861/FKER7625" TargetMode="External"/><Relationship Id="rId149" Type="http://schemas.openxmlformats.org/officeDocument/2006/relationships/hyperlink" Target="https://doi.org/10.64861/QKCI9457" TargetMode="External"/><Relationship Id="rId175" Type="http://schemas.openxmlformats.org/officeDocument/2006/relationships/hyperlink" Target="https://doi.org/10.64861/SCHO4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Collective Action and the Post-Mission Disposal Gap: Why Operators Underinvest in End-of-Life Disposal</dc:title>
  <dc:creator>Ravi Tanaka (1B-SDA-072)</dc:creator>
  <cp:keywords/>
  <dcterms:created xsi:type="dcterms:W3CDTF">2026-07-04T00:20:16Z</dcterms:created>
  <dcterms:modified xsi:type="dcterms:W3CDTF">2026-07-04T00:20:16Z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