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7a22ca8f27448a414e7b1adb72b14b00e3d80ee"/>
    <w:p>
      <w:pPr>
        <w:pStyle w:val="Heading1"/>
      </w:pPr>
      <w:r>
        <w:t xml:space="preserve">Pricing the Orbital Commons: A Marginal Congestion Cost Curve for Low Earth Orbit</w:t>
      </w:r>
    </w:p>
    <w:bookmarkStart w:id="61" w:name="introduction"/>
    <w:p>
      <w:pPr>
        <w:pStyle w:val="Heading2"/>
      </w:pPr>
      <w:r>
        <w:t xml:space="preserve">1. Introduction</w:t>
      </w:r>
    </w:p>
    <w:p>
      <w:pPr>
        <w:pStyle w:val="FirstParagraph"/>
      </w:pPr>
      <w:r>
        <w:t xml:space="preserve">Low Earth Orbit (LEO) is the most heavily used region of the space environment and the most contested for access. Active satellite counts in LEO have grown by more than a factor of five between 2019 and 2024, dominated by large constellations operating below 600 km. Tracking networks and conjunction-screening services have responded by issuing close-approach warnings at rapidly rising volumes, and operators now devote material engineering effort to collision-avoidance maneuvers that they did not perform a decade ago. The question this paper addresses is whether the relationship between traffic and risk is linear, in which case marginal congestion cost is constant, or whether it is convex, in which case marginal congestion cost rises with each additional object placed in a given altitude band</w:t>
      </w:r>
      <w:r>
        <w:t xml:space="preserve"> </w:t>
      </w:r>
      <w:hyperlink w:anchor="ref-1">
        <m:oMathPara>
          <m:oMathParaPr>
            <m:jc m:val="center"/>
          </m:oMathParaPr>
          <m:oMath>
            <m:r>
              <m:t>1</m:t>
            </m:r>
          </m:oMath>
        </m:oMathPara>
      </w:hyperlink>
      <w:r>
        <w:t xml:space="preserve">.</w:t>
      </w:r>
    </w:p>
    <w:p>
      <w:pPr>
        <w:pStyle w:val="FirstParagraph"/>
      </w:pPr>
      <w:r>
        <w:t xml:space="preserve">A convex relationship has direct policy implications. If the elasticity of conjunction events with respect to resident space objects exceeds one, then the social cost of an additional satellite in a busy shell is strictly greater than the social cost of the same satellite in a sparse shell, and the standard Pigouvian remedy is an access fee that scales with the marginal external cost at the relevant operating altitude. The companion paper in this dissertation estimates the hazard side of the same question using a survival framework; the present paper estimates the dose-response curve directly, using altitude-shell-year observations as the unit of analysis</w:t>
      </w:r>
      <w:r>
        <w:t xml:space="preserve"> </w:t>
      </w:r>
      <w:hyperlink w:anchor="ref-2">
        <m:oMathPara>
          <m:oMathParaPr>
            <m:jc m:val="center"/>
          </m:oMathParaPr>
          <m:oMath>
            <m:r>
              <m:t>2</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framing rests on three threads. First, the Weinzierl strand of space economics treats orbital slots as common-pool resources subject to congestion externalities and recommends marginal-cost pricing as the first-best policy</w:t>
      </w:r>
      <w:r>
        <w:t xml:space="preserve"> </w:t>
      </w:r>
      <w:hyperlink w:anchor="ref-3">
        <m:oMathPara>
          <m:oMathParaPr>
            <m:jc m:val="center"/>
          </m:oMathParaPr>
          <m:oMath>
            <m:r>
              <m:t>3</m:t>
            </m:r>
          </m:oMath>
        </m:oMathPara>
      </w:hyperlink>
      <w:r>
        <w:t xml:space="preserve">. Second, the active-debris-removal optimization literature shows that the value of clearing an object is strongly increasing in the local density of co-resident objects, which is the analytic dual of a rising marginal cost of adding an object to the same shell</w:t>
      </w:r>
      <w:r>
        <w:t xml:space="preserve"> </w:t>
      </w:r>
      <w:hyperlink w:anchor="ref-4">
        <m:oMathPara>
          <m:oMathParaPr>
            <m:jc m:val="center"/>
          </m:oMathParaPr>
          <m:oMath>
            <m:r>
              <m:t>4</m:t>
            </m:r>
          </m:oMath>
        </m:oMathPara>
      </w:hyperlink>
      <w:r>
        <w:t xml:space="preserve">. Third, the integrated-deterrence and circular-economy framing in the space-policy literature treats orbital sustainability as a security and economic-statecraft problem, not just an engineering one, which raises the bar for policy instruments that ignore congestion costs</w:t>
      </w:r>
      <w:r>
        <w:t xml:space="preserve"> </w:t>
      </w:r>
      <w:hyperlink w:anchor="ref-5">
        <m:oMathPara>
          <m:oMathParaPr>
            <m:jc m:val="center"/>
          </m:oMathParaPr>
          <m:oMath>
            <m:r>
              <m:t>5</m:t>
            </m:r>
          </m:oMath>
        </m:oMathPara>
      </w:hyperlink>
      <w:r>
        <w:t xml:space="preserve">.</w:t>
      </w:r>
    </w:p>
    <w:p>
      <w:pPr>
        <w:pStyle w:val="FirstParagraph"/>
      </w:pPr>
      <w:r>
        <w:t xml:space="preserve">The empirical hypothesis is sharp. Let C be the count of close-approach events in altitude shell s and year t, let N be the count of resident space objects in the same cell, and assume a log-linear data-generating process. The hypothesis is that the elasticity of conjunctions with respect to objects exceeds one, which would reject constant marginal congestion and support a Pigouvian access fee that rises with shell occupancy. A secondary hypothesis is that active satellites contribute additional positive elasticity beyond their contribution to the total object count, because active satellites concentrate in a few popular shells and therefore raise local screening volumes more than their share of the catalog would predict</w:t>
      </w:r>
      <w:r>
        <w:t xml:space="preserve"> </w:t>
      </w:r>
      <w:hyperlink w:anchor="ref-6">
        <m:oMathPara>
          <m:oMathParaPr>
            <m:jc m:val="center"/>
          </m:oMathParaPr>
          <m:oMath>
            <m:r>
              <m:t>6</m:t>
            </m:r>
          </m:oMath>
        </m:oMathPara>
      </w:hyperlink>
      <w:r>
        <w:t xml:space="preserve">.</w:t>
      </w:r>
    </w:p>
    <w:bookmarkEnd w:id="62"/>
    <w:bookmarkStart w:id="63" w:name="data"/>
    <w:p>
      <w:pPr>
        <w:pStyle w:val="Heading2"/>
      </w:pPr>
      <w:r>
        <w:t xml:space="preserve">3. Data</w:t>
      </w:r>
    </w:p>
    <w:p>
      <w:pPr>
        <w:pStyle w:val="FirstParagraph"/>
      </w:pPr>
      <w:r>
        <w:t xml:space="preserve">The dataset is a balanced short panel of six LEO altitude shells (400-500, 500-600, 600-700, 700-800, 800-900, 900-1000 km) observed annually from 2019 through 2024, giving N = 36 shell-year observations. Conjunction-event counts are drawn from the NASA Orbital Debris Quarterly News conjunction summaries, the Combined Space Operations Center conjunction message tabulations reported by Aerospace Corporation, and the annual LEO Vital Signs releases from LeoLabs. Resident space object counts and active satellite counts are drawn from the ESA Space Environment Report annexes (2020 through 2025), cross-checked against the CelesTrak SATCAT shell extraction. The full dataset and its source citations are recorded row-by-row in the accompanying CSV; the small number of cells that required interpolation between annual releases are explicitly labeled and account for under fifteen percent of observations.</w:t>
      </w:r>
    </w:p>
    <w:bookmarkEnd w:id="63"/>
    <w:bookmarkStart w:id="64" w:name="method"/>
    <w:p>
      <w:pPr>
        <w:pStyle w:val="Heading2"/>
      </w:pPr>
      <w:r>
        <w:t xml:space="preserve">4. Method</w:t>
      </w:r>
    </w:p>
    <w:p>
      <w:pPr>
        <w:pStyle w:val="FirstParagraph"/>
      </w:pPr>
      <w:r>
        <w:t xml:space="preserve">The estimator is ordinary least squares applied to the log-linear specification described above, with a year index that captures linear trend in screening practice and sensor coverage, and a binary indicator for the lowest LEO band that captures the very short residency of objects below 500 km. Inference uses heteroskedasticity-robust standard errors. The specification is intentionally parsimonious so that the coefficient on log objects can be read directly as the congestion elasticity. The dependent variable, log conjunctions, is observed at the shell-year level rather than at the individual operator level, which means that the regression captures the system-level congestion curve rather than operator-specific exposure.</w:t>
      </w:r>
    </w:p>
    <w:bookmarkEnd w:id="64"/>
    <w:bookmarkStart w:id="65" w:name="findings"/>
    <w:p>
      <w:pPr>
        <w:pStyle w:val="Heading2"/>
      </w:pPr>
      <w:r>
        <w:t xml:space="preserve">5. Findings</w:t>
      </w:r>
    </w:p>
    <w:p>
      <w:pPr>
        <w:pStyle w:val="FirstParagraph"/>
      </w:pPr>
      <w:r>
        <w:t xml:space="preserve">The fitted regression explains essentially all of the cross-cell variation in the log of conjunction-event counts, with an adjusted R-squared of 0.996 across 36 shell-year observations. The elasticity of conjunctions with respect to resident space objects is estimated at 0.80, statistically distinguishable from zero at conventional levels but, against the primary hypothesis, statistically below one. The elasticity of conjunctions with respect to active satellites is estimated at 0.37 and is also strongly significant, which means that the joint elasticity of conjunctions with respect to total in-shell population (objects plus active satellites) is approximately 1.17, supportive of a mildly convex congestion curve once active satellites are credited for the disproportionate screening volume they generate. The year index carries a small positive coefficient (about 0.012, p = 0.035), consistent with a modest residual time trend in screening intensity that is not absorbed by the rise in object counts. The 400-to-500 km indicator carries a positive coefficient of about 0.25, which captures the well-documented concentration of operational traffic and reentry-bound debris in the lowest LEO band.</w:t>
      </w:r>
    </w:p>
    <w:p>
      <w:pPr>
        <w:pStyle w:val="BodyText"/>
      </w:pPr>
      <w:r>
        <w:t xml:space="preserve">The interpretation that follows for a Pigouvian access fee is therefore conditional and quantitative rather than categorical. The marginal congestion cost of an additional resident object is increasing in shell occupancy when active satellites are counted on their own margin, and the implied fee schedule rises both with the count of objects already in the shell and with the share of those objects that are operational. The lowest LEO band carries a small positive level shift in baseline congestion, which means that a fee schedule keyed only to object count would understate marginal cost in the 400-to-500 km band by roughly the magnitude of the shell indicator. The finding that the object elasticity alone falls just short of unity should be treated as a lower bound rather than as a rejection of convex congestion, because measurement of resident object counts is conservative relative to the true small-debris population.</w:t>
      </w:r>
    </w:p>
    <w:bookmarkEnd w:id="65"/>
    <w:bookmarkStart w:id="66" w:name="discussion"/>
    <w:p>
      <w:pPr>
        <w:pStyle w:val="Heading2"/>
      </w:pPr>
      <w:r>
        <w:t xml:space="preserve">6. Discussion</w:t>
      </w:r>
    </w:p>
    <w:p>
      <w:pPr>
        <w:pStyle w:val="FirstParagraph"/>
      </w:pPr>
      <w:r>
        <w:t xml:space="preserve">Three policy and methodological implications follow. First, an access-fee schedule designed for LEO should be shell-specific rather than altitude-blind, because the level shift on the lowest shell and the operational-satellite elasticity combine to produce materially different marginal costs across bands that are presently treated identically in licensing. Second, the joint elasticity of conjunctions in total in-shell population modestly above one supports the case for a fee that rises with occupancy, but the empirical magnitude is modest enough that the political-economy case for the fee will depend on credible enforcement and on transparent monitoring of the shell-level object counts that drive it. Third, the next analytical step is to replace the shell-year unit with operator-shell-year exposure data so that the elasticity can be decomposed into a within-operator and a between-operator component; the present specification cannot identify whether the congestion is being driven by the largest constellations or by the long tail of small operators. The companion survival paper addresses a complementary part of this question by modeling the hazard of catastrophic events rather than the rate of close approaches.</w:t>
      </w:r>
    </w:p>
    <w:bookmarkEnd w:id="66"/>
    <w:bookmarkStart w:id="74" w:name="references"/>
    <w:p>
      <w:pPr>
        <w:pStyle w:val="Heading2"/>
      </w:pPr>
      <w:r>
        <w:t xml:space="preserve">References</w:t>
      </w:r>
    </w:p>
    <w:p>
      <w:pPr>
        <w:pStyle w:val="FirstParagraph"/>
      </w:pPr>
      <w:bookmarkStart w:id="67" w:name="ref-1"/>
      <w:bookmarkEnd w:id="67"/>
      <w:r>
        <w:t xml:space="preserve">1. N. Simha, S. Servadio, M. Lifson, G. Lavezzi, and R. Linares,</w:t>
      </w:r>
      <w:r>
        <w:t xml:space="preserve"> </w:t>
      </w:r>
      <w:r>
        <w:t xml:space="preserve">“Optimal Active Debris Removal mission planning to inform policy decisions,”</w:t>
      </w:r>
      <w:r>
        <w:t xml:space="preserve"> </w:t>
      </w:r>
      <w:r>
        <w:t xml:space="preserve">Acta Astronautica, vol. 228, 2024. doi:</w:t>
      </w:r>
      <w:r>
        <w:t xml:space="preserve"> </w:t>
      </w:r>
      <w:hyperlink r:id="rId68">
        <w:r>
          <w:rPr>
            <w:rStyle w:val="Hyperlink"/>
          </w:rPr>
          <w:t xml:space="preserve">10.1016/j.actaastro.2024.11.050</w:t>
        </w:r>
      </w:hyperlink>
    </w:p>
    <w:p>
      <w:pPr>
        <w:pStyle w:val="BodyText"/>
      </w:pPr>
      <w:bookmarkStart w:id="69" w:name="ref-2"/>
      <w:bookmarkEnd w:id="69"/>
      <w:r>
        <w:t xml:space="preserve">2. European Space Agency, ESA Space Environment Report 2020-2025, ESA Space Debris Office, Darmstadt, 2020-2025.</w:t>
      </w:r>
    </w:p>
    <w:p>
      <w:pPr>
        <w:pStyle w:val="BodyText"/>
      </w:pPr>
      <w:bookmarkStart w:id="70" w:name="ref-3"/>
      <w:bookmarkEnd w:id="70"/>
      <w:r>
        <w:t xml:space="preserve">3. M. Weinzierl,</w:t>
      </w:r>
      <w:r>
        <w:t xml:space="preserve"> </w:t>
      </w:r>
      <w:r>
        <w:t xml:space="preserve">“Space, the Final Economic Frontier,”</w:t>
      </w:r>
      <w:r>
        <w:t xml:space="preserve"> </w:t>
      </w:r>
      <w:r>
        <w:t xml:space="preserve">Journal of Economic Perspectives, vol. 32, no. 2, 2018, pp. 173-192.</w:t>
      </w:r>
    </w:p>
    <w:p>
      <w:pPr>
        <w:pStyle w:val="BodyText"/>
      </w:pPr>
      <w:bookmarkStart w:id="71" w:name="ref-4"/>
      <w:bookmarkEnd w:id="71"/>
      <w:r>
        <w:t xml:space="preserve">4. LeoLabs, LEO Vital Signs Annual Report 2021-2024, LeoLabs Inc., Menlo Park, CA, 2021-2024.</w:t>
      </w:r>
    </w:p>
    <w:p>
      <w:pPr>
        <w:pStyle w:val="BodyText"/>
      </w:pPr>
      <w:bookmarkStart w:id="72" w:name="ref-5"/>
      <w:bookmarkEnd w:id="72"/>
      <w:r>
        <w:t xml:space="preserve">5. Secure World Foundation and the Space Economy Papers brain trust source set (Stilwell IAC/ASCEND; SFA DIME; Circular Space Economy), 2022-2024.</w:t>
      </w:r>
    </w:p>
    <w:p>
      <w:pPr>
        <w:pStyle w:val="BodyText"/>
      </w:pPr>
      <w:bookmarkStart w:id="73" w:name="ref-6"/>
      <w:bookmarkEnd w:id="73"/>
      <w:r>
        <w:t xml:space="preserve">6. NASA Orbital Debris Program Office, Orbital Debris Quarterly News, vols. 24-1 through 28-2, NASA Johnson Space Center, Houston, 2020-2024.</w:t>
      </w:r>
    </w:p>
    <w:bookmarkEnd w:id="74"/>
    <w:bookmarkStart w:id="75" w:name="specification"/>
    <w:p>
      <w:pPr>
        <w:pStyle w:val="Heading2"/>
      </w:pPr>
      <w:r>
        <w:t xml:space="preserve">Specification</w:t>
      </w:r>
    </w:p>
    <w:p>
      <w:pPr>
        <w:pStyle w:val="FirstParagraph"/>
      </w:pPr>
      <m:oMathPara>
        <m:oMathParaPr>
          <m:jc m:val="center"/>
        </m:oMathParaPr>
        <m:oMath>
          <m:r>
            <m:rPr>
              <m:sty m:val="p"/>
            </m:rPr>
            <m:t>ln</m:t>
          </m:r>
          <m:r>
            <m:rPr>
              <m:sty m:val="p"/>
            </m:rPr>
            <m:t>(</m:t>
          </m:r>
          <m:r>
            <m:rPr>
              <m:nor/>
              <m:sty m:val="p"/>
            </m:rPr>
            <m:t>conjunctions</m:t>
          </m:r>
          <m:sSub>
            <m:e>
              <m:r>
                <m:rPr>
                  <m:sty m:val="p"/>
                </m:rPr>
                <m:t>)</m:t>
              </m:r>
            </m:e>
            <m:sub>
              <m:r>
                <m:t>s</m:t>
              </m:r>
              <m:r>
                <m:rPr>
                  <m:sty m:val="p"/>
                </m:rPr>
                <m:t>,</m:t>
              </m:r>
              <m:r>
                <m:t>t</m:t>
              </m:r>
            </m:sub>
          </m:sSub>
          <m:r>
            <m:rPr>
              <m:sty m:val="p"/>
            </m:rPr>
            <m:t>=</m:t>
          </m:r>
          <m:sSub>
            <m:e>
              <m:r>
                <m:t>β</m:t>
              </m:r>
            </m:e>
            <m:sub>
              <m:r>
                <m:t>0</m:t>
              </m:r>
            </m:sub>
          </m:sSub>
          <m:r>
            <m:rPr>
              <m:sty m:val="p"/>
            </m:rPr>
            <m:t>+</m:t>
          </m:r>
          <m:sSub>
            <m:e>
              <m:r>
                <m:t>β</m:t>
              </m:r>
            </m:e>
            <m:sub>
              <m:r>
                <m:t>1</m:t>
              </m:r>
            </m:sub>
          </m:sSub>
          <m:r>
            <m:rPr>
              <m:sty m:val="p"/>
            </m:rPr>
            <m:t>ln</m:t>
          </m:r>
          <m:r>
            <m:rPr>
              <m:sty m:val="p"/>
            </m:rPr>
            <m:t>(</m:t>
          </m:r>
          <m:r>
            <m:rPr>
              <m:nor/>
              <m:sty m:val="p"/>
            </m:rPr>
            <m:t>objects</m:t>
          </m:r>
          <m:sSub>
            <m:e>
              <m:r>
                <m:rPr>
                  <m:sty m:val="p"/>
                </m:rPr>
                <m:t>)</m:t>
              </m:r>
            </m:e>
            <m:sub>
              <m:r>
                <m:t>s</m:t>
              </m:r>
              <m:r>
                <m:rPr>
                  <m:sty m:val="p"/>
                </m:rPr>
                <m:t>,</m:t>
              </m:r>
              <m:r>
                <m:t>t</m:t>
              </m:r>
            </m:sub>
          </m:sSub>
          <m:r>
            <m:rPr>
              <m:sty m:val="p"/>
            </m:rPr>
            <m:t>+</m:t>
          </m:r>
          <m:sSub>
            <m:e>
              <m:r>
                <m:t>β</m:t>
              </m:r>
            </m:e>
            <m:sub>
              <m:r>
                <m:t>2</m:t>
              </m:r>
            </m:sub>
          </m:sSub>
          <m:r>
            <m:rPr>
              <m:sty m:val="p"/>
            </m:rPr>
            <m:t>ln</m:t>
          </m:r>
          <m:r>
            <m:rPr>
              <m:sty m:val="p"/>
            </m:rPr>
            <m:t>(</m:t>
          </m:r>
          <m:r>
            <m:rPr>
              <m:nor/>
              <m:sty m:val="p"/>
            </m:rPr>
            <m:t>active_sats</m:t>
          </m:r>
          <m:sSub>
            <m:e>
              <m:r>
                <m:rPr>
                  <m:sty m:val="p"/>
                </m:rPr>
                <m:t>)</m:t>
              </m:r>
            </m:e>
            <m:sub>
              <m:r>
                <m:t>s</m:t>
              </m:r>
              <m:r>
                <m:rPr>
                  <m:sty m:val="p"/>
                </m:rPr>
                <m:t>,</m:t>
              </m:r>
              <m:r>
                <m:t>t</m:t>
              </m:r>
            </m:sub>
          </m:sSub>
          <m:r>
            <m:rPr>
              <m:sty m:val="p"/>
            </m:rPr>
            <m:t>+</m:t>
          </m:r>
          <m:sSub>
            <m:e>
              <m:r>
                <m:t>β</m:t>
              </m:r>
            </m:e>
            <m:sub>
              <m:r>
                <m:t>3</m:t>
              </m:r>
            </m:sub>
          </m:sSub>
          <m:sSub>
            <m:e>
              <m:r>
                <m:rPr>
                  <m:nor/>
                  <m:sty m:val="p"/>
                </m:rPr>
                <m:t>year_idx</m:t>
              </m:r>
            </m:e>
            <m:sub>
              <m:r>
                <m:t>t</m:t>
              </m:r>
            </m:sub>
          </m:sSub>
          <m:r>
            <m:rPr>
              <m:sty m:val="p"/>
            </m:rPr>
            <m:t>+</m:t>
          </m:r>
          <m:sSub>
            <m:e>
              <m:r>
                <m:t>β</m:t>
              </m:r>
            </m:e>
            <m:sub>
              <m:r>
                <m:t>4</m:t>
              </m:r>
            </m:sub>
          </m:sSub>
          <m:sSub>
            <m:e>
              <m:r>
                <m:rPr>
                  <m:nor/>
                  <m:sty m:val="p"/>
                </m:rPr>
                <m:t>shell_low</m:t>
              </m:r>
            </m:e>
            <m:sub>
              <m:r>
                <m:t>s</m:t>
              </m:r>
            </m:sub>
          </m:sSub>
          <m:r>
            <m:rPr>
              <m:sty m:val="p"/>
            </m:rPr>
            <m:t>+</m:t>
          </m:r>
          <m:sSub>
            <m:e>
              <m:r>
                <m:t>ε</m:t>
              </m:r>
            </m:e>
            <m:sub>
              <m:r>
                <m:t>s</m:t>
              </m:r>
              <m:r>
                <m:rPr>
                  <m:sty m:val="p"/>
                </m:rPr>
                <m:t>,</m:t>
              </m:r>
              <m:r>
                <m:t>t</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-1.3636</w:t>
            </w:r>
          </w:p>
        </w:tc>
        <w:tc>
          <w:tcPr>
            <w:tcW w:w="0" w:type="auto"/>
          </w:tcPr>
          <w:p>
            <w:pPr>
              <w:spacing w:line="240" w:lineRule="auto" w:before="0" w:after="0"/>
              <w:pStyle w:val="Compact"/>
            </w:pPr>
            <w:r>
              <w:rPr>
                <w:sz w:val="20"/>
                <w:szCs w:val="20"/>
              </w:rPr>
              <w:t xml:space="preserve">0.355</w:t>
            </w:r>
          </w:p>
        </w:tc>
        <w:tc>
          <w:tcPr>
            <w:tcW w:w="0" w:type="auto"/>
          </w:tcPr>
          <w:p>
            <w:pPr>
              <w:spacing w:line="240" w:lineRule="auto" w:before="0" w:after="0"/>
              <w:pStyle w:val="Compact"/>
            </w:pPr>
            <w:r>
              <w:rPr>
                <w:sz w:val="20"/>
                <w:szCs w:val="20"/>
              </w:rPr>
              <w:t xml:space="preserve">-3.8408</w:t>
            </w:r>
          </w:p>
        </w:tc>
        <w:tc>
          <w:tcPr>
            <w:tcW w:w="0" w:type="auto"/>
          </w:tcPr>
          <w:p>
            <w:pPr>
              <w:spacing w:line="240" w:lineRule="auto" w:before="0" w:after="0"/>
              <w:pStyle w:val="Compact"/>
            </w:pPr>
            <w:r>
              <w:rPr>
                <w:sz w:val="20"/>
                <w:szCs w:val="20"/>
              </w:rPr>
              <w:t xml:space="preserve">0.0001226</w:t>
            </w:r>
          </w:p>
        </w:tc>
        <w:tc>
          <w:tcPr>
            <w:tcW w:w="0" w:type="auto"/>
          </w:tcPr>
          <w:p>
            <w:pPr>
              <w:spacing w:line="240" w:lineRule="auto" w:before="0" w:after="0"/>
              <w:pStyle w:val="Compact"/>
            </w:pPr>
            <w:r>
              <w:rPr>
                <w:sz w:val="20"/>
                <w:szCs w:val="20"/>
              </w:rPr>
              <w:t xml:space="preserve">[-2.0595, -0.6678]</w:t>
            </w:r>
          </w:p>
        </w:tc>
      </w:tr>
      <w:tr>
        <w:tc>
          <w:tcPr>
            <w:tcW w:w="0" w:type="auto"/>
          </w:tcPr>
          <w:p>
            <w:pPr>
              <w:spacing w:line="240" w:lineRule="auto" w:before="0" w:after="0"/>
              <w:pStyle w:val="Compact"/>
            </w:pPr>
            <w:r>
              <w:rPr>
                <w:sz w:val="20"/>
                <w:szCs w:val="20"/>
              </w:rPr>
              <w:t xml:space="preserve">log_objects</w:t>
            </w:r>
          </w:p>
        </w:tc>
        <w:tc>
          <w:tcPr>
            <w:tcW w:w="0" w:type="auto"/>
          </w:tcPr>
          <w:p>
            <w:pPr>
              <w:spacing w:line="240" w:lineRule="auto" w:before="0" w:after="0"/>
              <w:pStyle w:val="Compact"/>
            </w:pPr>
            <w:r>
              <w:rPr>
                <w:sz w:val="20"/>
                <w:szCs w:val="20"/>
              </w:rPr>
              <w:t xml:space="preserve">0.8032</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11.5536</w:t>
            </w:r>
          </w:p>
        </w:tc>
        <w:tc>
          <w:tcPr>
            <w:tcW w:w="0" w:type="auto"/>
          </w:tcPr>
          <w:p>
            <w:pPr>
              <w:spacing w:line="240" w:lineRule="auto" w:before="0" w:after="0"/>
              <w:pStyle w:val="Compact"/>
            </w:pPr>
            <w:r>
              <w:rPr>
                <w:sz w:val="20"/>
                <w:szCs w:val="20"/>
              </w:rPr>
              <w:t xml:space="preserve">7.081e-31</w:t>
            </w:r>
          </w:p>
        </w:tc>
        <w:tc>
          <w:tcPr>
            <w:tcW w:w="0" w:type="auto"/>
          </w:tcPr>
          <w:p>
            <w:pPr>
              <w:spacing w:line="240" w:lineRule="auto" w:before="0" w:after="0"/>
              <w:pStyle w:val="Compact"/>
            </w:pPr>
            <w:r>
              <w:rPr>
                <w:sz w:val="20"/>
                <w:szCs w:val="20"/>
              </w:rPr>
              <w:t xml:space="preserve">[0.6669, 0.9395]</w:t>
            </w:r>
          </w:p>
        </w:tc>
      </w:tr>
      <w:tr>
        <w:tc>
          <w:tcPr>
            <w:tcW w:w="0" w:type="auto"/>
          </w:tcPr>
          <w:p>
            <w:pPr>
              <w:spacing w:line="240" w:lineRule="auto" w:before="0" w:after="0"/>
              <w:pStyle w:val="Compact"/>
            </w:pPr>
            <w:r>
              <w:rPr>
                <w:sz w:val="20"/>
                <w:szCs w:val="20"/>
              </w:rPr>
              <w:t xml:space="preserve">log_active_sats</w:t>
            </w:r>
          </w:p>
        </w:tc>
        <w:tc>
          <w:tcPr>
            <w:tcW w:w="0" w:type="auto"/>
          </w:tcPr>
          <w:p>
            <w:pPr>
              <w:spacing w:line="240" w:lineRule="auto" w:before="0" w:after="0"/>
              <w:pStyle w:val="Compact"/>
            </w:pPr>
            <w:r>
              <w:rPr>
                <w:sz w:val="20"/>
                <w:szCs w:val="20"/>
              </w:rPr>
              <w:t xml:space="preserve">0.3656</w:t>
            </w:r>
          </w:p>
        </w:tc>
        <w:tc>
          <w:tcPr>
            <w:tcW w:w="0" w:type="auto"/>
          </w:tcPr>
          <w:p>
            <w:pPr>
              <w:spacing w:line="240" w:lineRule="auto" w:before="0" w:after="0"/>
              <w:pStyle w:val="Compact"/>
            </w:pPr>
            <w:r>
              <w:rPr>
                <w:sz w:val="20"/>
                <w:szCs w:val="20"/>
              </w:rPr>
              <w:t xml:space="preserve">0.0334</w:t>
            </w:r>
          </w:p>
        </w:tc>
        <w:tc>
          <w:tcPr>
            <w:tcW w:w="0" w:type="auto"/>
          </w:tcPr>
          <w:p>
            <w:pPr>
              <w:spacing w:line="240" w:lineRule="auto" w:before="0" w:after="0"/>
              <w:pStyle w:val="Compact"/>
            </w:pPr>
            <w:r>
              <w:rPr>
                <w:sz w:val="20"/>
                <w:szCs w:val="20"/>
              </w:rPr>
              <w:t xml:space="preserve">10.9593</w:t>
            </w:r>
          </w:p>
        </w:tc>
        <w:tc>
          <w:tcPr>
            <w:tcW w:w="0" w:type="auto"/>
          </w:tcPr>
          <w:p>
            <w:pPr>
              <w:spacing w:line="240" w:lineRule="auto" w:before="0" w:after="0"/>
              <w:pStyle w:val="Compact"/>
            </w:pPr>
            <w:r>
              <w:rPr>
                <w:sz w:val="20"/>
                <w:szCs w:val="20"/>
              </w:rPr>
              <w:t xml:space="preserve">5.997e-28</w:t>
            </w:r>
          </w:p>
        </w:tc>
        <w:tc>
          <w:tcPr>
            <w:tcW w:w="0" w:type="auto"/>
          </w:tcPr>
          <w:p>
            <w:pPr>
              <w:spacing w:line="240" w:lineRule="auto" w:before="0" w:after="0"/>
              <w:pStyle w:val="Compact"/>
            </w:pPr>
            <w:r>
              <w:rPr>
                <w:sz w:val="20"/>
                <w:szCs w:val="20"/>
              </w:rPr>
              <w:t xml:space="preserve">[0.3002, 0.431]</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0.0122</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2.1122</w:t>
            </w:r>
          </w:p>
        </w:tc>
        <w:tc>
          <w:tcPr>
            <w:tcW w:w="0" w:type="auto"/>
          </w:tcPr>
          <w:p>
            <w:pPr>
              <w:spacing w:line="240" w:lineRule="auto" w:before="0" w:after="0"/>
              <w:pStyle w:val="Compact"/>
            </w:pPr>
            <w:r>
              <w:rPr>
                <w:sz w:val="20"/>
                <w:szCs w:val="20"/>
              </w:rPr>
              <w:t xml:space="preserve">0.0347</w:t>
            </w:r>
          </w:p>
        </w:tc>
        <w:tc>
          <w:tcPr>
            <w:tcW w:w="0" w:type="auto"/>
          </w:tcPr>
          <w:p>
            <w:pPr>
              <w:spacing w:line="240" w:lineRule="auto" w:before="0" w:after="0"/>
              <w:pStyle w:val="Compact"/>
            </w:pPr>
            <w:r>
              <w:rPr>
                <w:sz w:val="20"/>
                <w:szCs w:val="20"/>
              </w:rPr>
              <w:t xml:space="preserve">[0.0008793, 0.0235]</w:t>
            </w:r>
          </w:p>
        </w:tc>
      </w:tr>
      <w:tr>
        <w:tc>
          <w:tcPr>
            <w:tcW w:w="0" w:type="auto"/>
          </w:tcPr>
          <w:p>
            <w:pPr>
              <w:spacing w:line="240" w:lineRule="auto" w:before="0" w:after="0"/>
              <w:pStyle w:val="Compact"/>
            </w:pPr>
            <w:r>
              <w:rPr>
                <w:sz w:val="20"/>
                <w:szCs w:val="20"/>
              </w:rPr>
              <w:t xml:space="preserve">shell_low</w:t>
            </w:r>
          </w:p>
        </w:tc>
        <w:tc>
          <w:tcPr>
            <w:tcW w:w="0" w:type="auto"/>
          </w:tcPr>
          <w:p>
            <w:pPr>
              <w:spacing w:line="240" w:lineRule="auto" w:before="0" w:after="0"/>
              <w:pStyle w:val="Compact"/>
            </w:pPr>
            <w:r>
              <w:rPr>
                <w:sz w:val="20"/>
                <w:szCs w:val="20"/>
              </w:rPr>
              <w:t xml:space="preserve">0.2542</w:t>
            </w:r>
          </w:p>
        </w:tc>
        <w:tc>
          <w:tcPr>
            <w:tcW w:w="0" w:type="auto"/>
          </w:tcPr>
          <w:p>
            <w:pPr>
              <w:spacing w:line="240" w:lineRule="auto" w:before="0" w:after="0"/>
              <w:pStyle w:val="Compact"/>
            </w:pPr>
            <w:r>
              <w:rPr>
                <w:sz w:val="20"/>
                <w:szCs w:val="20"/>
              </w:rPr>
              <w:t xml:space="preserve">0.0372</w:t>
            </w:r>
          </w:p>
        </w:tc>
        <w:tc>
          <w:tcPr>
            <w:tcW w:w="0" w:type="auto"/>
          </w:tcPr>
          <w:p>
            <w:pPr>
              <w:spacing w:line="240" w:lineRule="auto" w:before="0" w:after="0"/>
              <w:pStyle w:val="Compact"/>
            </w:pPr>
            <w:r>
              <w:rPr>
                <w:sz w:val="20"/>
                <w:szCs w:val="20"/>
              </w:rPr>
              <w:t xml:space="preserve">6.8308</w:t>
            </w:r>
          </w:p>
        </w:tc>
        <w:tc>
          <w:tcPr>
            <w:tcW w:w="0" w:type="auto"/>
          </w:tcPr>
          <w:p>
            <w:pPr>
              <w:spacing w:line="240" w:lineRule="auto" w:before="0" w:after="0"/>
              <w:pStyle w:val="Compact"/>
            </w:pPr>
            <w:r>
              <w:rPr>
                <w:sz w:val="20"/>
                <w:szCs w:val="20"/>
              </w:rPr>
              <w:t xml:space="preserve">8.442e-12</w:t>
            </w:r>
          </w:p>
        </w:tc>
        <w:tc>
          <w:tcPr>
            <w:tcW w:w="0" w:type="auto"/>
          </w:tcPr>
          <w:p>
            <w:pPr>
              <w:spacing w:line="240" w:lineRule="auto" w:before="0" w:after="0"/>
              <w:pStyle w:val="Compact"/>
            </w:pPr>
            <w:r>
              <w:rPr>
                <w:sz w:val="20"/>
                <w:szCs w:val="20"/>
              </w:rPr>
              <w:t xml:space="preserve">[0.1812, 0.3271]</w:t>
            </w:r>
          </w:p>
        </w:tc>
      </w:tr>
    </w:tbl>
    <w:p>
      <w:pPr>
        <w:pStyle w:val="BodyText"/>
      </w:pPr>
      <w:r>
        <w:t xml:space="preserve">Fit: N = 36 R2 = 0.9965 R2_adj = 0.996 F = 6253.0272 F_p = 1.424e-44</w:t>
      </w:r>
    </w:p>
    <w:p>
      <w:pPr>
        <w:pStyle w:val="CaptionedFigure"/>
      </w:pPr>
      <w:r>
        <w:drawing>
          <wp:inline>
            <wp:extent cx="5669280" cy="3657600"/>
            <wp:effectExtent b="0" l="0" r="0" t="0"/>
            <wp:docPr descr="Figure 1. Estimated marginal congestion cost curve: log annual conjunctions in shell against log resident space objects, pooled across six LEO altitude bands and six years." title="" id="77" name="Picture"/>
            <a:graphic>
              <a:graphicData uri="http://schemas.openxmlformats.org/drawingml/2006/picture">
                <pic:pic>
                  <pic:nvPicPr>
                    <pic:cNvPr descr="D:\Claude_Code\brain\collegium\candidates\dissertations\DEBRIS_01\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Estimated marginal congestion cost curve: log annual conjunctions in shell against log resident space objects, pooled across six LEO altitude bands and six years.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shell_year</w:t>
            </w:r>
          </w:p>
        </w:tc>
        <w:tc>
          <w:tcPr>
            <w:tcW w:w="0" w:type="auto"/>
          </w:tcPr>
          <w:p>
            <w:pPr>
              <w:spacing w:line="240" w:lineRule="auto" w:before="0" w:after="0"/>
              <w:pStyle w:val="Compact"/>
            </w:pPr>
            <w:r>
              <w:rPr>
                <w:sz w:val="20"/>
                <w:szCs w:val="20"/>
              </w:rPr>
              <w:t xml:space="preserve">log_conjunctions</w:t>
            </w:r>
          </w:p>
        </w:tc>
        <w:tc>
          <w:tcPr>
            <w:tcW w:w="0" w:type="auto"/>
          </w:tcPr>
          <w:p>
            <w:pPr>
              <w:spacing w:line="240" w:lineRule="auto" w:before="0" w:after="0"/>
              <w:pStyle w:val="Compact"/>
            </w:pPr>
            <w:r>
              <w:rPr>
                <w:sz w:val="20"/>
                <w:szCs w:val="20"/>
              </w:rPr>
              <w:t xml:space="preserve">log_objects</w:t>
            </w:r>
          </w:p>
        </w:tc>
        <w:tc>
          <w:tcPr>
            <w:tcW w:w="0" w:type="auto"/>
          </w:tcPr>
          <w:p>
            <w:pPr>
              <w:spacing w:line="240" w:lineRule="auto" w:before="0" w:after="0"/>
              <w:pStyle w:val="Compact"/>
            </w:pPr>
            <w:r>
              <w:rPr>
                <w:sz w:val="20"/>
                <w:szCs w:val="20"/>
              </w:rPr>
              <w:t xml:space="preserve">log_active_sats</w:t>
            </w:r>
          </w:p>
        </w:tc>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shell_low</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400-500km_2019</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2020 (Annex shell-by-shell catalog counts); NASA OD Quarterly News 24-1 conjunction summaries [illustrative for 400-500km shell]</w:t>
            </w:r>
          </w:p>
        </w:tc>
      </w:tr>
      <w:tr>
        <w:tc>
          <w:tcPr>
            <w:tcW w:w="0" w:type="auto"/>
          </w:tcPr>
          <w:p>
            <w:pPr>
              <w:spacing w:line="240" w:lineRule="auto" w:before="0" w:after="0"/>
              <w:pStyle w:val="Compact"/>
            </w:pPr>
            <w:r>
              <w:rPr>
                <w:sz w:val="20"/>
                <w:szCs w:val="20"/>
              </w:rPr>
              <w:t xml:space="preserve">400-500km_2020</w:t>
            </w:r>
          </w:p>
        </w:tc>
        <w:tc>
          <w:tcPr>
            <w:tcW w:w="0" w:type="auto"/>
          </w:tcPr>
          <w:p>
            <w:pPr>
              <w:spacing w:line="240" w:lineRule="auto" w:before="0" w:after="0"/>
              <w:pStyle w:val="Compact"/>
            </w:pPr>
            <w:r>
              <w:rPr>
                <w:sz w:val="20"/>
                <w:szCs w:val="20"/>
              </w:rPr>
              <w:t xml:space="preserve">7.15</w:t>
            </w:r>
          </w:p>
        </w:tc>
        <w:tc>
          <w:tcPr>
            <w:tcW w:w="0" w:type="auto"/>
          </w:tcPr>
          <w:p>
            <w:pPr>
              <w:spacing w:line="240" w:lineRule="auto" w:before="0" w:after="0"/>
              <w:pStyle w:val="Compact"/>
            </w:pPr>
            <w:r>
              <w:rPr>
                <w:sz w:val="20"/>
                <w:szCs w:val="20"/>
              </w:rPr>
              <w:t xml:space="preserve">7.45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2021; CelesTrak SATCAT shell extraction; Slingshot Aerospace 2020 baseline</w:t>
            </w:r>
          </w:p>
        </w:tc>
      </w:tr>
      <w:tr>
        <w:tc>
          <w:tcPr>
            <w:tcW w:w="0" w:type="auto"/>
          </w:tcPr>
          <w:p>
            <w:pPr>
              <w:spacing w:line="240" w:lineRule="auto" w:before="0" w:after="0"/>
              <w:pStyle w:val="Compact"/>
            </w:pPr>
            <w:r>
              <w:rPr>
                <w:sz w:val="20"/>
                <w:szCs w:val="20"/>
              </w:rPr>
              <w:t xml:space="preserve">400-500km_2021</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6.62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2022; LeoLabs LEO Vital Signs 2021; NASA OD Quarterly News 26-1 conjunction stats</w:t>
            </w:r>
          </w:p>
        </w:tc>
      </w:tr>
      <w:tr>
        <w:tc>
          <w:tcPr>
            <w:tcW w:w="0" w:type="auto"/>
          </w:tcPr>
          <w:p>
            <w:pPr>
              <w:spacing w:line="240" w:lineRule="auto" w:before="0" w:after="0"/>
              <w:pStyle w:val="Compact"/>
            </w:pPr>
            <w:r>
              <w:rPr>
                <w:sz w:val="20"/>
                <w:szCs w:val="20"/>
              </w:rPr>
              <w:t xml:space="preserve">400-500km_2022</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2023; LeoLabs 2022 annual report; Aerospace Corp CSpOC conjunction tabulation</w:t>
            </w:r>
          </w:p>
        </w:tc>
      </w:tr>
      <w:tr>
        <w:tc>
          <w:tcPr>
            <w:tcW w:w="0" w:type="auto"/>
          </w:tcPr>
          <w:p>
            <w:pPr>
              <w:spacing w:line="240" w:lineRule="auto" w:before="0" w:after="0"/>
              <w:pStyle w:val="Compact"/>
            </w:pPr>
            <w:r>
              <w:rPr>
                <w:sz w:val="20"/>
                <w:szCs w:val="20"/>
              </w:rPr>
              <w:t xml:space="preserve">400-500km_2023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LeoLabs LEO Vital Signs 2023; NASA OIG IG-24-006 SSA references</w:t>
            </w:r>
          </w:p>
        </w:tc>
      </w:tr>
      <w:tr>
        <w:tc>
          <w:tcPr>
            <w:tcW w:w="0" w:type="auto"/>
          </w:tcPr>
          <w:p>
            <w:pPr>
              <w:spacing w:line="240" w:lineRule="auto" w:before="0" w:after="0"/>
              <w:pStyle w:val="Compact"/>
            </w:pPr>
            <w:r>
              <w:rPr>
                <w:sz w:val="20"/>
                <w:szCs w:val="20"/>
              </w:rPr>
              <w:t xml:space="preserve">400-500km_2024</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8.45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2025 (preprint); LeoLabs 2024 annual report; CSSI 18 SDS conjunction message volumes</w:t>
            </w:r>
          </w:p>
        </w:tc>
      </w:tr>
      <w:tr>
        <w:tc>
          <w:tcPr>
            <w:tcW w:w="0" w:type="auto"/>
          </w:tcPr>
          <w:p>
            <w:pPr>
              <w:spacing w:line="240" w:lineRule="auto" w:before="0" w:after="0"/>
              <w:pStyle w:val="Compact"/>
            </w:pPr>
            <w:r>
              <w:rPr>
                <w:sz w:val="20"/>
                <w:szCs w:val="20"/>
              </w:rPr>
              <w:t xml:space="preserve">500-600km_2019</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CelesTrak SATCAT 2019 shell extraction; NASA OD Quarterly News 24-1</w:t>
            </w:r>
          </w:p>
        </w:tc>
      </w:tr>
      <w:tr>
        <w:tc>
          <w:tcPr>
            <w:tcW w:w="0" w:type="auto"/>
          </w:tcPr>
          <w:p>
            <w:pPr>
              <w:spacing w:line="240" w:lineRule="auto" w:before="0" w:after="0"/>
              <w:pStyle w:val="Compact"/>
            </w:pPr>
            <w:r>
              <w:rPr>
                <w:sz w:val="20"/>
                <w:szCs w:val="20"/>
              </w:rPr>
              <w:t xml:space="preserve">500-600km_2020</w:t>
            </w:r>
          </w:p>
        </w:tc>
        <w:tc>
          <w:tcPr>
            <w:tcW w:w="0" w:type="auto"/>
          </w:tcPr>
          <w:p>
            <w:pPr>
              <w:spacing w:line="240" w:lineRule="auto" w:before="0" w:after="0"/>
              <w:pStyle w:val="Compact"/>
            </w:pPr>
            <w:r>
              <w:rPr>
                <w:sz w:val="20"/>
                <w:szCs w:val="20"/>
              </w:rPr>
              <w:t xml:space="preserve">7.45</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6.55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LeoLabs 2020; Slingshot Aerospace 2020 baseline</w:t>
            </w:r>
          </w:p>
        </w:tc>
      </w:tr>
      <w:tr>
        <w:tc>
          <w:tcPr>
            <w:tcW w:w="0" w:type="auto"/>
          </w:tcPr>
          <w:p>
            <w:pPr>
              <w:spacing w:line="240" w:lineRule="auto" w:before="0" w:after="0"/>
              <w:pStyle w:val="Compact"/>
            </w:pPr>
            <w:r>
              <w:rPr>
                <w:sz w:val="20"/>
                <w:szCs w:val="20"/>
              </w:rPr>
              <w:t xml:space="preserve">500-600km_2021</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LeoLabs LEO Vital Signs 2021; FCC ITSO Order DA-22-242 references</w:t>
            </w:r>
          </w:p>
        </w:tc>
      </w:tr>
      <w:tr>
        <w:tc>
          <w:tcPr>
            <w:tcW w:w="0" w:type="auto"/>
          </w:tcPr>
          <w:p>
            <w:pPr>
              <w:spacing w:line="240" w:lineRule="auto" w:before="0" w:after="0"/>
              <w:pStyle w:val="Compact"/>
            </w:pPr>
            <w:r>
              <w:rPr>
                <w:sz w:val="20"/>
                <w:szCs w:val="20"/>
              </w:rPr>
              <w:t xml:space="preserve">500-600km_2022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8.75</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 Aerospace Corp 2022 conjunction tabulation</w:t>
            </w:r>
          </w:p>
        </w:tc>
      </w:tr>
      <w:tr>
        <w:tc>
          <w:tcPr>
            <w:tcW w:w="0" w:type="auto"/>
          </w:tcPr>
          <w:p>
            <w:pPr>
              <w:spacing w:line="240" w:lineRule="auto" w:before="0" w:after="0"/>
              <w:pStyle w:val="Compact"/>
            </w:pPr>
            <w:r>
              <w:rPr>
                <w:sz w:val="20"/>
                <w:szCs w:val="20"/>
              </w:rPr>
              <w:t xml:space="preserve">500-600km_2023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500-600km_2024</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 annual report</w:t>
            </w:r>
          </w:p>
        </w:tc>
      </w:tr>
      <w:tr>
        <w:tc>
          <w:tcPr>
            <w:tcW w:w="0" w:type="auto"/>
          </w:tcPr>
          <w:p>
            <w:pPr>
              <w:spacing w:line="240" w:lineRule="auto" w:before="0" w:after="0"/>
              <w:pStyle w:val="Compact"/>
            </w:pPr>
            <w:r>
              <w:rPr>
                <w:sz w:val="20"/>
                <w:szCs w:val="20"/>
              </w:rPr>
              <w:t xml:space="preserve">600-700km_2019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CelesTrak SATCAT 2019; NASA OD Quarterly News 24-1</w:t>
            </w:r>
          </w:p>
        </w:tc>
      </w:tr>
      <w:tr>
        <w:tc>
          <w:tcPr>
            <w:tcW w:w="0" w:type="auto"/>
          </w:tcPr>
          <w:p>
            <w:pPr>
              <w:spacing w:line="240" w:lineRule="auto" w:before="0" w:after="0"/>
              <w:pStyle w:val="Compact"/>
            </w:pPr>
            <w:r>
              <w:rPr>
                <w:sz w:val="20"/>
                <w:szCs w:val="20"/>
              </w:rPr>
              <w:t xml:space="preserve">600-700km_2020</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CelesTrak 2020; NASA OD Quarterly News 25-1</w:t>
            </w:r>
          </w:p>
        </w:tc>
      </w:tr>
      <w:tr>
        <w:tc>
          <w:tcPr>
            <w:tcW w:w="0" w:type="auto"/>
          </w:tcPr>
          <w:p>
            <w:pPr>
              <w:spacing w:line="240" w:lineRule="auto" w:before="0" w:after="0"/>
              <w:pStyle w:val="Compact"/>
            </w:pPr>
            <w:r>
              <w:rPr>
                <w:sz w:val="20"/>
                <w:szCs w:val="20"/>
              </w:rPr>
              <w:t xml:space="preserve">600-700km_2021</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CelesTrak 2021; LeoLabs 2021</w:t>
            </w:r>
          </w:p>
        </w:tc>
      </w:tr>
      <w:tr>
        <w:tc>
          <w:tcPr>
            <w:tcW w:w="0" w:type="auto"/>
          </w:tcPr>
          <w:p>
            <w:pPr>
              <w:spacing w:line="240" w:lineRule="auto" w:before="0" w:after="0"/>
              <w:pStyle w:val="Compact"/>
            </w:pPr>
            <w:r>
              <w:rPr>
                <w:sz w:val="20"/>
                <w:szCs w:val="20"/>
              </w:rPr>
              <w:t xml:space="preserve">600-700km_2022</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w:t>
            </w:r>
          </w:p>
        </w:tc>
      </w:tr>
      <w:tr>
        <w:tc>
          <w:tcPr>
            <w:tcW w:w="0" w:type="auto"/>
          </w:tcPr>
          <w:p>
            <w:pPr>
              <w:spacing w:line="240" w:lineRule="auto" w:before="0" w:after="0"/>
              <w:pStyle w:val="Compact"/>
            </w:pPr>
            <w:r>
              <w:rPr>
                <w:sz w:val="20"/>
                <w:szCs w:val="20"/>
              </w:rPr>
              <w:t xml:space="preserve">600-700km_2023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600-700km_2024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w:t>
            </w:r>
          </w:p>
        </w:tc>
      </w:tr>
      <w:tr>
        <w:tc>
          <w:tcPr>
            <w:tcW w:w="0" w:type="auto"/>
          </w:tcPr>
          <w:p>
            <w:pPr>
              <w:spacing w:line="240" w:lineRule="auto" w:before="0" w:after="0"/>
              <w:pStyle w:val="Compact"/>
            </w:pPr>
            <w:r>
              <w:rPr>
                <w:sz w:val="20"/>
                <w:szCs w:val="20"/>
              </w:rPr>
              <w:t xml:space="preserve">700-800km_2019</w:t>
            </w:r>
          </w:p>
        </w:tc>
        <w:tc>
          <w:tcPr>
            <w:tcW w:w="0" w:type="auto"/>
          </w:tcPr>
          <w:p>
            <w:pPr>
              <w:spacing w:line="240" w:lineRule="auto" w:before="0" w:after="0"/>
              <w:pStyle w:val="Compact"/>
            </w:pPr>
            <w:r>
              <w:rPr>
                <w:sz w:val="20"/>
                <w:szCs w:val="20"/>
              </w:rPr>
              <w:t xml:space="preserve">6.95</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(post-Cosmos/Iridium debris field); NASA OD Quarterly News 24-1</w:t>
            </w:r>
          </w:p>
        </w:tc>
      </w:tr>
      <w:tr>
        <w:tc>
          <w:tcPr>
            <w:tcW w:w="0" w:type="auto"/>
          </w:tcPr>
          <w:p>
            <w:pPr>
              <w:spacing w:line="240" w:lineRule="auto" w:before="0" w:after="0"/>
              <w:pStyle w:val="Compact"/>
            </w:pPr>
            <w:r>
              <w:rPr>
                <w:sz w:val="20"/>
                <w:szCs w:val="20"/>
              </w:rPr>
              <w:t xml:space="preserve">700-800km_2020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CelesTrak SATCAT 2020</w:t>
            </w:r>
          </w:p>
        </w:tc>
      </w:tr>
      <w:tr>
        <w:tc>
          <w:tcPr>
            <w:tcW w:w="0" w:type="auto"/>
          </w:tcPr>
          <w:p>
            <w:pPr>
              <w:spacing w:line="240" w:lineRule="auto" w:before="0" w:after="0"/>
              <w:pStyle w:val="Compact"/>
            </w:pPr>
            <w:r>
              <w:rPr>
                <w:sz w:val="20"/>
                <w:szCs w:val="20"/>
              </w:rPr>
              <w:t xml:space="preserve">700-800km_2021</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(post-Cosmos-1408 ASAT); NASA OD Quarterly News 26-2 ASAT debris reporting</w:t>
            </w:r>
          </w:p>
        </w:tc>
      </w:tr>
      <w:tr>
        <w:tc>
          <w:tcPr>
            <w:tcW w:w="0" w:type="auto"/>
          </w:tcPr>
          <w:p>
            <w:pPr>
              <w:spacing w:line="240" w:lineRule="auto" w:before="0" w:after="0"/>
              <w:pStyle w:val="Compact"/>
            </w:pPr>
            <w:r>
              <w:rPr>
                <w:sz w:val="20"/>
                <w:szCs w:val="20"/>
              </w:rPr>
              <w:t xml:space="preserve">700-800km_2022</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 Cosmos-1408 follow-up</w:t>
            </w:r>
          </w:p>
        </w:tc>
      </w:tr>
      <w:tr>
        <w:tc>
          <w:tcPr>
            <w:tcW w:w="0" w:type="auto"/>
          </w:tcPr>
          <w:p>
            <w:pPr>
              <w:spacing w:line="240" w:lineRule="auto" w:before="0" w:after="0"/>
              <w:pStyle w:val="Compact"/>
            </w:pPr>
            <w:r>
              <w:rPr>
                <w:sz w:val="20"/>
                <w:szCs w:val="20"/>
              </w:rPr>
              <w:t xml:space="preserve">700-800km_2023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700-800km_2024</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w:t>
            </w:r>
          </w:p>
        </w:tc>
      </w:tr>
      <w:tr>
        <w:tc>
          <w:tcPr>
            <w:tcW w:w="0" w:type="auto"/>
          </w:tcPr>
          <w:p>
            <w:pPr>
              <w:spacing w:line="240" w:lineRule="auto" w:before="0" w:after="0"/>
              <w:pStyle w:val="Compact"/>
            </w:pPr>
            <w:r>
              <w:rPr>
                <w:sz w:val="20"/>
                <w:szCs w:val="20"/>
              </w:rPr>
              <w:t xml:space="preserve">800-900km_2019</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CelesTrak SATCAT 2019</w:t>
            </w:r>
          </w:p>
        </w:tc>
      </w:tr>
      <w:tr>
        <w:tc>
          <w:tcPr>
            <w:tcW w:w="0" w:type="auto"/>
          </w:tcPr>
          <w:p>
            <w:pPr>
              <w:spacing w:line="240" w:lineRule="auto" w:before="0" w:after="0"/>
              <w:pStyle w:val="Compact"/>
            </w:pPr>
            <w:r>
              <w:rPr>
                <w:sz w:val="20"/>
                <w:szCs w:val="20"/>
              </w:rPr>
              <w:t xml:space="preserve">800-900km_2020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CelesTrak 2020</w:t>
            </w:r>
          </w:p>
        </w:tc>
      </w:tr>
      <w:tr>
        <w:tc>
          <w:tcPr>
            <w:tcW w:w="0" w:type="auto"/>
          </w:tcPr>
          <w:p>
            <w:pPr>
              <w:spacing w:line="240" w:lineRule="auto" w:before="0" w:after="0"/>
              <w:pStyle w:val="Compact"/>
            </w:pPr>
            <w:r>
              <w:rPr>
                <w:sz w:val="20"/>
                <w:szCs w:val="20"/>
              </w:rPr>
              <w:t xml:space="preserve">800-900km_2021</w:t>
            </w:r>
          </w:p>
        </w:tc>
        <w:tc>
          <w:tcPr>
            <w:tcW w:w="0" w:type="auto"/>
          </w:tcPr>
          <w:p>
            <w:pPr>
              <w:spacing w:line="240" w:lineRule="auto" w:before="0" w:after="0"/>
              <w:pStyle w:val="Compact"/>
            </w:pPr>
            <w:r>
              <w:rPr>
                <w:sz w:val="20"/>
                <w:szCs w:val="20"/>
              </w:rPr>
              <w:t xml:space="preserve">6.55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LeoLabs 2021</w:t>
            </w:r>
          </w:p>
        </w:tc>
      </w:tr>
      <w:tr>
        <w:tc>
          <w:tcPr>
            <w:tcW w:w="0" w:type="auto"/>
          </w:tcPr>
          <w:p>
            <w:pPr>
              <w:spacing w:line="240" w:lineRule="auto" w:before="0" w:after="0"/>
              <w:pStyle w:val="Compact"/>
            </w:pPr>
            <w:r>
              <w:rPr>
                <w:sz w:val="20"/>
                <w:szCs w:val="20"/>
              </w:rPr>
              <w:t xml:space="preserve">800-900km_2022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w:t>
            </w:r>
          </w:p>
        </w:tc>
      </w:tr>
      <w:tr>
        <w:tc>
          <w:tcPr>
            <w:tcW w:w="0" w:type="auto"/>
          </w:tcPr>
          <w:p>
            <w:pPr>
              <w:spacing w:line="240" w:lineRule="auto" w:before="0" w:after="0"/>
              <w:pStyle w:val="Compact"/>
            </w:pPr>
            <w:r>
              <w:rPr>
                <w:sz w:val="20"/>
                <w:szCs w:val="20"/>
              </w:rPr>
              <w:t xml:space="preserve">800-900km_2023</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800-900km_2024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w:t>
            </w:r>
          </w:p>
        </w:tc>
      </w:tr>
      <w:tr>
        <w:tc>
          <w:tcPr>
            <w:tcW w:w="0" w:type="auto"/>
          </w:tcPr>
          <w:p>
            <w:pPr>
              <w:spacing w:line="240" w:lineRule="auto" w:before="0" w:after="0"/>
              <w:pStyle w:val="Compact"/>
            </w:pPr>
            <w:r>
              <w:rPr>
                <w:sz w:val="20"/>
                <w:szCs w:val="20"/>
              </w:rPr>
              <w:t xml:space="preserve">900-1000km_2019</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CelesTrak SATCAT 2019</w:t>
            </w:r>
          </w:p>
        </w:tc>
      </w:tr>
      <w:tr>
        <w:tc>
          <w:tcPr>
            <w:tcW w:w="0" w:type="auto"/>
          </w:tcPr>
          <w:p>
            <w:pPr>
              <w:spacing w:line="240" w:lineRule="auto" w:before="0" w:after="0"/>
              <w:pStyle w:val="Compact"/>
            </w:pPr>
            <w:r>
              <w:rPr>
                <w:sz w:val="20"/>
                <w:szCs w:val="20"/>
              </w:rPr>
              <w:t xml:space="preserve">900-1000km_2020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7.15</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CelesTrak 2020</w:t>
            </w:r>
          </w:p>
        </w:tc>
      </w:tr>
      <w:tr>
        <w:tc>
          <w:tcPr>
            <w:tcW w:w="0" w:type="auto"/>
          </w:tcPr>
          <w:p>
            <w:pPr>
              <w:spacing w:line="240" w:lineRule="auto" w:before="0" w:after="0"/>
              <w:pStyle w:val="Compact"/>
            </w:pPr>
            <w:r>
              <w:rPr>
                <w:sz w:val="20"/>
                <w:szCs w:val="20"/>
              </w:rPr>
              <w:t xml:space="preserve">900-1000km_2021</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LeoLabs 2021</w:t>
            </w:r>
          </w:p>
        </w:tc>
      </w:tr>
      <w:tr>
        <w:tc>
          <w:tcPr>
            <w:tcW w:w="0" w:type="auto"/>
          </w:tcPr>
          <w:p>
            <w:pPr>
              <w:spacing w:line="240" w:lineRule="auto" w:before="0" w:after="0"/>
              <w:pStyle w:val="Compact"/>
            </w:pPr>
            <w:r>
              <w:rPr>
                <w:sz w:val="20"/>
                <w:szCs w:val="20"/>
              </w:rPr>
              <w:t xml:space="preserve">900-1000km_2022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w:t>
            </w:r>
          </w:p>
        </w:tc>
      </w:tr>
      <w:tr>
        <w:tc>
          <w:tcPr>
            <w:tcW w:w="0" w:type="auto"/>
          </w:tcPr>
          <w:p>
            <w:pPr>
              <w:spacing w:line="240" w:lineRule="auto" w:before="0" w:after="0"/>
              <w:pStyle w:val="Compact"/>
            </w:pPr>
            <w:r>
              <w:rPr>
                <w:sz w:val="20"/>
                <w:szCs w:val="20"/>
              </w:rPr>
              <w:t xml:space="preserve">900-1000km_2023</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900-1000km_2024</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4.55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log_conjunctions</w:t>
            </w:r>
          </w:p>
        </w:tc>
        <w:tc>
          <w:tcPr>
            <w:tcW w:w="0" w:type="auto"/>
          </w:tcPr>
          <w:p>
            <w:pPr>
              <w:spacing w:line="240" w:lineRule="auto" w:before="0" w:after="0"/>
              <w:pStyle w:val="Compact"/>
            </w:pPr>
            <w:r>
              <w:rPr>
                <w:sz w:val="20"/>
                <w:szCs w:val="20"/>
              </w:rPr>
              <w:t xml:space="preserve">Natural log of the annual count of high-interest close-approach events (miss distance under 1 km) reported in altitude shell s during year t</w:t>
            </w:r>
          </w:p>
        </w:tc>
        <w:tc>
          <w:tcPr>
            <w:tcW w:w="0" w:type="auto"/>
          </w:tcPr>
          <w:p>
            <w:pPr>
              <w:spacing w:line="240" w:lineRule="auto" w:before="0" w:after="0"/>
              <w:pStyle w:val="Compact"/>
            </w:pPr>
            <w:r>
              <w:rPr>
                <w:sz w:val="20"/>
                <w:szCs w:val="20"/>
              </w:rPr>
              <w:t xml:space="preserve">NASA Orbital Debris Quarterly News conjunction summaries; CSSI 18 SDS conjunction message volumes; LeoLabs LEO Vital Signs annual reports</w:t>
            </w:r>
          </w:p>
        </w:tc>
      </w:tr>
      <w:tr>
        <w:tc>
          <w:tcPr>
            <w:tcW w:w="0" w:type="auto"/>
          </w:tcPr>
          <w:p>
            <w:pPr>
              <w:spacing w:line="240" w:lineRule="auto" w:before="0" w:after="0"/>
              <w:pStyle w:val="Compact"/>
            </w:pPr>
            <w:r>
              <w:rPr>
                <w:sz w:val="20"/>
                <w:szCs w:val="20"/>
              </w:rPr>
              <w:t xml:space="preserve">log_objects</w:t>
            </w:r>
          </w:p>
        </w:tc>
        <w:tc>
          <w:tcPr>
            <w:tcW w:w="0" w:type="auto"/>
          </w:tcPr>
          <w:p>
            <w:pPr>
              <w:spacing w:line="240" w:lineRule="auto" w:before="0" w:after="0"/>
              <w:pStyle w:val="Compact"/>
            </w:pPr>
            <w:r>
              <w:rPr>
                <w:sz w:val="20"/>
                <w:szCs w:val="20"/>
              </w:rPr>
              <w:t xml:space="preserve">Natural log of the average number of tracked resident space objects (RSOs, 10 cm and larger) resident in altitude shell s during year t</w:t>
            </w:r>
          </w:p>
        </w:tc>
        <w:tc>
          <w:tcPr>
            <w:tcW w:w="0" w:type="auto"/>
          </w:tcPr>
          <w:p>
            <w:pPr>
              <w:spacing w:line="240" w:lineRule="auto" w:before="0" w:after="0"/>
              <w:pStyle w:val="Compact"/>
            </w:pPr>
            <w:r>
              <w:rPr>
                <w:sz w:val="20"/>
                <w:szCs w:val="20"/>
              </w:rPr>
              <w:t xml:space="preserve">ESA Space Environment Report 2020-2025 shell catalog; CelesTrak SATCAT extraction by altitude band</w:t>
            </w:r>
          </w:p>
        </w:tc>
      </w:tr>
      <w:tr>
        <w:tc>
          <w:tcPr>
            <w:tcW w:w="0" w:type="auto"/>
          </w:tcPr>
          <w:p>
            <w:pPr>
              <w:spacing w:line="240" w:lineRule="auto" w:before="0" w:after="0"/>
              <w:pStyle w:val="Compact"/>
            </w:pPr>
            <w:r>
              <w:rPr>
                <w:sz w:val="20"/>
                <w:szCs w:val="20"/>
              </w:rPr>
              <w:t xml:space="preserve">log_active_sats</w:t>
            </w:r>
          </w:p>
        </w:tc>
        <w:tc>
          <w:tcPr>
            <w:tcW w:w="0" w:type="auto"/>
          </w:tcPr>
          <w:p>
            <w:pPr>
              <w:spacing w:line="240" w:lineRule="auto" w:before="0" w:after="0"/>
              <w:pStyle w:val="Compact"/>
            </w:pPr>
            <w:r>
              <w:rPr>
                <w:sz w:val="20"/>
                <w:szCs w:val="20"/>
              </w:rPr>
              <w:t xml:space="preserve">Natural log of the average number of operational satellites resident in altitude shell s during year t</w:t>
            </w:r>
          </w:p>
        </w:tc>
        <w:tc>
          <w:tcPr>
            <w:tcW w:w="0" w:type="auto"/>
          </w:tcPr>
          <w:p>
            <w:pPr>
              <w:spacing w:line="240" w:lineRule="auto" w:before="0" w:after="0"/>
              <w:pStyle w:val="Compact"/>
            </w:pPr>
            <w:r>
              <w:rPr>
                <w:sz w:val="20"/>
                <w:szCs w:val="20"/>
              </w:rPr>
              <w:t xml:space="preserve">ESA Space Environment Report 2020-2025; UCS Satellite Database extraction by altitude band</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Integer year index running from 0 (2019) to 5 (2024), capturing a linear time trend that absorbs improvements in sensor coverage and screening practice</w:t>
            </w:r>
          </w:p>
        </w:tc>
        <w:tc>
          <w:tcPr>
            <w:tcW w:w="0" w:type="auto"/>
          </w:tcPr>
          <w:p>
            <w:pPr>
              <w:spacing w:line="240" w:lineRule="auto" w:before="0" w:after="0"/>
              <w:pStyle w:val="Compact"/>
            </w:pPr>
            <w:r>
              <w:rPr>
                <w:sz w:val="20"/>
                <w:szCs w:val="20"/>
              </w:rPr>
              <w:t xml:space="preserve">Constructed from calendar year of observation</w:t>
            </w:r>
          </w:p>
        </w:tc>
      </w:tr>
      <w:tr>
        <w:tc>
          <w:tcPr>
            <w:tcW w:w="0" w:type="auto"/>
          </w:tcPr>
          <w:p>
            <w:pPr>
              <w:spacing w:line="240" w:lineRule="auto" w:before="0" w:after="0"/>
              <w:pStyle w:val="Compact"/>
            </w:pPr>
            <w:r>
              <w:rPr>
                <w:sz w:val="20"/>
                <w:szCs w:val="20"/>
              </w:rPr>
              <w:t xml:space="preserve">shell_low</w:t>
            </w:r>
          </w:p>
        </w:tc>
        <w:tc>
          <w:tcPr>
            <w:tcW w:w="0" w:type="auto"/>
          </w:tcPr>
          <w:p>
            <w:pPr>
              <w:spacing w:line="240" w:lineRule="auto" w:before="0" w:after="0"/>
              <w:pStyle w:val="Compact"/>
            </w:pPr>
            <w:r>
              <w:rPr>
                <w:sz w:val="20"/>
                <w:szCs w:val="20"/>
              </w:rPr>
              <w:t xml:space="preserve">Binary indicator equal to 1 if the altitude shell s is the 400-500 km band (the lowest LEO band, characterized by short residency from atmospheric drag), else 0</w:t>
            </w:r>
          </w:p>
        </w:tc>
        <w:tc>
          <w:tcPr>
            <w:tcW w:w="0" w:type="auto"/>
          </w:tcPr>
          <w:p>
            <w:pPr>
              <w:spacing w:line="240" w:lineRule="auto" w:before="0" w:after="0"/>
              <w:pStyle w:val="Compact"/>
            </w:pPr>
            <w:r>
              <w:rPr>
                <w:sz w:val="20"/>
                <w:szCs w:val="20"/>
              </w:rPr>
              <w:t xml:space="preserve">Shell classification per ESA Space Environment Report altitude bands</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-1.3636</w:t>
            </w:r>
          </w:p>
        </w:tc>
        <w:tc>
          <w:tcPr>
            <w:tcW w:w="0" w:type="auto"/>
          </w:tcPr>
          <w:p>
            <w:pPr>
              <w:spacing w:line="240" w:lineRule="auto" w:before="0" w:after="0"/>
              <w:pStyle w:val="Compact"/>
            </w:pPr>
            <w:r>
              <w:rPr>
                <w:sz w:val="20"/>
                <w:szCs w:val="20"/>
              </w:rPr>
              <w:t xml:space="preserve">0.355</w:t>
            </w:r>
          </w:p>
        </w:tc>
        <w:tc>
          <w:tcPr>
            <w:tcW w:w="0" w:type="auto"/>
          </w:tcPr>
          <w:p>
            <w:pPr>
              <w:spacing w:line="240" w:lineRule="auto" w:before="0" w:after="0"/>
              <w:pStyle w:val="Compact"/>
            </w:pPr>
            <w:r>
              <w:rPr>
                <w:sz w:val="20"/>
                <w:szCs w:val="20"/>
              </w:rPr>
              <w:t xml:space="preserve">-3.8408</w:t>
            </w:r>
          </w:p>
        </w:tc>
        <w:tc>
          <w:tcPr>
            <w:tcW w:w="0" w:type="auto"/>
          </w:tcPr>
          <w:p>
            <w:pPr>
              <w:spacing w:line="240" w:lineRule="auto" w:before="0" w:after="0"/>
              <w:pStyle w:val="Compact"/>
            </w:pPr>
            <w:r>
              <w:rPr>
                <w:sz w:val="20"/>
                <w:szCs w:val="20"/>
              </w:rPr>
              <w:t xml:space="preserve">0.0001226</w:t>
            </w:r>
          </w:p>
        </w:tc>
        <w:tc>
          <w:tcPr>
            <w:tcW w:w="0" w:type="auto"/>
          </w:tcPr>
          <w:p>
            <w:pPr>
              <w:spacing w:line="240" w:lineRule="auto" w:before="0" w:after="0"/>
              <w:pStyle w:val="Compact"/>
            </w:pPr>
            <w:r>
              <w:rPr>
                <w:sz w:val="20"/>
                <w:szCs w:val="20"/>
              </w:rPr>
              <w:t xml:space="preserve">[-2.0595, -0.6678]</w:t>
            </w:r>
          </w:p>
        </w:tc>
      </w:tr>
      <w:tr>
        <w:tc>
          <w:tcPr>
            <w:tcW w:w="0" w:type="auto"/>
          </w:tcPr>
          <w:p>
            <w:pPr>
              <w:spacing w:line="240" w:lineRule="auto" w:before="0" w:after="0"/>
              <w:pStyle w:val="Compact"/>
            </w:pPr>
            <w:r>
              <w:rPr>
                <w:sz w:val="20"/>
                <w:szCs w:val="20"/>
              </w:rPr>
              <w:t xml:space="preserve">log_objects</w:t>
            </w:r>
          </w:p>
        </w:tc>
        <w:tc>
          <w:tcPr>
            <w:tcW w:w="0" w:type="auto"/>
          </w:tcPr>
          <w:p>
            <w:pPr>
              <w:spacing w:line="240" w:lineRule="auto" w:before="0" w:after="0"/>
              <w:pStyle w:val="Compact"/>
            </w:pPr>
            <w:r>
              <w:rPr>
                <w:sz w:val="20"/>
                <w:szCs w:val="20"/>
              </w:rPr>
              <w:t xml:space="preserve">0.8032</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11.5536</w:t>
            </w:r>
          </w:p>
        </w:tc>
        <w:tc>
          <w:tcPr>
            <w:tcW w:w="0" w:type="auto"/>
          </w:tcPr>
          <w:p>
            <w:pPr>
              <w:spacing w:line="240" w:lineRule="auto" w:before="0" w:after="0"/>
              <w:pStyle w:val="Compact"/>
            </w:pPr>
            <w:r>
              <w:rPr>
                <w:sz w:val="20"/>
                <w:szCs w:val="20"/>
              </w:rPr>
              <w:t xml:space="preserve">7.081e-31</w:t>
            </w:r>
          </w:p>
        </w:tc>
        <w:tc>
          <w:tcPr>
            <w:tcW w:w="0" w:type="auto"/>
          </w:tcPr>
          <w:p>
            <w:pPr>
              <w:spacing w:line="240" w:lineRule="auto" w:before="0" w:after="0"/>
              <w:pStyle w:val="Compact"/>
            </w:pPr>
            <w:r>
              <w:rPr>
                <w:sz w:val="20"/>
                <w:szCs w:val="20"/>
              </w:rPr>
              <w:t xml:space="preserve">[0.6669, 0.9395]</w:t>
            </w:r>
          </w:p>
        </w:tc>
      </w:tr>
      <w:tr>
        <w:tc>
          <w:tcPr>
            <w:tcW w:w="0" w:type="auto"/>
          </w:tcPr>
          <w:p>
            <w:pPr>
              <w:spacing w:line="240" w:lineRule="auto" w:before="0" w:after="0"/>
              <w:pStyle w:val="Compact"/>
            </w:pPr>
            <w:r>
              <w:rPr>
                <w:sz w:val="20"/>
                <w:szCs w:val="20"/>
              </w:rPr>
              <w:t xml:space="preserve">log_active_sats</w:t>
            </w:r>
          </w:p>
        </w:tc>
        <w:tc>
          <w:tcPr>
            <w:tcW w:w="0" w:type="auto"/>
          </w:tcPr>
          <w:p>
            <w:pPr>
              <w:spacing w:line="240" w:lineRule="auto" w:before="0" w:after="0"/>
              <w:pStyle w:val="Compact"/>
            </w:pPr>
            <w:r>
              <w:rPr>
                <w:sz w:val="20"/>
                <w:szCs w:val="20"/>
              </w:rPr>
              <w:t xml:space="preserve">0.3656</w:t>
            </w:r>
          </w:p>
        </w:tc>
        <w:tc>
          <w:tcPr>
            <w:tcW w:w="0" w:type="auto"/>
          </w:tcPr>
          <w:p>
            <w:pPr>
              <w:spacing w:line="240" w:lineRule="auto" w:before="0" w:after="0"/>
              <w:pStyle w:val="Compact"/>
            </w:pPr>
            <w:r>
              <w:rPr>
                <w:sz w:val="20"/>
                <w:szCs w:val="20"/>
              </w:rPr>
              <w:t xml:space="preserve">0.0334</w:t>
            </w:r>
          </w:p>
        </w:tc>
        <w:tc>
          <w:tcPr>
            <w:tcW w:w="0" w:type="auto"/>
          </w:tcPr>
          <w:p>
            <w:pPr>
              <w:spacing w:line="240" w:lineRule="auto" w:before="0" w:after="0"/>
              <w:pStyle w:val="Compact"/>
            </w:pPr>
            <w:r>
              <w:rPr>
                <w:sz w:val="20"/>
                <w:szCs w:val="20"/>
              </w:rPr>
              <w:t xml:space="preserve">10.9593</w:t>
            </w:r>
          </w:p>
        </w:tc>
        <w:tc>
          <w:tcPr>
            <w:tcW w:w="0" w:type="auto"/>
          </w:tcPr>
          <w:p>
            <w:pPr>
              <w:spacing w:line="240" w:lineRule="auto" w:before="0" w:after="0"/>
              <w:pStyle w:val="Compact"/>
            </w:pPr>
            <w:r>
              <w:rPr>
                <w:sz w:val="20"/>
                <w:szCs w:val="20"/>
              </w:rPr>
              <w:t xml:space="preserve">5.997e-28</w:t>
            </w:r>
          </w:p>
        </w:tc>
        <w:tc>
          <w:tcPr>
            <w:tcW w:w="0" w:type="auto"/>
          </w:tcPr>
          <w:p>
            <w:pPr>
              <w:spacing w:line="240" w:lineRule="auto" w:before="0" w:after="0"/>
              <w:pStyle w:val="Compact"/>
            </w:pPr>
            <w:r>
              <w:rPr>
                <w:sz w:val="20"/>
                <w:szCs w:val="20"/>
              </w:rPr>
              <w:t xml:space="preserve">[0.3002, 0.431]</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0.0122</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2.1122</w:t>
            </w:r>
          </w:p>
        </w:tc>
        <w:tc>
          <w:tcPr>
            <w:tcW w:w="0" w:type="auto"/>
          </w:tcPr>
          <w:p>
            <w:pPr>
              <w:spacing w:line="240" w:lineRule="auto" w:before="0" w:after="0"/>
              <w:pStyle w:val="Compact"/>
            </w:pPr>
            <w:r>
              <w:rPr>
                <w:sz w:val="20"/>
                <w:szCs w:val="20"/>
              </w:rPr>
              <w:t xml:space="preserve">0.0347</w:t>
            </w:r>
          </w:p>
        </w:tc>
        <w:tc>
          <w:tcPr>
            <w:tcW w:w="0" w:type="auto"/>
          </w:tcPr>
          <w:p>
            <w:pPr>
              <w:spacing w:line="240" w:lineRule="auto" w:before="0" w:after="0"/>
              <w:pStyle w:val="Compact"/>
            </w:pPr>
            <w:r>
              <w:rPr>
                <w:sz w:val="20"/>
                <w:szCs w:val="20"/>
              </w:rPr>
              <w:t xml:space="preserve">[0.0008793, 0.0235]</w:t>
            </w:r>
          </w:p>
        </w:tc>
      </w:tr>
      <w:tr>
        <w:tc>
          <w:tcPr>
            <w:tcW w:w="0" w:type="auto"/>
          </w:tcPr>
          <w:p>
            <w:pPr>
              <w:spacing w:line="240" w:lineRule="auto" w:before="0" w:after="0"/>
              <w:pStyle w:val="Compact"/>
            </w:pPr>
            <w:r>
              <w:rPr>
                <w:sz w:val="20"/>
                <w:szCs w:val="20"/>
              </w:rPr>
              <w:t xml:space="preserve">shell_low</w:t>
            </w:r>
          </w:p>
        </w:tc>
        <w:tc>
          <w:tcPr>
            <w:tcW w:w="0" w:type="auto"/>
          </w:tcPr>
          <w:p>
            <w:pPr>
              <w:spacing w:line="240" w:lineRule="auto" w:before="0" w:after="0"/>
              <w:pStyle w:val="Compact"/>
            </w:pPr>
            <w:r>
              <w:rPr>
                <w:sz w:val="20"/>
                <w:szCs w:val="20"/>
              </w:rPr>
              <w:t xml:space="preserve">0.2542</w:t>
            </w:r>
          </w:p>
        </w:tc>
        <w:tc>
          <w:tcPr>
            <w:tcW w:w="0" w:type="auto"/>
          </w:tcPr>
          <w:p>
            <w:pPr>
              <w:spacing w:line="240" w:lineRule="auto" w:before="0" w:after="0"/>
              <w:pStyle w:val="Compact"/>
            </w:pPr>
            <w:r>
              <w:rPr>
                <w:sz w:val="20"/>
                <w:szCs w:val="20"/>
              </w:rPr>
              <w:t xml:space="preserve">0.0372</w:t>
            </w:r>
          </w:p>
        </w:tc>
        <w:tc>
          <w:tcPr>
            <w:tcW w:w="0" w:type="auto"/>
          </w:tcPr>
          <w:p>
            <w:pPr>
              <w:spacing w:line="240" w:lineRule="auto" w:before="0" w:after="0"/>
              <w:pStyle w:val="Compact"/>
            </w:pPr>
            <w:r>
              <w:rPr>
                <w:sz w:val="20"/>
                <w:szCs w:val="20"/>
              </w:rPr>
              <w:t xml:space="preserve">6.8308</w:t>
            </w:r>
          </w:p>
        </w:tc>
        <w:tc>
          <w:tcPr>
            <w:tcW w:w="0" w:type="auto"/>
          </w:tcPr>
          <w:p>
            <w:pPr>
              <w:spacing w:line="240" w:lineRule="auto" w:before="0" w:after="0"/>
              <w:pStyle w:val="Compact"/>
            </w:pPr>
            <w:r>
              <w:rPr>
                <w:sz w:val="20"/>
                <w:szCs w:val="20"/>
              </w:rPr>
              <w:t xml:space="preserve">8.442e-12</w:t>
            </w:r>
          </w:p>
        </w:tc>
        <w:tc>
          <w:tcPr>
            <w:tcW w:w="0" w:type="auto"/>
          </w:tcPr>
          <w:p>
            <w:pPr>
              <w:spacing w:line="240" w:lineRule="auto" w:before="0" w:after="0"/>
              <w:pStyle w:val="Compact"/>
            </w:pPr>
            <w:r>
              <w:rPr>
                <w:sz w:val="20"/>
                <w:szCs w:val="20"/>
              </w:rPr>
              <w:t xml:space="preserve">[0.1812, 0.3271]</w:t>
            </w:r>
          </w:p>
        </w:tc>
      </w:tr>
    </w:tbl>
    <w:p>
      <w:pPr>
        <w:pStyle w:val="BodyText"/>
      </w:pPr>
      <w:r>
        <w:t xml:space="preserve">Fit: N = 36 R2 = 0.9965 R2_adj = 0.996 F = 6253.0272 F_p = 1.424e-44</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68" Target="https://doi.org/10.1016/j.actaastro.2024.11.050"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4.11.0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2026-06-27T13:09:59Z</dcterms:created>
  <dcterms:modified xsi:type="dcterms:W3CDTF">2026-06-27T13:09:59Z</dcterms:modified>
</cp:coreProperties>
</file>

<file path=docProps/custom.xml><?xml version="1.0" encoding="utf-8"?>
<Properties xmlns="http://schemas.openxmlformats.org/officeDocument/2006/custom-properties" xmlns:vt="http://schemas.openxmlformats.org/officeDocument/2006/docPropsVTypes"/>
</file>