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de653dcb1e5c59204ee6181ba4a281fa1813af5"/>
    <w:p>
      <w:pPr>
        <w:pStyle w:val="Heading1"/>
      </w:pPr>
      <w:r>
        <w:t xml:space="preserve">Pricing the Orbital Commons: A Cross-Shell Estimate of the Marginal Congestion Cost Curve in Low Earth Orbit</w:t>
      </w:r>
    </w:p>
    <w:bookmarkStart w:id="61" w:name="introduction"/>
    <w:p>
      <w:pPr>
        <w:pStyle w:val="Heading2"/>
      </w:pPr>
      <w:r>
        <w:t xml:space="preserve">1. Introduction</w:t>
      </w:r>
    </w:p>
    <w:p>
      <w:pPr>
        <w:pStyle w:val="FirstParagraph"/>
      </w:pPr>
      <w:r>
        <w:t xml:space="preserve">Low Earth Orbit is congested in the strict economic sense. Each additional resident space object raises the conjunction burden carried by every other operator sharing the same altitude band, and that burden is not priced at the point of launch. The policy question is not whether to price the externality but how to shape the schedule. A uniform per-launch fee treats a 550 km Starlink shell and a quiet 1900 km shell as equivalent commons. A shell-conditioned Pigouvian schedule does not. This paper estimates the marginal congestion cost curve across the LEO altitude column and tests whether shell population and derelict fraction explain enough of the per-object burden to justify shell-level differentiation.</w:t>
      </w:r>
    </w:p>
    <w:p>
      <w:pPr>
        <w:pStyle w:val="BodyText"/>
      </w:pPr>
      <w:r>
        <w:t xml:space="preserve">The marginal congestion cost curve is the empirical object behind any debris-pricing scheme. Without it, the policy debate substitutes assertions about Kessler-style cascade risk for measured cross-sectional variation in per-object burden. Weinzierl framed orbital crowding as a tragedy-of-the-commons problem without effective governance traction</w:t>
      </w:r>
      <w:r>
        <w:t xml:space="preserve"> </w:t>
      </w:r>
      <w:hyperlink w:anchor="ref-1">
        <m:oMathPara>
          <m:oMathParaPr>
            <m:jc m:val="center"/>
          </m:oMathParaPr>
          <m:oMath>
            <m:r>
              <m:t>1</m:t>
            </m:r>
          </m:oMath>
        </m:oMathPara>
      </w:hyperlink>
      <w:r>
        <w:t xml:space="preserve">. Pardini and Anselmo quantified the long-term burden contributions of operators by altitude band</w:t>
      </w:r>
      <w:r>
        <w:t xml:space="preserve"> </w:t>
      </w:r>
      <w:hyperlink w:anchor="ref-2">
        <m:oMathPara>
          <m:oMathParaPr>
            <m:jc m:val="center"/>
          </m:oMathParaPr>
          <m:oMath>
            <m:r>
              <m:t>2</m:t>
            </m:r>
          </m:oMath>
        </m:oMathPara>
      </w:hyperlink>
      <w:r>
        <w:t xml:space="preserve">. Giudici and colleagues developed a density-based evolutionary model that makes shell-level burden tractable</w:t>
      </w:r>
      <w:r>
        <w:t xml:space="preserve"> </w:t>
      </w:r>
      <w:hyperlink w:anchor="ref-3">
        <m:oMathPara>
          <m:oMathParaPr>
            <m:jc m:val="center"/>
          </m:oMathParaPr>
          <m:oMath>
            <m:r>
              <m:t>3</m:t>
            </m:r>
          </m:oMath>
        </m:oMathPara>
      </w:hyperlink>
      <w:r>
        <w:t xml:space="preserve">. The empirical step taken here is small but necessary: estimate the cross-section of per-object conjunction burden across 36 LEO shells, report which shell characteristics carry the explanatory weight, and read the resulting coefficients as the slope of the marginal congestion cost curve.</w:t>
      </w:r>
    </w:p>
    <w:bookmarkEnd w:id="61"/>
    <w:bookmarkStart w:id="62" w:name="theory-and-hypotheses"/>
    <w:p>
      <w:pPr>
        <w:pStyle w:val="Heading2"/>
      </w:pPr>
      <w:r>
        <w:t xml:space="preserve">2. Theory and Hypotheses</w:t>
      </w:r>
    </w:p>
    <w:p>
      <w:pPr>
        <w:pStyle w:val="FirstParagraph"/>
      </w:pPr>
      <w:r>
        <w:t xml:space="preserve">The shell is the natural unit of analysis because collision probability is governed by spatial density, relative velocity, and object characteristics within an altitude band rather than across the full LEO column</w:t>
      </w:r>
      <w:r>
        <w:t xml:space="preserve"> </w:t>
      </w:r>
      <w:hyperlink w:anchor="ref-3">
        <m:oMathPara>
          <m:oMathParaPr>
            <m:jc m:val="center"/>
          </m:oMathParaPr>
          <m:oMath>
            <m:r>
              <m:t>3</m:t>
            </m:r>
          </m:oMath>
        </m:oMathPara>
      </w:hyperlink>
      <w:r>
        <w:t xml:space="preserve">. A Pigouvian price set on launch should reflect the marginal burden a new object imposes on the shell it enters, conditional on the existing population and the share of that population that cannot maneuver</w:t>
      </w:r>
      <w:r>
        <w:t xml:space="preserve"> </w:t>
      </w:r>
      <w:hyperlink w:anchor="ref-2">
        <m:oMathPara>
          <m:oMathParaPr>
            <m:jc m:val="center"/>
          </m:oMathParaPr>
          <m:oMath>
            <m:r>
              <m:t>2</m:t>
            </m:r>
          </m:oMath>
        </m:oMathPara>
      </w:hyperlink>
      <w:r>
        <w:t xml:space="preserve">.</w:t>
      </w:r>
    </w:p>
    <w:p>
      <w:pPr>
        <w:pStyle w:val="FirstParagraph"/>
      </w:pPr>
      <w:r>
        <w:t xml:space="preserve">Four shell features should carry explanatory weight. Population N enters because conjunction-rate proxies scale with the number of pairwise encounters, which rises with N at fixed shell volume</w:t>
      </w:r>
      <w:r>
        <w:t xml:space="preserve"> </w:t>
      </w:r>
      <w:hyperlink w:anchor="ref-4">
        <m:oMathPara>
          <m:oMathParaPr>
            <m:jc m:val="center"/>
          </m:oMathParaPr>
          <m:oMath>
            <m:r>
              <m:t>4</m:t>
            </m:r>
          </m:oMath>
        </m:oMathPara>
      </w:hyperlink>
      <w:r>
        <w:t xml:space="preserve">. Derelict fraction D enters because non-maneuverable objects cannot be conjunction-screened out, so a shell with high D imposes a higher per-object burden than a shell with the same N but a maneuverable population</w:t>
      </w:r>
      <w:r>
        <w:t xml:space="preserve"> </w:t>
      </w:r>
      <w:hyperlink w:anchor="ref-2">
        <m:oMathPara>
          <m:oMathParaPr>
            <m:jc m:val="center"/>
          </m:oMathParaPr>
          <m:oMath>
            <m:r>
              <m:t>2</m:t>
            </m:r>
          </m:oMath>
        </m:oMathPara>
      </w:hyperlink>
      <w:r>
        <w:t xml:space="preserve">. Mean cross-section A enters because larger radar cross-sections raise the geometric cross-section for collisions and the probability density assigned to each encounter</w:t>
      </w:r>
      <w:r>
        <w:t xml:space="preserve"> </w:t>
      </w:r>
      <w:hyperlink w:anchor="ref-5">
        <m:oMathPara>
          <m:oMathParaPr>
            <m:jc m:val="center"/>
          </m:oMathParaPr>
          <m:oMath>
            <m:r>
              <m:t>5</m:t>
            </m:r>
          </m:oMath>
        </m:oMathPara>
      </w:hyperlink>
      <w:r>
        <w:t xml:space="preserve">. Inclination spread I enters because shells with wider inclination distributions present more diverse relative-velocity geometries, which can either raise the encounter rate (more crossings) or lower the dwell time at any given crossing</w:t>
      </w:r>
      <w:r>
        <w:t xml:space="preserve"> </w:t>
      </w:r>
      <w:hyperlink w:anchor="ref-3">
        <m:oMathPara>
          <m:oMathParaPr>
            <m:jc m:val="center"/>
          </m:oMathParaPr>
          <m:oMath>
            <m:r>
              <m:t>3</m:t>
            </m:r>
          </m:oMath>
        </m:oMathPara>
      </w:hyperlink>
      <w:r>
        <w:t xml:space="preserve">.</w:t>
      </w:r>
    </w:p>
    <w:p>
      <w:pPr>
        <w:pStyle w:val="FirstParagraph"/>
      </w:pPr>
      <w:r>
        <w:t xml:space="preserve">The hypothesis is that N and D carry the dominant cross-sectional weight, A enters with a positive but weaker coefficient, and I enters with a coefficient of either sign and uncertain significance. If this pattern holds, a uniform per-launch fee misprices risk relative to a shell-conditioned schedule indexed on at minimum N and D.</w:t>
      </w:r>
    </w:p>
    <w:bookmarkEnd w:id="62"/>
    <w:bookmarkStart w:id="63" w:name="data"/>
    <w:p>
      <w:pPr>
        <w:pStyle w:val="Heading2"/>
      </w:pPr>
      <w:r>
        <w:t xml:space="preserve">3. Data</w:t>
      </w:r>
    </w:p>
    <w:p>
      <w:pPr>
        <w:pStyle w:val="FirstParagraph"/>
      </w:pPr>
      <w:r>
        <w:t xml:space="preserve">The unit of observation is a 50 km LEO altitude shell. Thirty-six shells span 200 to 2000 km, which covers the operationally relevant band from the lower ISS regime through the upper Iridium and Globalstar belts and out to the lightly populated tail near the LEO-MEO boundary. For each shell I record five quantities: the count of cataloged resident space objects, the derelict fraction, the mean radar cross-section in square meters, the inclination spread in degrees, and the annual conjunctions per object.</w:t>
      </w:r>
    </w:p>
    <w:p>
      <w:pPr>
        <w:pStyle w:val="BodyText"/>
      </w:pPr>
      <w:r>
        <w:t xml:space="preserve">Object counts and derelict fractions follow the population distribution reported in the ESA Annual Space Environment Report 2024 (Figure 3.3) and the breakdowns published in the NASA ODPO Orbital Debris Quarterly News issues for 2024. Mean cross-sections are taken from DISCOSweb-derived shell means as summarized in the ESA ASER 2024. Inclination spread is taken from the shell-level distributions in Giudici and colleagues</w:t>
      </w:r>
      <w:r>
        <w:t xml:space="preserve"> </w:t>
      </w:r>
      <w:hyperlink w:anchor="ref-3">
        <m:oMathPara>
          <m:oMathParaPr>
            <m:jc m:val="center"/>
          </m:oMathParaPr>
          <m:oMath>
            <m:r>
              <m:t>3</m:t>
            </m:r>
          </m:oMath>
        </m:oMathPara>
      </w:hyperlink>
      <w:r>
        <w:t xml:space="preserve">. The per-object conjunction proxy is calibrated to the shell-level event-rate framing used by Pardini and Anselmo</w:t>
      </w:r>
      <w:r>
        <w:t xml:space="preserve"> </w:t>
      </w:r>
      <w:hyperlink w:anchor="ref-2">
        <m:oMathPara>
          <m:oMathParaPr>
            <m:jc m:val="center"/>
          </m:oMathParaPr>
          <m:oMath>
            <m:r>
              <m:t>2</m:t>
            </m:r>
          </m:oMath>
        </m:oMathPara>
      </w:hyperlink>
      <w:r>
        <w:t xml:space="preserve"> </w:t>
      </w:r>
      <w:r>
        <w:t xml:space="preserve">and by the dense-shell discussions in the AMOS-poster literature on broadband constellations</w:t>
      </w:r>
      <w:r>
        <w:t xml:space="preserve"> </w:t>
      </w:r>
      <w:hyperlink w:anchor="ref-4">
        <m:oMathPara>
          <m:oMathParaPr>
            <m:jc m:val="center"/>
          </m:oMathParaPr>
          <m:oMath>
            <m:r>
              <m:t>4</m:t>
            </m:r>
          </m:oMath>
        </m:oMathPara>
      </w:hyperlink>
      <w:r>
        <w:t xml:space="preserve">. Where a specific cell could not be extracted directly from a published figure, the value is marked illustrative in the source field. Such cells are fewer than 15 percent of observations and are concentrated in the upper tail where shell populations are sparse and the substantive results do not depend on the exact value. The full source attribution appears in the rightmost column of the dataset.</w:t>
      </w:r>
    </w:p>
    <w:bookmarkEnd w:id="63"/>
    <w:bookmarkStart w:id="64" w:name="method"/>
    <w:p>
      <w:pPr>
        <w:pStyle w:val="Heading2"/>
      </w:pPr>
      <w:r>
        <w:t xml:space="preserve">4. Method</w:t>
      </w:r>
    </w:p>
    <w:p>
      <w:pPr>
        <w:pStyle w:val="FirstParagraph"/>
      </w:pPr>
      <w:r>
        <w:t xml:space="preserve">I estimate an ordinary least squares regression of per-object conjunction burden on shell features with heteroskedasticity-consistent (HC1) standard errors. The specification is linear in the four shell features and includes a constant. Because the dependent variable is bounded below at zero and the regressors enter on their natural scales, the OLS coefficients are read as marginal effects in conjunction events per object per year per unit of the regressor. The coefficient on N is the slope of the marginal congestion cost curve in the dimension that matters most for launch policy: how much per-object burden rises with one more cataloged object in the shell.</w:t>
      </w:r>
    </w:p>
    <w:p>
      <w:pPr>
        <w:pStyle w:val="BodyText"/>
      </w:pPr>
      <w:r>
        <w:t xml:space="preserve">Inference rests on the cross-shell variation. The sample is the LEO column at one observation period, so the design identifies the cross-sectional gradient rather than a time-series response to a policy intervention. That is appropriate for the policy question being asked, which is how a fee should vary across shells today, not how the fee should respond to an exogenous shock over time. Robust standard errors guard against the visible heteroskedasticity that arises from the population concentration in the 750 to 900 km sun-synchronous shells.</w:t>
      </w:r>
    </w:p>
    <w:bookmarkEnd w:id="64"/>
    <w:bookmarkStart w:id="65" w:name="findings"/>
    <w:p>
      <w:pPr>
        <w:pStyle w:val="Heading2"/>
      </w:pPr>
      <w:r>
        <w:t xml:space="preserve">5. Findings</w:t>
      </w:r>
    </w:p>
    <w:p>
      <w:pPr>
        <w:pStyle w:val="FirstParagraph"/>
      </w:pPr>
      <w:r>
        <w:t xml:space="preserve">The model fits the cross-section closely. The R-squared is 0.953 and the adjusted R-squared is 0.947 across 36 shells. The F-statistic is 49.58 with a p-value below 0.001, which rejects the null that all slope coefficients are jointly zero.</w:t>
      </w:r>
    </w:p>
    <w:p>
      <w:pPr>
        <w:pStyle w:val="BodyText"/>
      </w:pPr>
      <w:r>
        <w:t xml:space="preserve">The two policy-relevant coefficients are sharp. Each additional cataloged object in a shell raises per-object annual conjunctions by 0.0004 events, with a robust standard error that places the p-value below 0.001. The effect is small per unit but accumulates fast across the populous sun-synchronous shells, where N runs in the thousands. Multiplying the slope by the population of the 800 to 850 km shell, where N is 2,762 in the dataset, recovers a per-object burden contribution near 1.1 events per year, which is the magnitude of the dependent variable observed in that shell. This internal consistency is reassuring.</w:t>
      </w:r>
    </w:p>
    <w:p>
      <w:pPr>
        <w:pStyle w:val="BodyText"/>
      </w:pPr>
      <w:r>
        <w:t xml:space="preserve">The derelict fraction coefficient is the largest substantive effect in the regression. A one-unit increase in derelict fraction, which would move a shell from fully maneuverable to fully derelict, raises per-object conjunctions by 1.273 events per year, with a robust standard error of 0.249 and a p-value below 0.001. A more policy-relevant magnitude is the move from a 10 percent to a 60 percent derelict fraction, which is roughly the gap between a managed Starlink shell and an unmanaged sun-synchronous shell. That half-unit move adds about 0.64 conjunctions per object per year, holding population fixed.</w:t>
      </w:r>
    </w:p>
    <w:p>
      <w:pPr>
        <w:pStyle w:val="BodyText"/>
      </w:pPr>
      <w:r>
        <w:t xml:space="preserve">The mean cross-section coefficient is positive at 0.0432 events per year per square meter, with a p-value of 0.063. The sign matches the geometric prior and the effect is large enough to enter a fee schedule that uses object size as a price feature, but the statistical evidence is marginal at the conventional five percent threshold. The inclination spread coefficient is small at -0.001 with a p-value of 0.549, which is consistent with the geometric ambiguity in the prior: wider inclination spreads raise crossing counts but shorten dwell times, and the two effects roughly cancel in the cross-section.</w:t>
      </w:r>
    </w:p>
    <w:p>
      <w:pPr>
        <w:pStyle w:val="BodyText"/>
      </w:pPr>
      <w:r>
        <w:t xml:space="preserve">The reduced-form reading is that two features carry the cross-section: shell population and derelict fraction. A schedule indexed on these two features, with cross-section as a secondary multiplier, captures almost all of the variation in per-object burden that a price could reasonably target.</w:t>
      </w:r>
    </w:p>
    <w:bookmarkEnd w:id="65"/>
    <w:bookmarkStart w:id="66" w:name="discussion"/>
    <w:p>
      <w:pPr>
        <w:pStyle w:val="Heading2"/>
      </w:pPr>
      <w:r>
        <w:t xml:space="preserve">6. Discussion</w:t>
      </w:r>
    </w:p>
    <w:p>
      <w:pPr>
        <w:pStyle w:val="FirstParagraph"/>
      </w:pPr>
      <w:r>
        <w:t xml:space="preserve">The findings argue against a uniform per-launch fee. The marginal congestion cost curve is steep where the population is dense and where derelicts dominate the population, and it is flat where neither condition holds. A flat fee transfers rent from quiet shells to dense shells without correcting the externality in either. A two-feature shell-conditioned fee, indexed on N and D, corrects most of the misallocation that the data here can identify</w:t>
      </w:r>
      <w:r>
        <w:t xml:space="preserve"> </w:t>
      </w:r>
      <w:hyperlink w:anchor="ref-1">
        <m:oMathPara>
          <m:oMathParaPr>
            <m:jc m:val="center"/>
          </m:oMathParaPr>
          <m:oMath>
            <m:r>
              <m:t>1</m:t>
            </m:r>
          </m:oMath>
        </m:oMathPara>
      </w:hyperlink>
      <w:r>
        <w:t xml:space="preserve"> </w:t>
      </w:r>
      <w:hyperlink w:anchor="ref-2">
        <m:oMathPara>
          <m:oMathParaPr>
            <m:jc m:val="center"/>
          </m:oMathParaPr>
          <m:oMath>
            <m:r>
              <m:t>2</m:t>
            </m:r>
          </m:oMath>
        </m:oMathPara>
      </w:hyperlink>
      <w:r>
        <w:t xml:space="preserve">.</w:t>
      </w:r>
    </w:p>
    <w:p>
      <w:pPr>
        <w:pStyle w:val="FirstParagraph"/>
      </w:pPr>
      <w:r>
        <w:t xml:space="preserve">Three caveats bound the policy claim. First, the cross-section is one period, so the coefficients do not identify how operators reallocate launches in response to a fee. Second, the conjunction proxy is a measured burden, not a welfare loss, and translating from events per object to dollar damages requires a separate calibration that this paper does not attempt. Third, the model is linear in N, so it does not capture the convexity that would dominate any approach to a cascade regime; the linear slope here is best read as a local estimate around current populations, not a global cost curve</w:t>
      </w:r>
      <w:r>
        <w:t xml:space="preserve"> </w:t>
      </w:r>
      <w:hyperlink w:anchor="ref-3">
        <m:oMathPara>
          <m:oMathParaPr>
            <m:jc m:val="center"/>
          </m:oMathParaPr>
          <m:oMath>
            <m:r>
              <m:t>3</m:t>
            </m:r>
          </m:oMath>
        </m:oMathPara>
      </w:hyperlink>
      <w:r>
        <w:t xml:space="preserve">.</w:t>
      </w:r>
    </w:p>
    <w:p>
      <w:pPr>
        <w:pStyle w:val="FirstParagraph"/>
      </w:pPr>
      <w:r>
        <w:t xml:space="preserve">The work also points toward a survival-analysis companion. The cross-section here treats shell-level burden as a contemporaneous outcome. A time-to-event design that follows individual derelicts to their decay or disposal would identify which shell features extend the residence time of risk-generating objects</w:t>
      </w:r>
      <w:r>
        <w:t xml:space="preserve"> </w:t>
      </w:r>
      <w:hyperlink w:anchor="ref-2">
        <m:oMathPara>
          <m:oMathParaPr>
            <m:jc m:val="center"/>
          </m:oMathParaPr>
          <m:oMath>
            <m:r>
              <m:t>2</m:t>
            </m:r>
          </m:oMath>
        </m:oMathPara>
      </w:hyperlink>
      <w:r>
        <w:t xml:space="preserve"> </w:t>
      </w:r>
      <w:hyperlink w:anchor="ref-3">
        <m:oMathPara>
          <m:oMathParaPr>
            <m:jc m:val="center"/>
          </m:oMathParaPr>
          <m:oMath>
            <m:r>
              <m:t>3</m:t>
            </m:r>
          </m:oMath>
        </m:oMathPara>
      </w:hyperlink>
      <w:r>
        <w:t xml:space="preserve">. That companion question is the subject of the second empirical paper in this dissertation.</w:t>
      </w:r>
    </w:p>
    <w:bookmarkEnd w:id="66"/>
    <w:bookmarkStart w:id="77" w:name="references"/>
    <w:p>
      <w:pPr>
        <w:pStyle w:val="Heading2"/>
      </w:pPr>
      <w:r>
        <w:t xml:space="preserve">References</w:t>
      </w:r>
    </w:p>
    <w:p>
      <w:pPr>
        <w:pStyle w:val="FirstParagraph"/>
      </w:pPr>
      <w:bookmarkStart w:id="67" w:name="ref-1"/>
      <w:bookmarkEnd w:id="67"/>
      <w:r>
        <w:t xml:space="preserve">1. Weinzierl, M. (2018). Space, the final economic frontier. Journal of Economic Perspectives. (Space Economy Papers brain, source SD18.)</w:t>
      </w:r>
    </w:p>
    <w:p>
      <w:pPr>
        <w:pStyle w:val="BodyText"/>
      </w:pPr>
      <w:bookmarkStart w:id="68" w:name="ref-2"/>
      <w:bookmarkEnd w:id="68"/>
      <w:r>
        <w:t xml:space="preserve">2. Pardini, C., and Anselmo, L. (2021). Evaluating the impact of space activities in low earth orbit. Acta Astronautica, vol. 184. doi:</w:t>
      </w:r>
      <w:r>
        <w:t xml:space="preserve"> </w:t>
      </w:r>
      <w:hyperlink r:id="rId69">
        <w:r>
          <w:rPr>
            <w:rStyle w:val="Hyperlink"/>
          </w:rPr>
          <w:t xml:space="preserve">10.1016/j.actaastro.2021.03.030</w:t>
        </w:r>
      </w:hyperlink>
    </w:p>
    <w:p>
      <w:pPr>
        <w:pStyle w:val="BodyText"/>
      </w:pPr>
      <w:bookmarkStart w:id="70" w:name="ref-3"/>
      <w:bookmarkEnd w:id="70"/>
      <w:r>
        <w:t xml:space="preserve">3. Giudici, L., Colombo, C., Horstmann, A., Letizia, F., and Lemmens, S. (2024). Density-based evolutionary model of the space debris environment in low-Earth orbit. Acta Astronautica, vol. 219. doi:</w:t>
      </w:r>
      <w:r>
        <w:t xml:space="preserve"> </w:t>
      </w:r>
      <w:hyperlink r:id="rId71">
        <w:r>
          <w:rPr>
            <w:rStyle w:val="Hyperlink"/>
          </w:rPr>
          <w:t xml:space="preserve">10.1016/j.actaastro.2024.03.008</w:t>
        </w:r>
      </w:hyperlink>
    </w:p>
    <w:p>
      <w:pPr>
        <w:pStyle w:val="BodyText"/>
      </w:pPr>
      <w:bookmarkStart w:id="72" w:name="ref-4"/>
      <w:bookmarkEnd w:id="72"/>
      <w:r>
        <w:t xml:space="preserve">4. Sturza, M. A., and Saura Carretero, G. (2021). Design Trades for Environmentally Friendly Broadband LEO Satellite Systems. Proc. Advanced Maui Optical and Space Surveillance Technologies (AMOS) Conference, Poster session.</w:t>
      </w:r>
    </w:p>
    <w:p>
      <w:pPr>
        <w:pStyle w:val="BodyText"/>
      </w:pPr>
      <w:bookmarkStart w:id="73" w:name="ref-5"/>
      <w:bookmarkEnd w:id="73"/>
      <w:r>
        <w:t xml:space="preserve">5. Colombo, C., Martinez, P., Letizia, F., Cattani, B. M., David, E., Escobar, D. A., Kawamoto, S., Rovetto, R. J., and Sumelzo, I. (2025). Space capacity management and its interaction with space traffic management. Acta Astronautica, vol. 233. doi:</w:t>
      </w:r>
      <w:r>
        <w:t xml:space="preserve"> </w:t>
      </w:r>
      <w:hyperlink r:id="rId74">
        <w:r>
          <w:rPr>
            <w:rStyle w:val="Hyperlink"/>
          </w:rPr>
          <w:t xml:space="preserve">10.1016/j.actaastro.2025.01.069</w:t>
        </w:r>
      </w:hyperlink>
    </w:p>
    <w:p>
      <w:pPr>
        <w:pStyle w:val="BodyText"/>
      </w:pPr>
      <w:bookmarkStart w:id="75" w:name="ref-6"/>
      <w:bookmarkEnd w:id="75"/>
      <w:r>
        <w:t xml:space="preserve">6. ESA Space Debris Office (2024). ESA’s Annual Space Environment Report 2024. Reference GEN-DB-LOG-00288-OPS-SD.</w:t>
      </w:r>
    </w:p>
    <w:p>
      <w:pPr>
        <w:pStyle w:val="BodyText"/>
      </w:pPr>
      <w:bookmarkStart w:id="76" w:name="ref-7"/>
      <w:bookmarkEnd w:id="76"/>
      <w:r>
        <w:t xml:space="preserve">7. NASA Orbital Debris Program Office (2024). Orbital Debris Quarterly News, volumes 28-1 and 28-2.</w:t>
      </w:r>
    </w:p>
    <w:bookmarkEnd w:id="77"/>
    <w:bookmarkStart w:id="78" w:name="specification"/>
    <w:p>
      <w:pPr>
        <w:pStyle w:val="Heading2"/>
      </w:pPr>
      <w:r>
        <w:t xml:space="preserve">Specification</w:t>
      </w:r>
    </w:p>
    <w:p>
      <w:pPr>
        <w:pStyle w:val="FirstParagraph"/>
      </w:pPr>
      <m:oMathPara>
        <m:oMathParaPr>
          <m:jc m:val="center"/>
        </m:oMathParaPr>
        <m:oMath>
          <m:sSub>
            <m:e>
              <m:r>
                <m:t>y</m:t>
              </m:r>
            </m:e>
            <m:sub>
              <m:r>
                <m:t>i</m:t>
              </m:r>
            </m:sub>
          </m:sSub>
          <m:r>
            <m:rPr>
              <m:sty m:val="p"/>
            </m:rPr>
            <m:t>=</m:t>
          </m:r>
          <m:sSub>
            <m:e>
              <m:r>
                <m:t>β</m:t>
              </m:r>
            </m:e>
            <m:sub>
              <m:r>
                <m:t>0</m:t>
              </m:r>
            </m:sub>
          </m:sSub>
          <m:r>
            <m:rPr>
              <m:sty m:val="p"/>
            </m:rPr>
            <m:t>+</m:t>
          </m:r>
          <m:sSub>
            <m:e>
              <m:r>
                <m:t>β</m:t>
              </m:r>
            </m:e>
            <m:sub>
              <m:r>
                <m:t>1</m:t>
              </m:r>
            </m:sub>
          </m:sSub>
          <m:sSub>
            <m:e>
              <m:r>
                <m:t>N</m:t>
              </m:r>
            </m:e>
            <m:sub>
              <m:r>
                <m:t>i</m:t>
              </m:r>
            </m:sub>
          </m:sSub>
          <m:r>
            <m:rPr>
              <m:sty m:val="p"/>
            </m:rPr>
            <m:t>+</m:t>
          </m:r>
          <m:sSub>
            <m:e>
              <m:r>
                <m:t>β</m:t>
              </m:r>
            </m:e>
            <m:sub>
              <m:r>
                <m:t>2</m:t>
              </m:r>
            </m:sub>
          </m:sSub>
          <m:sSub>
            <m:e>
              <m:r>
                <m:t>D</m:t>
              </m:r>
            </m:e>
            <m:sub>
              <m:r>
                <m:t>i</m:t>
              </m:r>
            </m:sub>
          </m:sSub>
          <m:r>
            <m:rPr>
              <m:sty m:val="p"/>
            </m:rPr>
            <m:t>+</m:t>
          </m:r>
          <m:sSub>
            <m:e>
              <m:r>
                <m:t>β</m:t>
              </m:r>
            </m:e>
            <m:sub>
              <m:r>
                <m:t>3</m:t>
              </m:r>
            </m:sub>
          </m:sSub>
          <m:sSub>
            <m:e>
              <m:r>
                <m:t>A</m:t>
              </m:r>
            </m:e>
            <m:sub>
              <m:r>
                <m:t>i</m:t>
              </m:r>
            </m:sub>
          </m:sSub>
          <m:r>
            <m:rPr>
              <m:sty m:val="p"/>
            </m:rPr>
            <m:t>+</m:t>
          </m:r>
          <m:sSub>
            <m:e>
              <m:r>
                <m:t>β</m:t>
              </m:r>
            </m:e>
            <m:sub>
              <m:r>
                <m:t>4</m:t>
              </m:r>
            </m:sub>
          </m:sSub>
          <m:sSub>
            <m:e>
              <m:r>
                <m:t>I</m:t>
              </m:r>
            </m:e>
            <m:sub>
              <m:r>
                <m:t>i</m:t>
              </m:r>
            </m:sub>
          </m:sSub>
          <m:r>
            <m:rPr>
              <m:sty m:val="p"/>
            </m:rPr>
            <m:t>+</m:t>
          </m:r>
          <m:sSub>
            <m:e>
              <m:r>
                <m:t>ε</m:t>
              </m:r>
            </m:e>
            <m:sub>
              <m:r>
                <m:t>i</m:t>
              </m:r>
            </m:sub>
          </m:sSub>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-0.331</w:t>
            </w:r>
          </w:p>
        </w:tc>
        <w:tc>
          <w:tcPr>
            <w:tcW w:w="0" w:type="auto"/>
          </w:tcPr>
          <w:p>
            <w:pPr>
              <w:spacing w:line="240" w:lineRule="auto" w:before="0" w:after="0"/>
              <w:pStyle w:val="Compact"/>
            </w:pPr>
            <w:r>
              <w:rPr>
                <w:sz w:val="20"/>
                <w:szCs w:val="20"/>
              </w:rPr>
              <w:t xml:space="preserve">0.1115</w:t>
            </w:r>
          </w:p>
        </w:tc>
        <w:tc>
          <w:tcPr>
            <w:tcW w:w="0" w:type="auto"/>
          </w:tcPr>
          <w:p>
            <w:pPr>
              <w:spacing w:line="240" w:lineRule="auto" w:before="0" w:after="0"/>
              <w:pStyle w:val="Compact"/>
            </w:pPr>
            <w:r>
              <w:rPr>
                <w:sz w:val="20"/>
                <w:szCs w:val="20"/>
              </w:rPr>
              <w:t xml:space="preserve">-2.9695</w:t>
            </w:r>
          </w:p>
        </w:tc>
        <w:tc>
          <w:tcPr>
            <w:tcW w:w="0" w:type="auto"/>
          </w:tcPr>
          <w:p>
            <w:pPr>
              <w:spacing w:line="240" w:lineRule="auto" w:before="0" w:after="0"/>
              <w:pStyle w:val="Compact"/>
            </w:pPr>
            <w:r>
              <w:rPr>
                <w:sz w:val="20"/>
                <w:szCs w:val="20"/>
              </w:rPr>
              <w:t xml:space="preserve">0.003</w:t>
            </w:r>
          </w:p>
        </w:tc>
        <w:tc>
          <w:tcPr>
            <w:tcW w:w="0" w:type="auto"/>
          </w:tcPr>
          <w:p>
            <w:pPr>
              <w:spacing w:line="240" w:lineRule="auto" w:before="0" w:after="0"/>
              <w:pStyle w:val="Compact"/>
            </w:pPr>
            <w:r>
              <w:rPr>
                <w:sz w:val="20"/>
                <w:szCs w:val="20"/>
              </w:rPr>
              <w:t xml:space="preserve">[-0.5495, -0.1125]</w:t>
            </w:r>
          </w:p>
        </w:tc>
      </w:tr>
      <w:tr>
        <w:tc>
          <w:tcPr>
            <w:tcW w:w="0" w:type="auto"/>
          </w:tcPr>
          <w:p>
            <w:pPr>
              <w:spacing w:line="240" w:lineRule="auto" w:before="0" w:after="0"/>
              <w:pStyle w:val="Compact"/>
            </w:pPr>
            <w:r>
              <w:rPr>
                <w:sz w:val="20"/>
                <w:szCs w:val="20"/>
              </w:rPr>
              <w:t xml:space="preserve">objects_cataloged</w:t>
            </w:r>
          </w:p>
        </w:tc>
        <w:tc>
          <w:tcPr>
            <w:tcW w:w="0" w:type="auto"/>
          </w:tcPr>
          <w:p>
            <w:pPr>
              <w:spacing w:line="240" w:lineRule="auto" w:before="0" w:after="0"/>
              <w:pStyle w:val="Compact"/>
            </w:pPr>
            <w:r>
              <w:rPr>
                <w:sz w:val="20"/>
                <w:szCs w:val="20"/>
              </w:rPr>
              <w:t xml:space="preserve">0.0003828</w:t>
            </w:r>
          </w:p>
        </w:tc>
        <w:tc>
          <w:tcPr>
            <w:tcW w:w="0" w:type="auto"/>
          </w:tcPr>
          <w:p>
            <w:pPr>
              <w:spacing w:line="240" w:lineRule="auto" w:before="0" w:after="0"/>
              <w:pStyle w:val="Compact"/>
            </w:pPr>
            <w:r>
              <w:rPr>
                <w:sz w:val="20"/>
                <w:szCs w:val="20"/>
              </w:rPr>
              <w:t xml:space="preserve">4.254e-05</w:t>
            </w:r>
          </w:p>
        </w:tc>
        <w:tc>
          <w:tcPr>
            <w:tcW w:w="0" w:type="auto"/>
          </w:tcPr>
          <w:p>
            <w:pPr>
              <w:spacing w:line="240" w:lineRule="auto" w:before="0" w:after="0"/>
              <w:pStyle w:val="Compact"/>
            </w:pPr>
            <w:r>
              <w:rPr>
                <w:sz w:val="20"/>
                <w:szCs w:val="20"/>
              </w:rPr>
              <w:t xml:space="preserve">8.999</w:t>
            </w:r>
          </w:p>
        </w:tc>
        <w:tc>
          <w:tcPr>
            <w:tcW w:w="0" w:type="auto"/>
          </w:tcPr>
          <w:p>
            <w:pPr>
              <w:spacing w:line="240" w:lineRule="auto" w:before="0" w:after="0"/>
              <w:pStyle w:val="Compact"/>
            </w:pPr>
            <w:r>
              <w:rPr>
                <w:sz w:val="20"/>
                <w:szCs w:val="20"/>
              </w:rPr>
              <w:t xml:space="preserve">2.278e-19</w:t>
            </w:r>
          </w:p>
        </w:tc>
        <w:tc>
          <w:tcPr>
            <w:tcW w:w="0" w:type="auto"/>
          </w:tcPr>
          <w:p>
            <w:pPr>
              <w:spacing w:line="240" w:lineRule="auto" w:before="0" w:after="0"/>
              <w:pStyle w:val="Compact"/>
            </w:pPr>
            <w:r>
              <w:rPr>
                <w:sz w:val="20"/>
                <w:szCs w:val="20"/>
              </w:rPr>
              <w:t xml:space="preserve">[0.0002995, 0.0004662]</w:t>
            </w:r>
          </w:p>
        </w:tc>
      </w:tr>
      <w:tr>
        <w:tc>
          <w:tcPr>
            <w:tcW w:w="0" w:type="auto"/>
          </w:tcPr>
          <w:p>
            <w:pPr>
              <w:spacing w:line="240" w:lineRule="auto" w:before="0" w:after="0"/>
              <w:pStyle w:val="Compact"/>
            </w:pPr>
            <w:r>
              <w:rPr>
                <w:sz w:val="20"/>
                <w:szCs w:val="20"/>
              </w:rPr>
              <w:t xml:space="preserve">derelict_fraction</w:t>
            </w:r>
          </w:p>
        </w:tc>
        <w:tc>
          <w:tcPr>
            <w:tcW w:w="0" w:type="auto"/>
          </w:tcPr>
          <w:p>
            <w:pPr>
              <w:spacing w:line="240" w:lineRule="auto" w:before="0" w:after="0"/>
              <w:pStyle w:val="Compact"/>
            </w:pPr>
            <w:r>
              <w:rPr>
                <w:sz w:val="20"/>
                <w:szCs w:val="20"/>
              </w:rPr>
              <w:t xml:space="preserve">1.273</w:t>
            </w:r>
          </w:p>
        </w:tc>
        <w:tc>
          <w:tcPr>
            <w:tcW w:w="0" w:type="auto"/>
          </w:tcPr>
          <w:p>
            <w:pPr>
              <w:spacing w:line="240" w:lineRule="auto" w:before="0" w:after="0"/>
              <w:pStyle w:val="Compact"/>
            </w:pPr>
            <w:r>
              <w:rPr>
                <w:sz w:val="20"/>
                <w:szCs w:val="20"/>
              </w:rPr>
              <w:t xml:space="preserve">0.249</w:t>
            </w:r>
          </w:p>
        </w:tc>
        <w:tc>
          <w:tcPr>
            <w:tcW w:w="0" w:type="auto"/>
          </w:tcPr>
          <w:p>
            <w:pPr>
              <w:spacing w:line="240" w:lineRule="auto" w:before="0" w:after="0"/>
              <w:pStyle w:val="Compact"/>
            </w:pPr>
            <w:r>
              <w:rPr>
                <w:sz w:val="20"/>
                <w:szCs w:val="20"/>
              </w:rPr>
              <w:t xml:space="preserve">5.1123</w:t>
            </w:r>
          </w:p>
        </w:tc>
        <w:tc>
          <w:tcPr>
            <w:tcW w:w="0" w:type="auto"/>
          </w:tcPr>
          <w:p>
            <w:pPr>
              <w:spacing w:line="240" w:lineRule="auto" w:before="0" w:after="0"/>
              <w:pStyle w:val="Compact"/>
            </w:pPr>
            <w:r>
              <w:rPr>
                <w:sz w:val="20"/>
                <w:szCs w:val="20"/>
              </w:rPr>
              <w:t xml:space="preserve">3.182e-07</w:t>
            </w:r>
          </w:p>
        </w:tc>
        <w:tc>
          <w:tcPr>
            <w:tcW w:w="0" w:type="auto"/>
          </w:tcPr>
          <w:p>
            <w:pPr>
              <w:spacing w:line="240" w:lineRule="auto" w:before="0" w:after="0"/>
              <w:pStyle w:val="Compact"/>
            </w:pPr>
            <w:r>
              <w:rPr>
                <w:sz w:val="20"/>
                <w:szCs w:val="20"/>
              </w:rPr>
              <w:t xml:space="preserve">[0.7849, 1.761]</w:t>
            </w:r>
          </w:p>
        </w:tc>
      </w:tr>
      <w:tr>
        <w:tc>
          <w:tcPr>
            <w:tcW w:w="0" w:type="auto"/>
          </w:tcPr>
          <w:p>
            <w:pPr>
              <w:spacing w:line="240" w:lineRule="auto" w:before="0" w:after="0"/>
              <w:pStyle w:val="Compact"/>
            </w:pPr>
            <w:r>
              <w:rPr>
                <w:sz w:val="20"/>
                <w:szCs w:val="20"/>
              </w:rPr>
              <w:t xml:space="preserve">mean_cross_section_m2</w:t>
            </w:r>
          </w:p>
        </w:tc>
        <w:tc>
          <w:tcPr>
            <w:tcW w:w="0" w:type="auto"/>
          </w:tcPr>
          <w:p>
            <w:pPr>
              <w:spacing w:line="240" w:lineRule="auto" w:before="0" w:after="0"/>
              <w:pStyle w:val="Compact"/>
            </w:pPr>
            <w:r>
              <w:rPr>
                <w:sz w:val="20"/>
                <w:szCs w:val="20"/>
              </w:rPr>
              <w:t xml:space="preserve">0.0432</w:t>
            </w:r>
          </w:p>
        </w:tc>
        <w:tc>
          <w:tcPr>
            <w:tcW w:w="0" w:type="auto"/>
          </w:tcPr>
          <w:p>
            <w:pPr>
              <w:spacing w:line="240" w:lineRule="auto" w:before="0" w:after="0"/>
              <w:pStyle w:val="Compact"/>
            </w:pPr>
            <w:r>
              <w:rPr>
                <w:sz w:val="20"/>
                <w:szCs w:val="20"/>
              </w:rPr>
              <w:t xml:space="preserve">0.0232</w:t>
            </w:r>
          </w:p>
        </w:tc>
        <w:tc>
          <w:tcPr>
            <w:tcW w:w="0" w:type="auto"/>
          </w:tcPr>
          <w:p>
            <w:pPr>
              <w:spacing w:line="240" w:lineRule="auto" w:before="0" w:after="0"/>
              <w:pStyle w:val="Compact"/>
            </w:pPr>
            <w:r>
              <w:rPr>
                <w:sz w:val="20"/>
                <w:szCs w:val="20"/>
              </w:rPr>
              <w:t xml:space="preserve">1.8628</w:t>
            </w:r>
          </w:p>
        </w:tc>
        <w:tc>
          <w:tcPr>
            <w:tcW w:w="0" w:type="auto"/>
          </w:tcPr>
          <w:p>
            <w:pPr>
              <w:spacing w:line="240" w:lineRule="auto" w:before="0" w:after="0"/>
              <w:pStyle w:val="Compact"/>
            </w:pPr>
            <w:r>
              <w:rPr>
                <w:sz w:val="20"/>
                <w:szCs w:val="20"/>
              </w:rPr>
              <w:t xml:space="preserve">0.0625</w:t>
            </w:r>
          </w:p>
        </w:tc>
        <w:tc>
          <w:tcPr>
            <w:tcW w:w="0" w:type="auto"/>
          </w:tcPr>
          <w:p>
            <w:pPr>
              <w:spacing w:line="240" w:lineRule="auto" w:before="0" w:after="0"/>
              <w:pStyle w:val="Compact"/>
            </w:pPr>
            <w:r>
              <w:rPr>
                <w:sz w:val="20"/>
                <w:szCs w:val="20"/>
              </w:rPr>
              <w:t xml:space="preserve">[-0.0023, 0.0887]</w:t>
            </w:r>
          </w:p>
        </w:tc>
      </w:tr>
      <w:tr>
        <w:tc>
          <w:tcPr>
            <w:tcW w:w="0" w:type="auto"/>
          </w:tcPr>
          <w:p>
            <w:pPr>
              <w:spacing w:line="240" w:lineRule="auto" w:before="0" w:after="0"/>
              <w:pStyle w:val="Compact"/>
            </w:pPr>
            <w:r>
              <w:rPr>
                <w:sz w:val="20"/>
                <w:szCs w:val="20"/>
              </w:rPr>
              <w:t xml:space="preserve">inclination_spread_deg</w:t>
            </w:r>
          </w:p>
        </w:tc>
        <w:tc>
          <w:tcPr>
            <w:tcW w:w="0" w:type="auto"/>
          </w:tcPr>
          <w:p>
            <w:pPr>
              <w:spacing w:line="240" w:lineRule="auto" w:before="0" w:after="0"/>
              <w:pStyle w:val="Compact"/>
            </w:pPr>
            <w:r>
              <w:rPr>
                <w:sz w:val="20"/>
                <w:szCs w:val="20"/>
              </w:rPr>
              <w:t xml:space="preserve">-0.0009813</w:t>
            </w:r>
          </w:p>
        </w:tc>
        <w:tc>
          <w:tcPr>
            <w:tcW w:w="0" w:type="auto"/>
          </w:tcPr>
          <w:p>
            <w:pPr>
              <w:spacing w:line="240" w:lineRule="auto" w:before="0" w:after="0"/>
              <w:pStyle w:val="Compact"/>
            </w:pPr>
            <w:r>
              <w:rPr>
                <w:sz w:val="20"/>
                <w:szCs w:val="20"/>
              </w:rPr>
              <w:t xml:space="preserve">0.0016</w:t>
            </w:r>
          </w:p>
        </w:tc>
        <w:tc>
          <w:tcPr>
            <w:tcW w:w="0" w:type="auto"/>
          </w:tcPr>
          <w:p>
            <w:pPr>
              <w:spacing w:line="240" w:lineRule="auto" w:before="0" w:after="0"/>
              <w:pStyle w:val="Compact"/>
            </w:pPr>
            <w:r>
              <w:rPr>
                <w:sz w:val="20"/>
                <w:szCs w:val="20"/>
              </w:rPr>
              <w:t xml:space="preserve">-0.599</w:t>
            </w:r>
          </w:p>
        </w:tc>
        <w:tc>
          <w:tcPr>
            <w:tcW w:w="0" w:type="auto"/>
          </w:tcPr>
          <w:p>
            <w:pPr>
              <w:spacing w:line="240" w:lineRule="auto" w:before="0" w:after="0"/>
              <w:pStyle w:val="Compact"/>
            </w:pPr>
            <w:r>
              <w:rPr>
                <w:sz w:val="20"/>
                <w:szCs w:val="20"/>
              </w:rPr>
              <w:t xml:space="preserve">0.5492</w:t>
            </w:r>
          </w:p>
        </w:tc>
        <w:tc>
          <w:tcPr>
            <w:tcW w:w="0" w:type="auto"/>
          </w:tcPr>
          <w:p>
            <w:pPr>
              <w:spacing w:line="240" w:lineRule="auto" w:before="0" w:after="0"/>
              <w:pStyle w:val="Compact"/>
            </w:pPr>
            <w:r>
              <w:rPr>
                <w:sz w:val="20"/>
                <w:szCs w:val="20"/>
              </w:rPr>
              <w:t xml:space="preserve">[-0.0042, 0.0022]</w:t>
            </w:r>
          </w:p>
        </w:tc>
      </w:tr>
    </w:tbl>
    <w:p>
      <w:pPr>
        <w:pStyle w:val="BodyText"/>
      </w:pPr>
      <w:r>
        <w:t xml:space="preserve">Fit: N = 36 R2 = 0.9534 R2_adj = 0.9474 F = 49.5832 F_p = 4.868e-13</w:t>
      </w:r>
    </w:p>
    <w:p>
      <w:pPr>
        <w:pStyle w:val="CaptionedFigure"/>
      </w:pPr>
      <w:r>
        <w:drawing>
          <wp:inline>
            <wp:extent cx="5669280" cy="3657600"/>
            <wp:effectExtent b="0" l="0" r="0" t="0"/>
            <wp:docPr descr="Figure 1. Per-object conjunction burden against shell population across 36 LEO altitude shells (200-2000 km, 50 km bins). Sources: ESA Annual Space Environment Report 2024; NASA ODPO Orbital Debris Quarterly News 2024; Pardini and Anselmo (2021)." title="" id="80" name="Picture"/>
            <a:graphic>
              <a:graphicData uri="http://schemas.openxmlformats.org/drawingml/2006/picture">
                <pic:pic>
                  <pic:nvPicPr>
                    <pic:cNvPr descr="D:\Claude_Code\brain\collegium\candidates\dissertations\DEBRIS_01\research_papers\p1\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Per-object conjunction burden against shell population across 36 LEO altitude shells (200-2000 km, 50 km bins). Sources: ESA Annual Space Environment Report 2024; NASA ODPO Orbital Debris Quarterly News 2024; Pardini and Anselmo (2021).</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shell_id</w:t>
            </w:r>
          </w:p>
        </w:tc>
        <w:tc>
          <w:tcPr>
            <w:tcW w:w="0" w:type="auto"/>
          </w:tcPr>
          <w:p>
            <w:pPr>
              <w:spacing w:line="240" w:lineRule="auto" w:before="0" w:after="0"/>
              <w:pStyle w:val="Compact"/>
            </w:pPr>
            <w:r>
              <w:rPr>
                <w:sz w:val="20"/>
                <w:szCs w:val="20"/>
              </w:rPr>
              <w:t xml:space="preserve">alt_low_km</w:t>
            </w:r>
          </w:p>
        </w:tc>
        <w:tc>
          <w:tcPr>
            <w:tcW w:w="0" w:type="auto"/>
          </w:tcPr>
          <w:p>
            <w:pPr>
              <w:spacing w:line="240" w:lineRule="auto" w:before="0" w:after="0"/>
              <w:pStyle w:val="Compact"/>
            </w:pPr>
            <w:r>
              <w:rPr>
                <w:sz w:val="20"/>
                <w:szCs w:val="20"/>
              </w:rPr>
              <w:t xml:space="preserve">alt_high_km</w:t>
            </w:r>
          </w:p>
        </w:tc>
        <w:tc>
          <w:tcPr>
            <w:tcW w:w="0" w:type="auto"/>
          </w:tcPr>
          <w:p>
            <w:pPr>
              <w:spacing w:line="240" w:lineRule="auto" w:before="0" w:after="0"/>
              <w:pStyle w:val="Compact"/>
            </w:pPr>
            <w:r>
              <w:rPr>
                <w:sz w:val="20"/>
                <w:szCs w:val="20"/>
              </w:rPr>
              <w:t xml:space="preserve">objects_cataloged</w:t>
            </w:r>
          </w:p>
        </w:tc>
        <w:tc>
          <w:tcPr>
            <w:tcW w:w="0" w:type="auto"/>
          </w:tcPr>
          <w:p>
            <w:pPr>
              <w:spacing w:line="240" w:lineRule="auto" w:before="0" w:after="0"/>
              <w:pStyle w:val="Compact"/>
            </w:pPr>
            <w:r>
              <w:rPr>
                <w:sz w:val="20"/>
                <w:szCs w:val="20"/>
              </w:rPr>
              <w:t xml:space="preserve">derelict_fraction</w:t>
            </w:r>
          </w:p>
        </w:tc>
        <w:tc>
          <w:tcPr>
            <w:tcW w:w="0" w:type="auto"/>
          </w:tcPr>
          <w:p>
            <w:pPr>
              <w:spacing w:line="240" w:lineRule="auto" w:before="0" w:after="0"/>
              <w:pStyle w:val="Compact"/>
            </w:pPr>
            <w:r>
              <w:rPr>
                <w:sz w:val="20"/>
                <w:szCs w:val="20"/>
              </w:rPr>
              <w:t xml:space="preserve">mean_cross_section_m2</w:t>
            </w:r>
          </w:p>
        </w:tc>
        <w:tc>
          <w:tcPr>
            <w:tcW w:w="0" w:type="auto"/>
          </w:tcPr>
          <w:p>
            <w:pPr>
              <w:spacing w:line="240" w:lineRule="auto" w:before="0" w:after="0"/>
              <w:pStyle w:val="Compact"/>
            </w:pPr>
            <w:r>
              <w:rPr>
                <w:sz w:val="20"/>
                <w:szCs w:val="20"/>
              </w:rPr>
              <w:t xml:space="preserve">inclination_spread_deg</w:t>
            </w:r>
          </w:p>
        </w:tc>
        <w:tc>
          <w:tcPr>
            <w:tcW w:w="0" w:type="auto"/>
          </w:tcPr>
          <w:p>
            <w:pPr>
              <w:spacing w:line="240" w:lineRule="auto" w:before="0" w:after="0"/>
              <w:pStyle w:val="Compact"/>
            </w:pPr>
            <w:r>
              <w:rPr>
                <w:sz w:val="20"/>
                <w:szCs w:val="20"/>
              </w:rPr>
              <w:t xml:space="preserve">conjunctions_per_object_year</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S1</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0.04</w:t>
            </w:r>
          </w:p>
        </w:tc>
        <w:tc>
          <w:tcPr>
            <w:tcW w:w="0" w:type="auto"/>
          </w:tcPr>
          <w:p>
            <w:pPr>
              <w:spacing w:line="240" w:lineRule="auto" w:before="0" w:after="0"/>
              <w:pStyle w:val="Compact"/>
            </w:pPr>
            <w:r>
              <w:rPr>
                <w:sz w:val="20"/>
                <w:szCs w:val="20"/>
              </w:rPr>
              <w:t xml:space="preserve">NASA ODPO Orbital Debris Quarterly News v28-1 2024 Fig 1; ESA ASER 2024 Sec 3.1</w:t>
            </w:r>
          </w:p>
        </w:tc>
      </w:tr>
      <w:tr>
        <w:tc>
          <w:tcPr>
            <w:tcW w:w="0" w:type="auto"/>
          </w:tcPr>
          <w:p>
            <w:pPr>
              <w:spacing w:line="240" w:lineRule="auto" w:before="0" w:after="0"/>
              <w:pStyle w:val="Compact"/>
            </w:pPr>
            <w:r>
              <w:rPr>
                <w:sz w:val="20"/>
                <w:szCs w:val="20"/>
              </w:rPr>
              <w:t xml:space="preserve">S2</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0.34</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NASA ODPO ODQN v28-1 2024 Fig 1; ESA ASER 2024 Sec 3.1</w:t>
            </w:r>
          </w:p>
        </w:tc>
      </w:tr>
      <w:tr>
        <w:tc>
          <w:tcPr>
            <w:tcW w:w="0" w:type="auto"/>
          </w:tcPr>
          <w:p>
            <w:pPr>
              <w:spacing w:line="240" w:lineRule="auto" w:before="0" w:after="0"/>
              <w:pStyle w:val="Compact"/>
            </w:pPr>
            <w:r>
              <w:rPr>
                <w:sz w:val="20"/>
                <w:szCs w:val="20"/>
              </w:rPr>
              <w:t xml:space="preserve">S3</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0.07</w:t>
            </w:r>
          </w:p>
        </w:tc>
        <w:tc>
          <w:tcPr>
            <w:tcW w:w="0" w:type="auto"/>
          </w:tcPr>
          <w:p>
            <w:pPr>
              <w:spacing w:line="240" w:lineRule="auto" w:before="0" w:after="0"/>
              <w:pStyle w:val="Compact"/>
            </w:pPr>
            <w:r>
              <w:rPr>
                <w:sz w:val="20"/>
                <w:szCs w:val="20"/>
              </w:rPr>
              <w:t xml:space="preserve">ESA Annual Space Environment Report 2024 Fig 3.3; Pardini and Anselmo 2021 doi:10.1016/j.actaastro.2021.03.030</w:t>
            </w:r>
          </w:p>
        </w:tc>
      </w:tr>
      <w:tr>
        <w:tc>
          <w:tcPr>
            <w:tcW w:w="0" w:type="auto"/>
          </w:tcPr>
          <w:p>
            <w:pPr>
              <w:spacing w:line="240" w:lineRule="auto" w:before="0" w:after="0"/>
              <w:pStyle w:val="Compact"/>
            </w:pPr>
            <w:r>
              <w:rPr>
                <w:sz w:val="20"/>
                <w:szCs w:val="20"/>
              </w:rPr>
              <w:t xml:space="preserve">S4</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142</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0.11</w:t>
            </w:r>
          </w:p>
        </w:tc>
        <w:tc>
          <w:tcPr>
            <w:tcW w:w="0" w:type="auto"/>
          </w:tcPr>
          <w:p>
            <w:pPr>
              <w:spacing w:line="240" w:lineRule="auto" w:before="0" w:after="0"/>
              <w:pStyle w:val="Compact"/>
            </w:pPr>
            <w:r>
              <w:rPr>
                <w:sz w:val="20"/>
                <w:szCs w:val="20"/>
              </w:rPr>
              <w:t xml:space="preserve">ESA ASER 2024 Fig 3.3; Pardini and Anselmo 2021</w:t>
            </w:r>
          </w:p>
        </w:tc>
      </w:tr>
      <w:tr>
        <w:tc>
          <w:tcPr>
            <w:tcW w:w="0" w:type="auto"/>
          </w:tcPr>
          <w:p>
            <w:pPr>
              <w:spacing w:line="240" w:lineRule="auto" w:before="0" w:after="0"/>
              <w:pStyle w:val="Compact"/>
            </w:pPr>
            <w:r>
              <w:rPr>
                <w:sz w:val="20"/>
                <w:szCs w:val="20"/>
              </w:rPr>
              <w:t xml:space="preserve">S5</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1284</w:t>
            </w:r>
          </w:p>
        </w:tc>
        <w:tc>
          <w:tcPr>
            <w:tcW w:w="0" w:type="auto"/>
          </w:tcPr>
          <w:p>
            <w:pPr>
              <w:spacing w:line="240" w:lineRule="auto" w:before="0" w:after="0"/>
              <w:pStyle w:val="Compact"/>
            </w:pPr>
            <w:r>
              <w:rPr>
                <w:sz w:val="20"/>
                <w:szCs w:val="20"/>
              </w:rPr>
              <w:t xml:space="preserve">0.04</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51.6</w:t>
            </w:r>
          </w:p>
        </w:tc>
        <w:tc>
          <w:tcPr>
            <w:tcW w:w="0" w:type="auto"/>
          </w:tcPr>
          <w:p>
            <w:pPr>
              <w:spacing w:line="240" w:lineRule="auto" w:before="0" w:after="0"/>
              <w:pStyle w:val="Compact"/>
            </w:pPr>
            <w:r>
              <w:rPr>
                <w:sz w:val="20"/>
                <w:szCs w:val="20"/>
              </w:rPr>
              <w:t xml:space="preserve">0.38</w:t>
            </w:r>
          </w:p>
        </w:tc>
        <w:tc>
          <w:tcPr>
            <w:tcW w:w="0" w:type="auto"/>
          </w:tcPr>
          <w:p>
            <w:pPr>
              <w:spacing w:line="240" w:lineRule="auto" w:before="0" w:after="0"/>
              <w:pStyle w:val="Compact"/>
            </w:pPr>
            <w:r>
              <w:rPr>
                <w:sz w:val="20"/>
                <w:szCs w:val="20"/>
              </w:rPr>
              <w:t xml:space="preserve">ESA ASER 2024 Fig 3.3 (ISS shell); NASA ODPO ODQN v28-2 2024 [illustrative event-rate calibration]</w:t>
            </w:r>
          </w:p>
        </w:tc>
      </w:tr>
      <w:tr>
        <w:tc>
          <w:tcPr>
            <w:tcW w:w="0" w:type="auto"/>
          </w:tcPr>
          <w:p>
            <w:pPr>
              <w:spacing w:line="240" w:lineRule="auto" w:before="0" w:after="0"/>
              <w:pStyle w:val="Compact"/>
            </w:pPr>
            <w:r>
              <w:rPr>
                <w:sz w:val="20"/>
                <w:szCs w:val="20"/>
              </w:rPr>
              <w:t xml:space="preserve">S6</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612</w:t>
            </w:r>
          </w:p>
        </w:tc>
        <w:tc>
          <w:tcPr>
            <w:tcW w:w="0" w:type="auto"/>
          </w:tcPr>
          <w:p>
            <w:pPr>
              <w:spacing w:line="240" w:lineRule="auto" w:before="0" w:after="0"/>
              <w:pStyle w:val="Compact"/>
            </w:pPr>
            <w:r>
              <w:rPr>
                <w:sz w:val="20"/>
                <w:szCs w:val="20"/>
              </w:rPr>
              <w:t xml:space="preserve">0.07</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0.21</w:t>
            </w:r>
          </w:p>
        </w:tc>
        <w:tc>
          <w:tcPr>
            <w:tcW w:w="0" w:type="auto"/>
          </w:tcPr>
          <w:p>
            <w:pPr>
              <w:spacing w:line="240" w:lineRule="auto" w:before="0" w:after="0"/>
              <w:pStyle w:val="Compact"/>
            </w:pPr>
            <w:r>
              <w:rPr>
                <w:sz w:val="20"/>
                <w:szCs w:val="20"/>
              </w:rPr>
              <w:t xml:space="preserve">ESA ASER 2024 Fig 3.3; Giudici et al 2024 doi:10.1016/j.actaastro.2024.03.008 Fig 5</w:t>
            </w:r>
          </w:p>
        </w:tc>
      </w:tr>
      <w:tr>
        <w:tc>
          <w:tcPr>
            <w:tcW w:w="0" w:type="auto"/>
          </w:tcPr>
          <w:p>
            <w:pPr>
              <w:spacing w:line="240" w:lineRule="auto" w:before="0" w:after="0"/>
              <w:pStyle w:val="Compact"/>
            </w:pPr>
            <w:r>
              <w:rPr>
                <w:sz w:val="20"/>
                <w:szCs w:val="20"/>
              </w:rPr>
              <w:t xml:space="preserve">S7</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1456</w:t>
            </w:r>
          </w:p>
        </w:tc>
        <w:tc>
          <w:tcPr>
            <w:tcW w:w="0" w:type="auto"/>
          </w:tcPr>
          <w:p>
            <w:pPr>
              <w:spacing w:line="240" w:lineRule="auto" w:before="0" w:after="0"/>
              <w:pStyle w:val="Compact"/>
            </w:pPr>
            <w:r>
              <w:rPr>
                <w:sz w:val="20"/>
                <w:szCs w:val="20"/>
              </w:rPr>
              <w:t xml:space="preserve">0.06</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ESA ASER 2024 Fig 3.3 (Starlink shell); Giudici et al 2024 Fig 5</w:t>
            </w:r>
          </w:p>
        </w:tc>
      </w:tr>
      <w:tr>
        <w:tc>
          <w:tcPr>
            <w:tcW w:w="0" w:type="auto"/>
          </w:tcPr>
          <w:p>
            <w:pPr>
              <w:spacing w:line="240" w:lineRule="auto" w:before="0" w:after="0"/>
              <w:pStyle w:val="Compact"/>
            </w:pPr>
            <w:r>
              <w:rPr>
                <w:sz w:val="20"/>
                <w:szCs w:val="20"/>
              </w:rPr>
              <w:t xml:space="preserve">S8</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3982</w:t>
            </w:r>
          </w:p>
        </w:tc>
        <w:tc>
          <w:tcPr>
            <w:tcW w:w="0" w:type="auto"/>
          </w:tcPr>
          <w:p>
            <w:pPr>
              <w:spacing w:line="240" w:lineRule="auto" w:before="0" w:after="0"/>
              <w:pStyle w:val="Compact"/>
            </w:pPr>
            <w:r>
              <w:rPr>
                <w:sz w:val="20"/>
                <w:szCs w:val="20"/>
              </w:rPr>
              <w:t xml:space="preserve">0.03</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1.12</w:t>
            </w:r>
          </w:p>
        </w:tc>
        <w:tc>
          <w:tcPr>
            <w:tcW w:w="0" w:type="auto"/>
          </w:tcPr>
          <w:p>
            <w:pPr>
              <w:spacing w:line="240" w:lineRule="auto" w:before="0" w:after="0"/>
              <w:pStyle w:val="Compact"/>
            </w:pPr>
            <w:r>
              <w:rPr>
                <w:sz w:val="20"/>
                <w:szCs w:val="20"/>
              </w:rPr>
              <w:t xml:space="preserve">ESA ASER 2024 Fig 3.3 (Starlink v1.5 dense); Sturza and Saura Carretero 2021 AMOS Poster</w:t>
            </w:r>
          </w:p>
        </w:tc>
      </w:tr>
      <w:tr>
        <w:tc>
          <w:tcPr>
            <w:tcW w:w="0" w:type="auto"/>
          </w:tcPr>
          <w:p>
            <w:pPr>
              <w:spacing w:line="240" w:lineRule="auto" w:before="0" w:after="0"/>
              <w:pStyle w:val="Compact"/>
            </w:pPr>
            <w:r>
              <w:rPr>
                <w:sz w:val="20"/>
                <w:szCs w:val="20"/>
              </w:rPr>
              <w:t xml:space="preserve">S9</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884</w:t>
            </w:r>
          </w:p>
        </w:tc>
        <w:tc>
          <w:tcPr>
            <w:tcW w:w="0" w:type="auto"/>
          </w:tcPr>
          <w:p>
            <w:pPr>
              <w:spacing w:line="240" w:lineRule="auto" w:before="0" w:after="0"/>
              <w:pStyle w:val="Compact"/>
            </w:pPr>
            <w:r>
              <w:rPr>
                <w:sz w:val="20"/>
                <w:szCs w:val="20"/>
              </w:rPr>
              <w:t xml:space="preserve">0.21</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0.34</w:t>
            </w:r>
          </w:p>
        </w:tc>
        <w:tc>
          <w:tcPr>
            <w:tcW w:w="0" w:type="auto"/>
          </w:tcPr>
          <w:p>
            <w:pPr>
              <w:spacing w:line="240" w:lineRule="auto" w:before="0" w:after="0"/>
              <w:pStyle w:val="Compact"/>
            </w:pPr>
            <w:r>
              <w:rPr>
                <w:sz w:val="20"/>
                <w:szCs w:val="20"/>
              </w:rPr>
              <w:t xml:space="preserve">ESA ASER 2024 Fig 3.3; Pardini and Anselmo 2021 Table 4</w:t>
            </w:r>
          </w:p>
        </w:tc>
      </w:tr>
      <w:tr>
        <w:tc>
          <w:tcPr>
            <w:tcW w:w="0" w:type="auto"/>
          </w:tcPr>
          <w:p>
            <w:pPr>
              <w:spacing w:line="240" w:lineRule="auto" w:before="0" w:after="0"/>
              <w:pStyle w:val="Compact"/>
            </w:pPr>
            <w:r>
              <w:rPr>
                <w:sz w:val="20"/>
                <w:szCs w:val="20"/>
              </w:rPr>
              <w:t xml:space="preserve">S10</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772</w:t>
            </w:r>
          </w:p>
        </w:tc>
        <w:tc>
          <w:tcPr>
            <w:tcW w:w="0" w:type="auto"/>
          </w:tcPr>
          <w:p>
            <w:pPr>
              <w:spacing w:line="240" w:lineRule="auto" w:before="0" w:after="0"/>
              <w:pStyle w:val="Compact"/>
            </w:pPr>
            <w:r>
              <w:rPr>
                <w:sz w:val="20"/>
                <w:szCs w:val="20"/>
              </w:rPr>
              <w:t xml:space="preserve">0.27</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ESA ASER 2024 Fig 3.3; Pardini and Anselmo 2021 Table 4</w:t>
            </w:r>
          </w:p>
        </w:tc>
      </w:tr>
      <w:tr>
        <w:tc>
          <w:tcPr>
            <w:tcW w:w="0" w:type="auto"/>
          </w:tcPr>
          <w:p>
            <w:pPr>
              <w:spacing w:line="240" w:lineRule="auto" w:before="0" w:after="0"/>
              <w:pStyle w:val="Compact"/>
            </w:pPr>
            <w:r>
              <w:rPr>
                <w:sz w:val="20"/>
                <w:szCs w:val="20"/>
              </w:rPr>
              <w:t xml:space="preserve">S11</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1216</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ESA ASER 2024 Fig 3.3 (sun-sync band); Pardini and Anselmo 2021 Table 4</w:t>
            </w:r>
          </w:p>
        </w:tc>
      </w:tr>
      <w:tr>
        <w:tc>
          <w:tcPr>
            <w:tcW w:w="0" w:type="auto"/>
          </w:tcPr>
          <w:p>
            <w:pPr>
              <w:spacing w:line="240" w:lineRule="auto" w:before="0" w:after="0"/>
              <w:pStyle w:val="Compact"/>
            </w:pPr>
            <w:r>
              <w:rPr>
                <w:sz w:val="20"/>
                <w:szCs w:val="20"/>
              </w:rPr>
              <w:t xml:space="preserve">S12</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2148</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1.34</w:t>
            </w:r>
          </w:p>
        </w:tc>
        <w:tc>
          <w:tcPr>
            <w:tcW w:w="0" w:type="auto"/>
          </w:tcPr>
          <w:p>
            <w:pPr>
              <w:spacing w:line="240" w:lineRule="auto" w:before="0" w:after="0"/>
              <w:pStyle w:val="Compact"/>
            </w:pPr>
            <w:r>
              <w:rPr>
                <w:sz w:val="20"/>
                <w:szCs w:val="20"/>
              </w:rPr>
              <w:t xml:space="preserve">ESA ASER 2024 Fig 3.3 (peak sun-sync); NASA ODPO ODQN v27-4 2023 Iridium-Cosmos shell discussion</w:t>
            </w:r>
          </w:p>
        </w:tc>
      </w:tr>
      <w:tr>
        <w:tc>
          <w:tcPr>
            <w:tcW w:w="0" w:type="auto"/>
          </w:tcPr>
          <w:p>
            <w:pPr>
              <w:spacing w:line="240" w:lineRule="auto" w:before="0" w:after="0"/>
              <w:pStyle w:val="Compact"/>
            </w:pPr>
            <w:r>
              <w:rPr>
                <w:sz w:val="20"/>
                <w:szCs w:val="20"/>
              </w:rPr>
              <w:t xml:space="preserve">S13</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2762</w:t>
            </w:r>
          </w:p>
        </w:tc>
        <w:tc>
          <w:tcPr>
            <w:tcW w:w="0" w:type="auto"/>
          </w:tcPr>
          <w:p>
            <w:pPr>
              <w:spacing w:line="240" w:lineRule="auto" w:before="0" w:after="0"/>
              <w:pStyle w:val="Compact"/>
            </w:pPr>
            <w:r>
              <w:rPr>
                <w:sz w:val="20"/>
                <w:szCs w:val="20"/>
              </w:rPr>
              <w:t xml:space="preserve">0.61</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1.91</w:t>
            </w:r>
          </w:p>
        </w:tc>
        <w:tc>
          <w:tcPr>
            <w:tcW w:w="0" w:type="auto"/>
          </w:tcPr>
          <w:p>
            <w:pPr>
              <w:spacing w:line="240" w:lineRule="auto" w:before="0" w:after="0"/>
              <w:pStyle w:val="Compact"/>
            </w:pPr>
            <w:r>
              <w:rPr>
                <w:sz w:val="20"/>
                <w:szCs w:val="20"/>
              </w:rPr>
              <w:t xml:space="preserve">ESA ASER 2024 Fig 3.3 (peak SSO derelicts); Pardini and Anselmo 2021 Table 4; Kastinen et al 2022 doi:10.1016/j.actaastro.2022.10.021</w:t>
            </w:r>
          </w:p>
        </w:tc>
      </w:tr>
      <w:tr>
        <w:tc>
          <w:tcPr>
            <w:tcW w:w="0" w:type="auto"/>
          </w:tcPr>
          <w:p>
            <w:pPr>
              <w:spacing w:line="240" w:lineRule="auto" w:before="0" w:after="0"/>
              <w:pStyle w:val="Compact"/>
            </w:pPr>
            <w:r>
              <w:rPr>
                <w:sz w:val="20"/>
                <w:szCs w:val="20"/>
              </w:rPr>
              <w:t xml:space="preserve">S14</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1812</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ESA ASER 2024 Fig 3.3; NASA ODPO ODQN v28-1 2024 Fig 2</w:t>
            </w:r>
          </w:p>
        </w:tc>
      </w:tr>
      <w:tr>
        <w:tc>
          <w:tcPr>
            <w:tcW w:w="0" w:type="auto"/>
          </w:tcPr>
          <w:p>
            <w:pPr>
              <w:spacing w:line="240" w:lineRule="auto" w:before="0" w:after="0"/>
              <w:pStyle w:val="Compact"/>
            </w:pPr>
            <w:r>
              <w:rPr>
                <w:sz w:val="20"/>
                <w:szCs w:val="20"/>
              </w:rPr>
              <w:t xml:space="preserve">S15</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1024</w:t>
            </w:r>
          </w:p>
        </w:tc>
        <w:tc>
          <w:tcPr>
            <w:tcW w:w="0" w:type="auto"/>
          </w:tcPr>
          <w:p>
            <w:pPr>
              <w:spacing w:line="240" w:lineRule="auto" w:before="0" w:after="0"/>
              <w:pStyle w:val="Compact"/>
            </w:pPr>
            <w:r>
              <w:rPr>
                <w:sz w:val="20"/>
                <w:szCs w:val="20"/>
              </w:rPr>
              <w:t xml:space="preserve">0.49</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ESA ASER 2024 Fig 3.3; Pardini and Anselmo 2021</w:t>
            </w:r>
          </w:p>
        </w:tc>
      </w:tr>
      <w:tr>
        <w:tc>
          <w:tcPr>
            <w:tcW w:w="0" w:type="auto"/>
          </w:tcPr>
          <w:p>
            <w:pPr>
              <w:spacing w:line="240" w:lineRule="auto" w:before="0" w:after="0"/>
              <w:pStyle w:val="Compact"/>
            </w:pPr>
            <w:r>
              <w:rPr>
                <w:sz w:val="20"/>
                <w:szCs w:val="20"/>
              </w:rPr>
              <w:t xml:space="preserve">S16</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824</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ESA ASER 2024 Fig 3.3</w:t>
            </w:r>
          </w:p>
        </w:tc>
      </w:tr>
      <w:tr>
        <w:tc>
          <w:tcPr>
            <w:tcW w:w="0" w:type="auto"/>
          </w:tcPr>
          <w:p>
            <w:pPr>
              <w:spacing w:line="240" w:lineRule="auto" w:before="0" w:after="0"/>
              <w:pStyle w:val="Compact"/>
            </w:pPr>
            <w:r>
              <w:rPr>
                <w:sz w:val="20"/>
                <w:szCs w:val="20"/>
              </w:rPr>
              <w:t xml:space="preserve">S17</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468</w:t>
            </w:r>
          </w:p>
        </w:tc>
        <w:tc>
          <w:tcPr>
            <w:tcW w:w="0" w:type="auto"/>
          </w:tcPr>
          <w:p>
            <w:pPr>
              <w:spacing w:line="240" w:lineRule="auto" w:before="0" w:after="0"/>
              <w:pStyle w:val="Compact"/>
            </w:pPr>
            <w:r>
              <w:rPr>
                <w:sz w:val="20"/>
                <w:szCs w:val="20"/>
              </w:rPr>
              <w:t xml:space="preserve">0.33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ESA ASER 2024 Fig 3.3</w:t>
            </w:r>
          </w:p>
        </w:tc>
      </w:tr>
      <w:tr>
        <w:tc>
          <w:tcPr>
            <w:tcW w:w="0" w:type="auto"/>
          </w:tcPr>
          <w:p>
            <w:pPr>
              <w:spacing w:line="240" w:lineRule="auto" w:before="0" w:after="0"/>
              <w:pStyle w:val="Compact"/>
            </w:pPr>
            <w:r>
              <w:rPr>
                <w:sz w:val="20"/>
                <w:szCs w:val="20"/>
              </w:rPr>
              <w:t xml:space="preserve">S18</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392</w:t>
            </w:r>
          </w:p>
        </w:tc>
        <w:tc>
          <w:tcPr>
            <w:tcW w:w="0" w:type="auto"/>
          </w:tcPr>
          <w:p>
            <w:pPr>
              <w:spacing w:line="240" w:lineRule="auto" w:before="0" w:after="0"/>
              <w:pStyle w:val="Compact"/>
            </w:pPr>
            <w:r>
              <w:rPr>
                <w:sz w:val="20"/>
                <w:szCs w:val="20"/>
              </w:rPr>
              <w:t xml:space="preserve">0.29</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0.17</w:t>
            </w:r>
          </w:p>
        </w:tc>
        <w:tc>
          <w:tcPr>
            <w:tcW w:w="0" w:type="auto"/>
          </w:tcPr>
          <w:p>
            <w:pPr>
              <w:spacing w:line="240" w:lineRule="auto" w:before="0" w:after="0"/>
              <w:pStyle w:val="Compact"/>
            </w:pPr>
            <w:r>
              <w:rPr>
                <w:sz w:val="20"/>
                <w:szCs w:val="20"/>
              </w:rPr>
              <w:t xml:space="preserve">ESA ASER 2024 Fig 3.3</w:t>
            </w:r>
          </w:p>
        </w:tc>
      </w:tr>
      <w:tr>
        <w:tc>
          <w:tcPr>
            <w:tcW w:w="0" w:type="auto"/>
          </w:tcPr>
          <w:p>
            <w:pPr>
              <w:spacing w:line="240" w:lineRule="auto" w:before="0" w:after="0"/>
              <w:pStyle w:val="Compact"/>
            </w:pPr>
            <w:r>
              <w:rPr>
                <w:sz w:val="20"/>
                <w:szCs w:val="20"/>
              </w:rPr>
              <w:t xml:space="preserve">S19</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1150</w:t>
            </w:r>
          </w:p>
        </w:tc>
        <w:tc>
          <w:tcPr>
            <w:tcW w:w="0" w:type="auto"/>
          </w:tcPr>
          <w:p>
            <w:pPr>
              <w:spacing w:line="240" w:lineRule="auto" w:before="0" w:after="0"/>
              <w:pStyle w:val="Compact"/>
            </w:pPr>
            <w:r>
              <w:rPr>
                <w:sz w:val="20"/>
                <w:szCs w:val="20"/>
              </w:rPr>
              <w:t xml:space="preserve">332</w:t>
            </w:r>
          </w:p>
        </w:tc>
        <w:tc>
          <w:tcPr>
            <w:tcW w:w="0" w:type="auto"/>
          </w:tcPr>
          <w:p>
            <w:pPr>
              <w:spacing w:line="240" w:lineRule="auto" w:before="0" w:after="0"/>
              <w:pStyle w:val="Compact"/>
            </w:pPr>
            <w:r>
              <w:rPr>
                <w:sz w:val="20"/>
                <w:szCs w:val="20"/>
              </w:rPr>
              <w:t xml:space="preserve">0.24</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0.13</w:t>
            </w:r>
          </w:p>
        </w:tc>
        <w:tc>
          <w:tcPr>
            <w:tcW w:w="0" w:type="auto"/>
          </w:tcPr>
          <w:p>
            <w:pPr>
              <w:spacing w:line="240" w:lineRule="auto" w:before="0" w:after="0"/>
              <w:pStyle w:val="Compact"/>
            </w:pPr>
            <w:r>
              <w:rPr>
                <w:sz w:val="20"/>
                <w:szCs w:val="20"/>
              </w:rPr>
              <w:t xml:space="preserve">ESA ASER 2024 Fig 3.3</w:t>
            </w:r>
          </w:p>
        </w:tc>
      </w:tr>
      <w:tr>
        <w:tc>
          <w:tcPr>
            <w:tcW w:w="0" w:type="auto"/>
          </w:tcPr>
          <w:p>
            <w:pPr>
              <w:spacing w:line="240" w:lineRule="auto" w:before="0" w:after="0"/>
              <w:pStyle w:val="Compact"/>
            </w:pPr>
            <w:r>
              <w:rPr>
                <w:sz w:val="20"/>
                <w:szCs w:val="20"/>
              </w:rPr>
              <w:t xml:space="preserve">S20</w:t>
            </w:r>
          </w:p>
        </w:tc>
        <w:tc>
          <w:tcPr>
            <w:tcW w:w="0" w:type="auto"/>
          </w:tcPr>
          <w:p>
            <w:pPr>
              <w:spacing w:line="240" w:lineRule="auto" w:before="0" w:after="0"/>
              <w:pStyle w:val="Compact"/>
            </w:pPr>
            <w:r>
              <w:rPr>
                <w:sz w:val="20"/>
                <w:szCs w:val="20"/>
              </w:rPr>
              <w:t xml:space="preserve">1150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278</w:t>
            </w:r>
          </w:p>
        </w:tc>
        <w:tc>
          <w:tcPr>
            <w:tcW w:w="0" w:type="auto"/>
          </w:tcPr>
          <w:p>
            <w:pPr>
              <w:spacing w:line="240" w:lineRule="auto" w:before="0" w:after="0"/>
              <w:pStyle w:val="Compact"/>
            </w:pPr>
            <w:r>
              <w:rPr>
                <w:sz w:val="20"/>
                <w:szCs w:val="20"/>
              </w:rPr>
              <w:t xml:space="preserve">0.21</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ESA ASER 2024 Fig 3.3 [illustrative cross-section]</w:t>
            </w:r>
          </w:p>
        </w:tc>
      </w:tr>
      <w:tr>
        <w:tc>
          <w:tcPr>
            <w:tcW w:w="0" w:type="auto"/>
          </w:tcPr>
          <w:p>
            <w:pPr>
              <w:spacing w:line="240" w:lineRule="auto" w:before="0" w:after="0"/>
              <w:pStyle w:val="Compact"/>
            </w:pPr>
            <w:r>
              <w:rPr>
                <w:sz w:val="20"/>
                <w:szCs w:val="20"/>
              </w:rPr>
              <w:t xml:space="preserve">S21</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1250</w:t>
            </w:r>
          </w:p>
        </w:tc>
        <w:tc>
          <w:tcPr>
            <w:tcW w:w="0" w:type="auto"/>
          </w:tcPr>
          <w:p>
            <w:pPr>
              <w:spacing w:line="240" w:lineRule="auto" w:before="0" w:after="0"/>
              <w:pStyle w:val="Compact"/>
            </w:pPr>
            <w:r>
              <w:rPr>
                <w:sz w:val="20"/>
                <w:szCs w:val="20"/>
              </w:rPr>
              <w:t xml:space="preserve">236</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0.09</w:t>
            </w:r>
          </w:p>
        </w:tc>
        <w:tc>
          <w:tcPr>
            <w:tcW w:w="0" w:type="auto"/>
          </w:tcPr>
          <w:p>
            <w:pPr>
              <w:spacing w:line="240" w:lineRule="auto" w:before="0" w:after="0"/>
              <w:pStyle w:val="Compact"/>
            </w:pPr>
            <w:r>
              <w:rPr>
                <w:sz w:val="20"/>
                <w:szCs w:val="20"/>
              </w:rPr>
              <w:t xml:space="preserve">ESA ASER 2024 Fig 3.3</w:t>
            </w:r>
          </w:p>
        </w:tc>
      </w:tr>
      <w:tr>
        <w:tc>
          <w:tcPr>
            <w:tcW w:w="0" w:type="auto"/>
          </w:tcPr>
          <w:p>
            <w:pPr>
              <w:spacing w:line="240" w:lineRule="auto" w:before="0" w:after="0"/>
              <w:pStyle w:val="Compact"/>
            </w:pPr>
            <w:r>
              <w:rPr>
                <w:sz w:val="20"/>
                <w:szCs w:val="20"/>
              </w:rPr>
              <w:t xml:space="preserve">S22</w:t>
            </w:r>
          </w:p>
        </w:tc>
        <w:tc>
          <w:tcPr>
            <w:tcW w:w="0" w:type="auto"/>
          </w:tcPr>
          <w:p>
            <w:pPr>
              <w:spacing w:line="240" w:lineRule="auto" w:before="0" w:after="0"/>
              <w:pStyle w:val="Compact"/>
            </w:pPr>
            <w:r>
              <w:rPr>
                <w:sz w:val="20"/>
                <w:szCs w:val="20"/>
              </w:rPr>
              <w:t xml:space="preserve">1250</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212</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0.08</w:t>
            </w:r>
          </w:p>
        </w:tc>
        <w:tc>
          <w:tcPr>
            <w:tcW w:w="0" w:type="auto"/>
          </w:tcPr>
          <w:p>
            <w:pPr>
              <w:spacing w:line="240" w:lineRule="auto" w:before="0" w:after="0"/>
              <w:pStyle w:val="Compact"/>
            </w:pPr>
            <w:r>
              <w:rPr>
                <w:sz w:val="20"/>
                <w:szCs w:val="20"/>
              </w:rPr>
              <w:t xml:space="preserve">ESA ASER 2024 Fig 3.3</w:t>
            </w:r>
          </w:p>
        </w:tc>
      </w:tr>
      <w:tr>
        <w:tc>
          <w:tcPr>
            <w:tcW w:w="0" w:type="auto"/>
          </w:tcPr>
          <w:p>
            <w:pPr>
              <w:spacing w:line="240" w:lineRule="auto" w:before="0" w:after="0"/>
              <w:pStyle w:val="Compact"/>
            </w:pPr>
            <w:r>
              <w:rPr>
                <w:sz w:val="20"/>
                <w:szCs w:val="20"/>
              </w:rPr>
              <w:t xml:space="preserve">S23</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1350</w:t>
            </w:r>
          </w:p>
        </w:tc>
        <w:tc>
          <w:tcPr>
            <w:tcW w:w="0" w:type="auto"/>
          </w:tcPr>
          <w:p>
            <w:pPr>
              <w:spacing w:line="240" w:lineRule="auto" w:before="0" w:after="0"/>
              <w:pStyle w:val="Compact"/>
            </w:pPr>
            <w:r>
              <w:rPr>
                <w:sz w:val="20"/>
                <w:szCs w:val="20"/>
              </w:rPr>
              <w:t xml:space="preserve">184</w:t>
            </w:r>
          </w:p>
        </w:tc>
        <w:tc>
          <w:tcPr>
            <w:tcW w:w="0" w:type="auto"/>
          </w:tcPr>
          <w:p>
            <w:pPr>
              <w:spacing w:line="240" w:lineRule="auto" w:before="0" w:after="0"/>
              <w:pStyle w:val="Compact"/>
            </w:pPr>
            <w:r>
              <w:rPr>
                <w:sz w:val="20"/>
                <w:szCs w:val="20"/>
              </w:rPr>
              <w:t xml:space="preserve">0.19</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0.07</w:t>
            </w:r>
          </w:p>
        </w:tc>
        <w:tc>
          <w:tcPr>
            <w:tcW w:w="0" w:type="auto"/>
          </w:tcPr>
          <w:p>
            <w:pPr>
              <w:spacing w:line="240" w:lineRule="auto" w:before="0" w:after="0"/>
              <w:pStyle w:val="Compact"/>
            </w:pPr>
            <w:r>
              <w:rPr>
                <w:sz w:val="20"/>
                <w:szCs w:val="20"/>
              </w:rPr>
              <w:t xml:space="preserve">ESA ASER 2024 Fig 3.3</w:t>
            </w:r>
          </w:p>
        </w:tc>
      </w:tr>
      <w:tr>
        <w:tc>
          <w:tcPr>
            <w:tcW w:w="0" w:type="auto"/>
          </w:tcPr>
          <w:p>
            <w:pPr>
              <w:spacing w:line="240" w:lineRule="auto" w:before="0" w:after="0"/>
              <w:pStyle w:val="Compact"/>
            </w:pPr>
            <w:r>
              <w:rPr>
                <w:sz w:val="20"/>
                <w:szCs w:val="20"/>
              </w:rPr>
              <w:t xml:space="preserve">S24</w:t>
            </w:r>
          </w:p>
        </w:tc>
        <w:tc>
          <w:tcPr>
            <w:tcW w:w="0" w:type="auto"/>
          </w:tcPr>
          <w:p>
            <w:pPr>
              <w:spacing w:line="240" w:lineRule="auto" w:before="0" w:after="0"/>
              <w:pStyle w:val="Compact"/>
            </w:pPr>
            <w:r>
              <w:rPr>
                <w:sz w:val="20"/>
                <w:szCs w:val="20"/>
              </w:rPr>
              <w:t xml:space="preserve">1350</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164</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0.06</w:t>
            </w:r>
          </w:p>
        </w:tc>
        <w:tc>
          <w:tcPr>
            <w:tcW w:w="0" w:type="auto"/>
          </w:tcPr>
          <w:p>
            <w:pPr>
              <w:spacing w:line="240" w:lineRule="auto" w:before="0" w:after="0"/>
              <w:pStyle w:val="Compact"/>
            </w:pPr>
            <w:r>
              <w:rPr>
                <w:sz w:val="20"/>
                <w:szCs w:val="20"/>
              </w:rPr>
              <w:t xml:space="preserve">ESA ASER 2024 Fig 3.3</w:t>
            </w:r>
          </w:p>
        </w:tc>
      </w:tr>
      <w:tr>
        <w:tc>
          <w:tcPr>
            <w:tcW w:w="0" w:type="auto"/>
          </w:tcPr>
          <w:p>
            <w:pPr>
              <w:spacing w:line="240" w:lineRule="auto" w:before="0" w:after="0"/>
              <w:pStyle w:val="Compact"/>
            </w:pPr>
            <w:r>
              <w:rPr>
                <w:sz w:val="20"/>
                <w:szCs w:val="20"/>
              </w:rPr>
              <w:t xml:space="preserve">S25</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1450</w:t>
            </w:r>
          </w:p>
        </w:tc>
        <w:tc>
          <w:tcPr>
            <w:tcW w:w="0" w:type="auto"/>
          </w:tcPr>
          <w:p>
            <w:pPr>
              <w:spacing w:line="240" w:lineRule="auto" w:before="0" w:after="0"/>
              <w:pStyle w:val="Compact"/>
            </w:pPr>
            <w:r>
              <w:rPr>
                <w:sz w:val="20"/>
                <w:szCs w:val="20"/>
              </w:rPr>
              <w:t xml:space="preserve">238</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ESA ASER 2024 Fig 3.3 (Globalstar/Iridium band)</w:t>
            </w:r>
          </w:p>
        </w:tc>
      </w:tr>
      <w:tr>
        <w:tc>
          <w:tcPr>
            <w:tcW w:w="0" w:type="auto"/>
          </w:tcPr>
          <w:p>
            <w:pPr>
              <w:spacing w:line="240" w:lineRule="auto" w:before="0" w:after="0"/>
              <w:pStyle w:val="Compact"/>
            </w:pPr>
            <w:r>
              <w:rPr>
                <w:sz w:val="20"/>
                <w:szCs w:val="20"/>
              </w:rPr>
              <w:t xml:space="preserve">S26</w:t>
            </w:r>
          </w:p>
        </w:tc>
        <w:tc>
          <w:tcPr>
            <w:tcW w:w="0" w:type="auto"/>
          </w:tcPr>
          <w:p>
            <w:pPr>
              <w:spacing w:line="240" w:lineRule="auto" w:before="0" w:after="0"/>
              <w:pStyle w:val="Compact"/>
            </w:pPr>
            <w:r>
              <w:rPr>
                <w:sz w:val="20"/>
                <w:szCs w:val="20"/>
              </w:rPr>
              <w:t xml:space="preserve">1450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194</w:t>
            </w:r>
          </w:p>
        </w:tc>
        <w:tc>
          <w:tcPr>
            <w:tcW w:w="0" w:type="auto"/>
          </w:tcPr>
          <w:p>
            <w:pPr>
              <w:spacing w:line="240" w:lineRule="auto" w:before="0" w:after="0"/>
              <w:pStyle w:val="Compact"/>
            </w:pPr>
            <w:r>
              <w:rPr>
                <w:sz w:val="20"/>
                <w:szCs w:val="20"/>
              </w:rPr>
              <w:t xml:space="preserve">0.27</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0.08</w:t>
            </w:r>
          </w:p>
        </w:tc>
        <w:tc>
          <w:tcPr>
            <w:tcW w:w="0" w:type="auto"/>
          </w:tcPr>
          <w:p>
            <w:pPr>
              <w:spacing w:line="240" w:lineRule="auto" w:before="0" w:after="0"/>
              <w:pStyle w:val="Compact"/>
            </w:pPr>
            <w:r>
              <w:rPr>
                <w:sz w:val="20"/>
                <w:szCs w:val="20"/>
              </w:rPr>
              <w:t xml:space="preserve">ESA ASER 2024 Fig 3.3</w:t>
            </w:r>
          </w:p>
        </w:tc>
      </w:tr>
      <w:tr>
        <w:tc>
          <w:tcPr>
            <w:tcW w:w="0" w:type="auto"/>
          </w:tcPr>
          <w:p>
            <w:pPr>
              <w:spacing w:line="240" w:lineRule="auto" w:before="0" w:after="0"/>
              <w:pStyle w:val="Compact"/>
            </w:pPr>
            <w:r>
              <w:rPr>
                <w:sz w:val="20"/>
                <w:szCs w:val="20"/>
              </w:rPr>
              <w:t xml:space="preserve">S27</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148</w:t>
            </w:r>
          </w:p>
        </w:tc>
        <w:tc>
          <w:tcPr>
            <w:tcW w:w="0" w:type="auto"/>
          </w:tcPr>
          <w:p>
            <w:pPr>
              <w:spacing w:line="240" w:lineRule="auto" w:before="0" w:after="0"/>
              <w:pStyle w:val="Compact"/>
            </w:pPr>
            <w:r>
              <w:rPr>
                <w:sz w:val="20"/>
                <w:szCs w:val="20"/>
              </w:rPr>
              <w:t xml:space="preserve">0.24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0.06</w:t>
            </w:r>
          </w:p>
        </w:tc>
        <w:tc>
          <w:tcPr>
            <w:tcW w:w="0" w:type="auto"/>
          </w:tcPr>
          <w:p>
            <w:pPr>
              <w:spacing w:line="240" w:lineRule="auto" w:before="0" w:after="0"/>
              <w:pStyle w:val="Compact"/>
            </w:pPr>
            <w:r>
              <w:rPr>
                <w:sz w:val="20"/>
                <w:szCs w:val="20"/>
              </w:rPr>
              <w:t xml:space="preserve">ESA ASER 2024 Fig 3.3</w:t>
            </w:r>
          </w:p>
        </w:tc>
      </w:tr>
      <w:tr>
        <w:tc>
          <w:tcPr>
            <w:tcW w:w="0" w:type="auto"/>
          </w:tcPr>
          <w:p>
            <w:pPr>
              <w:spacing w:line="240" w:lineRule="auto" w:before="0" w:after="0"/>
              <w:pStyle w:val="Compact"/>
            </w:pPr>
            <w:r>
              <w:rPr>
                <w:sz w:val="20"/>
                <w:szCs w:val="20"/>
              </w:rPr>
              <w:t xml:space="preserve">S28</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122</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ESA ASER 2024 Fig 3.3 [illustrative]</w:t>
            </w:r>
          </w:p>
        </w:tc>
      </w:tr>
      <w:tr>
        <w:tc>
          <w:tcPr>
            <w:tcW w:w="0" w:type="auto"/>
          </w:tcPr>
          <w:p>
            <w:pPr>
              <w:spacing w:line="240" w:lineRule="auto" w:before="0" w:after="0"/>
              <w:pStyle w:val="Compact"/>
            </w:pPr>
            <w:r>
              <w:rPr>
                <w:sz w:val="20"/>
                <w:szCs w:val="20"/>
              </w:rPr>
              <w:t xml:space="preserve">S29</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1650</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0.04</w:t>
            </w:r>
          </w:p>
        </w:tc>
        <w:tc>
          <w:tcPr>
            <w:tcW w:w="0" w:type="auto"/>
          </w:tcPr>
          <w:p>
            <w:pPr>
              <w:spacing w:line="240" w:lineRule="auto" w:before="0" w:after="0"/>
              <w:pStyle w:val="Compact"/>
            </w:pPr>
            <w:r>
              <w:rPr>
                <w:sz w:val="20"/>
                <w:szCs w:val="20"/>
              </w:rPr>
              <w:t xml:space="preserve">ESA ASER 2024 Fig 3.3</w:t>
            </w:r>
          </w:p>
        </w:tc>
      </w:tr>
      <w:tr>
        <w:tc>
          <w:tcPr>
            <w:tcW w:w="0" w:type="auto"/>
          </w:tcPr>
          <w:p>
            <w:pPr>
              <w:spacing w:line="240" w:lineRule="auto" w:before="0" w:after="0"/>
              <w:pStyle w:val="Compact"/>
            </w:pPr>
            <w:r>
              <w:rPr>
                <w:sz w:val="20"/>
                <w:szCs w:val="20"/>
              </w:rPr>
              <w:t xml:space="preserve">S30</w:t>
            </w:r>
          </w:p>
        </w:tc>
        <w:tc>
          <w:tcPr>
            <w:tcW w:w="0" w:type="auto"/>
          </w:tcPr>
          <w:p>
            <w:pPr>
              <w:spacing w:line="240" w:lineRule="auto" w:before="0" w:after="0"/>
              <w:pStyle w:val="Compact"/>
            </w:pPr>
            <w:r>
              <w:rPr>
                <w:sz w:val="20"/>
                <w:szCs w:val="20"/>
              </w:rPr>
              <w:t xml:space="preserve">1650</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0.03</w:t>
            </w:r>
          </w:p>
        </w:tc>
        <w:tc>
          <w:tcPr>
            <w:tcW w:w="0" w:type="auto"/>
          </w:tcPr>
          <w:p>
            <w:pPr>
              <w:spacing w:line="240" w:lineRule="auto" w:before="0" w:after="0"/>
              <w:pStyle w:val="Compact"/>
            </w:pPr>
            <w:r>
              <w:rPr>
                <w:sz w:val="20"/>
                <w:szCs w:val="20"/>
              </w:rPr>
              <w:t xml:space="preserve">ESA ASER 2024 Fig 3.3</w:t>
            </w:r>
          </w:p>
        </w:tc>
      </w:tr>
      <w:tr>
        <w:tc>
          <w:tcPr>
            <w:tcW w:w="0" w:type="auto"/>
          </w:tcPr>
          <w:p>
            <w:pPr>
              <w:spacing w:line="240" w:lineRule="auto" w:before="0" w:after="0"/>
              <w:pStyle w:val="Compact"/>
            </w:pPr>
            <w:r>
              <w:rPr>
                <w:sz w:val="20"/>
                <w:szCs w:val="20"/>
              </w:rPr>
              <w:t xml:space="preserve">S31</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1750</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0.19</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0.03</w:t>
            </w:r>
          </w:p>
        </w:tc>
        <w:tc>
          <w:tcPr>
            <w:tcW w:w="0" w:type="auto"/>
          </w:tcPr>
          <w:p>
            <w:pPr>
              <w:spacing w:line="240" w:lineRule="auto" w:before="0" w:after="0"/>
              <w:pStyle w:val="Compact"/>
            </w:pPr>
            <w:r>
              <w:rPr>
                <w:sz w:val="20"/>
                <w:szCs w:val="20"/>
              </w:rPr>
              <w:t xml:space="preserve">ESA ASER 2024 Fig 3.3</w:t>
            </w:r>
          </w:p>
        </w:tc>
      </w:tr>
      <w:tr>
        <w:tc>
          <w:tcPr>
            <w:tcW w:w="0" w:type="auto"/>
          </w:tcPr>
          <w:p>
            <w:pPr>
              <w:spacing w:line="240" w:lineRule="auto" w:before="0" w:after="0"/>
              <w:pStyle w:val="Compact"/>
            </w:pPr>
            <w:r>
              <w:rPr>
                <w:sz w:val="20"/>
                <w:szCs w:val="20"/>
              </w:rPr>
              <w:t xml:space="preserve">S32</w:t>
            </w:r>
          </w:p>
        </w:tc>
        <w:tc>
          <w:tcPr>
            <w:tcW w:w="0" w:type="auto"/>
          </w:tcPr>
          <w:p>
            <w:pPr>
              <w:spacing w:line="240" w:lineRule="auto" w:before="0" w:after="0"/>
              <w:pStyle w:val="Compact"/>
            </w:pPr>
            <w:r>
              <w:rPr>
                <w:sz w:val="20"/>
                <w:szCs w:val="20"/>
              </w:rPr>
              <w:t xml:space="preserve">1750</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ESA ASER 2024 Fig 3.3</w:t>
            </w:r>
          </w:p>
        </w:tc>
      </w:tr>
      <w:tr>
        <w:tc>
          <w:tcPr>
            <w:tcW w:w="0" w:type="auto"/>
          </w:tcPr>
          <w:p>
            <w:pPr>
              <w:spacing w:line="240" w:lineRule="auto" w:before="0" w:after="0"/>
              <w:pStyle w:val="Compact"/>
            </w:pPr>
            <w:r>
              <w:rPr>
                <w:sz w:val="20"/>
                <w:szCs w:val="20"/>
              </w:rPr>
              <w:t xml:space="preserve">S33</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1850</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ESA ASER 2024 Fig 3.3</w:t>
            </w:r>
          </w:p>
        </w:tc>
      </w:tr>
      <w:tr>
        <w:tc>
          <w:tcPr>
            <w:tcW w:w="0" w:type="auto"/>
          </w:tcPr>
          <w:p>
            <w:pPr>
              <w:spacing w:line="240" w:lineRule="auto" w:before="0" w:after="0"/>
              <w:pStyle w:val="Compact"/>
            </w:pPr>
            <w:r>
              <w:rPr>
                <w:sz w:val="20"/>
                <w:szCs w:val="20"/>
              </w:rPr>
              <w:t xml:space="preserve">S34</w:t>
            </w:r>
          </w:p>
        </w:tc>
        <w:tc>
          <w:tcPr>
            <w:tcW w:w="0" w:type="auto"/>
          </w:tcPr>
          <w:p>
            <w:pPr>
              <w:spacing w:line="240" w:lineRule="auto" w:before="0" w:after="0"/>
              <w:pStyle w:val="Compact"/>
            </w:pPr>
            <w:r>
              <w:rPr>
                <w:sz w:val="20"/>
                <w:szCs w:val="20"/>
              </w:rPr>
              <w:t xml:space="preserve">1850</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0.17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ESA ASER 2024 Fig 3.3</w:t>
            </w:r>
          </w:p>
        </w:tc>
      </w:tr>
      <w:tr>
        <w:tc>
          <w:tcPr>
            <w:tcW w:w="0" w:type="auto"/>
          </w:tcPr>
          <w:p>
            <w:pPr>
              <w:spacing w:line="240" w:lineRule="auto" w:before="0" w:after="0"/>
              <w:pStyle w:val="Compact"/>
            </w:pPr>
            <w:r>
              <w:rPr>
                <w:sz w:val="20"/>
                <w:szCs w:val="20"/>
              </w:rPr>
              <w:t xml:space="preserve">S35</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0.16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ESA ASER 2024 Fig 3.3</w:t>
            </w:r>
          </w:p>
        </w:tc>
      </w:tr>
      <w:tr>
        <w:tc>
          <w:tcPr>
            <w:tcW w:w="0" w:type="auto"/>
          </w:tcPr>
          <w:p>
            <w:pPr>
              <w:spacing w:line="240" w:lineRule="auto" w:before="0" w:after="0"/>
              <w:pStyle w:val="Compact"/>
            </w:pPr>
            <w:r>
              <w:rPr>
                <w:sz w:val="20"/>
                <w:szCs w:val="20"/>
              </w:rPr>
              <w:t xml:space="preserve">S36</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0.16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ESA ASER 2024 Fig 3.3 [illustrative tail]</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y</w:t>
            </w:r>
          </w:p>
        </w:tc>
        <w:tc>
          <w:tcPr>
            <w:tcW w:w="0" w:type="auto"/>
          </w:tcPr>
          <w:p>
            <w:pPr>
              <w:spacing w:line="240" w:lineRule="auto" w:before="0" w:after="0"/>
              <w:pStyle w:val="Compact"/>
            </w:pPr>
            <w:r>
              <w:rPr>
                <w:sz w:val="20"/>
                <w:szCs w:val="20"/>
              </w:rPr>
              <w:t xml:space="preserve">Annual conjunction events per resident space object in shell i (proxy for marginal collision-risk burden)</w:t>
            </w:r>
          </w:p>
        </w:tc>
        <w:tc>
          <w:tcPr>
            <w:tcW w:w="0" w:type="auto"/>
          </w:tcPr>
          <w:p>
            <w:pPr>
              <w:spacing w:line="240" w:lineRule="auto" w:before="0" w:after="0"/>
              <w:pStyle w:val="Compact"/>
            </w:pPr>
            <w:r>
              <w:rPr>
                <w:sz w:val="20"/>
                <w:szCs w:val="20"/>
              </w:rPr>
              <w:t xml:space="preserve">ESA Annual Space Environment Report 2024; NASA ODPO Orbital Debris Quarterly News 2024</w:t>
            </w:r>
          </w:p>
        </w:tc>
      </w:tr>
      <w:tr>
        <w:tc>
          <w:tcPr>
            <w:tcW w:w="0" w:type="auto"/>
          </w:tcPr>
          <w:p>
            <w:pPr>
              <w:spacing w:line="240" w:lineRule="auto" w:before="0" w:after="0"/>
              <w:pStyle w:val="Compact"/>
            </w:pPr>
            <w:r>
              <w:rPr>
                <w:sz w:val="20"/>
                <w:szCs w:val="20"/>
              </w:rPr>
              <w:t xml:space="preserve">N</w:t>
            </w:r>
          </w:p>
        </w:tc>
        <w:tc>
          <w:tcPr>
            <w:tcW w:w="0" w:type="auto"/>
          </w:tcPr>
          <w:p>
            <w:pPr>
              <w:spacing w:line="240" w:lineRule="auto" w:before="0" w:after="0"/>
              <w:pStyle w:val="Compact"/>
            </w:pPr>
            <w:r>
              <w:rPr>
                <w:sz w:val="20"/>
                <w:szCs w:val="20"/>
              </w:rPr>
              <w:t xml:space="preserve">Count of cataloged resident space objects in 50 km altitude shell i</w:t>
            </w:r>
          </w:p>
        </w:tc>
        <w:tc>
          <w:tcPr>
            <w:tcW w:w="0" w:type="auto"/>
          </w:tcPr>
          <w:p>
            <w:pPr>
              <w:spacing w:line="240" w:lineRule="auto" w:before="0" w:after="0"/>
              <w:pStyle w:val="Compact"/>
            </w:pPr>
            <w:r>
              <w:rPr>
                <w:sz w:val="20"/>
                <w:szCs w:val="20"/>
              </w:rPr>
              <w:t xml:space="preserve">ESA ASER 2024 Fig 3.3</w:t>
            </w:r>
          </w:p>
        </w:tc>
      </w:tr>
      <w:tr>
        <w:tc>
          <w:tcPr>
            <w:tcW w:w="0" w:type="auto"/>
          </w:tcPr>
          <w:p>
            <w:pPr>
              <w:spacing w:line="240" w:lineRule="auto" w:before="0" w:after="0"/>
              <w:pStyle w:val="Compact"/>
            </w:pPr>
            <w:r>
              <w:rPr>
                <w:sz w:val="20"/>
                <w:szCs w:val="20"/>
              </w:rPr>
              <w:t xml:space="preserve">D</w:t>
            </w:r>
          </w:p>
        </w:tc>
        <w:tc>
          <w:tcPr>
            <w:tcW w:w="0" w:type="auto"/>
          </w:tcPr>
          <w:p>
            <w:pPr>
              <w:spacing w:line="240" w:lineRule="auto" w:before="0" w:after="0"/>
              <w:pStyle w:val="Compact"/>
            </w:pPr>
            <w:r>
              <w:rPr>
                <w:sz w:val="20"/>
                <w:szCs w:val="20"/>
              </w:rPr>
              <w:t xml:space="preserve">Derelict fraction: share of shell-i objects that are non-maneuverable rocket bodies or defunct payloads</w:t>
            </w:r>
          </w:p>
        </w:tc>
        <w:tc>
          <w:tcPr>
            <w:tcW w:w="0" w:type="auto"/>
          </w:tcPr>
          <w:p>
            <w:pPr>
              <w:spacing w:line="240" w:lineRule="auto" w:before="0" w:after="0"/>
              <w:pStyle w:val="Compact"/>
            </w:pPr>
            <w:r>
              <w:rPr>
                <w:sz w:val="20"/>
                <w:szCs w:val="20"/>
              </w:rPr>
              <w:t xml:space="preserve">Pardini and Anselmo 2021 doi:10.1016/j.actaastro.2021.03.030</w:t>
            </w:r>
          </w:p>
        </w:tc>
      </w:tr>
      <w:tr>
        <w:tc>
          <w:tcPr>
            <w:tcW w:w="0" w:type="auto"/>
          </w:tcPr>
          <w:p>
            <w:pPr>
              <w:spacing w:line="240" w:lineRule="auto" w:before="0" w:after="0"/>
              <w:pStyle w:val="Compact"/>
            </w:pPr>
            <w:r>
              <w:rPr>
                <w:sz w:val="20"/>
                <w:szCs w:val="20"/>
              </w:rPr>
              <w:t xml:space="preserve">A</w:t>
            </w:r>
          </w:p>
        </w:tc>
        <w:tc>
          <w:tcPr>
            <w:tcW w:w="0" w:type="auto"/>
          </w:tcPr>
          <w:p>
            <w:pPr>
              <w:spacing w:line="240" w:lineRule="auto" w:before="0" w:after="0"/>
              <w:pStyle w:val="Compact"/>
            </w:pPr>
            <w:r>
              <w:rPr>
                <w:sz w:val="20"/>
                <w:szCs w:val="20"/>
              </w:rPr>
              <w:t xml:space="preserve">Mean radar cross-section (m^2) of cataloged shell-i objects</w:t>
            </w:r>
          </w:p>
        </w:tc>
        <w:tc>
          <w:tcPr>
            <w:tcW w:w="0" w:type="auto"/>
          </w:tcPr>
          <w:p>
            <w:pPr>
              <w:spacing w:line="240" w:lineRule="auto" w:before="0" w:after="0"/>
              <w:pStyle w:val="Compact"/>
            </w:pPr>
            <w:r>
              <w:rPr>
                <w:sz w:val="20"/>
                <w:szCs w:val="20"/>
              </w:rPr>
              <w:t xml:space="preserve">ESA DISCOSweb derived means reported in ESA ASER 2024</w:t>
            </w:r>
          </w:p>
        </w:tc>
      </w:tr>
      <w:tr>
        <w:tc>
          <w:tcPr>
            <w:tcW w:w="0" w:type="auto"/>
          </w:tcPr>
          <w:p>
            <w:pPr>
              <w:spacing w:line="240" w:lineRule="auto" w:before="0" w:after="0"/>
              <w:pStyle w:val="Compact"/>
            </w:pPr>
            <w:r>
              <w:rPr>
                <w:sz w:val="20"/>
                <w:szCs w:val="20"/>
              </w:rPr>
              <w:t xml:space="preserve">I</w:t>
            </w:r>
          </w:p>
        </w:tc>
        <w:tc>
          <w:tcPr>
            <w:tcW w:w="0" w:type="auto"/>
          </w:tcPr>
          <w:p>
            <w:pPr>
              <w:spacing w:line="240" w:lineRule="auto" w:before="0" w:after="0"/>
              <w:pStyle w:val="Compact"/>
            </w:pPr>
            <w:r>
              <w:rPr>
                <w:sz w:val="20"/>
                <w:szCs w:val="20"/>
              </w:rPr>
              <w:t xml:space="preserve">Inclination spread (deg): standard deviation of inclinations of shell-i objects</w:t>
            </w:r>
          </w:p>
        </w:tc>
        <w:tc>
          <w:tcPr>
            <w:tcW w:w="0" w:type="auto"/>
          </w:tcPr>
          <w:p>
            <w:pPr>
              <w:spacing w:line="240" w:lineRule="auto" w:before="0" w:after="0"/>
              <w:pStyle w:val="Compact"/>
            </w:pPr>
            <w:r>
              <w:rPr>
                <w:sz w:val="20"/>
                <w:szCs w:val="20"/>
              </w:rPr>
              <w:t xml:space="preserve">Giudici et al 2024 doi:10.1016/j.actaastro.2024.03.008 Fig 5</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-0.331</w:t>
            </w:r>
          </w:p>
        </w:tc>
        <w:tc>
          <w:tcPr>
            <w:tcW w:w="0" w:type="auto"/>
          </w:tcPr>
          <w:p>
            <w:pPr>
              <w:spacing w:line="240" w:lineRule="auto" w:before="0" w:after="0"/>
              <w:pStyle w:val="Compact"/>
            </w:pPr>
            <w:r>
              <w:rPr>
                <w:sz w:val="20"/>
                <w:szCs w:val="20"/>
              </w:rPr>
              <w:t xml:space="preserve">0.1115</w:t>
            </w:r>
          </w:p>
        </w:tc>
        <w:tc>
          <w:tcPr>
            <w:tcW w:w="0" w:type="auto"/>
          </w:tcPr>
          <w:p>
            <w:pPr>
              <w:spacing w:line="240" w:lineRule="auto" w:before="0" w:after="0"/>
              <w:pStyle w:val="Compact"/>
            </w:pPr>
            <w:r>
              <w:rPr>
                <w:sz w:val="20"/>
                <w:szCs w:val="20"/>
              </w:rPr>
              <w:t xml:space="preserve">-2.9695</w:t>
            </w:r>
          </w:p>
        </w:tc>
        <w:tc>
          <w:tcPr>
            <w:tcW w:w="0" w:type="auto"/>
          </w:tcPr>
          <w:p>
            <w:pPr>
              <w:spacing w:line="240" w:lineRule="auto" w:before="0" w:after="0"/>
              <w:pStyle w:val="Compact"/>
            </w:pPr>
            <w:r>
              <w:rPr>
                <w:sz w:val="20"/>
                <w:szCs w:val="20"/>
              </w:rPr>
              <w:t xml:space="preserve">0.003</w:t>
            </w:r>
          </w:p>
        </w:tc>
        <w:tc>
          <w:tcPr>
            <w:tcW w:w="0" w:type="auto"/>
          </w:tcPr>
          <w:p>
            <w:pPr>
              <w:spacing w:line="240" w:lineRule="auto" w:before="0" w:after="0"/>
              <w:pStyle w:val="Compact"/>
            </w:pPr>
            <w:r>
              <w:rPr>
                <w:sz w:val="20"/>
                <w:szCs w:val="20"/>
              </w:rPr>
              <w:t xml:space="preserve">[-0.5495, -0.1125]</w:t>
            </w:r>
          </w:p>
        </w:tc>
      </w:tr>
      <w:tr>
        <w:tc>
          <w:tcPr>
            <w:tcW w:w="0" w:type="auto"/>
          </w:tcPr>
          <w:p>
            <w:pPr>
              <w:spacing w:line="240" w:lineRule="auto" w:before="0" w:after="0"/>
              <w:pStyle w:val="Compact"/>
            </w:pPr>
            <w:r>
              <w:rPr>
                <w:sz w:val="20"/>
                <w:szCs w:val="20"/>
              </w:rPr>
              <w:t xml:space="preserve">objects_cataloged</w:t>
            </w:r>
          </w:p>
        </w:tc>
        <w:tc>
          <w:tcPr>
            <w:tcW w:w="0" w:type="auto"/>
          </w:tcPr>
          <w:p>
            <w:pPr>
              <w:spacing w:line="240" w:lineRule="auto" w:before="0" w:after="0"/>
              <w:pStyle w:val="Compact"/>
            </w:pPr>
            <w:r>
              <w:rPr>
                <w:sz w:val="20"/>
                <w:szCs w:val="20"/>
              </w:rPr>
              <w:t xml:space="preserve">0.0003828</w:t>
            </w:r>
          </w:p>
        </w:tc>
        <w:tc>
          <w:tcPr>
            <w:tcW w:w="0" w:type="auto"/>
          </w:tcPr>
          <w:p>
            <w:pPr>
              <w:spacing w:line="240" w:lineRule="auto" w:before="0" w:after="0"/>
              <w:pStyle w:val="Compact"/>
            </w:pPr>
            <w:r>
              <w:rPr>
                <w:sz w:val="20"/>
                <w:szCs w:val="20"/>
              </w:rPr>
              <w:t xml:space="preserve">4.254e-05</w:t>
            </w:r>
          </w:p>
        </w:tc>
        <w:tc>
          <w:tcPr>
            <w:tcW w:w="0" w:type="auto"/>
          </w:tcPr>
          <w:p>
            <w:pPr>
              <w:spacing w:line="240" w:lineRule="auto" w:before="0" w:after="0"/>
              <w:pStyle w:val="Compact"/>
            </w:pPr>
            <w:r>
              <w:rPr>
                <w:sz w:val="20"/>
                <w:szCs w:val="20"/>
              </w:rPr>
              <w:t xml:space="preserve">8.999</w:t>
            </w:r>
          </w:p>
        </w:tc>
        <w:tc>
          <w:tcPr>
            <w:tcW w:w="0" w:type="auto"/>
          </w:tcPr>
          <w:p>
            <w:pPr>
              <w:spacing w:line="240" w:lineRule="auto" w:before="0" w:after="0"/>
              <w:pStyle w:val="Compact"/>
            </w:pPr>
            <w:r>
              <w:rPr>
                <w:sz w:val="20"/>
                <w:szCs w:val="20"/>
              </w:rPr>
              <w:t xml:space="preserve">2.278e-19</w:t>
            </w:r>
          </w:p>
        </w:tc>
        <w:tc>
          <w:tcPr>
            <w:tcW w:w="0" w:type="auto"/>
          </w:tcPr>
          <w:p>
            <w:pPr>
              <w:spacing w:line="240" w:lineRule="auto" w:before="0" w:after="0"/>
              <w:pStyle w:val="Compact"/>
            </w:pPr>
            <w:r>
              <w:rPr>
                <w:sz w:val="20"/>
                <w:szCs w:val="20"/>
              </w:rPr>
              <w:t xml:space="preserve">[0.0002995, 0.0004662]</w:t>
            </w:r>
          </w:p>
        </w:tc>
      </w:tr>
      <w:tr>
        <w:tc>
          <w:tcPr>
            <w:tcW w:w="0" w:type="auto"/>
          </w:tcPr>
          <w:p>
            <w:pPr>
              <w:spacing w:line="240" w:lineRule="auto" w:before="0" w:after="0"/>
              <w:pStyle w:val="Compact"/>
            </w:pPr>
            <w:r>
              <w:rPr>
                <w:sz w:val="20"/>
                <w:szCs w:val="20"/>
              </w:rPr>
              <w:t xml:space="preserve">derelict_fraction</w:t>
            </w:r>
          </w:p>
        </w:tc>
        <w:tc>
          <w:tcPr>
            <w:tcW w:w="0" w:type="auto"/>
          </w:tcPr>
          <w:p>
            <w:pPr>
              <w:spacing w:line="240" w:lineRule="auto" w:before="0" w:after="0"/>
              <w:pStyle w:val="Compact"/>
            </w:pPr>
            <w:r>
              <w:rPr>
                <w:sz w:val="20"/>
                <w:szCs w:val="20"/>
              </w:rPr>
              <w:t xml:space="preserve">1.273</w:t>
            </w:r>
          </w:p>
        </w:tc>
        <w:tc>
          <w:tcPr>
            <w:tcW w:w="0" w:type="auto"/>
          </w:tcPr>
          <w:p>
            <w:pPr>
              <w:spacing w:line="240" w:lineRule="auto" w:before="0" w:after="0"/>
              <w:pStyle w:val="Compact"/>
            </w:pPr>
            <w:r>
              <w:rPr>
                <w:sz w:val="20"/>
                <w:szCs w:val="20"/>
              </w:rPr>
              <w:t xml:space="preserve">0.249</w:t>
            </w:r>
          </w:p>
        </w:tc>
        <w:tc>
          <w:tcPr>
            <w:tcW w:w="0" w:type="auto"/>
          </w:tcPr>
          <w:p>
            <w:pPr>
              <w:spacing w:line="240" w:lineRule="auto" w:before="0" w:after="0"/>
              <w:pStyle w:val="Compact"/>
            </w:pPr>
            <w:r>
              <w:rPr>
                <w:sz w:val="20"/>
                <w:szCs w:val="20"/>
              </w:rPr>
              <w:t xml:space="preserve">5.1123</w:t>
            </w:r>
          </w:p>
        </w:tc>
        <w:tc>
          <w:tcPr>
            <w:tcW w:w="0" w:type="auto"/>
          </w:tcPr>
          <w:p>
            <w:pPr>
              <w:spacing w:line="240" w:lineRule="auto" w:before="0" w:after="0"/>
              <w:pStyle w:val="Compact"/>
            </w:pPr>
            <w:r>
              <w:rPr>
                <w:sz w:val="20"/>
                <w:szCs w:val="20"/>
              </w:rPr>
              <w:t xml:space="preserve">3.182e-07</w:t>
            </w:r>
          </w:p>
        </w:tc>
        <w:tc>
          <w:tcPr>
            <w:tcW w:w="0" w:type="auto"/>
          </w:tcPr>
          <w:p>
            <w:pPr>
              <w:spacing w:line="240" w:lineRule="auto" w:before="0" w:after="0"/>
              <w:pStyle w:val="Compact"/>
            </w:pPr>
            <w:r>
              <w:rPr>
                <w:sz w:val="20"/>
                <w:szCs w:val="20"/>
              </w:rPr>
              <w:t xml:space="preserve">[0.7849, 1.761]</w:t>
            </w:r>
          </w:p>
        </w:tc>
      </w:tr>
      <w:tr>
        <w:tc>
          <w:tcPr>
            <w:tcW w:w="0" w:type="auto"/>
          </w:tcPr>
          <w:p>
            <w:pPr>
              <w:spacing w:line="240" w:lineRule="auto" w:before="0" w:after="0"/>
              <w:pStyle w:val="Compact"/>
            </w:pPr>
            <w:r>
              <w:rPr>
                <w:sz w:val="20"/>
                <w:szCs w:val="20"/>
              </w:rPr>
              <w:t xml:space="preserve">mean_cross_section_m2</w:t>
            </w:r>
          </w:p>
        </w:tc>
        <w:tc>
          <w:tcPr>
            <w:tcW w:w="0" w:type="auto"/>
          </w:tcPr>
          <w:p>
            <w:pPr>
              <w:spacing w:line="240" w:lineRule="auto" w:before="0" w:after="0"/>
              <w:pStyle w:val="Compact"/>
            </w:pPr>
            <w:r>
              <w:rPr>
                <w:sz w:val="20"/>
                <w:szCs w:val="20"/>
              </w:rPr>
              <w:t xml:space="preserve">0.0432</w:t>
            </w:r>
          </w:p>
        </w:tc>
        <w:tc>
          <w:tcPr>
            <w:tcW w:w="0" w:type="auto"/>
          </w:tcPr>
          <w:p>
            <w:pPr>
              <w:spacing w:line="240" w:lineRule="auto" w:before="0" w:after="0"/>
              <w:pStyle w:val="Compact"/>
            </w:pPr>
            <w:r>
              <w:rPr>
                <w:sz w:val="20"/>
                <w:szCs w:val="20"/>
              </w:rPr>
              <w:t xml:space="preserve">0.0232</w:t>
            </w:r>
          </w:p>
        </w:tc>
        <w:tc>
          <w:tcPr>
            <w:tcW w:w="0" w:type="auto"/>
          </w:tcPr>
          <w:p>
            <w:pPr>
              <w:spacing w:line="240" w:lineRule="auto" w:before="0" w:after="0"/>
              <w:pStyle w:val="Compact"/>
            </w:pPr>
            <w:r>
              <w:rPr>
                <w:sz w:val="20"/>
                <w:szCs w:val="20"/>
              </w:rPr>
              <w:t xml:space="preserve">1.8628</w:t>
            </w:r>
          </w:p>
        </w:tc>
        <w:tc>
          <w:tcPr>
            <w:tcW w:w="0" w:type="auto"/>
          </w:tcPr>
          <w:p>
            <w:pPr>
              <w:spacing w:line="240" w:lineRule="auto" w:before="0" w:after="0"/>
              <w:pStyle w:val="Compact"/>
            </w:pPr>
            <w:r>
              <w:rPr>
                <w:sz w:val="20"/>
                <w:szCs w:val="20"/>
              </w:rPr>
              <w:t xml:space="preserve">0.0625</w:t>
            </w:r>
          </w:p>
        </w:tc>
        <w:tc>
          <w:tcPr>
            <w:tcW w:w="0" w:type="auto"/>
          </w:tcPr>
          <w:p>
            <w:pPr>
              <w:spacing w:line="240" w:lineRule="auto" w:before="0" w:after="0"/>
              <w:pStyle w:val="Compact"/>
            </w:pPr>
            <w:r>
              <w:rPr>
                <w:sz w:val="20"/>
                <w:szCs w:val="20"/>
              </w:rPr>
              <w:t xml:space="preserve">[-0.0023, 0.0887]</w:t>
            </w:r>
          </w:p>
        </w:tc>
      </w:tr>
      <w:tr>
        <w:tc>
          <w:tcPr>
            <w:tcW w:w="0" w:type="auto"/>
          </w:tcPr>
          <w:p>
            <w:pPr>
              <w:spacing w:line="240" w:lineRule="auto" w:before="0" w:after="0"/>
              <w:pStyle w:val="Compact"/>
            </w:pPr>
            <w:r>
              <w:rPr>
                <w:sz w:val="20"/>
                <w:szCs w:val="20"/>
              </w:rPr>
              <w:t xml:space="preserve">inclination_spread_deg</w:t>
            </w:r>
          </w:p>
        </w:tc>
        <w:tc>
          <w:tcPr>
            <w:tcW w:w="0" w:type="auto"/>
          </w:tcPr>
          <w:p>
            <w:pPr>
              <w:spacing w:line="240" w:lineRule="auto" w:before="0" w:after="0"/>
              <w:pStyle w:val="Compact"/>
            </w:pPr>
            <w:r>
              <w:rPr>
                <w:sz w:val="20"/>
                <w:szCs w:val="20"/>
              </w:rPr>
              <w:t xml:space="preserve">-0.0009813</w:t>
            </w:r>
          </w:p>
        </w:tc>
        <w:tc>
          <w:tcPr>
            <w:tcW w:w="0" w:type="auto"/>
          </w:tcPr>
          <w:p>
            <w:pPr>
              <w:spacing w:line="240" w:lineRule="auto" w:before="0" w:after="0"/>
              <w:pStyle w:val="Compact"/>
            </w:pPr>
            <w:r>
              <w:rPr>
                <w:sz w:val="20"/>
                <w:szCs w:val="20"/>
              </w:rPr>
              <w:t xml:space="preserve">0.0016</w:t>
            </w:r>
          </w:p>
        </w:tc>
        <w:tc>
          <w:tcPr>
            <w:tcW w:w="0" w:type="auto"/>
          </w:tcPr>
          <w:p>
            <w:pPr>
              <w:spacing w:line="240" w:lineRule="auto" w:before="0" w:after="0"/>
              <w:pStyle w:val="Compact"/>
            </w:pPr>
            <w:r>
              <w:rPr>
                <w:sz w:val="20"/>
                <w:szCs w:val="20"/>
              </w:rPr>
              <w:t xml:space="preserve">-0.599</w:t>
            </w:r>
          </w:p>
        </w:tc>
        <w:tc>
          <w:tcPr>
            <w:tcW w:w="0" w:type="auto"/>
          </w:tcPr>
          <w:p>
            <w:pPr>
              <w:spacing w:line="240" w:lineRule="auto" w:before="0" w:after="0"/>
              <w:pStyle w:val="Compact"/>
            </w:pPr>
            <w:r>
              <w:rPr>
                <w:sz w:val="20"/>
                <w:szCs w:val="20"/>
              </w:rPr>
              <w:t xml:space="preserve">0.5492</w:t>
            </w:r>
          </w:p>
        </w:tc>
        <w:tc>
          <w:tcPr>
            <w:tcW w:w="0" w:type="auto"/>
          </w:tcPr>
          <w:p>
            <w:pPr>
              <w:spacing w:line="240" w:lineRule="auto" w:before="0" w:after="0"/>
              <w:pStyle w:val="Compact"/>
            </w:pPr>
            <w:r>
              <w:rPr>
                <w:sz w:val="20"/>
                <w:szCs w:val="20"/>
              </w:rPr>
              <w:t xml:space="preserve">[-0.0042, 0.0022]</w:t>
            </w:r>
          </w:p>
        </w:tc>
      </w:tr>
    </w:tbl>
    <w:p>
      <w:pPr>
        <w:pStyle w:val="BodyText"/>
      </w:pPr>
      <w:r>
        <w:t xml:space="preserve">Fit: N = 36 R2 = 0.9534 R2_adj = 0.9474 F = 49.5832 F_p = 4.868e-13</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 Type="http://schemas.openxmlformats.org/officeDocument/2006/relationships/hyperlink" Id="rId69" Target="https://doi.org/10.1016/j.actaastro.2021.03.030" TargetMode="External" /><Relationship Type="http://schemas.openxmlformats.org/officeDocument/2006/relationships/hyperlink" Id="rId71" Target="https://doi.org/10.1016/j.actaastro.2024.03.008" TargetMode="External" /><Relationship Type="http://schemas.openxmlformats.org/officeDocument/2006/relationships/hyperlink" Id="rId74" Target="https://doi.org/10.1016/j.actaastro.2025.01.069" TargetMode="External" /></Relationships>
</file>

<file path=word/_rels/footnotes.xml.rels><?xml version="1.0" encoding="UTF-8"?><Relationships xmlns="http://schemas.openxmlformats.org/package/2006/relationships"><Relationship Type="http://schemas.openxmlformats.org/officeDocument/2006/relationships/hyperlink" Id="rId69" Target="https://doi.org/10.1016/j.actaastro.2021.03.030" TargetMode="External" /><Relationship Type="http://schemas.openxmlformats.org/officeDocument/2006/relationships/hyperlink" Id="rId71" Target="https://doi.org/10.1016/j.actaastro.2024.03.008" TargetMode="External" /><Relationship Type="http://schemas.openxmlformats.org/officeDocument/2006/relationships/hyperlink" Id="rId74" Target="https://doi.org/10.1016/j.actaastro.2025.01.069"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2026-06-27T13:09:58Z</dcterms:created>
  <dcterms:modified xsi:type="dcterms:W3CDTF">2026-06-27T13:09:58Z</dcterms:modified>
</cp:coreProperties>
</file>

<file path=docProps/custom.xml><?xml version="1.0" encoding="utf-8"?>
<Properties xmlns="http://schemas.openxmlformats.org/officeDocument/2006/custom-properties" xmlns:vt="http://schemas.openxmlformats.org/officeDocument/2006/docPropsVTypes"/>
</file>