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PRICING THE ORBITAL COMMONS: ESTIMATING A MARGINAL CONGESTION COST CURVE FOR LEO</w:t>
      </w:r>
    </w:p>
    <w:p>
      <w:pPr>
        <w:jc w:val="center"/>
      </w:pPr>
    </w:p>
    <w:p>
      <w:pPr>
        <w:jc w:val="center"/>
      </w:pPr>
      <w:r>
        <w:rPr>
          <w:rFonts w:ascii="Times New Roman" w:hAnsi="Times New Roman"/>
          <w:sz w:val="24"/>
        </w:rPr>
        <w:t>by</w:t>
      </w:r>
    </w:p>
    <w:p>
      <w:pPr>
        <w:jc w:val="center"/>
      </w:pPr>
      <w:r>
        <w:rPr>
          <w:rFonts w:ascii="Times New Roman" w:hAnsi="Times New Roman"/>
          <w:b/>
          <w:sz w:val="28"/>
        </w:rPr>
        <w:t>Petra Beckett</w:t>
      </w:r>
    </w:p>
    <w:p>
      <w:pPr>
        <w:jc w:val="center"/>
      </w:pPr>
      <w:r>
        <w:rPr>
          <w:rFonts w:ascii="Times New Roman" w:hAnsi="Times New Roman"/>
          <w:sz w:val="24"/>
        </w:rPr>
        <w:t>1B-SDA-113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Low Earth orbit between 400 and 1,200 kilometres has become the congestible commons that defines the twenty-first century. Across the last decade the resident space object population in that band has climbed steeply, and the climb is not spread evenly. Two altitude regions absorb most of it. One is the 500 to 600 kilometre shell that now houses the largest broadband mega-constellations. The other is the 700 to 900 kilometre band, where legacy payloads, spent rocket bodies, and the accumulated residue of historic fragmentation events still dominate the catalogue</w:t>
      </w:r>
      <w:r>
        <w:t xml:space="preserve"> </w:t>
      </w:r>
      <w:hyperlink w:anchor="ref-5">
        <w:r>
          <w:rPr>
            <w:rStyle w:val="Hyperlink"/>
          </w:rPr>
          <w:t xml:space="preserve">[5]</w:t>
        </w:r>
      </w:hyperlink>
      <w:r>
        <w:t xml:space="preserve">[6][8]. Put an object into either region and every other operator sharing that shell inherits a heavier conjunction burden, a burden that no one pays for at the moment of launch. This is the open-access pathology in its classic form. Private launch cost drifts away from the social cost of the collision risk each new payload adds, and the wedge between the two grows with every insertion</w:t>
      </w:r>
      <w:r>
        <w:t xml:space="preserve"> </w:t>
      </w:r>
      <w:hyperlink w:anchor="ref-3">
        <w:r>
          <w:rPr>
            <w:rStyle w:val="Hyperlink"/>
          </w:rPr>
          <w:t xml:space="preserve">[3]</w:t>
        </w:r>
      </w:hyperlink>
      <w:r>
        <w:t xml:space="preserve">[4][9].</w:t>
      </w:r>
    </w:p>
    <w:p>
      <w:pPr>
        <w:pStyle w:val="BodyText"/>
        <w:spacing w:line="480" w:lineRule="auto"/>
        <w:ind w:firstLine="720"/>
      </w:pPr>
      <w:r>
        <w:t xml:space="preserve">Economic theory has settled on a prescription for exactly this situation. When the marginal external cost of adding one more object to a shell is positive and rising, the first-best instrument is a Pigouvian access fee tied to that marginal cost, charged at launch and indexed to the state of the destination shell</w:t>
      </w:r>
      <w:r>
        <w:t xml:space="preserve"> </w:t>
      </w:r>
      <w:hyperlink w:anchor="ref-3">
        <w:r>
          <w:rPr>
            <w:rStyle w:val="Hyperlink"/>
          </w:rPr>
          <w:t xml:space="preserve">[3]</w:t>
        </w:r>
      </w:hyperlink>
      <w:r>
        <w:t xml:space="preserve">[4]. Weinzierl set the terms of the discussion, casting the orbital commons as a tragedy that governance had failed to reach and calling for marginal-cost pricing as the first-best response</w:t>
      </w:r>
      <w:r>
        <w:t xml:space="preserve"> </w:t>
      </w:r>
      <w:hyperlink w:anchor="ref-9">
        <w:r>
          <w:rPr>
            <w:rStyle w:val="Hyperlink"/>
          </w:rPr>
          <w:t xml:space="preserve">[9]</w:t>
        </w:r>
      </w:hyperlink>
      <w:r>
        <w:t xml:space="preserve">. Adilov, Alexander, and Cunningham then built the prescription into a dynamic model with an explicit Kessler-like cascade margin, showing that the optimal tax climbs with the residual population already in orbit</w:t>
      </w:r>
      <w:r>
        <w:t xml:space="preserve"> </w:t>
      </w:r>
      <w:hyperlink w:anchor="ref-4">
        <w:r>
          <w:rPr>
            <w:rStyle w:val="Hyperlink"/>
          </w:rPr>
          <w:t xml:space="preserve">[4]</w:t>
        </w:r>
      </w:hyperlink>
      <w:r>
        <w:t xml:space="preserve">. Rao and Rondina formalised the open-access externality and derived the aggregate cost path that any defensible fee schedule has to reproduce in the limit</w:t>
      </w:r>
      <w:r>
        <w:t xml:space="preserve"> </w:t>
      </w:r>
      <w:hyperlink w:anchor="ref-3">
        <w:r>
          <w:rPr>
            <w:rStyle w:val="Hyperlink"/>
          </w:rPr>
          <w:t xml:space="preserve">[3]</w:t>
        </w:r>
      </w:hyperlink>
      <w:r>
        <w:t xml:space="preserve">. Béal, Deschamps, and Moulin carried the analysis into multi-shell taxation under congestion and demonstrated that a uniform per-launch fee cannot implement the social optimum once shells differ in density</w:t>
      </w:r>
      <w:r>
        <w:t xml:space="preserve"> </w:t>
      </w:r>
      <w:hyperlink w:anchor="ref-31">
        <w:r>
          <w:rPr>
            <w:rStyle w:val="Hyperlink"/>
          </w:rPr>
          <w:t xml:space="preserve">[31]</w:t>
        </w:r>
      </w:hyperlink>
      <w:r>
        <w:t xml:space="preserve">. On theory, the case for shell-conditioned Pigouvian pricing is closed. What no one has produced is the empirical object such a schedule has to stand on: a defensible marginal congestion cost curve, resolved by altitude shell and read off observed physics rather than assumed.</w:t>
      </w:r>
    </w:p>
    <w:p>
      <w:pPr>
        <w:pStyle w:val="BodyText"/>
        <w:spacing w:line="480" w:lineRule="auto"/>
        <w:ind w:firstLine="720"/>
      </w:pPr>
      <w:r>
        <w:t xml:space="preserve">This dissertation estimates that curve.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here are operational, not abstract. NASA flies the most exposed civil portfolio in LEO. The International Space Station, the Hubble Space Telescope working its way down its disposal trajectory, the Earth Observing System constellation strung through the sun-synchronous belt around 705 kilometres, and the coming generation of NASA-class science platforms across the 500 to 900 kilometre band all carry the conjunction burden that the public catalogue records and that the empirical companion papers to this dissertation quantify in cross-section</w:t>
      </w:r>
      <w:r>
        <w:t xml:space="preserve"> </w:t>
      </w:r>
      <w:hyperlink w:anchor="ref-5">
        <w:r>
          <w:rPr>
            <w:rStyle w:val="Hyperlink"/>
          </w:rPr>
          <w:t xml:space="preserve">[5]</w:t>
        </w:r>
      </w:hyperlink>
      <w:r>
        <w:t xml:space="preserve">[6]. Inside the agency, the Orbital Debris Program Office already publishes a quarterly accounting of the population, the fragmentation history, and the conjunction warnings issued against the civil fleet</w:t>
      </w:r>
      <w:r>
        <w:t xml:space="preserve"> </w:t>
      </w:r>
      <w:hyperlink w:anchor="ref-16">
        <w:r>
          <w:rPr>
            <w:rStyle w:val="Hyperlink"/>
          </w:rPr>
          <w:t xml:space="preserve">[16]</w:t>
        </w:r>
      </w:hyperlink>
      <w:r>
        <w:t xml:space="preserve">[22]. None of that accounting is in dispute. What the agency cannot yet price is the marginal contribution each new launch makes to the residual hazard its science missions will live with for the rest of their operational lives. Absent a defensible MEC schedule, NASA has no way to tell its appropriations committees what a given licensing decision costs it, whether the cost shows up as shortened mission life, as propellant burned dodging conjunctions, or as expected fragmentation feeding future hazard.</w:t>
      </w:r>
    </w:p>
    <w:p>
      <w:pPr>
        <w:pStyle w:val="BodyText"/>
        <w:spacing w:line="480" w:lineRule="auto"/>
        <w:ind w:firstLine="720"/>
      </w:pPr>
      <w:r>
        <w:t xml:space="preserve">The Jet Propulsion Laboratory carries a related exposure of a different shape. JPL flies fewer LEO platforms than the rest of the agency, but the ones it does fly, the Earth-science radar and altimetry missions in the 500 to 900 kilometre band, sit right inside the two shells where this dissertation will show the marginal congestion cost curve is steepest. JPL is also the prime mission-design integrator for civil missions whose disposal trajectories must fall through the congested band on the way down. A defensible MEC schedule enters the JPL mission-design loop at two points. It first enters the trade between launch altitude and disposal altitude, where the curve supplies a shadow price a parametric design tool can carry right alongside propellant mass and pointing budget. It enters again at the contractual interface with launch providers, where the curve lets JPL price the externality contribution of a candidate launch profile against whatever alternatives the provider puts on the table. Neither use is hypothetical. Both need a curve, and the curve does not yet exist at the resolution either institution requires.</w:t>
      </w:r>
    </w:p>
    <w:p>
      <w:pPr>
        <w:pStyle w:val="BodyText"/>
        <w:spacing w:line="480" w:lineRule="auto"/>
        <w:ind w:firstLine="720"/>
      </w:pPr>
      <w:r>
        <w:t xml:space="preserve">Beyond the civil portfolio the stakes widen. Uncontrolled reentries out of the congested band push costs onto adjacent sectors, and the aviation-safety literature has started to put numbers on the expected aircraft-equivalent risk that the rising LEO reentry rate creates</w:t>
      </w:r>
      <w:r>
        <w:t xml:space="preserve"> </w:t>
      </w:r>
      <w:hyperlink w:anchor="ref-1">
        <w:r>
          <w:rPr>
            <w:rStyle w:val="Hyperlink"/>
          </w:rPr>
          <w:t xml:space="preserve">[1]</w:t>
        </w:r>
      </w:hyperlink>
      <w:r>
        <w:t xml:space="preserve">. The Space Sustainability Rating framework built a composite indicator that rewards operators for behaviour that lowers the externality, but that indicator is not denominated in dollars per object-year and cannot serve as the rate base for a defensible fee</w:t>
      </w:r>
      <w:r>
        <w:t xml:space="preserve"> </w:t>
      </w:r>
      <w:hyperlink w:anchor="ref-2">
        <w:r>
          <w:rPr>
            <w:rStyle w:val="Hyperlink"/>
          </w:rPr>
          <w:t xml:space="preserve">[2]</w:t>
        </w:r>
      </w:hyperlink>
      <w:r>
        <w:t xml:space="preserve">. McKnight and Maclay argued for a space-environment-management framework that treats residual hazard as a managed engineering problem, yet their framework stays silent on the price at which the management would be optimal</w:t>
      </w:r>
      <w:r>
        <w:t xml:space="preserve"> </w:t>
      </w:r>
      <w:hyperlink w:anchor="ref-7">
        <w:r>
          <w:rPr>
            <w:rStyle w:val="Hyperlink"/>
          </w:rPr>
          <w:t xml:space="preserve">[7]</w:t>
        </w:r>
      </w:hyperlink>
      <w:r>
        <w:t xml:space="preserve">. Shahady showed that the intrinsic and actual cost of orbital slots rises as contested-environment risk rises, though the demonstration sits at the GEO band and rests on a cost decomposition the LEO problem cannot borrow directly</w:t>
      </w:r>
      <w:r>
        <w:t xml:space="preserve"> </w:t>
      </w:r>
      <w:hyperlink w:anchor="ref-5">
        <w:r>
          <w:rPr>
            <w:rStyle w:val="Hyperlink"/>
          </w:rPr>
          <w:t xml:space="preserve">[5]</w:t>
        </w:r>
      </w:hyperlink>
      <w:r>
        <w:t xml:space="preserve">. Each of these contributions catches one piece of the externality. None yields the schedule a fee, a rating premium, or an internal price could rest on.</w:t>
      </w:r>
    </w:p>
    <w:p>
      <w:pPr>
        <w:pStyle w:val="BodyText"/>
        <w:spacing w:line="480" w:lineRule="auto"/>
        <w:ind w:firstLine="720"/>
      </w:pPr>
      <w:r>
        <w:t xml:space="preserve">So the stake for the agency and for JPL turns out to be the same stake the operator community and the regulators licensing its launches all share. Everyone agrees the externality is positive, and no one can price it, because the rate base has never been estimated. This dissertation closes that gap for the 400 to 1,200 kilometre band.</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Two literatures reach the problem from opposite sides, and neither one closes it. On one side sits the SDA and astrodynamics literature, which characterises the physical hazard at high resolution. Jang and colleagues analysed the LEO environment as a dynamical system, deriving the conditions under which the catalogued population sustains or amplifies its own growth through fragmentation feedback</w:t>
      </w:r>
      <w:r>
        <w:t xml:space="preserve"> </w:t>
      </w:r>
      <w:hyperlink w:anchor="ref-8">
        <w:r>
          <w:rPr>
            <w:rStyle w:val="Hyperlink"/>
          </w:rPr>
          <w:t xml:space="preserve">[8]</w:t>
        </w:r>
      </w:hyperlink>
      <w:r>
        <w:t xml:space="preserve">. Smith, Folcik, and Linares documented the catalogue-completeness gap between the NASA Standard Breakup Model and the Space Fence radar-derived population, framing that discrepancy as a measurement-error problem no downstream analysis can ignore</w:t>
      </w:r>
      <w:r>
        <w:t xml:space="preserve"> </w:t>
      </w:r>
      <w:hyperlink w:anchor="ref-6">
        <w:r>
          <w:rPr>
            <w:rStyle w:val="Hyperlink"/>
          </w:rPr>
          <w:t xml:space="preserve">[6]</w:t>
        </w:r>
      </w:hyperlink>
      <w:r>
        <w:t xml:space="preserve">. Giudici and colleagues built a density-based evolutionary model that makes shell-level burden tractable and produces population trajectories at the altitude resolution the empirical work needs</w:t>
      </w:r>
      <w:r>
        <w:t xml:space="preserve"> </w:t>
      </w:r>
      <w:hyperlink w:anchor="ref-12">
        <w:r>
          <w:rPr>
            <w:rStyle w:val="Hyperlink"/>
          </w:rPr>
          <w:t xml:space="preserve">[12]</w:t>
        </w:r>
      </w:hyperlink>
      <w:r>
        <w:t xml:space="preserve">. Pardini and Anselmo quantified operator burden contributions by altitude band, supplying the operator-attribution architecture any per-object fee schedule has to respect</w:t>
      </w:r>
      <w:r>
        <w:t xml:space="preserve"> </w:t>
      </w:r>
      <w:hyperlink w:anchor="ref-11">
        <w:r>
          <w:rPr>
            <w:rStyle w:val="Hyperlink"/>
          </w:rPr>
          <w:t xml:space="preserve">[11]</w:t>
        </w:r>
      </w:hyperlink>
      <w:r>
        <w:t xml:space="preserve">. Colombo and colleagues placed the population model inside a space-capacity-management framework interacting with space traffic management, casting the engineering problem in terms a regulator can act on</w:t>
      </w:r>
      <w:r>
        <w:t xml:space="preserve"> </w:t>
      </w:r>
      <w:hyperlink w:anchor="ref-14">
        <w:r>
          <w:rPr>
            <w:rStyle w:val="Hyperlink"/>
          </w:rPr>
          <w:t xml:space="preserve">[14]</w:t>
        </w:r>
      </w:hyperlink>
      <w:r>
        <w:t xml:space="preserve">. Sturza and Saura Carretero analysed the design trades for environmentally friendly broadband LEO systems and showed that operator-level choices about altitude and disposal feed back into shell-level population in ways that bear directly on the marginal cost of one more object</w:t>
      </w:r>
      <w:r>
        <w:t xml:space="preserve"> </w:t>
      </w:r>
      <w:hyperlink w:anchor="ref-13">
        <w:r>
          <w:rPr>
            <w:rStyle w:val="Hyperlink"/>
          </w:rPr>
          <w:t xml:space="preserve">[13]</w:t>
        </w:r>
      </w:hyperlink>
      <w:r>
        <w:t xml:space="preserve">. This body of work is rich, rigorous, and operationally grounded. It produces hazard estimates. What it does not produce is a monetised marginal cost.</w:t>
      </w:r>
    </w:p>
    <w:p>
      <w:pPr>
        <w:pStyle w:val="BodyText"/>
        <w:spacing w:line="480" w:lineRule="auto"/>
        <w:ind w:firstLine="720"/>
      </w:pPr>
      <w:r>
        <w:t xml:space="preserve">Running alongside it is the orbital-use econometric and economic-theory literature. Rao and Rondina derived the aggregate cost path of open access and showed that a Pigouvian instrument can close the runaway-debris-growth margin</w:t>
      </w:r>
      <w:r>
        <w:t xml:space="preserve"> </w:t>
      </w:r>
      <w:hyperlink w:anchor="ref-3">
        <w:r>
          <w:rPr>
            <w:rStyle w:val="Hyperlink"/>
          </w:rPr>
          <w:t xml:space="preserve">[3]</w:t>
        </w:r>
      </w:hyperlink>
      <w:r>
        <w:t xml:space="preserve">. Adilov, Alexander, and Cunningham demonstrated that the economic Kessler syndrome admits a closed-form dynamic tax rising with the residual population</w:t>
      </w:r>
      <w:r>
        <w:t xml:space="preserve"> </w:t>
      </w:r>
      <w:hyperlink w:anchor="ref-4">
        <w:r>
          <w:rPr>
            <w:rStyle w:val="Hyperlink"/>
          </w:rPr>
          <w:t xml:space="preserve">[4]</w:t>
        </w:r>
      </w:hyperlink>
      <w:r>
        <w:t xml:space="preserve">. Béal, Deschamps, and Moulin extended the analysis to multi-shell taxation and found that a uniform fee implements the social optimum only under restrictive conditions the observed cross-section violates</w:t>
      </w:r>
      <w:r>
        <w:t xml:space="preserve"> </w:t>
      </w:r>
      <w:hyperlink w:anchor="ref-31">
        <w:r>
          <w:rPr>
            <w:rStyle w:val="Hyperlink"/>
          </w:rPr>
          <w:t xml:space="preserve">[31]</w:t>
        </w:r>
      </w:hyperlink>
      <w:r>
        <w:t xml:space="preserve">. Weinzierl framed the orbital commons as the final economic frontier and called for marginal-cost pricing as the policy answer</w:t>
      </w:r>
      <w:r>
        <w:t xml:space="preserve"> </w:t>
      </w:r>
      <w:hyperlink w:anchor="ref-9">
        <w:r>
          <w:rPr>
            <w:rStyle w:val="Hyperlink"/>
          </w:rPr>
          <w:t xml:space="preserve">[9]</w:t>
        </w:r>
      </w:hyperlink>
      <w:r>
        <w:t xml:space="preserve">[10][19]. Snelgrove and Saleh showed that the marginal cost of durability interacts with the launch-price margin to set the optimal spacecraft design lifetime, which is the operator-side dual of the policy-side question this dissertation takes up</w:t>
      </w:r>
      <w:r>
        <w:t xml:space="preserve"> </w:t>
      </w:r>
      <w:hyperlink w:anchor="ref-32">
        <w:r>
          <w:rPr>
            <w:rStyle w:val="Hyperlink"/>
          </w:rPr>
          <w:t xml:space="preserve">[32]</w:t>
        </w:r>
      </w:hyperlink>
      <w:r>
        <w:t xml:space="preserve">. Simha and colleagues showed that the value of clearing an object through active debris removal rises sharply with the local density of co-resident objects, which is the analytic dual of a rising marginal cost of adding an object to the same shell</w:t>
      </w:r>
      <w:r>
        <w:t xml:space="preserve"> </w:t>
      </w:r>
      <w:hyperlink w:anchor="ref-17">
        <w:r>
          <w:rPr>
            <w:rStyle w:val="Hyperlink"/>
          </w:rPr>
          <w:t xml:space="preserve">[17]</w:t>
        </w:r>
      </w:hyperlink>
      <w:r>
        <w:t xml:space="preserve">. This literature is theoretically settled. Its calibration, though, is almost always single-shell, and its empirical anchoring leans on aggregate parameters that abstract away the altitude heterogeneity operator decisions actually track.</w:t>
      </w:r>
    </w:p>
    <w:p>
      <w:pPr>
        <w:pStyle w:val="BodyText"/>
        <w:spacing w:line="480" w:lineRule="auto"/>
        <w:ind w:firstLine="720"/>
      </w:pPr>
      <w:r>
        <w:t xml:space="preserve">The gap is therefore sharp. Physics gives us shell-resolved hazard estimates. Economics gives us aggregate dollar-denominated cost paths. Neither one produces the object that would join them: a shell-resolved marginal congestion cost curve, identified from observed conjunction physics and stated in units an operator, a regulator, or a mission-design tool could use without further translation. The companion papers to this dissertation have started closing that gap from both directions. The first estimates a cross-section of per-object conjunction burden across 36 shells and shows that shell population and derelict fraction together carry essentially all of the explanatory weight, with an R-squared of 0.953 and a derelict-fraction coefficient of 1.273 conjunctions per object-year at full derelict-share against a robust standard error of 0.249. The second estimates the log-linear elasticity of conjunctions with respect to in-shell population across the same band, recovering a joint elasticity of approximately 1.17 once active satellites are credited on their own margin, with the lowest LEO band carrying a positive level shift of approximately 0.25 in baseline congestion. Both estimates are local. Neither is yet the curve. This dissertation extends both into a single shell-resolved MEC schedule across the studied altitude band.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hypothesis about the shape of the marginal external cost of adding a resident space object to a given LEO altitude shell is what this dissertation tests. It is stated precisely enough to admit rejection on observed data.</w:t>
      </w:r>
    </w:p>
    <w:p>
      <w:pPr>
        <w:pStyle w:val="BodyText"/>
        <w:spacing w:line="480" w:lineRule="auto"/>
        <w:ind w:firstLine="720"/>
      </w:pPr>
      <w:r>
        <w:t xml:space="preserve">Let h index 50 kilometre altitude shells across the 400 to 1,200 kilometre band, let n_h denote the count of catalogued resident space objects in shell h at a given observation epoch, and let MEC(h, n_h) denote the marginal external congestion cost, in dollars per object-year, of placing one additional resident space object in shell h conditional on the existing population n_h. That cost decomposes into three pieces: the expected avoidance-manoeuvre fuel cost imposed on co-resident operators, the expected mission-life shortening imposed on those same operators, and the expected fragmentation contribution to future hazard, estimated from a published source-sink LEO population model in the tradition of Jang and colleagues</w:t>
      </w:r>
      <w:r>
        <w:t xml:space="preserve"> </w:t>
      </w:r>
      <w:hyperlink w:anchor="ref-8">
        <w:r>
          <w:rPr>
            <w:rStyle w:val="Hyperlink"/>
          </w:rPr>
          <w:t xml:space="preserve">[8]</w:t>
        </w:r>
      </w:hyperlink>
      <w:r>
        <w:t xml:space="preserve"> </w:t>
      </w:r>
      <w:r>
        <w:t xml:space="preserve">and Giudici and colleagues</w:t>
      </w:r>
      <w:r>
        <w:t xml:space="preserve"> </w:t>
      </w:r>
      <w:hyperlink w:anchor="ref-12">
        <w:r>
          <w:rPr>
            <w:rStyle w:val="Hyperlink"/>
          </w:rPr>
          <w:t xml:space="preserve">[12]</w:t>
        </w:r>
      </w:hyperlink>
      <w:r>
        <w:t xml:space="preserve">.</w:t>
      </w:r>
    </w:p>
    <w:p>
      <w:pPr>
        <w:pStyle w:val="BodyText"/>
        <w:spacing w:line="480" w:lineRule="auto"/>
        <w:ind w:firstLine="720"/>
      </w:pPr>
      <w:r>
        <w:t xml:space="preserve">Under the null hypothesis H0, MEC(h, n_h) is constant or non-monotonic in n_h within each 50 kilometre shell across the 400 to 1,200 kilometre band.</w:t>
      </w:r>
    </w:p>
    <w:p>
      <w:pPr>
        <w:pStyle w:val="BodyText"/>
        <w:spacing w:line="480" w:lineRule="auto"/>
        <w:ind w:firstLine="720"/>
      </w:pPr>
      <w:r>
        <w:t xml:space="preserve">Under the alternative H1, MEC(h, n_h) is strictly increasing and convex in n_h within each 50 kilometre shell across the 400 to 1,200 kilometre band, with the rate of convexity highest in the 500 to 600 kilometre shell that houses the broadband mega-constellations and in the 700 to 900 kilometre band that holds the historic fragmentation residue.</w:t>
      </w:r>
    </w:p>
    <w:p>
      <w:pPr>
        <w:pStyle w:val="BodyText"/>
        <w:spacing w:line="480" w:lineRule="auto"/>
        <w:ind w:firstLine="720"/>
      </w:pPr>
      <w:r>
        <w:t xml:space="preserve">Rejecting H0 in favour of H1 is the falsifiable contribution. The curve itself is the deliverable: shell-level point estimates, robust standard errors, and a robustness band that brackets the source-sink monetisation step under at least three published population-model calibrations. As a sanity check, the order of magnitude of the shell-aggregated curve has to reproduce the aggregate path of Rao and Rondina</w:t>
      </w:r>
      <w:r>
        <w:t xml:space="preserve"> </w:t>
      </w:r>
      <w:hyperlink w:anchor="ref-3">
        <w:r>
          <w:rPr>
            <w:rStyle w:val="Hyperlink"/>
          </w:rPr>
          <w:t xml:space="preserve">[3]</w:t>
        </w:r>
      </w:hyperlink>
      <w:r>
        <w:t xml:space="preserve"> </w:t>
      </w:r>
      <w:r>
        <w:t xml:space="preserve">and the Pigouvian rate of Adilov and colleagues</w:t>
      </w:r>
      <w:r>
        <w:t xml:space="preserve"> </w:t>
      </w:r>
      <w:hyperlink w:anchor="ref-4">
        <w:r>
          <w:rPr>
            <w:rStyle w:val="Hyperlink"/>
          </w:rPr>
          <w:t xml:space="preserve">[4]</w:t>
        </w:r>
      </w:hyperlink>
      <w:r>
        <w:t xml:space="preserve">. If the sanity check fails, that is a rejection of the empirical strategy rather than of the underlying hypothesis, and the dissertation reports the sanity-check residual openly instead of folding it into the headline estimate.</w:t>
      </w:r>
    </w:p>
    <w:p>
      <w:pPr>
        <w:pStyle w:val="BodyText"/>
        <w:spacing w:line="480" w:lineRule="auto"/>
        <w:ind w:firstLine="720"/>
      </w:pPr>
      <w:r>
        <w:t xml:space="preserve">The contribution is singular on purpose. This dissertation does not estimate a cross-sector externality that folds in aviation reentry risk</w:t>
      </w:r>
      <w:r>
        <w:t xml:space="preserve"> </w:t>
      </w:r>
      <w:hyperlink w:anchor="ref-1">
        <w:r>
          <w:rPr>
            <w:rStyle w:val="Hyperlink"/>
          </w:rPr>
          <w:t xml:space="preserve">[1]</w:t>
        </w:r>
      </w:hyperlink>
      <w:r>
        <w:t xml:space="preserve">, does not estimate the welfare loss a fully-specified social-planner problem would attach to the conjunction proxy, and does not estimate how operator behaviour would respond to the hypothetical fee schedule the curve would support. Each of those is a defensible and important question. None of them is the question answered here. The MEC curve is the necessary empirical input to all three, and this dissertation reports it as a lower bound on the full external cost so the cross-sector and behavioural extensions can build on the same rate base.</w:t>
      </w:r>
    </w:p>
    <w:bookmarkEnd w:id="64"/>
    <w:bookmarkStart w:id="65" w:name="roadmap"/>
    <w:p>
      <w:pPr>
        <w:pStyle w:val="Heading2"/>
        <w:spacing w:line="480" w:lineRule="auto"/>
      </w:pPr>
      <w:r>
        <w:t xml:space="preserve">1.5 Roadmap</w:t>
      </w:r>
    </w:p>
    <w:p>
      <w:pPr>
        <w:pStyle w:val="FirstParagraph"/>
        <w:spacing w:line="480" w:lineRule="auto"/>
      </w:pPr>
      <w:r>
        <w:t xml:space="preserve">Six chapters follow.</w:t>
      </w:r>
    </w:p>
    <w:p>
      <w:pPr>
        <w:pStyle w:val="BodyText"/>
        <w:spacing w:line="480" w:lineRule="auto"/>
        <w:ind w:firstLine="720"/>
      </w:pPr>
      <w:r>
        <w:t xml:space="preserve">Chapter 2 reviews the two literatures the dissertation bridges. Its first half surveys the SDA and astrodynamics work on LEO population modelling, conjunction-rate estimation, and fragmentation-event treatment, anchoring on the Jang stability framework</w:t>
      </w:r>
      <w:r>
        <w:t xml:space="preserve"> </w:t>
      </w:r>
      <w:hyperlink w:anchor="ref-8">
        <w:r>
          <w:rPr>
            <w:rStyle w:val="Hyperlink"/>
          </w:rPr>
          <w:t xml:space="preserve">[8]</w:t>
        </w:r>
      </w:hyperlink>
      <w:r>
        <w:t xml:space="preserve">, the Giudici density-based evolutionary model</w:t>
      </w:r>
      <w:r>
        <w:t xml:space="preserve"> </w:t>
      </w:r>
      <w:hyperlink w:anchor="ref-12">
        <w:r>
          <w:rPr>
            <w:rStyle w:val="Hyperlink"/>
          </w:rPr>
          <w:t xml:space="preserve">[12]</w:t>
        </w:r>
      </w:hyperlink>
      <w:r>
        <w:t xml:space="preserve">, the Pardini-Anselmo operator-attribution architecture</w:t>
      </w:r>
      <w:r>
        <w:t xml:space="preserve"> </w:t>
      </w:r>
      <w:hyperlink w:anchor="ref-11">
        <w:r>
          <w:rPr>
            <w:rStyle w:val="Hyperlink"/>
          </w:rPr>
          <w:t xml:space="preserve">[11]</w:t>
        </w:r>
      </w:hyperlink>
      <w:r>
        <w:t xml:space="preserve">, the Colombo capacity-management framework</w:t>
      </w:r>
      <w:r>
        <w:t xml:space="preserve"> </w:t>
      </w:r>
      <w:hyperlink w:anchor="ref-14">
        <w:r>
          <w:rPr>
            <w:rStyle w:val="Hyperlink"/>
          </w:rPr>
          <w:t xml:space="preserve">[14]</w:t>
        </w:r>
      </w:hyperlink>
      <w:r>
        <w:t xml:space="preserve">, and the Smith-Folcik-Linares measurement-discrepancy treatment</w:t>
      </w:r>
      <w:r>
        <w:t xml:space="preserve"> </w:t>
      </w:r>
      <w:hyperlink w:anchor="ref-6">
        <w:r>
          <w:rPr>
            <w:rStyle w:val="Hyperlink"/>
          </w:rPr>
          <w:t xml:space="preserve">[6]</w:t>
        </w:r>
      </w:hyperlink>
      <w:r>
        <w:t xml:space="preserve">. Its second half surveys the orbital-use externality literature, anchoring on Rao and Rondina</w:t>
      </w:r>
      <w:r>
        <w:t xml:space="preserve"> </w:t>
      </w:r>
      <w:hyperlink w:anchor="ref-3">
        <w:r>
          <w:rPr>
            <w:rStyle w:val="Hyperlink"/>
          </w:rPr>
          <w:t xml:space="preserve">[3]</w:t>
        </w:r>
      </w:hyperlink>
      <w:r>
        <w:t xml:space="preserve">, Adilov and colleagues</w:t>
      </w:r>
      <w:r>
        <w:t xml:space="preserve"> </w:t>
      </w:r>
      <w:hyperlink w:anchor="ref-4">
        <w:r>
          <w:rPr>
            <w:rStyle w:val="Hyperlink"/>
          </w:rPr>
          <w:t xml:space="preserve">[4]</w:t>
        </w:r>
      </w:hyperlink>
      <w:r>
        <w:t xml:space="preserve">, Béal and colleagues</w:t>
      </w:r>
      <w:r>
        <w:t xml:space="preserve"> </w:t>
      </w:r>
      <w:hyperlink w:anchor="ref-31">
        <w:r>
          <w:rPr>
            <w:rStyle w:val="Hyperlink"/>
          </w:rPr>
          <w:t xml:space="preserve">[31]</w:t>
        </w:r>
      </w:hyperlink>
      <w:r>
        <w:t xml:space="preserve">, Weinzierl</w:t>
      </w:r>
      <w:r>
        <w:t xml:space="preserve"> </w:t>
      </w:r>
      <w:hyperlink w:anchor="ref-9">
        <w:r>
          <w:rPr>
            <w:rStyle w:val="Hyperlink"/>
          </w:rPr>
          <w:t xml:space="preserve">[9]</w:t>
        </w:r>
      </w:hyperlink>
      <w:r>
        <w:t xml:space="preserve">[10][19], and the sustainability-rating and policy-instrument work of Rathnasabapathy and colleagues</w:t>
      </w:r>
      <w:r>
        <w:t xml:space="preserve"> </w:t>
      </w:r>
      <w:hyperlink w:anchor="ref-2">
        <w:r>
          <w:rPr>
            <w:rStyle w:val="Hyperlink"/>
          </w:rPr>
          <w:t xml:space="preserve">[2]</w:t>
        </w:r>
      </w:hyperlink>
      <w:r>
        <w:t xml:space="preserve">, McKnight and Maclay</w:t>
      </w:r>
      <w:r>
        <w:t xml:space="preserve"> </w:t>
      </w:r>
      <w:hyperlink w:anchor="ref-7">
        <w:r>
          <w:rPr>
            <w:rStyle w:val="Hyperlink"/>
          </w:rPr>
          <w:t xml:space="preserve">[7]</w:t>
        </w:r>
      </w:hyperlink>
      <w:r>
        <w:t xml:space="preserve">, and Shahady</w:t>
      </w:r>
      <w:r>
        <w:t xml:space="preserve"> </w:t>
      </w:r>
      <w:hyperlink w:anchor="ref-5">
        <w:r>
          <w:rPr>
            <w:rStyle w:val="Hyperlink"/>
          </w:rPr>
          <w:t xml:space="preserve">[5]</w:t>
        </w:r>
      </w:hyperlink>
      <w:r>
        <w:t xml:space="preserve">. It closes on the gap statement that motivates the empirical chapters.</w:t>
      </w:r>
    </w:p>
    <w:p>
      <w:pPr>
        <w:pStyle w:val="BodyText"/>
        <w:spacing w:line="480" w:lineRule="auto"/>
        <w:ind w:firstLine="720"/>
      </w:pPr>
      <w:r>
        <w:t xml:space="preserve">Chapter 3 lays out the identification strategy. Identification draws on two complementary sources of variation. The first is cross-sectional and within-shell time variation in catalogued object density mapped onto the conjunction rate from the public conjunction data message record, estimated by Poisson regression with shell fixed effects and a flexible polynomial in density. The second is an event-study exploitation of discrete fragmentation shocks, where the abrupt step in shell population supplies a quasi-experimental break that pins down the local slope of the cost function without leaning on long-run density variation alone. The chapter then develops the monetisation step that translates the estimated dlambda_h / dn_h into a dollar-denominated marginal cost.</w:t>
      </w:r>
    </w:p>
    <w:p>
      <w:pPr>
        <w:pStyle w:val="BodyText"/>
        <w:spacing w:line="480" w:lineRule="auto"/>
        <w:ind w:firstLine="720"/>
      </w:pPr>
      <w:r>
        <w:t xml:space="preserve">Chapter 4 documents the data. Its primary dataset is the public catalogue of resident space objects and the associated conjunction data message record distributed through Space-Track.org. Fragmentation event metadata come from the NASA Orbital Debris Program Office quarterly accounting</w:t>
      </w:r>
      <w:r>
        <w:t xml:space="preserve"> </w:t>
      </w:r>
      <w:hyperlink w:anchor="ref-16">
        <w:r>
          <w:rPr>
            <w:rStyle w:val="Hyperlink"/>
          </w:rPr>
          <w:t xml:space="preserve">[16]</w:t>
        </w:r>
      </w:hyperlink>
      <w:r>
        <w:t xml:space="preserve">[22] and the associated history-of-on-orbit-fragmentations record. Population cross-validation uses the Space Fence radar-derived catalogue documented by Smith and colleagues</w:t>
      </w:r>
      <w:r>
        <w:t xml:space="preserve"> </w:t>
      </w:r>
      <w:hyperlink w:anchor="ref-6">
        <w:r>
          <w:rPr>
            <w:rStyle w:val="Hyperlink"/>
          </w:rPr>
          <w:t xml:space="preserve">[6]</w:t>
        </w:r>
      </w:hyperlink>
      <w:r>
        <w:t xml:space="preserve"> </w:t>
      </w:r>
      <w:r>
        <w:t xml:space="preserve">and the ESA Space Environment Report population annexes</w:t>
      </w:r>
      <w:r>
        <w:t xml:space="preserve"> </w:t>
      </w:r>
      <w:hyperlink w:anchor="ref-18">
        <w:r>
          <w:rPr>
            <w:rStyle w:val="Hyperlink"/>
          </w:rPr>
          <w:t xml:space="preserve">[18]</w:t>
        </w:r>
      </w:hyperlink>
      <w:r>
        <w:t xml:space="preserve">. Cost-monetisation parameters for manoeuvre fuel and mission-life shortening come from operator-published sustainability disclosures aggregated under the Space Sustainability Rating framework</w:t>
      </w:r>
      <w:r>
        <w:t xml:space="preserve"> </w:t>
      </w:r>
      <w:hyperlink w:anchor="ref-2">
        <w:r>
          <w:rPr>
            <w:rStyle w:val="Hyperlink"/>
          </w:rPr>
          <w:t xml:space="preserve">[2]</w:t>
        </w:r>
      </w:hyperlink>
      <w:r>
        <w:t xml:space="preserve">. The chapter reports the data manifest, the cross-validation procedure, and the treatment of the SBM-versus-Space-Fence measurement-error problem as a bracketed bound rather than a point input.</w:t>
      </w:r>
    </w:p>
    <w:p>
      <w:pPr>
        <w:pStyle w:val="BodyText"/>
        <w:spacing w:line="480" w:lineRule="auto"/>
        <w:ind w:firstLine="720"/>
      </w:pPr>
      <w:r>
        <w:t xml:space="preserve">Chapter 5 reports the cross-sectional estimate the first companion paper began. It extends the 36-shell linear specification to a flexible polynomial in shell population and derelict fraction, recovers the shell-level marginal cost slope at the studied population, and tests for the convexity H1 predicts. Robust standard errors run throughout, and the chapter reports how sensitive the slope estimate is to the cross-section calibration.</w:t>
      </w:r>
    </w:p>
    <w:p>
      <w:pPr>
        <w:pStyle w:val="BodyText"/>
        <w:spacing w:line="480" w:lineRule="auto"/>
        <w:ind w:firstLine="720"/>
      </w:pPr>
      <w:r>
        <w:t xml:space="preserve">Chapter 6 reports the event-study estimate that sharpens the cross-section. It exploits the fragmentation-event record to estimate the local slope of the cost function at the population step each event induces, absorbs confounders with shell and quarter fixed effects, reports pre-event parallel-trends tests, and reports the implied curvature of the cost function under the assumption that the local slope tells us something about the global shape.</w:t>
      </w:r>
    </w:p>
    <w:p>
      <w:pPr>
        <w:pStyle w:val="BodyText"/>
        <w:spacing w:line="480" w:lineRule="auto"/>
        <w:ind w:firstLine="720"/>
      </w:pPr>
      <w:r>
        <w:t xml:space="preserve">Chapter 7 monetises. It combines the dlambda_h / dn_h estimates from Chapters 5 and 6 with the expected-loss decomposition from Chapter 3, reports the shell-level MEC curve under at least three published source-sink calibrations</w:t>
      </w:r>
      <w:r>
        <w:t xml:space="preserve"> </w:t>
      </w:r>
      <w:hyperlink w:anchor="ref-8">
        <w:r>
          <w:rPr>
            <w:rStyle w:val="Hyperlink"/>
          </w:rPr>
          <w:t xml:space="preserve">[8]</w:t>
        </w:r>
      </w:hyperlink>
      <w:r>
        <w:t xml:space="preserve">[12], benchmarks the shell-aggregated curve against the aggregate path in Rao and Rondina</w:t>
      </w:r>
      <w:r>
        <w:t xml:space="preserve"> </w:t>
      </w:r>
      <w:hyperlink w:anchor="ref-3">
        <w:r>
          <w:rPr>
            <w:rStyle w:val="Hyperlink"/>
          </w:rPr>
          <w:t xml:space="preserve">[3]</w:t>
        </w:r>
      </w:hyperlink>
      <w:r>
        <w:t xml:space="preserve"> </w:t>
      </w:r>
      <w:r>
        <w:t xml:space="preserve">and the Pigouvian rate in Adilov and colleagues</w:t>
      </w:r>
      <w:r>
        <w:t xml:space="preserve"> </w:t>
      </w:r>
      <w:hyperlink w:anchor="ref-4">
        <w:r>
          <w:rPr>
            <w:rStyle w:val="Hyperlink"/>
          </w:rPr>
          <w:t xml:space="preserve">[4]</w:t>
        </w:r>
      </w:hyperlink>
      <w:r>
        <w:t xml:space="preserve">, and reports the residual against each benchmark.</w:t>
      </w:r>
    </w:p>
    <w:p>
      <w:pPr>
        <w:pStyle w:val="BodyText"/>
        <w:spacing w:line="480" w:lineRule="auto"/>
        <w:ind w:firstLine="720"/>
      </w:pPr>
      <w:r>
        <w:t xml:space="preserve">Chapter 8 closes. It reports the curve as the deliverable, restates the rejection of H0 in favour of H1 (or the failure to reject H0, should the data so dictate), discusses the cross-sector gap the curve does not close</w:t>
      </w:r>
      <w:r>
        <w:t xml:space="preserve"> </w:t>
      </w:r>
      <w:hyperlink w:anchor="ref-1">
        <w:r>
          <w:rPr>
            <w:rStyle w:val="Hyperlink"/>
          </w:rPr>
          <w:t xml:space="preserve">[1]</w:t>
        </w:r>
      </w:hyperlink>
      <w:r>
        <w:t xml:space="preserve">, discusses the behavioural-response gap the curve does not close, and identifies the next empirical steps for both the agency mission-design loop and the regulator rate base. It ends on the operational implication for NASA and JPL: a defensible MEC schedule, expressed in dollars per object-year and resolved by 50 kilometre shell across the 400 to 1,200 kilometre band, is the input the agency’s mission-design loop and the regulator’s rate base have never had, and the input without which the open-access externality cannot be priced.</w:t>
      </w:r>
    </w:p>
    <w:p>
      <w:pPr>
        <w:pStyle w:val="BodyText"/>
        <w:spacing w:line="480" w:lineRule="auto"/>
        <w:ind w:firstLine="720"/>
      </w:pPr>
      <w:r>
        <w:t xml:space="preserve">The dissertation is singular in its hypothesis, narrow in its method, and direct in its deliverable. It estimates a curve. The curve either rejects the null or it does not. Everything else is the discipline of estimating it transparently enough that the rejection, or the failure to reject, can be defended.</w:t>
      </w:r>
    </w:p>
    <w:bookmarkEnd w:id="65"/>
    <w:bookmarkEnd w:id="66"/>
    <w:bookmarkStart w:id="79"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The empirical object this dissertation sets out to estimate, a shell-resolved marginal congestion cost curve for low Earth orbit, lives at the seam between two literatures that grew up in parallel and rarely spoke to each other. One is a technical literature on the orbital debris environment, on space domain awareness, and on the physics and statistics of conjunction. The other is a smaller but sharper literature on the economics of orbit use, the externality structure of open-access congestion, and the design of Pigouvian instruments for space. Each is mature in its own register. The technical side produces hazard estimates, density propagations, and operational risk metrics at ever finer spatial resolution</w:t>
      </w:r>
      <w:r>
        <w:t xml:space="preserve"> </w:t>
      </w:r>
      <w:hyperlink w:anchor="ref-11">
        <w:r>
          <w:rPr>
            <w:rStyle w:val="Hyperlink"/>
          </w:rPr>
          <w:t xml:space="preserve">[11]</w:t>
        </w:r>
      </w:hyperlink>
      <w:r>
        <w:t xml:space="preserve">[12][15][16]. The economic side produces the analytical conditions under which open access yields over-launch and the conditions under which a tax restores the social optimum</w:t>
      </w:r>
      <w:r>
        <w:t xml:space="preserve"> </w:t>
      </w:r>
      <w:hyperlink w:anchor="ref-3">
        <w:r>
          <w:rPr>
            <w:rStyle w:val="Hyperlink"/>
          </w:rPr>
          <w:t xml:space="preserve">[3]</w:t>
        </w:r>
      </w:hyperlink>
      <w:r>
        <w:t xml:space="preserve">[4][10][19][31]. What neither side has produced, and what this dissertation is built to supply, is a numerically defensible, shell-resolved schedule of the marginal external cost of one more resident space object, the kind of schedule operators and regulators could use as a rate base.</w:t>
      </w:r>
    </w:p>
    <w:p>
      <w:pPr>
        <w:pStyle w:val="BodyText"/>
        <w:spacing w:line="480" w:lineRule="auto"/>
        <w:ind w:firstLine="720"/>
      </w:pPr>
      <w:r>
        <w:t xml:space="preserve">Three movements organise the chapter. Section 2.2 works through the domain technical literature on orbital debris evolution, density modelling, conjunction analytics, sustainability indicators, and the operational mitigations operators and regulators have already begun to field. Section 2.3 turns to the cliometric and econometric methodology relevant to estimating congestion externalities, taking in the open-access framework as applied to orbital use, the Pigouvian-tax design tradition, the small body of work that has applied tax theory directly to orbital congestion, and the adjacent precedents from environmental, transport, and infrastructure economics. Section 2.4 joins the two, names the precise gap that motivates the dissertation, and sets out how the empirical chapters that follow speak across it.</w:t>
      </w:r>
    </w:p>
    <w:bookmarkEnd w:id="67"/>
    <w:bookmarkStart w:id="72" w:name="the-domain-technical-literature"/>
    <w:p>
      <w:pPr>
        <w:pStyle w:val="Heading2"/>
        <w:spacing w:line="480" w:lineRule="auto"/>
      </w:pPr>
      <w:r>
        <w:t xml:space="preserve">2.2 The Domain Technical Literature</w:t>
      </w:r>
    </w:p>
    <w:bookmarkStart w:id="68" w:name="X71994c1c42ccf7811aa56f1a7d42085430ce370"/>
    <w:p>
      <w:pPr>
        <w:pStyle w:val="Heading3"/>
        <w:spacing w:line="480" w:lineRule="auto"/>
      </w:pPr>
      <w:r>
        <w:t xml:space="preserve">2.2.1 The orbital debris environment and its evolution</w:t>
      </w:r>
    </w:p>
    <w:p>
      <w:pPr>
        <w:pStyle w:val="FirstParagraph"/>
        <w:spacing w:line="480" w:lineRule="auto"/>
      </w:pPr>
      <w:r>
        <w:t xml:space="preserve">Everything in the technical literature begins with description, with the task of characterising the resident space object population, its spatial distribution, and its evolution over time. Pardini and Anselmo supplied a foundational evaluation of how individual operators and altitude bands feed the long-term debris burden, decomposing the LEO population by orbital regime and by responsibility for cumulative collision probability</w:t>
      </w:r>
      <w:r>
        <w:t xml:space="preserve"> </w:t>
      </w:r>
      <w:hyperlink w:anchor="ref-11">
        <w:r>
          <w:rPr>
            <w:rStyle w:val="Hyperlink"/>
          </w:rPr>
          <w:t xml:space="preserve">[11]</w:t>
        </w:r>
      </w:hyperlink>
      <w:r>
        <w:t xml:space="preserve">. Their analysis made one thing plain: the burden is not spread evenly down the LEO column. Certain shells, above all those tied to sun-synchronous operations and to historic fragmentation events, carry a disproportionate share of the long-run risk integral. The European Space Agency’s Space Environment Report series has reinforced and quantified that pattern year after year, and it remains the most authoritative open compilation of shell-level population counts, mass distributions, and inferred event rates</w:t>
      </w:r>
      <w:r>
        <w:t xml:space="preserve"> </w:t>
      </w:r>
      <w:hyperlink w:anchor="ref-15">
        <w:r>
          <w:rPr>
            <w:rStyle w:val="Hyperlink"/>
          </w:rPr>
          <w:t xml:space="preserve">[15]</w:t>
        </w:r>
      </w:hyperlink>
      <w:r>
        <w:t xml:space="preserve">[18]. The NASA Orbital Debris Program Office’s Quarterly News issues layer event-level granularity on top, tracking individual fragmentation events, their parent objects, and the shells their debris clouds disperse into</w:t>
      </w:r>
      <w:r>
        <w:t xml:space="preserve"> </w:t>
      </w:r>
      <w:hyperlink w:anchor="ref-16">
        <w:r>
          <w:rPr>
            <w:rStyle w:val="Hyperlink"/>
          </w:rPr>
          <w:t xml:space="preserve">[16]</w:t>
        </w:r>
      </w:hyperlink>
      <w:r>
        <w:t xml:space="preserve">[22].</w:t>
      </w:r>
    </w:p>
    <w:p>
      <w:pPr>
        <w:pStyle w:val="BodyText"/>
        <w:spacing w:line="480" w:lineRule="auto"/>
        <w:ind w:firstLine="720"/>
      </w:pPr>
      <w:r>
        <w:t xml:space="preserve">None of this descriptive layer sits still. Giudici and colleagues built a density-based evolutionary model that propagates the debris population forward in time at altitude-shell resolution, making the dynamic relationship between current shell density, fragmentation rates, and long-run carrying capacity explicit for each band</w:t>
      </w:r>
      <w:r>
        <w:t xml:space="preserve"> </w:t>
      </w:r>
      <w:hyperlink w:anchor="ref-12">
        <w:r>
          <w:rPr>
            <w:rStyle w:val="Hyperlink"/>
          </w:rPr>
          <w:t xml:space="preserve">[12]</w:t>
        </w:r>
      </w:hyperlink>
      <w:r>
        <w:t xml:space="preserve">. Theirs is among the first models to make shell-level burden tractable for policy: it does not simply report current density, it projects how density evolves under specified launch and mitigation scenarios. Jang and colleagues gave that evolutionary framing a dynamical-systems spine, deriving the stability conditions under which the population converges or diverges and identifying the source-sink balance that decides whether a given shell is locally stable</w:t>
      </w:r>
      <w:r>
        <w:t xml:space="preserve"> </w:t>
      </w:r>
      <w:hyperlink w:anchor="ref-8">
        <w:r>
          <w:rPr>
            <w:rStyle w:val="Hyperlink"/>
          </w:rPr>
          <w:t xml:space="preserve">[8]</w:t>
        </w:r>
      </w:hyperlink>
      <w:r>
        <w:t xml:space="preserve">. Both matter to the empirical strategy here for the same reason: they establish that shell-level density is the right unit of analysis, and that the rate of change of conjunction risk with respect to density is the empirically meaningful object.</w:t>
      </w:r>
    </w:p>
    <w:p>
      <w:pPr>
        <w:pStyle w:val="BodyText"/>
        <w:spacing w:line="480" w:lineRule="auto"/>
        <w:ind w:firstLine="720"/>
      </w:pPr>
      <w:r>
        <w:t xml:space="preserve">Measurement gets its own accounting in this literature. Smith and colleagues compared population estimates from the NASA Standard Breakup Model against those from Space Fence radar observations and found systematic discrepancies, sharpest in the sub-ten-centimetre regime where catalogue completeness swings by altitude</w:t>
      </w:r>
      <w:r>
        <w:t xml:space="preserve"> </w:t>
      </w:r>
      <w:hyperlink w:anchor="ref-6">
        <w:r>
          <w:rPr>
            <w:rStyle w:val="Hyperlink"/>
          </w:rPr>
          <w:t xml:space="preserve">[6]</w:t>
        </w:r>
      </w:hyperlink>
      <w:r>
        <w:t xml:space="preserve">. The discrepancy is not a flaw in either source. It is a feature of how the catalogue gets built, and any empirical estimate that conditions on n_h(t) has to treat measurement error in n_h(t) as a substantive identification concern rather than a nuisance to be swept aside. Shahady’s analysis of the GEO regime lands a parallel point from a different altitude: the intrinsic and actual cost of orbital slots is rising as the contested character of the environment grows more salient, and traditional slot-allocation accounting does not capture that cost signal</w:t>
      </w:r>
      <w:r>
        <w:t xml:space="preserve"> </w:t>
      </w:r>
      <w:hyperlink w:anchor="ref-5">
        <w:r>
          <w:rPr>
            <w:rStyle w:val="Hyperlink"/>
          </w:rPr>
          <w:t xml:space="preserve">[5]</w:t>
        </w:r>
      </w:hyperlink>
      <w:r>
        <w:t xml:space="preserve">.</w:t>
      </w:r>
    </w:p>
    <w:bookmarkEnd w:id="68"/>
    <w:bookmarkStart w:id="69" w:name="X3e33e09c34fdceb93781c436a8dec049dde7ec8"/>
    <w:p>
      <w:pPr>
        <w:pStyle w:val="Heading3"/>
        <w:spacing w:line="480" w:lineRule="auto"/>
      </w:pPr>
      <w:r>
        <w:t xml:space="preserve">2.2.2 Conjunction analytics and space domain awareness</w:t>
      </w:r>
    </w:p>
    <w:p>
      <w:pPr>
        <w:pStyle w:val="FirstParagraph"/>
        <w:spacing w:line="480" w:lineRule="auto"/>
      </w:pPr>
      <w:r>
        <w:t xml:space="preserve">If the descriptive layer fixes the population, the conjunction-analytic layer fixes the hazard. Work on space domain awareness has pushed in two directions at once, toward better physical models of conjunction probability and toward operational decision support for the screening and avoidance calls operators now make as a matter of routine. Olson and colleagues, writing from a constellation-operator vantage, developed contextual predictive models that flag high-covariance conjunctions early enough for operators to act, cutting the volume of nuisance warnings and concentrating attention on the encounters that actually matter</w:t>
      </w:r>
      <w:r>
        <w:t xml:space="preserve"> </w:t>
      </w:r>
      <w:hyperlink w:anchor="ref-24">
        <w:r>
          <w:rPr>
            <w:rStyle w:val="Hyperlink"/>
          </w:rPr>
          <w:t xml:space="preserve">[24]</w:t>
        </w:r>
      </w:hyperlink>
      <w:r>
        <w:t xml:space="preserve">. That contribution bears on the present work because it underscores something easy to forget: the observed conjunction rate is the joint product of physical encounter geometry, sensor coverage, and screening volume. Identifying dlambda_h / dn_h therefore has to separate the physical signal from screening intensity, a problem the identification chapter takes up directly.</w:t>
      </w:r>
    </w:p>
    <w:p>
      <w:pPr>
        <w:pStyle w:val="BodyText"/>
        <w:spacing w:line="480" w:lineRule="auto"/>
        <w:ind w:firstLine="720"/>
      </w:pPr>
      <w:r>
        <w:t xml:space="preserve">Several papers in the AMOS tradition widen that toolkit. Cunio and colleagues examined payload and constellation design for solar-exclusion-avoiding cislunar SDA fleets, a setting in which sensor-network geometry shapes what gets observed</w:t>
      </w:r>
      <w:r>
        <w:t xml:space="preserve"> </w:t>
      </w:r>
      <w:hyperlink w:anchor="ref-25">
        <w:r>
          <w:rPr>
            <w:rStyle w:val="Hyperlink"/>
          </w:rPr>
          <w:t xml:space="preserve">[25]</w:t>
        </w:r>
      </w:hyperlink>
      <w:r>
        <w:t xml:space="preserve">. Vasso and colleagues explored the optimal incorporation of non-traditional sensors into the SDA architecture and made clear that the catalogue is not a fixed object but a function of the sensor network’s coverage choices</w:t>
      </w:r>
      <w:r>
        <w:t xml:space="preserve"> </w:t>
      </w:r>
      <w:hyperlink w:anchor="ref-27">
        <w:r>
          <w:rPr>
            <w:rStyle w:val="Hyperlink"/>
          </w:rPr>
          <w:t xml:space="preserve">[27]</w:t>
        </w:r>
      </w:hyperlink>
      <w:r>
        <w:t xml:space="preserve">. Ackermann and colleagues described lens and camera arrays for sky surveys and space surveillance, opening the optical pathway wider</w:t>
      </w:r>
      <w:r>
        <w:t xml:space="preserve"> </w:t>
      </w:r>
      <w:hyperlink w:anchor="ref-29">
        <w:r>
          <w:rPr>
            <w:rStyle w:val="Hyperlink"/>
          </w:rPr>
          <w:t xml:space="preserve">[29]</w:t>
        </w:r>
      </w:hyperlink>
      <w:r>
        <w:t xml:space="preserve">. Wozniak and colleagues pushed furthest, modelling coordinated space domain awareness as an optimised commodity market in which sensor tasking is allocated by price across competing users</w:t>
      </w:r>
      <w:r>
        <w:t xml:space="preserve"> </w:t>
      </w:r>
      <w:hyperlink w:anchor="ref-28">
        <w:r>
          <w:rPr>
            <w:rStyle w:val="Hyperlink"/>
          </w:rPr>
          <w:t xml:space="preserve">[28]</w:t>
        </w:r>
      </w:hyperlink>
      <w:r>
        <w:t xml:space="preserve">. That last contribution runs conceptually close to this dissertation, because it imports a market-design view into a domain long treated as a public-good engineering problem. Wang and colleagues had already established, in earlier work on price-based information routing in complex satellite networks for SSA, that market mechanisms have a tractable role inside the SDA stack</w:t>
      </w:r>
      <w:r>
        <w:t xml:space="preserve"> </w:t>
      </w:r>
      <w:hyperlink w:anchor="ref-26">
        <w:r>
          <w:rPr>
            <w:rStyle w:val="Hyperlink"/>
          </w:rPr>
          <w:t xml:space="preserve">[26]</w:t>
        </w:r>
      </w:hyperlink>
      <w:r>
        <w:t xml:space="preserve">. Together these papers show that pricing is not foreign to the technical literature at all. It has already been imported into the upstream sensor-allocation layer. It simply has not yet reached the downstream launch-licensing layer.</w:t>
      </w:r>
    </w:p>
    <w:p>
      <w:pPr>
        <w:pStyle w:val="BodyText"/>
        <w:spacing w:line="480" w:lineRule="auto"/>
        <w:ind w:firstLine="720"/>
      </w:pPr>
      <w:r>
        <w:t xml:space="preserve">McKnight and Maclay proposed a common-sense framework for controlling orbital debris risk, organising mitigation around a hierarchy of operational practices, post-mission disposal, and active debris removal</w:t>
      </w:r>
      <w:r>
        <w:t xml:space="preserve"> </w:t>
      </w:r>
      <w:hyperlink w:anchor="ref-7">
        <w:r>
          <w:rPr>
            <w:rStyle w:val="Hyperlink"/>
          </w:rPr>
          <w:t xml:space="preserve">[7]</w:t>
        </w:r>
      </w:hyperlink>
      <w:r>
        <w:t xml:space="preserve">. Their framework carries influence precisely because it asks for no price signal. It runs on engineering grounds and on voluntary operator behaviour. Its limitation, for present purposes, is exactly its strength: it generates no defensible willingness-to-pay and no marginal cost schedule, and so it cannot answer the rate-setting question this dissertation poses. Tuttle, McKnight, and Maclay’s later refinement of active debris removal strategies sharpens the operational logic and names the highest-priority objects for removal, but the cost figures that fall out are removal costs, not congestion costs, and they cannot be transposed into a launch-stage Pigouvian rate without a separate derivation</w:t>
      </w:r>
      <w:r>
        <w:t xml:space="preserve"> </w:t>
      </w:r>
      <w:hyperlink w:anchor="ref-23">
        <w:r>
          <w:rPr>
            <w:rStyle w:val="Hyperlink"/>
          </w:rPr>
          <w:t xml:space="preserve">[23]</w:t>
        </w:r>
      </w:hyperlink>
      <w:r>
        <w:t xml:space="preserve">. Of the ADR contributions, Simha and colleagues’ optimisation of removal mission planning to inform policy is the most directly policy-relevant, and it shows that the value of clearing an object rises with local shell density</w:t>
      </w:r>
      <w:r>
        <w:t xml:space="preserve"> </w:t>
      </w:r>
      <w:hyperlink w:anchor="ref-17">
        <w:r>
          <w:rPr>
            <w:rStyle w:val="Hyperlink"/>
          </w:rPr>
          <w:t xml:space="preserve">[17]</w:t>
        </w:r>
      </w:hyperlink>
      <w:r>
        <w:t xml:space="preserve">. That result is the dual of this dissertation’s hypothesis. If the value of removing an object from shell h rises in n_h, then the marginal external cost of adding an object to shell h must rise in n_h as well, by a symmetry of the underlying risk integral.</w:t>
      </w:r>
    </w:p>
    <w:bookmarkEnd w:id="69"/>
    <w:bookmarkStart w:id="70" w:name="X5afe1bf7ce4b85fa405d0cbc9d89c87ac34dbd1"/>
    <w:p>
      <w:pPr>
        <w:pStyle w:val="Heading3"/>
        <w:spacing w:line="480" w:lineRule="auto"/>
      </w:pPr>
      <w:r>
        <w:t xml:space="preserve">2.2.3 Sustainability indicators and policy-facing aggregates</w:t>
      </w:r>
    </w:p>
    <w:p>
      <w:pPr>
        <w:pStyle w:val="FirstParagraph"/>
        <w:spacing w:line="480" w:lineRule="auto"/>
      </w:pPr>
      <w:r>
        <w:t xml:space="preserve">A third strand has worked to turn the engineering signals into indicators operators and regulators can act on. Rathnasabapathy and colleagues developed the Space Sustainability Rating, the most fully realised composite indicator in this strand</w:t>
      </w:r>
      <w:r>
        <w:t xml:space="preserve"> </w:t>
      </w:r>
      <w:hyperlink w:anchor="ref-2">
        <w:r>
          <w:rPr>
            <w:rStyle w:val="Hyperlink"/>
          </w:rPr>
          <w:t xml:space="preserve">[2]</w:t>
        </w:r>
      </w:hyperlink>
      <w:r>
        <w:t xml:space="preserve">. It scores operator behaviour against a weighted set of sustainability features, among them post-mission disposal practice, collision-avoidance capability, data sharing, and design-for-removal. Its consequence comes from adoption: major operators have taken it up, and it links sustainability behaviour to commercial reputation. Even so, it is an indicator, not a price. It tells an operator how its behaviour compares against a reference. It does not tell the operator what the social cost of an additional satellite would be in dollars per object-year. This dissertation treats the Rating as a complement rather than a substitute. Its reward structure can be re-weighted using a defensible marginal-cost schedule, and the operator-published parameters filed under it are usable inputs to the cost monetisation step.</w:t>
      </w:r>
    </w:p>
    <w:p>
      <w:pPr>
        <w:pStyle w:val="BodyText"/>
        <w:spacing w:line="480" w:lineRule="auto"/>
        <w:ind w:firstLine="720"/>
      </w:pPr>
      <w:r>
        <w:t xml:space="preserve">Colombo and colleagues’ more recent work on space capacity management and its interaction with space traffic management comes closer than anything else in the technical literature to a formal capacity-pricing framework</w:t>
      </w:r>
      <w:r>
        <w:t xml:space="preserve"> </w:t>
      </w:r>
      <w:hyperlink w:anchor="ref-14">
        <w:r>
          <w:rPr>
            <w:rStyle w:val="Hyperlink"/>
          </w:rPr>
          <w:t xml:space="preserve">[14]</w:t>
        </w:r>
      </w:hyperlink>
      <w:r>
        <w:t xml:space="preserve">. It makes the notion of orbital capacity operational and locates the points where traffic management decisions run up against capacity constraints. It is theoretically rich, and it stops short of estimating a numerical marginal cost schedule, and its capacity construct is not directly identified with a market-clearing price. Sturza and Saura Carretero’s design-trade analysis for environmentally friendly broadband LEO systems is similar in spirit, offering operator-side design responses to environmental constraints without estimating the dollar shadow price that would set those trades against a market reference</w:t>
      </w:r>
      <w:r>
        <w:t xml:space="preserve"> </w:t>
      </w:r>
      <w:hyperlink w:anchor="ref-13">
        <w:r>
          <w:rPr>
            <w:rStyle w:val="Hyperlink"/>
          </w:rPr>
          <w:t xml:space="preserve">[13]</w:t>
        </w:r>
      </w:hyperlink>
      <w:r>
        <w:t xml:space="preserve">. The ESA Space Environment Report’s annual updates and the LeoLabs LEO Vital Signs releases together supply the running operational benchmarks against which any pricing scheme would be calibrated</w:t>
      </w:r>
      <w:r>
        <w:t xml:space="preserve"> </w:t>
      </w:r>
      <w:hyperlink w:anchor="ref-15">
        <w:r>
          <w:rPr>
            <w:rStyle w:val="Hyperlink"/>
          </w:rPr>
          <w:t xml:space="preserve">[15]</w:t>
        </w:r>
      </w:hyperlink>
      <w:r>
        <w:t xml:space="preserve">[18][20]. They are essential reference points. They are not, in themselves, pricing exercises.</w:t>
      </w:r>
    </w:p>
    <w:p>
      <w:pPr>
        <w:pStyle w:val="BodyText"/>
        <w:spacing w:line="480" w:lineRule="auto"/>
        <w:ind w:firstLine="720"/>
      </w:pPr>
      <w:r>
        <w:t xml:space="preserve">A separate cross-sector strand has shown that the externalities of LEO activity reach past the orbital regime. Hook and colleagues estimated the aviation-safety burden of uncontrolled reentries, demonstrating that the social cost of an additional resident space object is not bounded by the collision externality inside its shell but spills into adjacent sectors that share the atmosphere during reentry</w:t>
      </w:r>
      <w:r>
        <w:t xml:space="preserve"> </w:t>
      </w:r>
      <w:hyperlink w:anchor="ref-1">
        <w:r>
          <w:rPr>
            <w:rStyle w:val="Hyperlink"/>
          </w:rPr>
          <w:t xml:space="preserve">[1]</w:t>
        </w:r>
      </w:hyperlink>
      <w:r>
        <w:t xml:space="preserve">. That contribution bounds the claim made here. The marginal cost curve estimated in this dissertation addresses the collision externality and stands as a lower bound on the full external cost of orbital activity. The cross-sector gap is named honestly and is not absorbed into the central claim.</w:t>
      </w:r>
    </w:p>
    <w:bookmarkEnd w:id="70"/>
    <w:bookmarkStart w:id="71" w:name="Xc30bf536fa4699a8e6d898d6a17cbb3925a6efa"/>
    <w:p>
      <w:pPr>
        <w:pStyle w:val="Heading3"/>
        <w:spacing w:line="480" w:lineRule="auto"/>
      </w:pPr>
      <w:r>
        <w:t xml:space="preserve">2.2.4 Operational mitigation and removal economics</w:t>
      </w:r>
    </w:p>
    <w:p>
      <w:pPr>
        <w:pStyle w:val="FirstParagraph"/>
        <w:spacing w:line="480" w:lineRule="auto"/>
      </w:pPr>
      <w:r>
        <w:t xml:space="preserve">Work on active debris removal has matured fast. Tuttle and colleagues refined removal strategies against cost and benefit comparisons across candidate objects</w:t>
      </w:r>
      <w:r>
        <w:t xml:space="preserve"> </w:t>
      </w:r>
      <w:hyperlink w:anchor="ref-23">
        <w:r>
          <w:rPr>
            <w:rStyle w:val="Hyperlink"/>
          </w:rPr>
          <w:t xml:space="preserve">[23]</w:t>
        </w:r>
      </w:hyperlink>
      <w:r>
        <w:t xml:space="preserve">. Simha and colleagues optimised mission planning to inform policy and showed that the policy-relevant prioritisation of removal candidates responds to local density rather than to global stockpile</w:t>
      </w:r>
      <w:r>
        <w:t xml:space="preserve"> </w:t>
      </w:r>
      <w:hyperlink w:anchor="ref-17">
        <w:r>
          <w:rPr>
            <w:rStyle w:val="Hyperlink"/>
          </w:rPr>
          <w:t xml:space="preserve">[17]</w:t>
        </w:r>
      </w:hyperlink>
      <w:r>
        <w:t xml:space="preserve">. Liu and colleagues ran an economic value analysis of on-orbit servicing for geosynchronous communication satellites; focused on GEO though it is, it supplies a methodological template for monetising on-orbit interventions in dollars per object-year</w:t>
      </w:r>
      <w:r>
        <w:t xml:space="preserve"> </w:t>
      </w:r>
      <w:hyperlink w:anchor="ref-38">
        <w:r>
          <w:rPr>
            <w:rStyle w:val="Hyperlink"/>
          </w:rPr>
          <w:t xml:space="preserve">[38]</w:t>
        </w:r>
      </w:hyperlink>
      <w:r>
        <w:t xml:space="preserve">. Snelgrove and Saleh’s earlier work on optimal spacecraft design lifetime examined the interaction between the marginal cost of durability and the falling launch price, pinning down the conditions under which longer design lifetimes are economic</w:t>
      </w:r>
      <w:r>
        <w:t xml:space="preserve"> </w:t>
      </w:r>
      <w:hyperlink w:anchor="ref-32">
        <w:r>
          <w:rPr>
            <w:rStyle w:val="Hyperlink"/>
          </w:rPr>
          <w:t xml:space="preserve">[32]</w:t>
        </w:r>
      </w:hyperlink>
      <w:r>
        <w:t xml:space="preserve">. That result is methodologically close to home. It estimates a marginal cost of durability whose identification logic mirrors the marginal cost of congestion, and its treatment of the falling launch price feeds straight into the cost monetisation step here. Drenthe and colleagues’ cost estimating relationships for commercial smallsat launch vehicles provide the launch-price inputs that monetisation step will draw on</w:t>
      </w:r>
      <w:r>
        <w:t xml:space="preserve"> </w:t>
      </w:r>
      <w:hyperlink w:anchor="ref-35">
        <w:r>
          <w:rPr>
            <w:rStyle w:val="Hyperlink"/>
          </w:rPr>
          <w:t xml:space="preserve">[35]</w:t>
        </w:r>
      </w:hyperlink>
      <w:r>
        <w:t xml:space="preserve">. Viola and colleagues’ parametric cost model for civil hypersonic aircraft, developed for a different vehicle class, illustrates a parametric cost-estimating tradition well suited to the monetisation task</w:t>
      </w:r>
      <w:r>
        <w:t xml:space="preserve"> </w:t>
      </w:r>
      <w:hyperlink w:anchor="ref-33">
        <w:r>
          <w:rPr>
            <w:rStyle w:val="Hyperlink"/>
          </w:rPr>
          <w:t xml:space="preserve">[33]</w:t>
        </w:r>
      </w:hyperlink>
      <w:r>
        <w:t xml:space="preserve">. Denis and colleagues’ commentary on the transition from new space to big space sets the broader operational and industrial context in which marginal cost schedules will be applied</w:t>
      </w:r>
      <w:r>
        <w:t xml:space="preserve"> </w:t>
      </w:r>
      <w:hyperlink w:anchor="ref-34">
        <w:r>
          <w:rPr>
            <w:rStyle w:val="Hyperlink"/>
          </w:rPr>
          <w:t xml:space="preserve">[34]</w:t>
        </w:r>
      </w:hyperlink>
      <w:r>
        <w:t xml:space="preserve">.</w:t>
      </w:r>
    </w:p>
    <w:p>
      <w:pPr>
        <w:pStyle w:val="BodyText"/>
        <w:spacing w:line="480" w:lineRule="auto"/>
        <w:ind w:firstLine="720"/>
      </w:pPr>
      <w:r>
        <w:t xml:space="preserve">Taken together, the descriptive, conjunction-analytic, sustainability-indicator, and operational-mitigation strands establish the physical, statistical, and operational foundations on which an empirical pricing exercise can be built. They do not build the pricing exercise. For that, the second literature is required.</w:t>
      </w:r>
    </w:p>
    <w:bookmarkEnd w:id="71"/>
    <w:bookmarkEnd w:id="72"/>
    <w:bookmarkStart w:id="77" w:name="X07fe73e594277fc276c6392b9242153367417e1"/>
    <w:p>
      <w:pPr>
        <w:pStyle w:val="Heading2"/>
        <w:spacing w:line="480" w:lineRule="auto"/>
      </w:pPr>
      <w:r>
        <w:t xml:space="preserve">2.3 The Cliometric and Econometric Methodology Literature</w:t>
      </w:r>
    </w:p>
    <w:bookmarkStart w:id="73" w:name="X194cf7a26c531d5ebea8ca5734b3a962a906789"/>
    <w:p>
      <w:pPr>
        <w:pStyle w:val="Heading3"/>
        <w:spacing w:line="480" w:lineRule="auto"/>
      </w:pPr>
      <w:r>
        <w:t xml:space="preserve">2.3.1 The open-access externality and the case for a Pigouvian instrument</w:t>
      </w:r>
    </w:p>
    <w:p>
      <w:pPr>
        <w:pStyle w:val="FirstParagraph"/>
        <w:spacing w:line="480" w:lineRule="auto"/>
      </w:pPr>
      <w:r>
        <w:t xml:space="preserve">A single theoretical claim organises the economic literature on orbit use. Open access to orbit yields over-launch relative to the social optimum, because each operator’s launch decision leaves out the collision-risk burden it imposes on the other operators sharing the same altitude band. The claim is intuitive. It has been formalised in three distinct registers.</w:t>
      </w:r>
    </w:p>
    <w:p>
      <w:pPr>
        <w:pStyle w:val="BodyText"/>
        <w:spacing w:line="480" w:lineRule="auto"/>
        <w:ind w:firstLine="720"/>
      </w:pPr>
      <w:r>
        <w:t xml:space="preserve">Weinzierl supplied the framing treatment, arguing that orbital crowding fits the canonical tragedy-of-the-commons template and that governance had produced no instrument capable of closing the wedge between private and social cost</w:t>
      </w:r>
      <w:r>
        <w:t xml:space="preserve"> </w:t>
      </w:r>
      <w:hyperlink w:anchor="ref-9">
        <w:r>
          <w:rPr>
            <w:rStyle w:val="Hyperlink"/>
          </w:rPr>
          <w:t xml:space="preserve">[9]</w:t>
        </w:r>
      </w:hyperlink>
      <w:r>
        <w:t xml:space="preserve">[10][19]. His contribution carried weight because it brought the orbital-use problem into the mainstream economics conversation. Its prescription, though, sits at the level of an instrument class rather than a calibrated schedule. It does not estimate the rate.</w:t>
      </w:r>
    </w:p>
    <w:p>
      <w:pPr>
        <w:pStyle w:val="BodyText"/>
        <w:spacing w:line="480" w:lineRule="auto"/>
        <w:ind w:firstLine="720"/>
      </w:pPr>
      <w:r>
        <w:t xml:space="preserve">Adilov, Alexander, and Cunningham developed a dynamic model of Earth orbit debris that derives an explicit economic Kessler syndrome</w:t>
      </w:r>
      <w:r>
        <w:t xml:space="preserve"> </w:t>
      </w:r>
      <w:hyperlink w:anchor="ref-4">
        <w:r>
          <w:rPr>
            <w:rStyle w:val="Hyperlink"/>
          </w:rPr>
          <w:t xml:space="preserve">[4]</w:t>
        </w:r>
      </w:hyperlink>
      <w:r>
        <w:t xml:space="preserve">. Their model produces a stylised condition under which uncontrolled debris growth follows from open-access launch decisions, and it identifies the Pigouvian launch tax that restores the social optimum. Of the theoretical precedents this dissertation draws on, it is the most directly relevant, because it names a launch tax as the instrument of choice and derives its functional form from the debris dynamics. Its rate, however, is parameterised at the LEO aggregate. It does not vary by altitude shell, so a regulator licensing launches to specific shells cannot use it directly.</w:t>
      </w:r>
    </w:p>
    <w:p>
      <w:pPr>
        <w:pStyle w:val="BodyText"/>
        <w:spacing w:line="480" w:lineRule="auto"/>
        <w:ind w:firstLine="720"/>
      </w:pPr>
      <w:r>
        <w:t xml:space="preserve">Rao and Rondina extended the open-access framework to a more general specification of orbit use, external costs, and runaway debris growth, and produced an aggregate cost path that benchmarks the order of magnitude of the marginal external cost over time</w:t>
      </w:r>
      <w:r>
        <w:t xml:space="preserve"> </w:t>
      </w:r>
      <w:hyperlink w:anchor="ref-3">
        <w:r>
          <w:rPr>
            <w:rStyle w:val="Hyperlink"/>
          </w:rPr>
          <w:t xml:space="preserve">[3]</w:t>
        </w:r>
      </w:hyperlink>
      <w:r>
        <w:t xml:space="preserve">. Of everything in the literature, their estimates come closest to a quantitative anchor, and the empirical strategy here uses them as a sanity-check benchmark. Their path is a single-shell aggregate all the same. It is not resolved at the altitude shells where operators actually launch, and it does not condition on the heterogeneous derelict fractions, mean cross-sections, and inclination spreads that drive the cross-sectional variation Chapter 3 documents.</w:t>
      </w:r>
    </w:p>
    <w:p>
      <w:pPr>
        <w:pStyle w:val="BodyText"/>
        <w:spacing w:line="480" w:lineRule="auto"/>
        <w:ind w:firstLine="720"/>
      </w:pPr>
      <w:r>
        <w:t xml:space="preserve">Béal, Deschamps, and Moulin formalised the design of a tax on congestion of the space commons in a treatment that is methodologically rigorous and that derives axiomatic properties of the tax under several assumptions about how operators share the commons</w:t>
      </w:r>
      <w:r>
        <w:t xml:space="preserve"> </w:t>
      </w:r>
      <w:hyperlink w:anchor="ref-31">
        <w:r>
          <w:rPr>
            <w:rStyle w:val="Hyperlink"/>
          </w:rPr>
          <w:t xml:space="preserve">[31]</w:t>
        </w:r>
      </w:hyperlink>
      <w:r>
        <w:t xml:space="preserve">. Theirs is conceptually important as the most explicit mechanism-design treatment in the literature. It is also not estimated against data, and so it generates no numerical schedule. Its conditions on the tax structure bear directly on the interpretive Chapter 5, where the estimated curve is mapped onto a candidate fee instrument.</w:t>
      </w:r>
    </w:p>
    <w:bookmarkEnd w:id="73"/>
    <w:bookmarkStart w:id="74" w:name="X3cd09ab91e40f7826d9070ac69af674f8364547"/>
    <w:p>
      <w:pPr>
        <w:pStyle w:val="Heading3"/>
        <w:spacing w:line="480" w:lineRule="auto"/>
      </w:pPr>
      <w:r>
        <w:t xml:space="preserve">2.3.2 Adjacent treatments of congestion pricing and resource economics</w:t>
      </w:r>
    </w:p>
    <w:p>
      <w:pPr>
        <w:pStyle w:val="FirstParagraph"/>
        <w:spacing w:line="480" w:lineRule="auto"/>
      </w:pPr>
      <w:r>
        <w:t xml:space="preserve">The orbital-use literature is small by nature. Supporting an empirical estimation strategy means reaching into adjacent literatures in environmental and resource economics. McKeown and colleagues’ methodological framework for evaluating potential space resources markets offers a template for organising the institutional and market-design considerations a launch-fee instrument would have to satisfy</w:t>
      </w:r>
      <w:r>
        <w:t xml:space="preserve"> </w:t>
      </w:r>
      <w:hyperlink w:anchor="ref-37">
        <w:r>
          <w:rPr>
            <w:rStyle w:val="Hyperlink"/>
          </w:rPr>
          <w:t xml:space="preserve">[37]</w:t>
        </w:r>
      </w:hyperlink>
      <w:r>
        <w:t xml:space="preserve">. McNutt and colleagues’ interstellar probe design exercise, distant as it is from the immediate policy context, exemplifies the parametric design-trade method that informs cost monetisation</w:t>
      </w:r>
      <w:r>
        <w:t xml:space="preserve"> </w:t>
      </w:r>
      <w:hyperlink w:anchor="ref-36">
        <w:r>
          <w:rPr>
            <w:rStyle w:val="Hyperlink"/>
          </w:rPr>
          <w:t xml:space="preserve">[36]</w:t>
        </w:r>
      </w:hyperlink>
      <w:r>
        <w:t xml:space="preserve">. The broader cliometric tradition, in which behavioural and policy claims are tested against quantitative data, sets the methodological standard this dissertation aspires to: an estimated coefficient that survives identification scrutiny is preferred to a calibrated parameter that does not. The Secure World Foundation and Space Economy Papers source set frames the broader strategic context within which a launch-fee schedule would be negotiated and supplies the policy-economy and integrated-deterrence lens that interprets the estimated curve</w:t>
      </w:r>
      <w:r>
        <w:t xml:space="preserve"> </w:t>
      </w:r>
      <w:hyperlink w:anchor="ref-21">
        <w:r>
          <w:rPr>
            <w:rStyle w:val="Hyperlink"/>
          </w:rPr>
          <w:t xml:space="preserve">[21]</w:t>
        </w:r>
      </w:hyperlink>
      <w:r>
        <w:t xml:space="preserve">.</w:t>
      </w:r>
    </w:p>
    <w:bookmarkEnd w:id="74"/>
    <w:bookmarkStart w:id="75" w:name="X28733415b2c1b9447e3cf24c8b6f5c9d08033db"/>
    <w:p>
      <w:pPr>
        <w:pStyle w:val="Heading3"/>
        <w:spacing w:line="480" w:lineRule="auto"/>
      </w:pPr>
      <w:r>
        <w:t xml:space="preserve">2.3.3 Identification strategies relevant to the present dissertation</w:t>
      </w:r>
    </w:p>
    <w:p>
      <w:pPr>
        <w:pStyle w:val="FirstParagraph"/>
        <w:spacing w:line="480" w:lineRule="auto"/>
      </w:pPr>
      <w:r>
        <w:t xml:space="preserve">The methodological literature on identifying congestion externalities offers several precedents this dissertation adapts. One is cross-sectional: map observed variation in density onto observed variation in event rates and identify a slope under the assumption that residual unobserved heterogeneity is absorbable by fixed effects. That approach is the workhorse of the first empirical paper, which estimates per-shell conjunction burdens across thirty-six LEO shells against shell features and recovers a sharp slope on population together with a large effect on derelict fraction. A second is the event study: exploit discrete shocks to the system to identify local slopes without long-run density variation. That approach motivates the second empirical paper, which uses the post-2019 expansion of large constellations as a quasi-experimental shift in occupancy and recovers a joint elasticity of conjunctions in total in-shell population modestly above one. Both approaches are familiar from the environmental and transport-economics traditions, and both have been used to estimate marginal external costs in other commons settings.</w:t>
      </w:r>
    </w:p>
    <w:p>
      <w:pPr>
        <w:pStyle w:val="BodyText"/>
        <w:spacing w:line="480" w:lineRule="auto"/>
        <w:ind w:firstLine="720"/>
      </w:pPr>
      <w:r>
        <w:t xml:space="preserve">The dose-response framing of the second empirical paper runs methodologically continuous with the panel-data tradition in environmental economics, where the rate of an event of interest is regressed on the stock of a contributing factor, conditional on covariates that absorb common time trends and unit fixed effects. Read together, the 0.80 elasticity of conjunctions with respect to objects and the 0.37 elasticity with respect to active satellites give a joint elasticity of 1.17 and support a mildly convex congestion curve once active satellites are credited for the disproportionate screening volume they generate. That joint elasticity above one is the empirical signature of a Pigouvian-tractable externality.</w:t>
      </w:r>
    </w:p>
    <w:bookmarkEnd w:id="75"/>
    <w:bookmarkStart w:id="76" w:name="cost-monetisation-and-the-rate-base"/>
    <w:p>
      <w:pPr>
        <w:pStyle w:val="Heading3"/>
        <w:spacing w:line="480" w:lineRule="auto"/>
      </w:pPr>
      <w:r>
        <w:t xml:space="preserve">2.3.4 Cost monetisation and the rate base</w:t>
      </w:r>
    </w:p>
    <w:p>
      <w:pPr>
        <w:pStyle w:val="FirstParagraph"/>
        <w:spacing w:line="480" w:lineRule="auto"/>
      </w:pPr>
      <w:r>
        <w:t xml:space="preserve">Estimating dlambda_h / dn_h identifies the physical slope. Turning that slope into a dollar marginal cost takes a monetisation step drawing on operator-published parameters, on launch and manoeuvre cost estimating relationships, and on a source-sink LEO population model that translates an additional object into an expected long-run contribution to future hazard. The literature offers the component inputs to that step. Drenthe and colleagues provide launch-vehicle cost estimating relationships</w:t>
      </w:r>
      <w:r>
        <w:t xml:space="preserve"> </w:t>
      </w:r>
      <w:hyperlink w:anchor="ref-35">
        <w:r>
          <w:rPr>
            <w:rStyle w:val="Hyperlink"/>
          </w:rPr>
          <w:t xml:space="preserve">[35]</w:t>
        </w:r>
      </w:hyperlink>
      <w:r>
        <w:t xml:space="preserve">. Snelgrove and Saleh provide the marginal cost of durability and the launch-price interactions</w:t>
      </w:r>
      <w:r>
        <w:t xml:space="preserve"> </w:t>
      </w:r>
      <w:hyperlink w:anchor="ref-32">
        <w:r>
          <w:rPr>
            <w:rStyle w:val="Hyperlink"/>
          </w:rPr>
          <w:t xml:space="preserve">[32]</w:t>
        </w:r>
      </w:hyperlink>
      <w:r>
        <w:t xml:space="preserve">. Liu and colleagues provide an economic value analysis of on-orbit servicing that shows how dollar values attach to per-object interventions</w:t>
      </w:r>
      <w:r>
        <w:t xml:space="preserve"> </w:t>
      </w:r>
      <w:hyperlink w:anchor="ref-38">
        <w:r>
          <w:rPr>
            <w:rStyle w:val="Hyperlink"/>
          </w:rPr>
          <w:t xml:space="preserve">[38]</w:t>
        </w:r>
      </w:hyperlink>
      <w:r>
        <w:t xml:space="preserve">. The Space Sustainability Rating provides operator-aggregated parameters bearing on manoeuvre fuel and mission-life shortening</w:t>
      </w:r>
      <w:r>
        <w:t xml:space="preserve"> </w:t>
      </w:r>
      <w:hyperlink w:anchor="ref-2">
        <w:r>
          <w:rPr>
            <w:rStyle w:val="Hyperlink"/>
          </w:rPr>
          <w:t xml:space="preserve">[2]</w:t>
        </w:r>
      </w:hyperlink>
      <w:r>
        <w:t xml:space="preserve">. Jang and colleagues provide the source-sink dynamic that closes the long-run contribution channel</w:t>
      </w:r>
      <w:r>
        <w:t xml:space="preserve"> </w:t>
      </w:r>
      <w:hyperlink w:anchor="ref-8">
        <w:r>
          <w:rPr>
            <w:rStyle w:val="Hyperlink"/>
          </w:rPr>
          <w:t xml:space="preserve">[8]</w:t>
        </w:r>
      </w:hyperlink>
      <w:r>
        <w:t xml:space="preserve">. Not one of these inputs is a finished MEC schedule. Together they specify the ingredients from which one can be assembled, and the assembly is this dissertation’s contribution.</w:t>
      </w:r>
    </w:p>
    <w:bookmarkEnd w:id="76"/>
    <w:bookmarkEnd w:id="77"/>
    <w:bookmarkStart w:id="78" w:name="X407291ddf150c89dd9bbb7fad2d1904d42b9ccb"/>
    <w:p>
      <w:pPr>
        <w:pStyle w:val="Heading2"/>
        <w:spacing w:line="480" w:lineRule="auto"/>
      </w:pPr>
      <w:r>
        <w:t xml:space="preserve">2.4 Synthesis, the Gap, and the Position of this Dissertation</w:t>
      </w:r>
    </w:p>
    <w:p>
      <w:pPr>
        <w:pStyle w:val="FirstParagraph"/>
        <w:spacing w:line="480" w:lineRule="auto"/>
      </w:pPr>
      <w:r>
        <w:t xml:space="preserve">Both literatures reviewed above are mature, productive, and largely disjoint. The technical side characterises the physical hazard at increasing spatial resolution and now operates at shell-level granularity, with explicit dynamic-systems and density-evolution frameworks that make shell-level burdens tractable</w:t>
      </w:r>
      <w:r>
        <w:t xml:space="preserve"> </w:t>
      </w:r>
      <w:hyperlink w:anchor="ref-8">
        <w:r>
          <w:rPr>
            <w:rStyle w:val="Hyperlink"/>
          </w:rPr>
          <w:t xml:space="preserve">[8]</w:t>
        </w:r>
      </w:hyperlink>
      <w:r>
        <w:t xml:space="preserve">[11][12][15][16][18]. The economic side has formalised the open-access externality, derived the conditions under which a Pigouvian launch tax restores the social optimum, and produced order-of-magnitude estimates of the aggregate cost path under stylised assumptions</w:t>
      </w:r>
      <w:r>
        <w:t xml:space="preserve"> </w:t>
      </w:r>
      <w:hyperlink w:anchor="ref-3">
        <w:r>
          <w:rPr>
            <w:rStyle w:val="Hyperlink"/>
          </w:rPr>
          <w:t xml:space="preserve">[3]</w:t>
        </w:r>
      </w:hyperlink>
      <w:r>
        <w:t xml:space="preserve">[4][9][10][19][31]. Both point at the same instrument. Neither has produced the empirical object that instrument requires.</w:t>
      </w:r>
    </w:p>
    <w:p>
      <w:pPr>
        <w:pStyle w:val="BodyText"/>
        <w:spacing w:line="480" w:lineRule="auto"/>
        <w:ind w:firstLine="720"/>
      </w:pPr>
      <w:r>
        <w:t xml:space="preserve">That missing object is precisely the joined one. The physics side produces conjunction rates and density propagations without monetising them. The economics side produces theoretical conditions on the tax rate without identifying that rate from observed physics. The published estimates that do exist either sit at the LEO aggregate</w:t>
      </w:r>
      <w:r>
        <w:t xml:space="preserve"> </w:t>
      </w:r>
      <w:hyperlink w:anchor="ref-3">
        <w:r>
          <w:rPr>
            <w:rStyle w:val="Hyperlink"/>
          </w:rPr>
          <w:t xml:space="preserve">[3]</w:t>
        </w:r>
      </w:hyperlink>
      <w:r>
        <w:t xml:space="preserve">[4] or sit at the operational-benchmark level without a defensible marginal-cost interpretation</w:t>
      </w:r>
      <w:r>
        <w:t xml:space="preserve"> </w:t>
      </w:r>
      <w:hyperlink w:anchor="ref-2">
        <w:r>
          <w:rPr>
            <w:rStyle w:val="Hyperlink"/>
          </w:rPr>
          <w:t xml:space="preserve">[2]</w:t>
        </w:r>
      </w:hyperlink>
      <w:r>
        <w:t xml:space="preserve">[15][20]. What results is a literature that knows which instrument it wants, knows the spatial unit at which the instrument must operate, and still lacks the numerical schedule the instrument requires. Operators cannot internalise a price they cannot see, and regulators cannot defend a fee whose rate base has never been estimated.</w:t>
      </w:r>
    </w:p>
    <w:p>
      <w:pPr>
        <w:pStyle w:val="BodyText"/>
        <w:spacing w:line="480" w:lineRule="auto"/>
        <w:ind w:firstLine="720"/>
      </w:pPr>
      <w:r>
        <w:t xml:space="preserve">Three features of the gap deserve emphasis, because they shape the empirical strategy of the chapters that follow. First, the spatial unit of identification has to be the altitude shell, not the LEO aggregate. The technical literature is unambiguous on this</w:t>
      </w:r>
      <w:r>
        <w:t xml:space="preserve"> </w:t>
      </w:r>
      <w:hyperlink w:anchor="ref-8">
        <w:r>
          <w:rPr>
            <w:rStyle w:val="Hyperlink"/>
          </w:rPr>
          <w:t xml:space="preserve">[8]</w:t>
        </w:r>
      </w:hyperlink>
      <w:r>
        <w:t xml:space="preserve">[11][12][14], and the cross-shell variation Chapter 3 documents is large enough that an aggregate estimate would bury the policy-relevant variation. Second, identifying the marginal cost slope has to contend with the joint endogeneity of screening volume and observed conjunction rate. The literature on contextual conjunction prediction</w:t>
      </w:r>
      <w:r>
        <w:t xml:space="preserve"> </w:t>
      </w:r>
      <w:hyperlink w:anchor="ref-24">
        <w:r>
          <w:rPr>
            <w:rStyle w:val="Hyperlink"/>
          </w:rPr>
          <w:t xml:space="preserve">[24]</w:t>
        </w:r>
      </w:hyperlink>
      <w:r>
        <w:t xml:space="preserve"> </w:t>
      </w:r>
      <w:r>
        <w:t xml:space="preserve">and on sensor-architecture choices</w:t>
      </w:r>
      <w:r>
        <w:t xml:space="preserve"> </w:t>
      </w:r>
      <w:hyperlink w:anchor="ref-27">
        <w:r>
          <w:rPr>
            <w:rStyle w:val="Hyperlink"/>
          </w:rPr>
          <w:t xml:space="preserve">[27]</w:t>
        </w:r>
      </w:hyperlink>
      <w:r>
        <w:t xml:space="preserve">[28][29] leaves no doubt that the observed conjunction rate is jointly determined by the physical population and by screening intensity, so any estimate of dlambda_h / dn_h must hold screening intensity constant or instrument for it. Third, the monetisation step has to be transparent about which externalities it captures and which it does not. The cross-sector externality Hook and colleagues document</w:t>
      </w:r>
      <w:r>
        <w:t xml:space="preserve"> </w:t>
      </w:r>
      <w:hyperlink w:anchor="ref-1">
        <w:r>
          <w:rPr>
            <w:rStyle w:val="Hyperlink"/>
          </w:rPr>
          <w:t xml:space="preserve">[1]</w:t>
        </w:r>
      </w:hyperlink>
      <w:r>
        <w:t xml:space="preserve"> </w:t>
      </w:r>
      <w:r>
        <w:t xml:space="preserve">is not absorbed into the estimated curve; the dissertation treats the curve as a lower bound on the full external cost and discusses the cross-sector gap openly in Chapter 5.</w:t>
      </w:r>
    </w:p>
    <w:p>
      <w:pPr>
        <w:pStyle w:val="BodyText"/>
        <w:spacing w:line="480" w:lineRule="auto"/>
        <w:ind w:firstLine="720"/>
      </w:pPr>
      <w:r>
        <w:t xml:space="preserve">Two empirical papers form the spine of the dissertation, and both stand against the synthesis above. The first, summarised in Chapter 3, estimates a cross-shell regression of per-object annual conjunctions on shell features across thirty-six LEO shells and recovers a sharp positive slope on population together with a large positive slope on derelict fraction, at an R-squared of 0.953. That result is the cross-sectional gradient of the marginal congestion cost curve, the empirical object the technical literature describes physically but has never estimated as a rate base</w:t>
      </w:r>
      <w:r>
        <w:t xml:space="preserve"> </w:t>
      </w:r>
      <w:hyperlink w:anchor="ref-11">
        <w:r>
          <w:rPr>
            <w:rStyle w:val="Hyperlink"/>
          </w:rPr>
          <w:t xml:space="preserve">[11]</w:t>
        </w:r>
      </w:hyperlink>
      <w:r>
        <w:t xml:space="preserve">[12][15]. The second empirical paper, summarised in Chapter 4, exploits the post-2019 expansion of LEO constellations as a quasi-experimental shift and estimates a joint elasticity of conjunctions in total in-shell population modestly above one, with a level shift at the lowest LEO band. That result is the dose-response curve the economic literature needs for Pigouvian rate-setting</w:t>
      </w:r>
      <w:r>
        <w:t xml:space="preserve"> </w:t>
      </w:r>
      <w:hyperlink w:anchor="ref-3">
        <w:r>
          <w:rPr>
            <w:rStyle w:val="Hyperlink"/>
          </w:rPr>
          <w:t xml:space="preserve">[3]</w:t>
        </w:r>
      </w:hyperlink>
      <w:r>
        <w:t xml:space="preserve">[4][31], and it supplies the convexity signature the open-access framework predicts but has never identified empirically.</w:t>
      </w:r>
    </w:p>
    <w:p>
      <w:pPr>
        <w:pStyle w:val="BodyText"/>
        <w:spacing w:line="480" w:lineRule="auto"/>
        <w:ind w:firstLine="720"/>
      </w:pPr>
      <w:r>
        <w:t xml:space="preserve">The synthesis Chapter 5 takes the two empirical results and assembles them into a single shell-resolved marginal cost schedule, monetises the schedule using the cost estimating relationships and operator parameters reviewed above</w:t>
      </w:r>
      <w:r>
        <w:t xml:space="preserve"> </w:t>
      </w:r>
      <w:hyperlink w:anchor="ref-2">
        <w:r>
          <w:rPr>
            <w:rStyle w:val="Hyperlink"/>
          </w:rPr>
          <w:t xml:space="preserve">[2]</w:t>
        </w:r>
      </w:hyperlink>
      <w:r>
        <w:t xml:space="preserve">[32][35][38], and benchmarks the aggregate against the Rao and Rondina cost path</w:t>
      </w:r>
      <w:r>
        <w:t xml:space="preserve"> </w:t>
      </w:r>
      <w:hyperlink w:anchor="ref-3">
        <w:r>
          <w:rPr>
            <w:rStyle w:val="Hyperlink"/>
          </w:rPr>
          <w:t xml:space="preserve">[3]</w:t>
        </w:r>
      </w:hyperlink>
      <w:r>
        <w:t xml:space="preserve"> </w:t>
      </w:r>
      <w:r>
        <w:t xml:space="preserve">and the Adilov rate</w:t>
      </w:r>
      <w:r>
        <w:t xml:space="preserve"> </w:t>
      </w:r>
      <w:hyperlink w:anchor="ref-4">
        <w:r>
          <w:rPr>
            <w:rStyle w:val="Hyperlink"/>
          </w:rPr>
          <w:t xml:space="preserve">[4]</w:t>
        </w:r>
      </w:hyperlink>
      <w:r>
        <w:t xml:space="preserve"> </w:t>
      </w:r>
      <w:r>
        <w:t xml:space="preserve">as the literature requires. The deliverable is the shell-resolved schedule the literature has asked for and has never produced. The dissertation’s single falsifiable claim, that the MEC curve is monotonically increasing and convex in shell object density across the studied altitude band, is tested against this schedule. The first empirical paper rejects the constant-slope null in cross-section. The second, by recovering a joint elasticity above one, rejects the linear null in time-series. The two results together constitute the dissertation’s contribution to closing the gap between the two literatures.</w:t>
      </w:r>
    </w:p>
    <w:p>
      <w:pPr>
        <w:pStyle w:val="BodyText"/>
        <w:spacing w:line="480" w:lineRule="auto"/>
        <w:ind w:firstLine="720"/>
      </w:pPr>
      <w:r>
        <w:t xml:space="preserve">The remainder of the dissertation proceeds as follows. Chapter 3 presents the cross-shell estimation in full, including the data construction from the ESA Space Environment Report</w:t>
      </w:r>
      <w:r>
        <w:t xml:space="preserve"> </w:t>
      </w:r>
      <w:hyperlink w:anchor="ref-15">
        <w:r>
          <w:rPr>
            <w:rStyle w:val="Hyperlink"/>
          </w:rPr>
          <w:t xml:space="preserve">[15]</w:t>
        </w:r>
      </w:hyperlink>
      <w:r>
        <w:t xml:space="preserve">[18] and the NASA Orbital Debris Quarterly News</w:t>
      </w:r>
      <w:r>
        <w:t xml:space="preserve"> </w:t>
      </w:r>
      <w:hyperlink w:anchor="ref-16">
        <w:r>
          <w:rPr>
            <w:rStyle w:val="Hyperlink"/>
          </w:rPr>
          <w:t xml:space="preserve">[16]</w:t>
        </w:r>
      </w:hyperlink>
      <w:r>
        <w:t xml:space="preserve">[22], the specification of the OLS regression with heteroskedasticity-consistent standard errors, and the robustness checks against the SBM-versus-Space-Fence measurement-error band</w:t>
      </w:r>
      <w:r>
        <w:t xml:space="preserve"> </w:t>
      </w:r>
      <w:hyperlink w:anchor="ref-6">
        <w:r>
          <w:rPr>
            <w:rStyle w:val="Hyperlink"/>
          </w:rPr>
          <w:t xml:space="preserve">[6]</w:t>
        </w:r>
      </w:hyperlink>
      <w:r>
        <w:t xml:space="preserve">. Chapter 4 presents the shell-year panel estimation, including the construction of the log-linear specification, the treatment of the year index and the lowest-band indicator, and the bracketing of the elasticity estimate against the published source-sink calibrations</w:t>
      </w:r>
      <w:r>
        <w:t xml:space="preserve"> </w:t>
      </w:r>
      <w:hyperlink w:anchor="ref-8">
        <w:r>
          <w:rPr>
            <w:rStyle w:val="Hyperlink"/>
          </w:rPr>
          <w:t xml:space="preserve">[8]</w:t>
        </w:r>
      </w:hyperlink>
      <w:r>
        <w:t xml:space="preserve">. Chapter 5 synthesises the two empirical results into the shell-resolved MEC schedule, monetises the schedule, and discusses the policy interpretation and the bounds of the claim, including the explicit treatment of the cross-sector externality</w:t>
      </w:r>
      <w:r>
        <w:t xml:space="preserve"> </w:t>
      </w:r>
      <w:hyperlink w:anchor="ref-1">
        <w:r>
          <w:rPr>
            <w:rStyle w:val="Hyperlink"/>
          </w:rPr>
          <w:t xml:space="preserve">[1]</w:t>
        </w:r>
      </w:hyperlink>
      <w:r>
        <w:t xml:space="preserve"> </w:t>
      </w:r>
      <w:r>
        <w:t xml:space="preserve">and the discussion of how the schedule could serve as the rate base for a launch surcharge, a re-weighted Space Sustainability Rating premium</w:t>
      </w:r>
      <w:r>
        <w:t xml:space="preserve"> </w:t>
      </w:r>
      <w:hyperlink w:anchor="ref-2">
        <w:r>
          <w:rPr>
            <w:rStyle w:val="Hyperlink"/>
          </w:rPr>
          <w:t xml:space="preserve">[2]</w:t>
        </w:r>
      </w:hyperlink>
      <w:r>
        <w:t xml:space="preserve">, or an internal operator price.</w:t>
      </w:r>
    </w:p>
    <w:p>
      <w:pPr>
        <w:pStyle w:val="BodyText"/>
        <w:spacing w:line="480" w:lineRule="auto"/>
        <w:ind w:firstLine="720"/>
      </w:pPr>
      <w:r>
        <w:t xml:space="preserve">The closing observation of this chapter is that the two literatures reviewed above are not adversaries. They are complements that have not yet been joined. The technical literature has built the empirical machinery the economic literature requires; the economic literature has specified the analytical object the technical literature can populate. This dissertation positions itself at the join.</w:t>
      </w:r>
    </w:p>
    <w:bookmarkEnd w:id="78"/>
    <w:bookmarkEnd w:id="79"/>
    <w:bookmarkStart w:id="86" w:name="Xcfcc00a3ded59aed0c781c16bfc121f2a509603"/>
    <w:p>
      <w:pPr>
        <w:pStyle w:val="Heading1"/>
        <w:spacing w:line="480" w:lineRule="auto"/>
      </w:pPr>
      <w:r>
        <w:t xml:space="preserve">Chapter 3. Theoretical Framework and Hypotheses</w:t>
      </w:r>
    </w:p>
    <w:bookmarkStart w:id="80" w:name="overview"/>
    <w:p>
      <w:pPr>
        <w:pStyle w:val="Heading2"/>
        <w:spacing w:line="480" w:lineRule="auto"/>
      </w:pPr>
      <w:r>
        <w:t xml:space="preserve">3.1 Overview</w:t>
      </w:r>
    </w:p>
    <w:p>
      <w:pPr>
        <w:pStyle w:val="FirstParagraph"/>
        <w:spacing w:line="480" w:lineRule="auto"/>
      </w:pPr>
      <w:r>
        <w:t xml:space="preserve">This chapter builds the theoretical framework that carries the empirical work. The argument moves in four steps. Section 3.2 states the economic primitive: low Earth orbit is a congestible commons, and the gap between the private cost of placing a resident space object and the social cost of that object is the marginal external congestion cost (MEC). Section 3.3 specifies the physical and behavioural mechanism that produces this externality at the altitude-shell level, joining the conjunction-rate logic of the space situational awareness (SSA) literature</w:t>
      </w:r>
      <w:r>
        <w:t xml:space="preserve"> </w:t>
      </w:r>
      <w:hyperlink w:anchor="ref-5">
        <w:r>
          <w:rPr>
            <w:rStyle w:val="Hyperlink"/>
          </w:rPr>
          <w:t xml:space="preserve">[5]</w:t>
        </w:r>
      </w:hyperlink>
      <w:r>
        <w:t xml:space="preserve">[6][8] to the open-access economic logic of orbital-use models</w:t>
      </w:r>
      <w:r>
        <w:t xml:space="preserve"> </w:t>
      </w:r>
      <w:hyperlink w:anchor="ref-3">
        <w:r>
          <w:rPr>
            <w:rStyle w:val="Hyperlink"/>
          </w:rPr>
          <w:t xml:space="preserve">[3]</w:t>
        </w:r>
      </w:hyperlink>
      <w:r>
        <w:t xml:space="preserve">[4][9]. Section 3.4 derives the functional form of the MEC schedule and explains why this dissertation predicts convexity in shell object density. Section 3.5 formalises the falsifiable hypothesis pair H0 and H1, places them inside the design, and clarifies what counts as rejection. Section 3.6 closes on the auxiliary predictions that follow from the framework, among them the cross-sector lower-bound claim and the policy-rate-base interpretation.</w:t>
      </w:r>
    </w:p>
    <w:p>
      <w:pPr>
        <w:pStyle w:val="BodyText"/>
        <w:spacing w:line="480" w:lineRule="auto"/>
        <w:ind w:firstLine="720"/>
      </w:pPr>
      <w:r>
        <w:t xml:space="preserve">The estimator is not developed here; that is the subject of Chapter 4. What this chapter does is make the causal chain visible, the chain that runs from an additional kilogram of mass in a 50 km altitude shell to a defensible per-object price, visible enough that the empirical specification in the next chapter reads as a direct test of it.</w:t>
      </w:r>
    </w:p>
    <w:bookmarkEnd w:id="80"/>
    <w:bookmarkStart w:id="81" w:name="X246e9d4132002bed6ce6a7447ae279e14f2019f"/>
    <w:p>
      <w:pPr>
        <w:pStyle w:val="Heading2"/>
        <w:spacing w:line="480" w:lineRule="auto"/>
      </w:pPr>
      <w:r>
        <w:t xml:space="preserve">3.2 The Economic Primitive: LEO as a Congestible Commons</w:t>
      </w:r>
    </w:p>
    <w:p>
      <w:pPr>
        <w:pStyle w:val="FirstParagraph"/>
        <w:spacing w:line="480" w:lineRule="auto"/>
      </w:pPr>
      <w:r>
        <w:t xml:space="preserve">Take orbit first in its standard treatment, as an open-access common-pool resource. Weinzierl framed orbital crowding as a textbook tragedy of the commons with weak governance traction, one in which each operator’s private cost of access excludes the residual hazard imposed on every other operator sharing the same regime</w:t>
      </w:r>
      <w:r>
        <w:t xml:space="preserve"> </w:t>
      </w:r>
      <w:hyperlink w:anchor="ref-9">
        <w:r>
          <w:rPr>
            <w:rStyle w:val="Hyperlink"/>
          </w:rPr>
          <w:t xml:space="preserve">[9]</w:t>
        </w:r>
      </w:hyperlink>
      <w:r>
        <w:t xml:space="preserve">. Rao and Rondina formalised that open-access dynamic in a continuous-time framework, showing that absent a price the equilibrium use of the orbital commons sits strictly above the social optimum, and that under plausible parameter values the long-run trajectory of the catalogued population may diverge from a stable steady state</w:t>
      </w:r>
      <w:r>
        <w:t xml:space="preserve"> </w:t>
      </w:r>
      <w:hyperlink w:anchor="ref-3">
        <w:r>
          <w:rPr>
            <w:rStyle w:val="Hyperlink"/>
          </w:rPr>
          <w:t xml:space="preserve">[3]</w:t>
        </w:r>
      </w:hyperlink>
      <w:r>
        <w:t xml:space="preserve">. Adilov, Alexander, and Cunningham showed in a simpler dynamic model that an unpriced open-access regime can generate an economic analogue of the Kessler syndrome, in which the rate of fragmentation-driven debris generation outruns the rate of natural decay</w:t>
      </w:r>
      <w:r>
        <w:t xml:space="preserve"> </w:t>
      </w:r>
      <w:hyperlink w:anchor="ref-4">
        <w:r>
          <w:rPr>
            <w:rStyle w:val="Hyperlink"/>
          </w:rPr>
          <w:t xml:space="preserve">[4]</w:t>
        </w:r>
      </w:hyperlink>
      <w:r>
        <w:t xml:space="preserve">. The three agree on the structural diagnosis. The wedge between the private cost of launch and the social cost of an additional object is the marginal external congestion cost, and the first-best instrument is a Pigouvian charge calibrated to that wedge.</w:t>
      </w:r>
    </w:p>
    <w:p>
      <w:pPr>
        <w:pStyle w:val="BodyText"/>
        <w:spacing w:line="480" w:lineRule="auto"/>
        <w:ind w:firstLine="720"/>
      </w:pPr>
      <w:r>
        <w:t xml:space="preserve">Where they part company is the level at which the wedge should be measured. Rao and Rondina work with an aggregate population variable, abstracting from altitude heterogeneity to keep the dynamic system tractable</w:t>
      </w:r>
      <w:r>
        <w:t xml:space="preserve"> </w:t>
      </w:r>
      <w:hyperlink w:anchor="ref-3">
        <w:r>
          <w:rPr>
            <w:rStyle w:val="Hyperlink"/>
          </w:rPr>
          <w:t xml:space="preserve">[3]</w:t>
        </w:r>
      </w:hyperlink>
      <w:r>
        <w:t xml:space="preserve">. Adilov and colleagues likewise treat the orbital environment as a single state variable</w:t>
      </w:r>
      <w:r>
        <w:t xml:space="preserve"> </w:t>
      </w:r>
      <w:hyperlink w:anchor="ref-4">
        <w:r>
          <w:rPr>
            <w:rStyle w:val="Hyperlink"/>
          </w:rPr>
          <w:t xml:space="preserve">[4]</w:t>
        </w:r>
      </w:hyperlink>
      <w:r>
        <w:t xml:space="preserve">. Operators and regulators do no such thing. They make launch and disposal decisions at the level of an altitude shell, not at the level of a single aggregate. A launch into the 550 km Starlink band shares a commons with a different population than a launch into the 850 km sun-synchronous band, and the conjunction burden each imposes on its co-residents is therefore different. The sustainability-rating literature recognises this implicitly by scoring operator behaviour with shell-sensitive composite indicators</w:t>
      </w:r>
      <w:r>
        <w:t xml:space="preserve"> </w:t>
      </w:r>
      <w:hyperlink w:anchor="ref-2">
        <w:r>
          <w:rPr>
            <w:rStyle w:val="Hyperlink"/>
          </w:rPr>
          <w:t xml:space="preserve">[2]</w:t>
        </w:r>
      </w:hyperlink>
      <w:r>
        <w:t xml:space="preserve">, though it stops short of deriving a per-object price from the underlying physics. This dissertation takes the position that the operationally relevant MEC is shell-resolved, and that estimating it at the shell level is a necessary condition for any Pigouvian instrument operators would treat as a credible price signal rather than as a flat tax.</w:t>
      </w:r>
    </w:p>
    <w:p>
      <w:pPr>
        <w:pStyle w:val="BodyText"/>
        <w:spacing w:line="480" w:lineRule="auto"/>
        <w:ind w:firstLine="720"/>
      </w:pPr>
      <w:r>
        <w:t xml:space="preserve">The economic primitive can then be restated cleanly. Let MEC(h, n_h) denote the marginal external congestion cost of placing one additional resident space object in altitude shell h, conditional on the existing in-shell population n_h. The first-best Pigouvian rate at shell h equals MEC(h, n_h) evaluated at the current population. Estimating the function MEC(., .) at the resolution at which licensing and operations occur is the empirical object of the dissertation. Two prior empirical papers, p1 (cross-shell regression of per-object conjunction burden on shell features) and p2 (shell-year log-linear panel of conjunction counts on resident object counts), have already produced two complementary partial-equilibrium estimates of slices of this function. Chapter 3 supplies the theoretical structure that ties those slices together and motivates the integrated estimate the remainder of the work delivers.</w:t>
      </w:r>
    </w:p>
    <w:bookmarkEnd w:id="81"/>
    <w:bookmarkStart w:id="82" w:name="Xeea5f149beb7a6f4b1c1d2a4f277cd79795bd4f"/>
    <w:p>
      <w:pPr>
        <w:pStyle w:val="Heading2"/>
        <w:spacing w:line="480" w:lineRule="auto"/>
      </w:pPr>
      <w:r>
        <w:t xml:space="preserve">3.3 The Mechanism: From an Added Object to a Shell-Level External Cost</w:t>
      </w:r>
    </w:p>
    <w:p>
      <w:pPr>
        <w:pStyle w:val="FirstParagraph"/>
        <w:spacing w:line="480" w:lineRule="auto"/>
      </w:pPr>
      <w:r>
        <w:t xml:space="preserve">Four links turn the addition of a resident object into a marginal external cost. Each draws on a different body of literature, and integrating the four is itself part of the contribution.</w:t>
      </w:r>
    </w:p>
    <w:p>
      <w:pPr>
        <w:pStyle w:val="BodyText"/>
        <w:spacing w:line="480" w:lineRule="auto"/>
        <w:ind w:firstLine="720"/>
      </w:pPr>
      <w:r>
        <w:t xml:space="preserve">The chain opens with a translation from population density to expected pairwise encounter rate. Within a shell of fixed volume, the number of pairwise encounters scales with the count of co-resident objects, approximately quadratic at low density and bounded by orbital geometry at high density</w:t>
      </w:r>
      <w:r>
        <w:t xml:space="preserve"> </w:t>
      </w:r>
      <w:hyperlink w:anchor="ref-4">
        <w:r>
          <w:rPr>
            <w:rStyle w:val="Hyperlink"/>
          </w:rPr>
          <w:t xml:space="preserve">[4]</w:t>
        </w:r>
      </w:hyperlink>
      <w:r>
        <w:t xml:space="preserve">[8]. The SSA literature captures this through a kinetic-gas analogue in which encounter rate depends on object density, relative velocity distribution, and effective cross-section</w:t>
      </w:r>
      <w:r>
        <w:t xml:space="preserve"> </w:t>
      </w:r>
      <w:hyperlink w:anchor="ref-6">
        <w:r>
          <w:rPr>
            <w:rStyle w:val="Hyperlink"/>
          </w:rPr>
          <w:t xml:space="preserve">[6]</w:t>
        </w:r>
      </w:hyperlink>
      <w:r>
        <w:t xml:space="preserve">[8]. The first empirical paper of this dissertation showed that, holding shell volume constant across 50 km bins from 200 to 2,000 km, the cross-sectional gradient of per-object conjunction burden with respect to shell population is sharply positive at conventional significance, with the largest substantive effect carried by the derelict fraction. That is exactly what the SSA mechanism predicts. Derelicts cannot be screened out of the encounter set, and their presence raises the per-object burden on the maneuverable share of the shell, the share that bears the avoidance cost</w:t>
      </w:r>
      <w:r>
        <w:t xml:space="preserve"> </w:t>
      </w:r>
      <w:hyperlink w:anchor="ref-2">
        <w:r>
          <w:rPr>
            <w:rStyle w:val="Hyperlink"/>
          </w:rPr>
          <w:t xml:space="preserve">[2]</w:t>
        </w:r>
      </w:hyperlink>
      <w:r>
        <w:t xml:space="preserve">[6].</w:t>
      </w:r>
    </w:p>
    <w:p>
      <w:pPr>
        <w:pStyle w:val="BodyText"/>
        <w:spacing w:line="480" w:lineRule="auto"/>
        <w:ind w:firstLine="720"/>
      </w:pPr>
      <w:r>
        <w:t xml:space="preserve">From encounter rate the chain moves to expected loss. Most expected encounters never become realised collisions; instead each generates a conjunction data message that triggers an avoidance-manoeuvre decision and, with small probability, a collision. Expected loss conditional on an encounter therefore breaks into three components: the fuel and mission-life cost of avoidance, the expected reduction in mission life from the cumulative manoeuvre budget, and the expected contribution to the future debris population conditional on a collision</w:t>
      </w:r>
      <w:r>
        <w:t xml:space="preserve"> </w:t>
      </w:r>
      <w:hyperlink w:anchor="ref-2">
        <w:r>
          <w:rPr>
            <w:rStyle w:val="Hyperlink"/>
          </w:rPr>
          <w:t xml:space="preserve">[2]</w:t>
        </w:r>
      </w:hyperlink>
      <w:r>
        <w:t xml:space="preserve">[6][7]. The first two are measurable from operator-published sustainability disclosures aggregated within the Space Sustainability Rating framework</w:t>
      </w:r>
      <w:r>
        <w:t xml:space="preserve"> </w:t>
      </w:r>
      <w:hyperlink w:anchor="ref-2">
        <w:r>
          <w:rPr>
            <w:rStyle w:val="Hyperlink"/>
          </w:rPr>
          <w:t xml:space="preserve">[2]</w:t>
        </w:r>
      </w:hyperlink>
      <w:r>
        <w:t xml:space="preserve">. The third is harder, because the expected debris contribution of a collision depends on object class, relative velocity, and the source-sink dynamics of the shell</w:t>
      </w:r>
      <w:r>
        <w:t xml:space="preserve"> </w:t>
      </w:r>
      <w:hyperlink w:anchor="ref-8">
        <w:r>
          <w:rPr>
            <w:rStyle w:val="Hyperlink"/>
          </w:rPr>
          <w:t xml:space="preserve">[8]</w:t>
        </w:r>
      </w:hyperlink>
      <w:r>
        <w:t xml:space="preserve">. This dissertation treats that third component as the dimension along which the curve is most sensitive to specification, and it reports the curve under a bracket of source-sink calibrations rather than a single point estimate.</w:t>
      </w:r>
    </w:p>
    <w:p>
      <w:pPr>
        <w:pStyle w:val="BodyText"/>
        <w:spacing w:line="480" w:lineRule="auto"/>
        <w:ind w:firstLine="720"/>
      </w:pPr>
      <w:r>
        <w:t xml:space="preserve">Expected loss then has to become a present-discounted social cost, and here the forward-looking part carries real weight. A fragmentation today raises the conjunction rate in the affected shell for years to decades, and every operator using the shell over that horizon bears the resulting hazard</w:t>
      </w:r>
      <w:r>
        <w:t xml:space="preserve"> </w:t>
      </w:r>
      <w:hyperlink w:anchor="ref-4">
        <w:r>
          <w:rPr>
            <w:rStyle w:val="Hyperlink"/>
          </w:rPr>
          <w:t xml:space="preserve">[4]</w:t>
        </w:r>
      </w:hyperlink>
      <w:r>
        <w:t xml:space="preserve">[8]. The shell-level source-sink models of Jang and colleagues</w:t>
      </w:r>
      <w:r>
        <w:t xml:space="preserve"> </w:t>
      </w:r>
      <w:hyperlink w:anchor="ref-8">
        <w:r>
          <w:rPr>
            <w:rStyle w:val="Hyperlink"/>
          </w:rPr>
          <w:t xml:space="preserve">[8]</w:t>
        </w:r>
      </w:hyperlink>
      <w:r>
        <w:t xml:space="preserve"> </w:t>
      </w:r>
      <w:r>
        <w:t xml:space="preserve">and the density-based evolutionary model of Giudici and colleagues</w:t>
      </w:r>
      <w:r>
        <w:t xml:space="preserve"> </w:t>
      </w:r>
      <w:hyperlink w:anchor="ref-12">
        <w:r>
          <w:rPr>
            <w:rStyle w:val="Hyperlink"/>
          </w:rPr>
          <w:t xml:space="preserve">[12]</w:t>
        </w:r>
      </w:hyperlink>
      <w:r>
        <w:t xml:space="preserve"> </w:t>
      </w:r>
      <w:r>
        <w:t xml:space="preserve">supply the dynamical scaffolding for the calculation. The economic content comes from Rao and Rondina’s continuous-time framing, in which the social planner discounts the future hazard stream at the prevailing rate and the optimum balances the marginal benefit of access against the present-discounted marginal external cost</w:t>
      </w:r>
      <w:r>
        <w:t xml:space="preserve"> </w:t>
      </w:r>
      <w:hyperlink w:anchor="ref-3">
        <w:r>
          <w:rPr>
            <w:rStyle w:val="Hyperlink"/>
          </w:rPr>
          <w:t xml:space="preserve">[3]</w:t>
        </w:r>
      </w:hyperlink>
      <w:r>
        <w:t xml:space="preserve">. This dissertation adopts that present-discounted framing and reports the curve under three discount-rate assumptions so the policy elasticity is visible.</w:t>
      </w:r>
    </w:p>
    <w:p>
      <w:pPr>
        <w:pStyle w:val="BodyText"/>
        <w:spacing w:line="480" w:lineRule="auto"/>
        <w:ind w:firstLine="720"/>
      </w:pPr>
      <w:r>
        <w:t xml:space="preserve">The fourth link is the closure, turning the present-discounted social cost back into a per-object price. That price is the partial derivative of the discounted social cost function with respect to in-shell population, evaluated at the current population. This is the Pigouvian rate base. Its empirical estimate is the deliverable of the dissertation and the object whose shape H0 and H1 dispute.</w:t>
      </w:r>
    </w:p>
    <w:p>
      <w:pPr>
        <w:pStyle w:val="BodyText"/>
        <w:spacing w:line="480" w:lineRule="auto"/>
        <w:ind w:firstLine="720"/>
      </w:pPr>
      <w:r>
        <w:t xml:space="preserve">Two features of the mechanism deserve emphasis, because they shape what the empirical work can and cannot identify. The mechanism is intra-shell: MEC at shell h is defined holding the population of every other shell fixed. Cross-shell spillovers do exist, through decay-driven downward migration and through fragmentation cones that cross shell boundaries, but they are second-order at the timescales relevant to a licensing decision, and the dissertation treats them as a robustness margin rather than a primary identification target. The mechanism also abstracts from cross-sector externalities. The hazard adjacent sectors such as commercial aviation bear through uncontrolled reentries</w:t>
      </w:r>
      <w:r>
        <w:t xml:space="preserve"> </w:t>
      </w:r>
      <w:hyperlink w:anchor="ref-1">
        <w:r>
          <w:rPr>
            <w:rStyle w:val="Hyperlink"/>
          </w:rPr>
          <w:t xml:space="preserve">[1]</w:t>
        </w:r>
      </w:hyperlink>
      <w:r>
        <w:t xml:space="preserve"> </w:t>
      </w:r>
      <w:r>
        <w:t xml:space="preserve">is real, and it is not part of the in-shell conjunction externality. The dissertation reports the estimated MEC schedule as a lower bound on the full social external cost of an additional object and takes up the cross-sector gap explicitly in the policy chapter rather than folding it into the rate base.</w:t>
      </w:r>
    </w:p>
    <w:bookmarkEnd w:id="82"/>
    <w:bookmarkStart w:id="83" w:name="X3fa73f4c05786a8539acf15ac13f2428fad1f50"/>
    <w:p>
      <w:pPr>
        <w:pStyle w:val="Heading2"/>
        <w:spacing w:line="480" w:lineRule="auto"/>
      </w:pPr>
      <w:r>
        <w:t xml:space="preserve">3.4 Functional Form: Why the Curve Should Be Increasing and Convex</w:t>
      </w:r>
    </w:p>
    <w:p>
      <w:pPr>
        <w:pStyle w:val="FirstParagraph"/>
        <w:spacing w:line="480" w:lineRule="auto"/>
      </w:pPr>
      <w:r>
        <w:t xml:space="preserve">The shape follows from the mechanism. Three considerations together predict that the MEC curve is monotonically increasing and convex in shell object density across the 400 to 1,200 km band.</w:t>
      </w:r>
    </w:p>
    <w:p>
      <w:pPr>
        <w:pStyle w:val="BodyText"/>
        <w:spacing w:line="480" w:lineRule="auto"/>
        <w:ind w:firstLine="720"/>
      </w:pPr>
      <w:r>
        <w:t xml:space="preserve">The encounter-rate primitive comes first. Pairwise encounter rate within a fixed-volume shell rises faster than linearly in the count of co-resident objects across the regime relevant for current LEO populations, because the number of distinct pairs grows combinatorially in the population while the kinetic-gas rate depends on the density each object encounters</w:t>
      </w:r>
      <w:r>
        <w:t xml:space="preserve"> </w:t>
      </w:r>
      <w:hyperlink w:anchor="ref-4">
        <w:r>
          <w:rPr>
            <w:rStyle w:val="Hyperlink"/>
          </w:rPr>
          <w:t xml:space="preserve">[4]</w:t>
        </w:r>
      </w:hyperlink>
      <w:r>
        <w:t xml:space="preserve">[8]. The derivative of the encounter rate with respect to population is therefore itself increasing in population over the operational range. The first empirical paper reported a linear specification because a single-period cross-section does not carry enough variation at very high densities to estimate convexity directly; the second empirical paper found a joint elasticity of conjunctions with respect to total in-shell population modestly above unity, consistent with mild convexity once active satellites are credited for the disproportionate screening volume they generate</w:t>
      </w:r>
      <w:r>
        <w:t xml:space="preserve"> </w:t>
      </w:r>
      <w:hyperlink w:anchor="ref-2">
        <w:r>
          <w:rPr>
            <w:rStyle w:val="Hyperlink"/>
          </w:rPr>
          <w:t xml:space="preserve">[2]</w:t>
        </w:r>
      </w:hyperlink>
      <w:r>
        <w:t xml:space="preserve">. This dissertation predicts that the integrated estimate, using cross-shell variation and within-shell time variation together, will reject linearity in favour of convexity.</w:t>
      </w:r>
    </w:p>
    <w:p>
      <w:pPr>
        <w:pStyle w:val="BodyText"/>
        <w:spacing w:line="480" w:lineRule="auto"/>
        <w:ind w:firstLine="720"/>
      </w:pPr>
      <w:r>
        <w:t xml:space="preserve">A second consideration is the share-of-derelicts mechanism. The first empirical paper showed derelict fraction to be the single largest substantive driver of per-object conjunction burden in the cross-section. Derelicts accumulate over time in shells that lack effective post-mission disposal, and their accumulation is itself a function of the historical launch rate into the shell. The MEC schedule therefore inherits a convexity contribution from the joint dynamics of derelict accumulation and the disproportionate burden derelicts impose on the maneuverable share of the population</w:t>
      </w:r>
      <w:r>
        <w:t xml:space="preserve"> </w:t>
      </w:r>
      <w:hyperlink w:anchor="ref-2">
        <w:r>
          <w:rPr>
            <w:rStyle w:val="Hyperlink"/>
          </w:rPr>
          <w:t xml:space="preserve">[2]</w:t>
        </w:r>
      </w:hyperlink>
      <w:r>
        <w:t xml:space="preserve">[6]. Shells where post-mission disposal is weak should show the steepest local slope of the MEC curve, and this dissertation predicts that the 700 to 900 km band displays the pattern most strongly, on account of its legacy population</w:t>
      </w:r>
      <w:r>
        <w:t xml:space="preserve"> </w:t>
      </w:r>
      <w:hyperlink w:anchor="ref-5">
        <w:r>
          <w:rPr>
            <w:rStyle w:val="Hyperlink"/>
          </w:rPr>
          <w:t xml:space="preserve">[5]</w:t>
        </w:r>
      </w:hyperlink>
      <w:r>
        <w:t xml:space="preserve">[6].</w:t>
      </w:r>
    </w:p>
    <w:p>
      <w:pPr>
        <w:pStyle w:val="BodyText"/>
        <w:spacing w:line="480" w:lineRule="auto"/>
        <w:ind w:firstLine="720"/>
      </w:pPr>
      <w:r>
        <w:t xml:space="preserve">The third consideration is the fragmentation-contribution channel. The expected contribution of an added object to future fragmentation hazard is itself increasing in the density of the shell it enters, because a denser shell offers more potential collision partners and more material for the resulting debris cone</w:t>
      </w:r>
      <w:r>
        <w:t xml:space="preserve"> </w:t>
      </w:r>
      <w:hyperlink w:anchor="ref-4">
        <w:r>
          <w:rPr>
            <w:rStyle w:val="Hyperlink"/>
          </w:rPr>
          <w:t xml:space="preserve">[4]</w:t>
        </w:r>
      </w:hyperlink>
      <w:r>
        <w:t xml:space="preserve">[8]. The forward-looking part of the social cost therefore adds a convexity term on top of the contemporaneous encounter-rate term. Jang and colleagues’ stability analysis of the LEO environment as a dynamical system identifies a regime in which the marginal contribution of an additional object to long-run hazard climbs steeply once a shell approaches its locally unstable region</w:t>
      </w:r>
      <w:r>
        <w:t xml:space="preserve"> </w:t>
      </w:r>
      <w:hyperlink w:anchor="ref-8">
        <w:r>
          <w:rPr>
            <w:rStyle w:val="Hyperlink"/>
          </w:rPr>
          <w:t xml:space="preserve">[8]</w:t>
        </w:r>
      </w:hyperlink>
      <w:r>
        <w:t xml:space="preserve">. This dissertation does not claim to identify the unstable region itself. It claims only that the local slope of the MEC curve in the populated bands is rising rather than constant.</w:t>
      </w:r>
    </w:p>
    <w:p>
      <w:pPr>
        <w:pStyle w:val="BodyText"/>
        <w:spacing w:line="480" w:lineRule="auto"/>
        <w:ind w:firstLine="720"/>
      </w:pPr>
      <w:r>
        <w:t xml:space="preserve">The functional-form prediction is therefore no free parameter. It is a direct consequence of three mechanisms the existing literature has independently characterised, and the contribution here is the integrated empirical estimate that ties the three together at the shell resolution policy requires.</w:t>
      </w:r>
    </w:p>
    <w:bookmarkEnd w:id="83"/>
    <w:bookmarkStart w:id="84" w:name="hypotheses"/>
    <w:p>
      <w:pPr>
        <w:pStyle w:val="Heading2"/>
        <w:spacing w:line="480" w:lineRule="auto"/>
      </w:pPr>
      <w:r>
        <w:t xml:space="preserve">3.5 Hypotheses</w:t>
      </w:r>
    </w:p>
    <w:p>
      <w:pPr>
        <w:pStyle w:val="FirstParagraph"/>
        <w:spacing w:line="480" w:lineRule="auto"/>
      </w:pPr>
      <w:r>
        <w:t xml:space="preserve">What the dissertation tests is a single falsifiable claim about the shape of the marginal external congestion cost schedule across LEO shells. The claim is stated as a null and a one-sided alternative.</w:t>
      </w:r>
    </w:p>
    <w:p>
      <w:pPr>
        <w:pStyle w:val="BodyText"/>
        <w:spacing w:line="480" w:lineRule="auto"/>
        <w:ind w:firstLine="720"/>
      </w:pPr>
      <w:r>
        <w:rPr>
          <w:b/>
          <w:bCs/>
        </w:rPr>
        <w:t xml:space="preserve">H0 (null).</w:t>
      </w:r>
      <w:r>
        <w:t xml:space="preserve"> </w:t>
      </w:r>
      <w:r>
        <w:t xml:space="preserve">The marginal external congestion cost function MEC(h, n_h) is either constant in n_h or non-monotonic in n_h across the 400 to 1,200 km band, when shell h is held fixed and n_h is allowed to vary over the range observed in the data.</w:t>
      </w:r>
    </w:p>
    <w:p>
      <w:pPr>
        <w:pStyle w:val="BodyText"/>
        <w:spacing w:line="480" w:lineRule="auto"/>
        <w:ind w:firstLine="720"/>
      </w:pPr>
      <w:r>
        <w:rPr>
          <w:b/>
          <w:bCs/>
        </w:rPr>
        <w:t xml:space="preserve">H1 (alternative).</w:t>
      </w:r>
      <w:r>
        <w:t xml:space="preserve"> </w:t>
      </w:r>
      <w:r>
        <w:t xml:space="preserve">The marginal external congestion cost function MEC(h, n_h) is strictly increasing and convex in n_h within each 50 km altitude shell across the 400 to 1,200 km band, with the local rate of convexity highest in the 500 to 600 km and 700 to 900 km bands.</w:t>
      </w:r>
    </w:p>
    <w:p>
      <w:pPr>
        <w:pStyle w:val="BodyText"/>
        <w:spacing w:line="480" w:lineRule="auto"/>
        <w:ind w:firstLine="720"/>
      </w:pPr>
      <w:r>
        <w:t xml:space="preserve">Three features of this hypothesis pair deserve comment. The alternative is one-sided and shape-specific. Finding the curve non-constant is not enough; the dissertation has to find it monotonically rising with a non-negative second derivative within each shell. A monotonically rising but concave curve would not reject H0 in favour of H1. It would reject H0 in favour of a different alternative the dissertation is not equipped to defend at this stage. That specificity is what makes the claim falsifiable rather than merely descriptive</w:t>
      </w:r>
      <w:r>
        <w:t xml:space="preserve"> </w:t>
      </w:r>
      <w:hyperlink w:anchor="ref-3">
        <w:r>
          <w:rPr>
            <w:rStyle w:val="Hyperlink"/>
          </w:rPr>
          <w:t xml:space="preserve">[3]</w:t>
        </w:r>
      </w:hyperlink>
      <w:r>
        <w:t xml:space="preserve">[4].</w:t>
      </w:r>
    </w:p>
    <w:p>
      <w:pPr>
        <w:pStyle w:val="BodyText"/>
        <w:spacing w:line="480" w:lineRule="auto"/>
        <w:ind w:firstLine="720"/>
      </w:pPr>
      <w:r>
        <w:t xml:space="preserve">The alternative also makes a within-shell prediction about which shells display the steepest convexity, a stronger prediction than the headline monotonicity claim. It is identifiable in the design because the two bands named (500 to 600 km and 700 to 900 km) are the bands in which the cross-sectional first-paper regression located the highest derelict fractions and the highest per-object burden, and because the event-study identification in the source-sink validation exploits fragmentation shocks that have historically clustered in these bands</w:t>
      </w:r>
      <w:r>
        <w:t xml:space="preserve"> </w:t>
      </w:r>
      <w:hyperlink w:anchor="ref-5">
        <w:r>
          <w:rPr>
            <w:rStyle w:val="Hyperlink"/>
          </w:rPr>
          <w:t xml:space="preserve">[5]</w:t>
        </w:r>
      </w:hyperlink>
      <w:r>
        <w:t xml:space="preserve">[6][8]. Rejecting H0 in favour of H1 therefore requires reproducing the shape prediction at the right altitudes, not merely at the right average.</w:t>
      </w:r>
    </w:p>
    <w:p>
      <w:pPr>
        <w:pStyle w:val="BodyText"/>
        <w:spacing w:line="480" w:lineRule="auto"/>
        <w:ind w:firstLine="720"/>
      </w:pPr>
      <w:r>
        <w:t xml:space="preserve">The hypothesis stays silent about absolute levels. The dissertation does not claim the estimated MEC schedule is the full social cost of an additional object. It is a lower bound, because it captures only the in-shell conjunction externality and not the cross-sector externalities adjacent sectors bear</w:t>
      </w:r>
      <w:r>
        <w:t xml:space="preserve"> </w:t>
      </w:r>
      <w:hyperlink w:anchor="ref-1">
        <w:r>
          <w:rPr>
            <w:rStyle w:val="Hyperlink"/>
          </w:rPr>
          <w:t xml:space="preserve">[1]</w:t>
        </w:r>
      </w:hyperlink>
      <w:r>
        <w:t xml:space="preserve">. The hypothesis also stays silent about the appropriate policy fee, because the appropriate fee depends on the social planner’s discount rate and on the welfare weights placed on operators and on adjacent sectors. It is a claim about shape, not about level.</w:t>
      </w:r>
    </w:p>
    <w:p>
      <w:pPr>
        <w:pStyle w:val="BodyText"/>
        <w:spacing w:line="480" w:lineRule="auto"/>
        <w:ind w:firstLine="720"/>
      </w:pPr>
      <w:r>
        <w:t xml:space="preserve">The criterion for rejection is operationalised in Chapter 4 through three nested specifications: a linear-in-density specification that nests H0 as a constant slope; a polynomial-in-density specification whose second-order coefficient identifies convexity; and a flexible spline specification whose first and second derivatives are evaluated at the within-shell sample mean and at the 90th percentile of the in-shell density distribution. Rejecting H0 requires the second-order coefficient or the corresponding derivative bound to be positive at conventional significance under heteroskedasticity-robust inference, and to survive the source-sink robustness band derived from the Jang and Giudici specifications</w:t>
      </w:r>
      <w:r>
        <w:t xml:space="preserve"> </w:t>
      </w:r>
      <w:hyperlink w:anchor="ref-8">
        <w:r>
          <w:rPr>
            <w:rStyle w:val="Hyperlink"/>
          </w:rPr>
          <w:t xml:space="preserve">[8]</w:t>
        </w:r>
      </w:hyperlink>
      <w:r>
        <w:t xml:space="preserve">[12].</w:t>
      </w:r>
    </w:p>
    <w:bookmarkEnd w:id="84"/>
    <w:bookmarkStart w:id="85" w:name="auxiliary-predictions-and-policy-reading"/>
    <w:p>
      <w:pPr>
        <w:pStyle w:val="Heading2"/>
        <w:spacing w:line="480" w:lineRule="auto"/>
      </w:pPr>
      <w:r>
        <w:t xml:space="preserve">3.6 Auxiliary Predictions and Policy Reading</w:t>
      </w:r>
    </w:p>
    <w:p>
      <w:pPr>
        <w:pStyle w:val="FirstParagraph"/>
        <w:spacing w:line="480" w:lineRule="auto"/>
      </w:pPr>
      <w:r>
        <w:t xml:space="preserve">Three auxiliary predictions follow from the framework. They are not falsifiable claims in the same sense as H0 versus H1, but they shape the interpretation of the integrated curve and the policy chapter that closes the dissertation.</w:t>
      </w:r>
    </w:p>
    <w:p>
      <w:pPr>
        <w:pStyle w:val="BodyText"/>
        <w:spacing w:line="480" w:lineRule="auto"/>
        <w:ind w:firstLine="720"/>
      </w:pPr>
      <w:r>
        <w:t xml:space="preserve">The first is that derelict fraction enters the MEC schedule as a multiplicative scale rather than an additive shift. The first empirical paper found derelict fraction to be the largest substantive driver of per-object conjunction burden, with a coefficient implying that moving a shell from 10 percent to 60 percent derelict adds about 0.64 conjunctions per object per year</w:t>
      </w:r>
      <w:r>
        <w:t xml:space="preserve"> </w:t>
      </w:r>
      <w:hyperlink w:anchor="ref-2">
        <w:r>
          <w:rPr>
            <w:rStyle w:val="Hyperlink"/>
          </w:rPr>
          <w:t xml:space="preserve">[2]</w:t>
        </w:r>
      </w:hyperlink>
      <w:r>
        <w:t xml:space="preserve">[11]. The mechanism in section 3.3 says this effect should compound with shell population rather than enter independently of it, because derelicts both raise the encounter rate and strip the avoidance margin from the conjunctions they generate. The integrated specification therefore carries a population-by-derelict interaction term, and the framework predicts that interaction is positive.</w:t>
      </w:r>
    </w:p>
    <w:p>
      <w:pPr>
        <w:pStyle w:val="BodyText"/>
        <w:spacing w:line="480" w:lineRule="auto"/>
        <w:ind w:firstLine="720"/>
      </w:pPr>
      <w:r>
        <w:t xml:space="preserve">The second is that the MEC schedule reproduces, on a shell-aggregated basis, the order of magnitude of the aggregate cost path estimated by Rao and Rondina</w:t>
      </w:r>
      <w:r>
        <w:t xml:space="preserve"> </w:t>
      </w:r>
      <w:hyperlink w:anchor="ref-3">
        <w:r>
          <w:rPr>
            <w:rStyle w:val="Hyperlink"/>
          </w:rPr>
          <w:t xml:space="preserve">[3]</w:t>
        </w:r>
      </w:hyperlink>
      <w:r>
        <w:t xml:space="preserve"> </w:t>
      </w:r>
      <w:r>
        <w:t xml:space="preserve">and the Pigouvian rate implied by Adilov and colleagues</w:t>
      </w:r>
      <w:r>
        <w:t xml:space="preserve"> </w:t>
      </w:r>
      <w:hyperlink w:anchor="ref-4">
        <w:r>
          <w:rPr>
            <w:rStyle w:val="Hyperlink"/>
          </w:rPr>
          <w:t xml:space="preserve">[4]</w:t>
        </w:r>
      </w:hyperlink>
      <w:r>
        <w:t xml:space="preserve">. This is a sanity check rather than a test, because the aggregate models abstract from shell heterogeneity in ways the shell-resolved estimate cannot match exactly. A shell-aggregated rate that fell two orders of magnitude away from either benchmark would raise serious concerns about the cost-monetisation step, and the dissertation reports the comparison openly rather than treating the shell-level estimate as immune from aggregate cross-check.</w:t>
      </w:r>
    </w:p>
    <w:p>
      <w:pPr>
        <w:pStyle w:val="BodyText"/>
        <w:spacing w:line="480" w:lineRule="auto"/>
        <w:ind w:firstLine="720"/>
      </w:pPr>
      <w:r>
        <w:t xml:space="preserve">The third is that the policy reading of the curve is conditional rather than categorical. A shell-conditioned Pigouvian fee that indexes on at minimum shell population and derelict fraction will, under H1, dominate a uniform per-launch fee on standard welfare grounds</w:t>
      </w:r>
      <w:r>
        <w:t xml:space="preserve"> </w:t>
      </w:r>
      <w:hyperlink w:anchor="ref-3">
        <w:r>
          <w:rPr>
            <w:rStyle w:val="Hyperlink"/>
          </w:rPr>
          <w:t xml:space="preserve">[3]</w:t>
        </w:r>
      </w:hyperlink>
      <w:r>
        <w:t xml:space="preserve">[4][9]. The size of the welfare improvement depends on the curvature of the schedule and on the elasticity of operator response, neither of which the dissertation estimates. The framework therefore supports the case for shell-conditioned pricing without making a quantitative claim about the welfare gain from any particular schedule. The sustainability-rating literature offers a complementary instrument</w:t>
      </w:r>
      <w:r>
        <w:t xml:space="preserve"> </w:t>
      </w:r>
      <w:hyperlink w:anchor="ref-2">
        <w:r>
          <w:rPr>
            <w:rStyle w:val="Hyperlink"/>
          </w:rPr>
          <w:t xml:space="preserve">[2]</w:t>
        </w:r>
      </w:hyperlink>
      <w:r>
        <w:t xml:space="preserve"> </w:t>
      </w:r>
      <w:r>
        <w:t xml:space="preserve">that the policy chapter discusses alongside the Pigouvian reading, on the view that a credible price signal and a transparent behavioural indicator are complements rather than substitutes.</w:t>
      </w:r>
    </w:p>
    <w:p>
      <w:pPr>
        <w:pStyle w:val="BodyText"/>
        <w:spacing w:line="480" w:lineRule="auto"/>
        <w:ind w:firstLine="720"/>
      </w:pPr>
      <w:r>
        <w:t xml:space="preserve">The chapter closes by returning to the structural diagnosis it opened with. The orbital commons is congestible. The wedge between the private cost of access and the social cost of an additional object is the marginal external congestion cost. That wedge varies by altitude shell, by the share of the in-shell population that cannot manoeuvre, and by the dynamical state of the shell the object enters. The empirical chapters estimate the wedge at the resolution at which the wedge is felt. The hypotheses H0 and H1 in section 3.5 are the falsifiable test that disciplines the estimate, and the auxiliary predictions here are the bridge to the policy reading that closes the dissertation.</w:t>
      </w:r>
    </w:p>
    <w:bookmarkEnd w:id="85"/>
    <w:bookmarkEnd w:id="86"/>
    <w:bookmarkStart w:id="97" w:name="chapter-4.-data-and-measurement"/>
    <w:p>
      <w:pPr>
        <w:pStyle w:val="Heading1"/>
        <w:spacing w:line="480" w:lineRule="auto"/>
      </w:pPr>
      <w:r>
        <w:t xml:space="preserve">Chapter 4. Data and Measurement</w:t>
      </w:r>
    </w:p>
    <w:bookmarkStart w:id="87" w:name="purpose-and-organisation-of-the-chapter"/>
    <w:p>
      <w:pPr>
        <w:pStyle w:val="Heading2"/>
        <w:spacing w:line="480" w:lineRule="auto"/>
      </w:pPr>
      <w:r>
        <w:t xml:space="preserve">4.1 Purpose and Organisation of the Chapter</w:t>
      </w:r>
    </w:p>
    <w:p>
      <w:pPr>
        <w:pStyle w:val="FirstParagraph"/>
        <w:spacing w:line="480" w:lineRule="auto"/>
      </w:pPr>
      <w:r>
        <w:t xml:space="preserve">Both empirical papers of this dissertation rest on one measurement architecture, an architecture that resolves the low Earth orbit (LEO) population into altitude shells and hands each shell a small vector of physically meaningful covariates plus an outcome variable proxying congestion burden. This chapter documents it. It describes the primary datasets, names the institutional custodians, defines the unit of analysis each paper uses, and shows how every regressor and every dependent variable is built from primary records rather than secondary summaries. The presentation follows the analytic chain. Section 4.2 fixes the unit of analysis and explains why the altitude shell is the natural object of measurement. Section 4.3 catalogues the authoritative public sources and the access regime under which each is obtained. Section 4.4 specifies the construction of the resident space object population variable. Section 4.5 specifies the derelict fraction. Section 4.6 specifies the cross-section and inclination spread variables. Section 4.7 specifies the conjunction outcome variable in both its per-object form, used in the cross-sectional paper, and its count form, used in the log-linear panel paper. Section 4.8 describes the active satellite count used in the second paper. Section 4.9 lays out the cross-validation steps that protect the measurement against catalogue incompleteness and against the well-documented gap between the NASA Standard Breakup Model and Space Fence empirical observations</w:t>
      </w:r>
      <w:r>
        <w:t xml:space="preserve"> </w:t>
      </w:r>
      <w:hyperlink w:anchor="ref-6">
        <w:r>
          <w:rPr>
            <w:rStyle w:val="Hyperlink"/>
          </w:rPr>
          <w:t xml:space="preserve">[6]</w:t>
        </w:r>
      </w:hyperlink>
      <w:r>
        <w:t xml:space="preserve">. Section 4.10 closes on the explicit treatment of measurement error, including the rules governing cells flagged as illustrative.</w:t>
      </w:r>
    </w:p>
    <w:bookmarkEnd w:id="87"/>
    <w:bookmarkStart w:id="88" w:name="unit-of-analysis"/>
    <w:p>
      <w:pPr>
        <w:pStyle w:val="Heading2"/>
        <w:spacing w:line="480" w:lineRule="auto"/>
      </w:pPr>
      <w:r>
        <w:t xml:space="preserve">4.2 Unit of Analysis</w:t>
      </w:r>
    </w:p>
    <w:p>
      <w:pPr>
        <w:pStyle w:val="FirstParagraph"/>
        <w:spacing w:line="480" w:lineRule="auto"/>
      </w:pPr>
      <w:r>
        <w:t xml:space="preserve">Both empirical papers treat the LEO altitude shell as the unit of observation, and they differ only in resolution and time domain. The cross-sectional paper, hereafter Paper One, divides the column from 200 km to 2,000 km into thirty-six 50 km shells observed at a single reference period, yielding thirty-six shell observations. The panel paper, hereafter Paper Two, narrows to the six 100 km shells between 400 km and 1,000 km that hold the bulk of the operationally active population, and follows them across the six annual periods from 2019 through 2024, yielding thirty-six shell-year observations. The two designs are reconciled in observation count on purpose, to keep diagnostic statistics comparable and degrees of freedom consistent across specifications. Their identifying variation is nonetheless different in kind: the cross-section identifies the gradient of per-object burden across shells at a fixed moment, and the panel identifies the elasticity of conjunction counts with respect to in-shell population over time within shell.</w:t>
      </w:r>
    </w:p>
    <w:p>
      <w:pPr>
        <w:pStyle w:val="BodyText"/>
        <w:spacing w:line="480" w:lineRule="auto"/>
        <w:ind w:firstLine="720"/>
      </w:pPr>
      <w:r>
        <w:t xml:space="preserve">Choosing the altitude shell as the unit follows the physics of conjunction probability. The collision-probability calculation that drives every operational screening service is governed by the spatial density of objects, the relative velocity geometry within an altitude band, and the cross-section of the encountering objects, not by the aggregate LEO population</w:t>
      </w:r>
      <w:r>
        <w:t xml:space="preserve"> </w:t>
      </w:r>
      <w:hyperlink w:anchor="ref-3">
        <w:r>
          <w:rPr>
            <w:rStyle w:val="Hyperlink"/>
          </w:rPr>
          <w:t xml:space="preserve">[3]</w:t>
        </w:r>
      </w:hyperlink>
      <w:r>
        <w:t xml:space="preserve">[12]. A density-based evolutionary model of the LEO environment, the framework Giudici and colleagues develop and that Paper One adopts as its empirical scaffolding, treats the shell as the natural unit precisely because collision rates within a shell are tractable as functions of in-shell density while collision rates across shells demand separate accounting for crossing geometries</w:t>
      </w:r>
      <w:r>
        <w:t xml:space="preserve"> </w:t>
      </w:r>
      <w:hyperlink w:anchor="ref-12">
        <w:r>
          <w:rPr>
            <w:rStyle w:val="Hyperlink"/>
          </w:rPr>
          <w:t xml:space="preserve">[12]</w:t>
        </w:r>
      </w:hyperlink>
      <w:r>
        <w:t xml:space="preserve">. Regulatory practice runs the same way: licensing authorities recognise that the social cost of an additional object depends on the shell it occupies, and capacity-management proposals in the space-traffic-management literature route the policy lever through shell-level indicators</w:t>
      </w:r>
      <w:r>
        <w:t xml:space="preserve"> </w:t>
      </w:r>
      <w:hyperlink w:anchor="ref-14">
        <w:r>
          <w:rPr>
            <w:rStyle w:val="Hyperlink"/>
          </w:rPr>
          <w:t xml:space="preserve">[14]</w:t>
        </w:r>
      </w:hyperlink>
      <w:r>
        <w:t xml:space="preserve">.</w:t>
      </w:r>
    </w:p>
    <w:p>
      <w:pPr>
        <w:pStyle w:val="BodyText"/>
        <w:spacing w:line="480" w:lineRule="auto"/>
        <w:ind w:firstLine="720"/>
      </w:pPr>
      <w:r>
        <w:t xml:space="preserve">Shell width is a measurement decision, not a physical one. Paper One uses 50 km bins because that resolution matches the inclination-spread tables and the population breakdowns reported in the ESA Annual Space Environment Report 2024</w:t>
      </w:r>
      <w:r>
        <w:t xml:space="preserve"> </w:t>
      </w:r>
      <w:hyperlink w:anchor="ref-15">
        <w:r>
          <w:rPr>
            <w:rStyle w:val="Hyperlink"/>
          </w:rPr>
          <w:t xml:space="preserve">[15]</w:t>
        </w:r>
      </w:hyperlink>
      <w:r>
        <w:t xml:space="preserve"> </w:t>
      </w:r>
      <w:r>
        <w:t xml:space="preserve">and the shell-level distributions in Giudici and colleagues</w:t>
      </w:r>
      <w:r>
        <w:t xml:space="preserve"> </w:t>
      </w:r>
      <w:hyperlink w:anchor="ref-12">
        <w:r>
          <w:rPr>
            <w:rStyle w:val="Hyperlink"/>
          </w:rPr>
          <w:t xml:space="preserve">[12]</w:t>
        </w:r>
      </w:hyperlink>
      <w:r>
        <w:t xml:space="preserve">, which preserves source fidelity. Paper Two widens to 100 km bins because the panel requires every shell-year cell to hold a non-trivial population in every year of the 2019 to 2024 window, and the 100 km bin is the narrowest resolution that satisfies that condition across all six shells of the operationally active band. Both bin widths are physically defensible. They sit well above the orbit-determination uncertainty in the public catalogue and well below the altitude scale over which atmospheric density, dominant inclination families, and operational constellation deployment differ materially.</w:t>
      </w:r>
    </w:p>
    <w:bookmarkEnd w:id="88"/>
    <w:bookmarkStart w:id="89" w:name="authoritative-sources"/>
    <w:p>
      <w:pPr>
        <w:pStyle w:val="Heading2"/>
        <w:spacing w:line="480" w:lineRule="auto"/>
      </w:pPr>
      <w:r>
        <w:t xml:space="preserve">4.3 Authoritative Sources</w:t>
      </w:r>
    </w:p>
    <w:p>
      <w:pPr>
        <w:pStyle w:val="FirstParagraph"/>
        <w:spacing w:line="480" w:lineRule="auto"/>
      </w:pPr>
      <w:r>
        <w:t xml:space="preserve">Five families of authoritative source supply the chapter. The United States Space Force public catalogue distributed through Space-Track.org, operated by the 18th and 19th Space Defense Squadrons, is the anchor. Space-Track provides the general perturbations element sets, the Satellite Catalog with object class and country of registration, and the conjunction data message stream that together yield the population, derelict, and conjunction variables described below. A no-cost user agreement governs access, and the records come in bulk through the documented REST application programming interface. This corpus is the primary record of orbital populations, treated throughout as the canonical catalogue against which every other source is reconciled.</w:t>
      </w:r>
    </w:p>
    <w:p>
      <w:pPr>
        <w:pStyle w:val="BodyText"/>
        <w:spacing w:line="480" w:lineRule="auto"/>
        <w:ind w:firstLine="720"/>
      </w:pPr>
      <w:r>
        <w:t xml:space="preserve">The European Space Agency Space Debris Office Annual Space Environment Report, hereafter the ESA ASER, and the related DISCOSweb database that underlies its tabulations come next</w:t>
      </w:r>
      <w:r>
        <w:t xml:space="preserve"> </w:t>
      </w:r>
      <w:hyperlink w:anchor="ref-15">
        <w:r>
          <w:rPr>
            <w:rStyle w:val="Hyperlink"/>
          </w:rPr>
          <w:t xml:space="preserve">[15]</w:t>
        </w:r>
      </w:hyperlink>
      <w:r>
        <w:t xml:space="preserve">[18]. The 2024 edition provides the shell-level population distributions reproduced in Paper One and the cross-section means that enter its regression specification. The 2020 through 2025 editions provide the resident space object and active satellite annual counts feeding the Paper Two panel. The ASER is treated as a curated derivative of the underlying catalogue rather than an independent record, and its values are reconciled against Space-Track directly wherever the analytic resolution requires it.</w:t>
      </w:r>
    </w:p>
    <w:p>
      <w:pPr>
        <w:pStyle w:val="BodyText"/>
        <w:spacing w:line="480" w:lineRule="auto"/>
        <w:ind w:firstLine="720"/>
      </w:pPr>
      <w:r>
        <w:t xml:space="preserve">The NASA Orbital Debris Program Office quarterly publication, the Orbital Debris Quarterly News, hereafter the ODQN, supplies fragmentation event metadata, including event timing, parent object identity, and shell of origin, along with the conjunction summaries that anchor the count variable of Paper Two</w:t>
      </w:r>
      <w:r>
        <w:t xml:space="preserve"> </w:t>
      </w:r>
      <w:hyperlink w:anchor="ref-16">
        <w:r>
          <w:rPr>
            <w:rStyle w:val="Hyperlink"/>
          </w:rPr>
          <w:t xml:space="preserve">[16]</w:t>
        </w:r>
      </w:hyperlink>
      <w:r>
        <w:t xml:space="preserve">[22]. ODQN issues from 2020 through 2024 are read for Paper Two, and the 2024 issues for Paper One. The Quarterly News serves as an authoritative narrative companion to the underlying NASA Orbital Debris Engineering Model rather than a stand-alone data product, and its event records are cross-checked against the Space-Track catalogue for parent object identification.</w:t>
      </w:r>
    </w:p>
    <w:p>
      <w:pPr>
        <w:pStyle w:val="BodyText"/>
        <w:spacing w:line="480" w:lineRule="auto"/>
        <w:ind w:firstLine="720"/>
      </w:pPr>
      <w:r>
        <w:t xml:space="preserve">The commercial conjunction-screening sector enters through the LeoLabs LEO Vital Signs annual releases and the conjunction-message tabulations reported by the Aerospace Corporation in the open literature</w:t>
      </w:r>
      <w:r>
        <w:t xml:space="preserve"> </w:t>
      </w:r>
      <w:hyperlink w:anchor="ref-20">
        <w:r>
          <w:rPr>
            <w:rStyle w:val="Hyperlink"/>
          </w:rPr>
          <w:t xml:space="preserve">[20]</w:t>
        </w:r>
      </w:hyperlink>
      <w:r>
        <w:t xml:space="preserve">. The LeoLabs releases carry an independent conjunction tally derived from the LeoLabs phased-array radar network and its commercial screening service, entering Paper Two as the second of two independent conjunction count records used to validate the ODQN-derived count. The Aerospace tabulations enter Paper Two as the third independent record. The Combined Space Operations Center conjunction message tabulations, reported in the same stream, provide a fourth cross-check.</w:t>
      </w:r>
    </w:p>
    <w:p>
      <w:pPr>
        <w:pStyle w:val="BodyText"/>
        <w:spacing w:line="480" w:lineRule="auto"/>
        <w:ind w:firstLine="720"/>
      </w:pPr>
      <w:r>
        <w:t xml:space="preserve">The Space Fence radar empirical record, drawn from the Smith, Folcik, and Linares comparative analysis of the NASA Standard Breakup Model and Space Fence observations, rounds out the five</w:t>
      </w:r>
      <w:r>
        <w:t xml:space="preserve"> </w:t>
      </w:r>
      <w:hyperlink w:anchor="ref-6">
        <w:r>
          <w:rPr>
            <w:rStyle w:val="Hyperlink"/>
          </w:rPr>
          <w:t xml:space="preserve">[6]</w:t>
        </w:r>
      </w:hyperlink>
      <w:r>
        <w:t xml:space="preserve">. It is used not as a primary count of population but as a measurement-error reference against which the public-catalogue population is bracketed in the sub-10 cm regime, a treatment described in Section 4.9.</w:t>
      </w:r>
    </w:p>
    <w:p>
      <w:pPr>
        <w:pStyle w:val="BodyText"/>
        <w:spacing w:line="480" w:lineRule="auto"/>
        <w:ind w:firstLine="720"/>
      </w:pPr>
      <w:r>
        <w:t xml:space="preserve">Two sources enter as parameter inputs rather than observation records. Operator sustainability disclosures aggregated under the Space Sustainability Rating framework supply the manoeuvre fuel and mission-life shortening cost parameters used in the monetisation step that translates conjunction counts into expected loss in later chapters</w:t>
      </w:r>
      <w:r>
        <w:t xml:space="preserve"> </w:t>
      </w:r>
      <w:hyperlink w:anchor="ref-2">
        <w:r>
          <w:rPr>
            <w:rStyle w:val="Hyperlink"/>
          </w:rPr>
          <w:t xml:space="preserve">[2]</w:t>
        </w:r>
      </w:hyperlink>
      <w:r>
        <w:t xml:space="preserve">. The Pardini and Anselmo evaluation of the impact of space activities in LEO supplies the operator-level burden contributions that anchor the calibration of the per-object conjunction proxy in Paper One</w:t>
      </w:r>
      <w:r>
        <w:t xml:space="preserve"> </w:t>
      </w:r>
      <w:hyperlink w:anchor="ref-11">
        <w:r>
          <w:rPr>
            <w:rStyle w:val="Hyperlink"/>
          </w:rPr>
          <w:t xml:space="preserve">[11]</w:t>
        </w:r>
      </w:hyperlink>
      <w:r>
        <w:t xml:space="preserve">.</w:t>
      </w:r>
    </w:p>
    <w:bookmarkEnd w:id="89"/>
    <w:bookmarkStart w:id="90" w:name="X0444f4c71a345d500956c0e555d5404a1470deb"/>
    <w:p>
      <w:pPr>
        <w:pStyle w:val="Heading2"/>
        <w:spacing w:line="480" w:lineRule="auto"/>
      </w:pPr>
      <w:r>
        <w:t xml:space="preserve">4.4 Construction of Resident Space Object Population</w:t>
      </w:r>
    </w:p>
    <w:p>
      <w:pPr>
        <w:pStyle w:val="FirstParagraph"/>
        <w:spacing w:line="480" w:lineRule="auto"/>
      </w:pPr>
      <w:r>
        <w:t xml:space="preserve">The resident space object population variable, denoted N for shell s, is built from the Space-Track Satellite Catalog by selecting all catalogued objects whose mean altitude over the reference period lies within the shell boundaries, where mean altitude is the simple average of perigee and apogee derived from the two-line element set at the period boundary. Objects with eccentricity above 0.25 are excluded from shell assignment in Paper One, because their orbital arcs cross multiple shells and their collision probability cannot be attributed cleanly to a single shell; they are reassigned to a separate cross-shell category that does not enter the regressions. Paper Two applies the same eccentricity filter and takes the resulting per-shell counts as the year-end population for each shell-year cell.</w:t>
      </w:r>
    </w:p>
    <w:p>
      <w:pPr>
        <w:pStyle w:val="BodyText"/>
        <w:spacing w:line="480" w:lineRule="auto"/>
        <w:ind w:firstLine="720"/>
      </w:pPr>
      <w:r>
        <w:t xml:space="preserve">Why compute mean altitude from perigee and apogee rather than assign an object to the shell containing its semi-major axis? The choice tracks the operational practice of conjunction-screening services, which evaluate close approaches at the locus of the orbit rather than at the average radial distance. The mean altitude proxy holds up under mild eccentricity and breaks down only when the orbit crosses shell boundaries, which is the case the eccentricity filter already handles.</w:t>
      </w:r>
    </w:p>
    <w:p>
      <w:pPr>
        <w:pStyle w:val="BodyText"/>
        <w:spacing w:line="480" w:lineRule="auto"/>
        <w:ind w:firstLine="720"/>
      </w:pPr>
      <w:r>
        <w:t xml:space="preserve">For Paper One the reference period is the calendar quarter immediately preceding the reference date of the ESA ASER 2024, which fixes a single cross-section. The shell population values reproduced from Figure 3.3 of the ASER 2024 are taken as the published reference, and the Space-Track extraction is reconciled to them within a five-percent tolerance on each shell. Where reconciliation exceeds the tolerance, which happens in three of the thirty-six shells, the discrepancy is recorded and the ESA value adopted, with the deviation entering the measurement-error treatment of Section 4.10.</w:t>
      </w:r>
    </w:p>
    <w:p>
      <w:pPr>
        <w:pStyle w:val="BodyText"/>
        <w:spacing w:line="480" w:lineRule="auto"/>
        <w:ind w:firstLine="720"/>
      </w:pPr>
      <w:r>
        <w:t xml:space="preserve">For Paper Two the resident space object count is computed at the end of each calendar year from 2019 through 2024 by the same procedure, with the ESA ASER annual editions supplying the reconciling reference</w:t>
      </w:r>
      <w:r>
        <w:t xml:space="preserve"> </w:t>
      </w:r>
      <w:hyperlink w:anchor="ref-18">
        <w:r>
          <w:rPr>
            <w:rStyle w:val="Hyperlink"/>
          </w:rPr>
          <w:t xml:space="preserve">[18]</w:t>
        </w:r>
      </w:hyperlink>
      <w:r>
        <w:t xml:space="preserve">. The CelesTrak SATCAT shell extraction provides an independent third check; CelesTrak applies a slightly different mean-altitude convention, and the differences sit inside the tolerance band in every shell-year cell.</w:t>
      </w:r>
    </w:p>
    <w:bookmarkEnd w:id="90"/>
    <w:bookmarkStart w:id="91" w:name="construction-of-the-derelict-fraction"/>
    <w:p>
      <w:pPr>
        <w:pStyle w:val="Heading2"/>
        <w:spacing w:line="480" w:lineRule="auto"/>
      </w:pPr>
      <w:r>
        <w:t xml:space="preserve">4.5 Construction of the Derelict Fraction</w:t>
      </w:r>
    </w:p>
    <w:p>
      <w:pPr>
        <w:pStyle w:val="FirstParagraph"/>
        <w:spacing w:line="480" w:lineRule="auto"/>
      </w:pPr>
      <w:r>
        <w:t xml:space="preserve">The derelict fraction, denoted D for shell s in Paper One, is the share of the resident space object population in the shell that cannot execute a collision-avoidance manoeuvre under any operator command. It is built from the Space-Track Satellite Catalog object-class field cross-referenced against the ESA ASER 2024 operator-status tables</w:t>
      </w:r>
      <w:r>
        <w:t xml:space="preserve"> </w:t>
      </w:r>
      <w:hyperlink w:anchor="ref-15">
        <w:r>
          <w:rPr>
            <w:rStyle w:val="Hyperlink"/>
          </w:rPr>
          <w:t xml:space="preserve">[15]</w:t>
        </w:r>
      </w:hyperlink>
      <w:r>
        <w:t xml:space="preserve">. The object-class taxonomy distinguishes payload, rocket body, debris, and unknown. Rocket bodies and debris are coded derelict by definition. Payloads are coded derelict when the ASER 2024 operator-status table records them as defunct, or when no operator filing has registered them operational within the twenty-four months preceding the reference period.</w:t>
      </w:r>
    </w:p>
    <w:p>
      <w:pPr>
        <w:pStyle w:val="BodyText"/>
        <w:spacing w:line="480" w:lineRule="auto"/>
        <w:ind w:firstLine="720"/>
      </w:pPr>
      <w:r>
        <w:t xml:space="preserve">Derelict fraction is then the count of derelict objects in the shell divided by the total resident space object count in the shell, both under the population convention of Section 4.4. The variable is naturally bounded between zero and one. Across the constructed dataset of Paper One it runs from roughly 0.05 in the most actively managed broadband shells to roughly 0.85 in the legacy 800 km sun-synchronous shells. This is the single feature whose policy salience this dissertation argues most strongly, because it is the shell characteristic conjunction-screening cannot mitigate operationally: a derelict object cannot accept a manoeuvre command, and the burden it places on a co-resident operational satellite falls on that operational satellite alone</w:t>
      </w:r>
      <w:r>
        <w:t xml:space="preserve"> </w:t>
      </w:r>
      <w:hyperlink w:anchor="ref-11">
        <w:r>
          <w:rPr>
            <w:rStyle w:val="Hyperlink"/>
          </w:rPr>
          <w:t xml:space="preserve">[11]</w:t>
        </w:r>
      </w:hyperlink>
      <w:r>
        <w:t xml:space="preserve">.</w:t>
      </w:r>
    </w:p>
    <w:bookmarkEnd w:id="91"/>
    <w:bookmarkStart w:id="92" w:name="cross-section-and-inclination-spread"/>
    <w:p>
      <w:pPr>
        <w:pStyle w:val="Heading2"/>
        <w:spacing w:line="480" w:lineRule="auto"/>
      </w:pPr>
      <w:r>
        <w:t xml:space="preserve">4.6 Cross-Section and Inclination Spread</w:t>
      </w:r>
    </w:p>
    <w:p>
      <w:pPr>
        <w:pStyle w:val="FirstParagraph"/>
        <w:spacing w:line="480" w:lineRule="auto"/>
      </w:pPr>
      <w:r>
        <w:t xml:space="preserve">The mean radar cross-section in a shell, denoted A, comes from the DISCOSweb-derived shell-level cross-section means as summarised in the ESA ASER 2024</w:t>
      </w:r>
      <w:r>
        <w:t xml:space="preserve"> </w:t>
      </w:r>
      <w:hyperlink w:anchor="ref-15">
        <w:r>
          <w:rPr>
            <w:rStyle w:val="Hyperlink"/>
          </w:rPr>
          <w:t xml:space="preserve">[15]</w:t>
        </w:r>
      </w:hyperlink>
      <w:r>
        <w:t xml:space="preserve">. DISCOSweb maintains a per-object cross-section record drawn from operator filings, radar measurements, and modelled estimates for objects without measured cross-section. The ASER 2024 reports shell-aggregate means computed from the underlying object records, and Paper One adopts those means directly. The unit is the square metre. For Paper Two the cross-section variable does not enter the specification, which is parsimonious by design, though the DISCOSweb shell means are recorded in the panel dataset as a covariate available for the robustness checks of Chapter 6.</w:t>
      </w:r>
    </w:p>
    <w:p>
      <w:pPr>
        <w:pStyle w:val="BodyText"/>
        <w:spacing w:line="480" w:lineRule="auto"/>
        <w:ind w:firstLine="720"/>
      </w:pPr>
      <w:r>
        <w:t xml:space="preserve">The inclination spread variable, denoted I in Paper One, is the standard deviation of orbital inclination across the resident space object population of the shell, in degrees. The inclination distribution at the shell level is taken from the tabulations in Giudici and colleagues</w:t>
      </w:r>
      <w:r>
        <w:t xml:space="preserve"> </w:t>
      </w:r>
      <w:hyperlink w:anchor="ref-12">
        <w:r>
          <w:rPr>
            <w:rStyle w:val="Hyperlink"/>
          </w:rPr>
          <w:t xml:space="preserve">[12]</w:t>
        </w:r>
      </w:hyperlink>
      <w:r>
        <w:t xml:space="preserve">, whose density-based evolutionary model reports inclination distributions at the shell resolution Paper One adopts. The standard deviation is computed across the population that meets the eccentricity filter of Section 4.4. The unit is the degree. Inclination spread is included because the wider the inclination distribution within a shell, the more diverse the relative-velocity geometries presented to conjunction-screening services, with the two competing effects on encounter rate and dwell time the prospectus describes. It enters the regression with a coefficient whose sign is left to the data.</w:t>
      </w:r>
    </w:p>
    <w:bookmarkEnd w:id="92"/>
    <w:bookmarkStart w:id="93" w:name="conjunction-outcome-variables"/>
    <w:p>
      <w:pPr>
        <w:pStyle w:val="Heading2"/>
        <w:spacing w:line="480" w:lineRule="auto"/>
      </w:pPr>
      <w:r>
        <w:t xml:space="preserve">4.7 Conjunction Outcome Variables</w:t>
      </w:r>
    </w:p>
    <w:p>
      <w:pPr>
        <w:pStyle w:val="FirstParagraph"/>
        <w:spacing w:line="480" w:lineRule="auto"/>
      </w:pPr>
      <w:r>
        <w:t xml:space="preserve">The two papers use related but distinct conjunction outcome variables. Paper One uses an annual per-object conjunction count, denoted lambda for shell s, in events per object per year, calibrated to the shell-level event-rate framing developed by Pardini and Anselmo</w:t>
      </w:r>
      <w:r>
        <w:t xml:space="preserve"> </w:t>
      </w:r>
      <w:hyperlink w:anchor="ref-11">
        <w:r>
          <w:rPr>
            <w:rStyle w:val="Hyperlink"/>
          </w:rPr>
          <w:t xml:space="preserve">[11]</w:t>
        </w:r>
      </w:hyperlink>
      <w:r>
        <w:t xml:space="preserve"> </w:t>
      </w:r>
      <w:r>
        <w:t xml:space="preserve">and cross-checked against the dense-shell discussions in the AMOS broadband-constellation literature</w:t>
      </w:r>
      <w:r>
        <w:t xml:space="preserve"> </w:t>
      </w:r>
      <w:hyperlink w:anchor="ref-13">
        <w:r>
          <w:rPr>
            <w:rStyle w:val="Hyperlink"/>
          </w:rPr>
          <w:t xml:space="preserve">[13]</w:t>
        </w:r>
      </w:hyperlink>
      <w:r>
        <w:t xml:space="preserve">. It is built by first counting all conjunction data messages the 18th Space Defense Squadron issued during the reference period in which at least one of the two screened objects has its mean altitude inside the shell, dividing by the population N of the shell, and annualising by the duration of the reference period. The screening threshold is held at the 18th Space Defense Squadron default. The conjunction data message stream comes from Space-Track under the standard user agreement.</w:t>
      </w:r>
    </w:p>
    <w:p>
      <w:pPr>
        <w:pStyle w:val="BodyText"/>
        <w:spacing w:line="480" w:lineRule="auto"/>
        <w:ind w:firstLine="720"/>
      </w:pPr>
      <w:r>
        <w:t xml:space="preserve">Paper Two uses the count of conjunction events, denoted C for shell s in year t, on its natural scale and in the log specification described in Chapter 5. That count is built from three independent sources: the ODQN conjunction summaries for each calendar year from 2019 through 2024</w:t>
      </w:r>
      <w:r>
        <w:t xml:space="preserve"> </w:t>
      </w:r>
      <w:hyperlink w:anchor="ref-22">
        <w:r>
          <w:rPr>
            <w:rStyle w:val="Hyperlink"/>
          </w:rPr>
          <w:t xml:space="preserve">[22]</w:t>
        </w:r>
      </w:hyperlink>
      <w:r>
        <w:t xml:space="preserve">, the Aerospace Corporation tabulations of the Combined Space Operations Center conjunction message record, and the LeoLabs LEO Vital Signs annual conjunction tally</w:t>
      </w:r>
      <w:r>
        <w:t xml:space="preserve"> </w:t>
      </w:r>
      <w:hyperlink w:anchor="ref-20">
        <w:r>
          <w:rPr>
            <w:rStyle w:val="Hyperlink"/>
          </w:rPr>
          <w:t xml:space="preserve">[20]</w:t>
        </w:r>
      </w:hyperlink>
      <w:r>
        <w:t xml:space="preserve">. The three are reconciled in each shell-year cell by adopting the median value where all three differ by less than ten percent, and by recording the source disagreement and the reconciled value where they differ by more. Roughly eight percent of the thirty-six shell-year cells show a reconciliation gap above the ten-percent threshold; in those cells the ODQN value is adopted as the primary record and the gap enters the measurement-error treatment of Section 4.10.</w:t>
      </w:r>
    </w:p>
    <w:p>
      <w:pPr>
        <w:pStyle w:val="BodyText"/>
        <w:spacing w:line="480" w:lineRule="auto"/>
        <w:ind w:firstLine="720"/>
      </w:pPr>
      <w:r>
        <w:t xml:space="preserve">The conjunction outcome is a measured screening burden, not a welfare loss. Translating from events per object to monetised damage requires a separate calibration step that draws on operator-published manoeuvre fuel costs and mission-life shortening estimates aggregated under the Space Sustainability Rating framework</w:t>
      </w:r>
      <w:r>
        <w:t xml:space="preserve"> </w:t>
      </w:r>
      <w:hyperlink w:anchor="ref-2">
        <w:r>
          <w:rPr>
            <w:rStyle w:val="Hyperlink"/>
          </w:rPr>
          <w:t xml:space="preserve">[2]</w:t>
        </w:r>
      </w:hyperlink>
      <w:r>
        <w:t xml:space="preserve"> </w:t>
      </w:r>
      <w:r>
        <w:t xml:space="preserve">and on the expected-fragmentation contribution to future hazard estimated from the source-sink LEO population model in the tradition of Jang and colleagues</w:t>
      </w:r>
      <w:r>
        <w:t xml:space="preserve"> </w:t>
      </w:r>
      <w:hyperlink w:anchor="ref-8">
        <w:r>
          <w:rPr>
            <w:rStyle w:val="Hyperlink"/>
          </w:rPr>
          <w:t xml:space="preserve">[8]</w:t>
        </w:r>
      </w:hyperlink>
      <w:r>
        <w:t xml:space="preserve">. That calibration is the subject of Chapter 6 and forms no part of the measurement architecture of Chapter 4. The conjunction outcome variables defined here are the empirical objects the regression specifications of Paper One and Paper Two consume directly.</w:t>
      </w:r>
    </w:p>
    <w:bookmarkEnd w:id="93"/>
    <w:bookmarkStart w:id="94" w:name="active-satellite-count-for-paper-two"/>
    <w:p>
      <w:pPr>
        <w:pStyle w:val="Heading2"/>
        <w:spacing w:line="480" w:lineRule="auto"/>
      </w:pPr>
      <w:r>
        <w:t xml:space="preserve">4.8 Active Satellite Count for Paper Two</w:t>
      </w:r>
    </w:p>
    <w:p>
      <w:pPr>
        <w:pStyle w:val="FirstParagraph"/>
        <w:spacing w:line="480" w:lineRule="auto"/>
      </w:pPr>
      <w:r>
        <w:t xml:space="preserve">The active satellite count, denoted S for shell s in year t, enters Paper Two as the second regressor alongside resident space object count and supports the decomposition of total congestion elasticity into a derelict-population component and an operational-satellite component. It is built from the Space-Track Satellite Catalog by selecting catalogued objects whose object-class field is payload and whose operator-status field records them operational at the year-end reference date, with the operator-status field reconciled against the ESA ASER active-satellite annexes for the corresponding calendar year</w:t>
      </w:r>
      <w:r>
        <w:t xml:space="preserve"> </w:t>
      </w:r>
      <w:hyperlink w:anchor="ref-18">
        <w:r>
          <w:rPr>
            <w:rStyle w:val="Hyperlink"/>
          </w:rPr>
          <w:t xml:space="preserve">[18]</w:t>
        </w:r>
      </w:hyperlink>
      <w:r>
        <w:t xml:space="preserve">. The CelesTrak SATCAT extraction provides an independent third check on the operational subset; differences sit inside a five-percent tolerance band in every shell-year cell of the panel.</w:t>
      </w:r>
    </w:p>
    <w:p>
      <w:pPr>
        <w:pStyle w:val="BodyText"/>
        <w:spacing w:line="480" w:lineRule="auto"/>
        <w:ind w:firstLine="720"/>
      </w:pPr>
      <w:r>
        <w:t xml:space="preserve">The active satellite count is built under the same eccentricity filter and the same mean-altitude convention as the resident space object count of Section 4.4. It enters the log-linear specification of Paper Two as log S, alongside log N, with the elasticity of conjunctions with respect to active satellites identified as the marginal contribution of the operational subset above its share in the total population</w:t>
      </w:r>
      <w:r>
        <w:t xml:space="preserve"> </w:t>
      </w:r>
      <w:hyperlink w:anchor="ref-17">
        <w:r>
          <w:rPr>
            <w:rStyle w:val="Hyperlink"/>
          </w:rPr>
          <w:t xml:space="preserve">[17]</w:t>
        </w:r>
      </w:hyperlink>
      <w:r>
        <w:t xml:space="preserve">. The decomposition is meaningful only if the operational subset is measured independently of the total population, and the construction protocol here ensures that independence by drawing the operational-status flag from the operator-status field rather than imputing it from any subset of the population variables.</w:t>
      </w:r>
    </w:p>
    <w:bookmarkEnd w:id="94"/>
    <w:bookmarkStart w:id="95" w:name="X94abbd98b69865f89991dd523ae8a4c85ffeb09"/>
    <w:p>
      <w:pPr>
        <w:pStyle w:val="Heading2"/>
        <w:spacing w:line="480" w:lineRule="auto"/>
      </w:pPr>
      <w:r>
        <w:t xml:space="preserve">4.9 Cross-Validation Against the Space Fence Record</w:t>
      </w:r>
    </w:p>
    <w:p>
      <w:pPr>
        <w:pStyle w:val="FirstParagraph"/>
        <w:spacing w:line="480" w:lineRule="auto"/>
      </w:pPr>
      <w:r>
        <w:t xml:space="preserve">The public catalogue is conservative in the sub-10 cm regime, where the radar tracking infrastructure that historically fed Space-Track was sized to maintain custody of larger objects and where small-debris counts derived from the catalogue understate the population the Space Fence radar now resolves. Smith, Folcik, and Linares document the magnitude and altitude dependence of the gap between the NASA Standard Breakup Model implied population and the Space Fence empirical record</w:t>
      </w:r>
      <w:r>
        <w:t xml:space="preserve"> </w:t>
      </w:r>
      <w:hyperlink w:anchor="ref-6">
        <w:r>
          <w:rPr>
            <w:rStyle w:val="Hyperlink"/>
          </w:rPr>
          <w:t xml:space="preserve">[6]</w:t>
        </w:r>
      </w:hyperlink>
      <w:r>
        <w:t xml:space="preserve">. This dissertation adopts neither record as authoritative. Instead it uses the Space Fence record as a bracketing reference that bounds the measurement error in the resident space object population variable. For each shell, the Space-Track-derived population N is reported as a point estimate, and the Space-Fence-implied population as an upper bound on the same shell. The bracket is propagated into the robustness band reported in Chapter 6 rather than substituted into the primary regressions, on the grounds that the small-debris population Space Fence resolves and Space-Track does not catalogue is not subject to the same operator-level licensing the regression coefficients are meant to inform.</w:t>
      </w:r>
    </w:p>
    <w:p>
      <w:pPr>
        <w:pStyle w:val="BodyText"/>
        <w:spacing w:line="480" w:lineRule="auto"/>
        <w:ind w:firstLine="720"/>
      </w:pPr>
      <w:r>
        <w:t xml:space="preserve">A parallel bracketing argument applies to the conjunction outcome. The conjunction data message stream is sensitive to screening volume, and screening volume has risen with the deployment of broadband constellations and the expansion of commercial screening services. The shell fixed effects of Paper Two and the shell indicator of Paper Two absorb the cross-sectional component of this drift, and the year index of Paper Two absorbs the linear residual time trend. Whatever drift remains after these controls is treated as an unobserved component contributing to the heteroskedasticity-robust variance reported with each estimate.</w:t>
      </w:r>
    </w:p>
    <w:bookmarkEnd w:id="95"/>
    <w:bookmarkStart w:id="96" w:name="measurement-error-and-illustrative-cells"/>
    <w:p>
      <w:pPr>
        <w:pStyle w:val="Heading2"/>
        <w:spacing w:line="480" w:lineRule="auto"/>
      </w:pPr>
      <w:r>
        <w:t xml:space="preserve">4.10 Measurement Error and Illustrative Cells</w:t>
      </w:r>
    </w:p>
    <w:p>
      <w:pPr>
        <w:pStyle w:val="FirstParagraph"/>
        <w:spacing w:line="480" w:lineRule="auto"/>
      </w:pPr>
      <w:r>
        <w:t xml:space="preserve">Three sources of measurement error are explicit in the constructed dataset. The first is catalogue incompleteness in the sub-10 cm regime, addressed by the Space Fence bracket of Section 4.9. The second is the reconciliation gap between the multiple authoritative records used to construct each variable, addressed by the median-rule reconciliation of Sections 4.4, 4.7, and 4.8 and by the explicit recording of cells in which the gap exceeds the ten-percent tolerance. The third is cell-level extraction error, which arises when a value cannot be obtained directly from a primary record and has to be read from a published figure or interpolated between annual releases. Both empirical papers flag such cells as illustrative in the source field of the dataset row, in keeping with the candidate-side scientific-integrity rule that no value enters the analysis without an attribution path back to its primary source.</w:t>
      </w:r>
    </w:p>
    <w:p>
      <w:pPr>
        <w:pStyle w:val="BodyText"/>
        <w:spacing w:line="480" w:lineRule="auto"/>
        <w:ind w:firstLine="720"/>
      </w:pPr>
      <w:r>
        <w:t xml:space="preserve">In Paper One, illustrative cells account for fewer than fifteen percent of the thirty-six shell observations and cluster in the upper tail of the altitude column, where shell populations are sparse and the substantive regression results do not depend on the exact value. In Paper Two, illustrative cells account for under fifteen percent of the thirty-six shell-year observations and cluster in the earliest year of the panel, where the ESA ASER 2020 reporting format did not align cleanly with the shell convention adopted here. Both papers re-estimate the substantive findings reported in Chapter 5 with the illustrative cells dropped, and the re-estimation moves no reported coefficient outside the heteroskedasticity-robust confidence interval reported for the full sample.</w:t>
      </w:r>
    </w:p>
    <w:p>
      <w:pPr>
        <w:pStyle w:val="BodyText"/>
        <w:spacing w:line="480" w:lineRule="auto"/>
        <w:ind w:firstLine="720"/>
      </w:pPr>
      <w:r>
        <w:t xml:space="preserve">The measurement architecture described in this chapter is the basis on which Chapter 5 estimates the cross-sectional gradient of per-object burden and the panel elasticity of conjunction counts with respect to population. The same architecture supports the monetisation step of Chapter 6, which translates the estimated coefficients into a shell-level marginal external cost schedule, the empirical contribution the prospectus promised. Every variable used in the regressions of Chapter 5 traces by a documented path to a primary record held by an authoritative custodian; every reconciliation step is recorded; and every measurement-error bound is propagated into the inference. The architecture is deliberately conservative in its treatment of catalogue incompleteness and of screening-volume drift, and that conservatism is reported in the robustness band of Chapter 6 rather than concealed inside a point estimate. The next chapter turns to the estimation itself.</w:t>
      </w:r>
    </w:p>
    <w:bookmarkEnd w:id="96"/>
    <w:bookmarkEnd w:id="97"/>
    <w:bookmarkStart w:id="10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sets out the estimators that generate the shell-resolved marginal external congestion cost (MEC) curve, the identification strategy that permits reading those estimates causally, and the roster of validity threats along with the bound placed on each. Its arrangement lets a reader travel from the structural object of interest, MEC(h, n_h), through the reduced-form regressions that recover its slope, on to the quasi-experimental refinements that tighten identification, and finally to the sensitivity envelope within which the headline curve is stated. One falsifiable claim about the shape of MEC across the 400 to 1,200 km band carries the whole dissertation, and the methods are picked so that testing that claim depends on no single source of variation and no single calibration of downstream cost.</w:t>
      </w:r>
    </w:p>
    <w:bookmarkStart w:id="98" w:name="X71a5c9ce0da630628ccd1567a435ec6b3ff75f7"/>
    <w:p>
      <w:pPr>
        <w:pStyle w:val="Heading2"/>
        <w:spacing w:line="480" w:lineRule="auto"/>
      </w:pPr>
      <w:r>
        <w:t xml:space="preserve">5.1 The structural object and its empirical decomposition</w:t>
      </w:r>
    </w:p>
    <w:p>
      <w:pPr>
        <w:pStyle w:val="FirstParagraph"/>
        <w:spacing w:line="480" w:lineRule="auto"/>
      </w:pPr>
      <w:r>
        <w:t xml:space="preserve">Placing an additional resident space object in altitude shell h, given the existing in-shell population n_h, carries a marginal external congestion cost equal to the partial derivative of the orbital environment’s social cost with respect to n_h, taken at observed traffic. That social cost splits into three pieces, each estimable on its own. One is the avoidance load co-resident operators in the same shell expect to carry, surfacing as conjunction screening volume, manoeuvre planning effort, and propellant spent. A second is the mission-life shortening operators expect when avoidance manoeuvres draw down station-keeping budget or when collisions with sub-trackable debris wear on hardware. A third is what the new object is expected to add to future fragmentation hazard, which runs through the source-sink dynamics of the LEO population and settles on operators in later periods</w:t>
      </w:r>
      <w:r>
        <w:t xml:space="preserve"> </w:t>
      </w:r>
      <w:hyperlink w:anchor="ref-8">
        <w:r>
          <w:rPr>
            <w:rStyle w:val="Hyperlink"/>
          </w:rPr>
          <w:t xml:space="preserve">[8]</w:t>
        </w:r>
      </w:hyperlink>
      <w:r>
        <w:t xml:space="preserve">. Writing MEC(h, n_h) as the sum of the three pulls apart a quantity current data measure well, the avoidance load, from a quantity that needs explicit dynamical modelling, the future-hazard piece. A different estimator and a different identification problem attach to each, which is why the chapter walks through them one at a time rather than folding them into one regression.</w:t>
      </w:r>
    </w:p>
    <w:bookmarkEnd w:id="98"/>
    <w:bookmarkStart w:id="99" w:name="Xa4d66befa674adc85660f8d4457e4d42987e9ac"/>
    <w:p>
      <w:pPr>
        <w:pStyle w:val="Heading2"/>
        <w:spacing w:line="480" w:lineRule="auto"/>
      </w:pPr>
      <w:r>
        <w:t xml:space="preserve">5.2 Estimating the conjunction-rate response: Poisson regression with shell fixed effects</w:t>
      </w:r>
    </w:p>
    <w:p>
      <w:pPr>
        <w:pStyle w:val="FirstParagraph"/>
        <w:spacing w:line="480" w:lineRule="auto"/>
      </w:pPr>
      <w:r>
        <w:t xml:space="preserve">The opening estimator goes after dlambda_h / dn_h, how the shell-level conjunction rate responds at the margin to in-shell object density. Its observation unit is a shell-quarter, shells cut at 50 km resolution over 400 to 1,200 km, giving sixteen shells watched across the quarterly panel that the Space-Track conjunction data message stream and the catalogued element-set record can sustain. The dependent variable counts the conjunctions inside a shell that clear a fixed miss-distance and probability-of-collision threshold, and that threshold stays constant across the panel so a moving definitional cut cannot let variation in screening practice leak into the dependent variable.</w:t>
      </w:r>
    </w:p>
    <w:p>
      <w:pPr>
        <w:pStyle w:val="BodyText"/>
        <w:spacing w:line="480" w:lineRule="auto"/>
        <w:ind w:firstLine="720"/>
      </w:pPr>
      <w:r>
        <w:t xml:space="preserve">Estimation runs through Poisson regression carrying shell fixed effects, a flexible polynomial in n_h, a control for cumulative screening volume, and a quarter index that draws off system-level trend in sensor coverage and screening cadence. Shell fixed effects pull out the time-invariant features of each shell that would otherwise foul the estimated density-conjunction relationship: mean inclination, mean cross-section, and the legacy fragmentation footprint behind the 700 to 900 km band’s characteristic per-object burden</w:t>
      </w:r>
      <w:r>
        <w:t xml:space="preserve"> </w:t>
      </w:r>
      <w:hyperlink w:anchor="ref-6">
        <w:r>
          <w:rPr>
            <w:rStyle w:val="Hyperlink"/>
          </w:rPr>
          <w:t xml:space="preserve">[6]</w:t>
        </w:r>
      </w:hyperlink>
      <w:r>
        <w:t xml:space="preserve">[8]. The polynomial in n_h is the empirical object that lines up with the convexity hypothesis. A linear form gives back a constant slope and imposes H0 by construction; a quadratic allows monotone convexity; a cubic allows inflection. All three appear in the chapter, and the quadratic stands as the headline, being the lowest-order form able to falsify H0 against H1.</w:t>
      </w:r>
    </w:p>
    <w:p>
      <w:pPr>
        <w:pStyle w:val="BodyText"/>
        <w:spacing w:line="480" w:lineRule="auto"/>
        <w:ind w:firstLine="720"/>
      </w:pPr>
      <w:r>
        <w:t xml:space="preserve">Why Poisson rather than ordinary least squares on the log of conjunction counts? Two reasons. The dependent variable is a count with heavy zero mass in low-density shells, so a log transform would demand a discretionary additive constant that Poisson never needs. Beyond that, the companion paper in this dissertation reports an OLS log-linear elasticity on a coarser six-shell partition and shows a small handful of populous shells dominating the cross-shell variance; the Poisson form with shell fixed effects re-anchors identification on within-shell variation instead of the cross-shell gradient the log-linear estimator picks up [companion paper p2]. Both forms appear together, so the reader can watch whether within-shell and between-shell identification converge or split apart.</w:t>
      </w:r>
    </w:p>
    <w:p>
      <w:pPr>
        <w:pStyle w:val="BodyText"/>
        <w:spacing w:line="480" w:lineRule="auto"/>
        <w:ind w:firstLine="720"/>
      </w:pPr>
      <w:r>
        <w:t xml:space="preserve">Standard errors cluster at the shell level, where the unmodelled persistence in the conjunction process is plausibly correlated. Because its cross-section is a single period, the companion paper in this dissertation that leans on cross-shell variation reports heteroskedasticity-consistent standard errors of the HC1 type; the panel structure here demands the extra adjustment for serial dependence within shell [companion paper p1].</w:t>
      </w:r>
    </w:p>
    <w:bookmarkEnd w:id="99"/>
    <w:bookmarkStart w:id="100" w:name="monetising-the-conjunction-rate-slope"/>
    <w:p>
      <w:pPr>
        <w:pStyle w:val="Heading2"/>
        <w:spacing w:line="480" w:lineRule="auto"/>
      </w:pPr>
      <w:r>
        <w:t xml:space="preserve">5.3 Monetising the conjunction-rate slope</w:t>
      </w:r>
    </w:p>
    <w:p>
      <w:pPr>
        <w:pStyle w:val="FirstParagraph"/>
        <w:spacing w:line="480" w:lineRule="auto"/>
      </w:pPr>
      <w:r>
        <w:t xml:space="preserve">Turning the estimated dlambda_h / dn_h into money means running it through a per-conjunction expected loss, itself broken into three terms. The avoidance-manoeuvre term pairs the empirical probability that a conjunction sets off a manoeuvre, taken from operator sustainability disclosures aggregated under the Space Sustainability Rating framework</w:t>
      </w:r>
      <w:r>
        <w:t xml:space="preserve"> </w:t>
      </w:r>
      <w:hyperlink w:anchor="ref-2">
        <w:r>
          <w:rPr>
            <w:rStyle w:val="Hyperlink"/>
          </w:rPr>
          <w:t xml:space="preserve">[2]</w:t>
        </w:r>
      </w:hyperlink>
      <w:r>
        <w:t xml:space="preserve">, with the per-manoeuvre propellant cost read at published bus and propellant parameters. The mission-life shortening term charges the manoeuvre-induced station-keeping debit against the operator’s expected revenue stream over the residual mission, again pulling the parameter inputs from the Sustainability Rating disclosure base</w:t>
      </w:r>
      <w:r>
        <w:t xml:space="preserve"> </w:t>
      </w:r>
      <w:hyperlink w:anchor="ref-2">
        <w:r>
          <w:rPr>
            <w:rStyle w:val="Hyperlink"/>
          </w:rPr>
          <w:t xml:space="preserve">[2]</w:t>
        </w:r>
      </w:hyperlink>
      <w:r>
        <w:t xml:space="preserve"> </w:t>
      </w:r>
      <w:r>
        <w:t xml:space="preserve">and not from any single operator. The future-fragmentation term is the substantively new piece and takes its own subsection, its identification problem being distinct.</w:t>
      </w:r>
    </w:p>
    <w:p>
      <w:pPr>
        <w:pStyle w:val="BodyText"/>
        <w:spacing w:line="480" w:lineRule="auto"/>
        <w:ind w:firstLine="720"/>
      </w:pPr>
      <w:r>
        <w:t xml:space="preserve">All three terms appear separately and as a sum. Separate reporting earns its place in the policy reading, because a regulator might legitimately choose to set a fee schedule on the avoidance and mission-life terms alone and leave the future-fragmentation term to a separate sustainability premium</w:t>
      </w:r>
      <w:r>
        <w:t xml:space="preserve"> </w:t>
      </w:r>
      <w:hyperlink w:anchor="ref-2">
        <w:r>
          <w:rPr>
            <w:rStyle w:val="Hyperlink"/>
          </w:rPr>
          <w:t xml:space="preserve">[2]</w:t>
        </w:r>
      </w:hyperlink>
      <w:r>
        <w:t xml:space="preserve">. The sum earns its place in the comparison against the Pigouvian aggregate path in Rao and Rondina</w:t>
      </w:r>
      <w:r>
        <w:t xml:space="preserve"> </w:t>
      </w:r>
      <w:hyperlink w:anchor="ref-3">
        <w:r>
          <w:rPr>
            <w:rStyle w:val="Hyperlink"/>
          </w:rPr>
          <w:t xml:space="preserve">[3]</w:t>
        </w:r>
      </w:hyperlink>
      <w:r>
        <w:t xml:space="preserve"> </w:t>
      </w:r>
      <w:r>
        <w:t xml:space="preserve">and the dynamic shadow price in Adilov and colleagues</w:t>
      </w:r>
      <w:r>
        <w:t xml:space="preserve"> </w:t>
      </w:r>
      <w:hyperlink w:anchor="ref-4">
        <w:r>
          <w:rPr>
            <w:rStyle w:val="Hyperlink"/>
          </w:rPr>
          <w:t xml:space="preserve">[4]</w:t>
        </w:r>
      </w:hyperlink>
      <w:r>
        <w:t xml:space="preserve">. A shell-aggregated version of the dissertation’s MEC curve has to land within an order of magnitude of those two prior estimates as a sanity check; a departure past one order of magnitude counts as evidence of mis-specification in the cost decomposition rather than as a finding.</w:t>
      </w:r>
    </w:p>
    <w:bookmarkEnd w:id="100"/>
    <w:bookmarkStart w:id="101" w:name="Xd5263187db6edb6f97c9c6efece380f389ea434"/>
    <w:p>
      <w:pPr>
        <w:pStyle w:val="Heading2"/>
        <w:spacing w:line="480" w:lineRule="auto"/>
      </w:pPr>
      <w:r>
        <w:t xml:space="preserve">5.4 The future-fragmentation contribution and the source-sink calibration</w:t>
      </w:r>
    </w:p>
    <w:p>
      <w:pPr>
        <w:pStyle w:val="FirstParagraph"/>
        <w:spacing w:line="480" w:lineRule="auto"/>
      </w:pPr>
      <w:r>
        <w:t xml:space="preserve">An additional object in shell h imposes an expected discounted hazard on the LEO population through the collisions and debris cascade that follow, and that is the future-fragmentation contribution to MEC. Recovering it takes a dynamical model of the LEO environment able to propagate a marginal object forward and integrate the induced rise in collision probability across shells and over time. The model at work here is the source-sink density-based formulation in the tradition of Jang and colleagues</w:t>
      </w:r>
      <w:r>
        <w:t xml:space="preserve"> </w:t>
      </w:r>
      <w:hyperlink w:anchor="ref-8">
        <w:r>
          <w:rPr>
            <w:rStyle w:val="Hyperlink"/>
          </w:rPr>
          <w:t xml:space="preserve">[8]</w:t>
        </w:r>
      </w:hyperlink>
      <w:r>
        <w:t xml:space="preserve"> </w:t>
      </w:r>
      <w:r>
        <w:t xml:space="preserve">and the density-based evolutionary model of Giudici and colleagues built in the cross-shell paper of this dissertation [companion paper p1]. The marginal future-hazard contribution comes out as the difference between two forward simulations of the LEO population, one holding the observed n_h(t) at the initial period, one setting n_h(t) + 1 in the shell of interest, every other parameter fixed, the difference in expected catastrophic-collision counts integrated over a fifty-year horizon discounted at a published social discount rate.</w:t>
      </w:r>
    </w:p>
    <w:p>
      <w:pPr>
        <w:pStyle w:val="BodyText"/>
        <w:spacing w:line="480" w:lineRule="auto"/>
        <w:ind w:firstLine="720"/>
      </w:pPr>
      <w:r>
        <w:t xml:space="preserve">The source-sink model appears under three calibrations, reported as a robustness band rather than a point estimate. One is the Jang and colleagues stability-of-the-LEO-environment calibration behind the dynamical-system interpretation</w:t>
      </w:r>
      <w:r>
        <w:t xml:space="preserve"> </w:t>
      </w:r>
      <w:hyperlink w:anchor="ref-8">
        <w:r>
          <w:rPr>
            <w:rStyle w:val="Hyperlink"/>
          </w:rPr>
          <w:t xml:space="preserve">[8]</w:t>
        </w:r>
      </w:hyperlink>
      <w:r>
        <w:t xml:space="preserve">. A second is the Giudici and colleagues density-based evolutionary calibration the companion cross-shell paper uses for shell-level burden attribution [companion paper p1]. A third is an internal calibration tying the source-sink rates to the observed fragmentation event record from the NASA Orbital Debris Program Office Orbital Debris Quarterly News, the data input feeding both prior calibrations</w:t>
      </w:r>
      <w:r>
        <w:t xml:space="preserve"> </w:t>
      </w:r>
      <w:hyperlink w:anchor="ref-16">
        <w:r>
          <w:rPr>
            <w:rStyle w:val="Hyperlink"/>
          </w:rPr>
          <w:t xml:space="preserve">[16]</w:t>
        </w:r>
      </w:hyperlink>
      <w:r>
        <w:t xml:space="preserve">. The chapter gives the MEC curve under each calibration and the envelope over all three. The envelope midpoint is the dissertation’s headline curve, and the H0-versus-H1 falsifiability test has to hold at every point of the envelope, not the midpoint alone.</w:t>
      </w:r>
    </w:p>
    <w:bookmarkEnd w:id="101"/>
    <w:bookmarkStart w:id="102" w:name="X1ddd0ed5811c2a14b1fd7c23d1e84072b4ccaab"/>
    <w:p>
      <w:pPr>
        <w:pStyle w:val="Heading2"/>
        <w:spacing w:line="480" w:lineRule="auto"/>
      </w:pPr>
      <w:r>
        <w:t xml:space="preserve">5.5 Identification from fragmentation event studies</w:t>
      </w:r>
    </w:p>
    <w:p>
      <w:pPr>
        <w:pStyle w:val="FirstParagraph"/>
        <w:spacing w:line="480" w:lineRule="auto"/>
      </w:pPr>
      <w:r>
        <w:t xml:space="preserve">The Poisson panel estimator recovers dlambda_h / dn_h from the joint movement of in-shell density and conjunction counts, net of shell fixed effects, screening volume, and trend. That recovery leans on an assumption that is far from innocuous: that residual variation in n_h, conditional on those controls, is exogenous to the conjunction process. Operators pick where to place satellites with an eye on expected conjunction burden, and screening volume answers perceived hazard endogenously. To bound what that endogeneity implies, the dissertation adds to the panel estimator an event-study design that leans on discrete fragmentation shocks as quasi-experimental breaks in n_h.</w:t>
      </w:r>
    </w:p>
    <w:p>
      <w:pPr>
        <w:pStyle w:val="BodyText"/>
        <w:spacing w:line="480" w:lineRule="auto"/>
        <w:ind w:firstLine="720"/>
      </w:pPr>
      <w:r>
        <w:t xml:space="preserve">Each catalogued fragmentation event inside the panel window enters the event-study design as a treatment that lifts n_h in the affected shells by the catalogued progeny count. Treated shells are the ones where fragmentation debris gathers according to the NASA Orbital Debris Program Office event reconstruction</w:t>
      </w:r>
      <w:r>
        <w:t xml:space="preserve"> </w:t>
      </w:r>
      <w:hyperlink w:anchor="ref-16">
        <w:r>
          <w:rPr>
            <w:rStyle w:val="Hyperlink"/>
          </w:rPr>
          <w:t xml:space="preserve">[16]</w:t>
        </w:r>
      </w:hyperlink>
      <w:r>
        <w:t xml:space="preserve">; control shells are the ones at adjacent altitudes whose density evolution over the same window logged no matching shock. The estimator is a difference-in-differences regression of the log shell-quarter conjunction count on a treatment indicator interacted with post-event quarters, shell and quarter fixed effects included. Its coefficient is the local slope of the conjunction-density relationship near the shock, the same structural object as dlambda_h / dn_h read at the pre-shock density.</w:t>
      </w:r>
    </w:p>
    <w:p>
      <w:pPr>
        <w:pStyle w:val="BodyText"/>
        <w:spacing w:line="480" w:lineRule="auto"/>
        <w:ind w:firstLine="720"/>
      </w:pPr>
      <w:r>
        <w:t xml:space="preserve">The event-study design earns its keep two ways. It supplies variation in n_h plausibly orthogonal to operator placement, since operators of the objects later exposed do not select fragmentation events. And it hands the panel estimator a falsification test: should the event-study local slope and the panel polynomial slope, read at the same pre-shock density, part ways at conventional levels, the panel estimator’s exogeneity assumption falls. Both estimates appear, and their agreement or disagreement is treated as a result in its own right rather than a footnote.</w:t>
      </w:r>
    </w:p>
    <w:bookmarkEnd w:id="102"/>
    <w:bookmarkStart w:id="103" w:name="Xaff1a1fa93b1565a16dc7434d0a7c500ff50bb9"/>
    <w:p>
      <w:pPr>
        <w:pStyle w:val="Heading2"/>
        <w:spacing w:line="480" w:lineRule="auto"/>
      </w:pPr>
      <w:r>
        <w:t xml:space="preserve">5.6 Identification threats and the bounds placed on each</w:t>
      </w:r>
    </w:p>
    <w:p>
      <w:pPr>
        <w:pStyle w:val="FirstParagraph"/>
        <w:spacing w:line="480" w:lineRule="auto"/>
      </w:pPr>
      <w:r>
        <w:t xml:space="preserve">Five threats to validity call for explicit treatment, and a specific design element bounds each, in place of an appeal to some general robustness section.</w:t>
      </w:r>
    </w:p>
    <w:p>
      <w:pPr>
        <w:pStyle w:val="BodyText"/>
        <w:spacing w:line="480" w:lineRule="auto"/>
        <w:ind w:firstLine="720"/>
      </w:pPr>
      <w:r>
        <w:t xml:space="preserve">Catalogue completeness heads the list. The catalogued resident space object record under-counts sub-ten-centimetre debris, and the under-count shifts with altitude and with sensor coverage</w:t>
      </w:r>
      <w:r>
        <w:t xml:space="preserve"> </w:t>
      </w:r>
      <w:hyperlink w:anchor="ref-6">
        <w:r>
          <w:rPr>
            <w:rStyle w:val="Hyperlink"/>
          </w:rPr>
          <w:t xml:space="preserve">[6]</w:t>
        </w:r>
      </w:hyperlink>
      <w:r>
        <w:t xml:space="preserve">, so the bias is neither random nor even across shells. The bound applied here rides on the Smith and colleagues comparison of NASA Standard Breakup Model output against Space Fence radar-derived populations</w:t>
      </w:r>
      <w:r>
        <w:t xml:space="preserve"> </w:t>
      </w:r>
      <w:hyperlink w:anchor="ref-6">
        <w:r>
          <w:rPr>
            <w:rStyle w:val="Hyperlink"/>
          </w:rPr>
          <w:t xml:space="preserve">[6]</w:t>
        </w:r>
      </w:hyperlink>
      <w:r>
        <w:t xml:space="preserve"> </w:t>
      </w:r>
      <w:r>
        <w:t xml:space="preserve">and states the MEC curve under both the catalogue baseline and a Space-Fence-corrected upper bound. The catalogue baseline is the headline; the falsifiability test has to hold at both endpoints of the bracket.</w:t>
      </w:r>
    </w:p>
    <w:p>
      <w:pPr>
        <w:pStyle w:val="BodyText"/>
        <w:spacing w:line="480" w:lineRule="auto"/>
        <w:ind w:firstLine="720"/>
      </w:pPr>
      <w:r>
        <w:t xml:space="preserve">Screening endogeneity follows. Conjunction screening volume has swelled with operator behaviour and with the arrival of large constellations, and a regression blind to screening volume mixes the physical conjunction rate with the screening intensity that catches it. The bound is the explicit control for cumulative screening volume in the Poisson regression together with the within-shell within-quarter variation the event-study design uses, which soaks up the screening-growth time path common to every shell in a quarter.</w:t>
      </w:r>
    </w:p>
    <w:p>
      <w:pPr>
        <w:pStyle w:val="BodyText"/>
        <w:spacing w:line="480" w:lineRule="auto"/>
        <w:ind w:firstLine="720"/>
      </w:pPr>
      <w:r>
        <w:t xml:space="preserve">Third stands the non-randomness of fragmentation events. Major fragmentations run with state behaviour, with object class, and with the historical fragmentation footprint of the affected shells</w:t>
      </w:r>
      <w:r>
        <w:t xml:space="preserve"> </w:t>
      </w:r>
      <w:hyperlink w:anchor="ref-16">
        <w:r>
          <w:rPr>
            <w:rStyle w:val="Hyperlink"/>
          </w:rPr>
          <w:t xml:space="preserve">[16]</w:t>
        </w:r>
      </w:hyperlink>
      <w:r>
        <w:t xml:space="preserve">. The event-study estimator draws off shell and quarter fixed effects and reports pre-event parallel-trends tests as placebo treatment indicators for the four quarters ahead of each event. Any event whose pre-trend test rejects parallel trends at the ten percent level leaves the headline event-study sample and reappears as a separate appendix sample.</w:t>
      </w:r>
    </w:p>
    <w:p>
      <w:pPr>
        <w:pStyle w:val="BodyText"/>
        <w:spacing w:line="480" w:lineRule="auto"/>
        <w:ind w:firstLine="720"/>
      </w:pPr>
      <w:r>
        <w:t xml:space="preserve">Source-sink model dependence is the fourth. The future-fragmentation contribution turns on the source-sink calibration, and that calibration is contested</w:t>
      </w:r>
      <w:r>
        <w:t xml:space="preserve"> </w:t>
      </w:r>
      <w:hyperlink w:anchor="ref-8">
        <w:r>
          <w:rPr>
            <w:rStyle w:val="Hyperlink"/>
          </w:rPr>
          <w:t xml:space="preserve">[8]</w:t>
        </w:r>
      </w:hyperlink>
      <w:r>
        <w:t xml:space="preserve">. The bound is the envelope over three published calibrations reported in subsection 5.4 and the demand that the falsifiability test hold at every point of the envelope. A curve convex in n_h under one calibration and linear under another would not clear that demand.</w:t>
      </w:r>
    </w:p>
    <w:p>
      <w:pPr>
        <w:pStyle w:val="BodyText"/>
        <w:spacing w:line="480" w:lineRule="auto"/>
        <w:ind w:firstLine="720"/>
      </w:pPr>
      <w:r>
        <w:t xml:space="preserve">The cross-sector externality gap is the fifth. Reading MEC as a rate base in the Pigouvian sense assumes the social planner takes in only collision externalities within LEO. Recent work has documented uncontrolled reentries imposing costs on aviation</w:t>
      </w:r>
      <w:r>
        <w:t xml:space="preserve"> </w:t>
      </w:r>
      <w:hyperlink w:anchor="ref-1">
        <w:r>
          <w:rPr>
            <w:rStyle w:val="Hyperlink"/>
          </w:rPr>
          <w:t xml:space="preserve">[1]</w:t>
        </w:r>
      </w:hyperlink>
      <w:r>
        <w:t xml:space="preserve">, and the SDA literature documents GEO and cislunar operations carrying residual risk from LEO debris that migrates</w:t>
      </w:r>
      <w:r>
        <w:t xml:space="preserve"> </w:t>
      </w:r>
      <w:hyperlink w:anchor="ref-5">
        <w:r>
          <w:rPr>
            <w:rStyle w:val="Hyperlink"/>
          </w:rPr>
          <w:t xml:space="preserve">[5]</w:t>
        </w:r>
      </w:hyperlink>
      <w:r>
        <w:t xml:space="preserve">[7]. The dissertation makes no attempt to estimate these cross-sector terms. Here the bound is interpretive: the MEC curve reported carries the label of a lower bound on the full external cost, and the discussion in Chapter 8 works the gap explicitly rather than claiming to have covered everything. That squares with the policy and sustainability-rating literature, which has long granted that no single price recovers the whole external-cost structure of orbital activity</w:t>
      </w:r>
      <w:r>
        <w:t xml:space="preserve"> </w:t>
      </w:r>
      <w:hyperlink w:anchor="ref-2">
        <w:r>
          <w:rPr>
            <w:rStyle w:val="Hyperlink"/>
          </w:rPr>
          <w:t xml:space="preserve">[2]</w:t>
        </w:r>
      </w:hyperlink>
      <w:r>
        <w:t xml:space="preserve">[9].</w:t>
      </w:r>
    </w:p>
    <w:bookmarkEnd w:id="103"/>
    <w:bookmarkStart w:id="104" w:name="X2c9962ccd5f6758438d2df5f8bd9cde3f445714"/>
    <w:p>
      <w:pPr>
        <w:pStyle w:val="Heading2"/>
        <w:spacing w:line="480" w:lineRule="auto"/>
      </w:pPr>
      <w:r>
        <w:t xml:space="preserve">5.7 Specification choices reported as sensitivity rather than as headline</w:t>
      </w:r>
    </w:p>
    <w:p>
      <w:pPr>
        <w:pStyle w:val="FirstParagraph"/>
        <w:spacing w:line="480" w:lineRule="auto"/>
      </w:pPr>
      <w:r>
        <w:t xml:space="preserve">Three specification choices sit better as sensitivity dimensions than in the headline. Shell-width resolution is the first. The 50 km resolution matches the operational granularity at which constellation deployment plans get filed and at which the sustainability-rating composite</w:t>
      </w:r>
      <w:r>
        <w:t xml:space="preserve"> </w:t>
      </w:r>
      <w:hyperlink w:anchor="ref-2">
        <w:r>
          <w:rPr>
            <w:rStyle w:val="Hyperlink"/>
          </w:rPr>
          <w:t xml:space="preserve">[2]</w:t>
        </w:r>
      </w:hyperlink>
      <w:r>
        <w:t xml:space="preserve"> </w:t>
      </w:r>
      <w:r>
        <w:t xml:space="preserve">reports its inputs. Coarser 100 km shells and finer 25 km shells appear as a sensitivity dimension, and the convexity finding has to hold qualitatively at all three resolutions.</w:t>
      </w:r>
    </w:p>
    <w:p>
      <w:pPr>
        <w:pStyle w:val="BodyText"/>
        <w:spacing w:line="480" w:lineRule="auto"/>
        <w:ind w:firstLine="720"/>
      </w:pPr>
      <w:r>
        <w:t xml:space="preserve">Polynomial order in n_h is the second. The quadratic is the headline. The cubic and a non-parametric spline with knots set at the empirical quartiles of the density distribution appear beside it, and the falsifiability test has to hold under each.</w:t>
      </w:r>
    </w:p>
    <w:p>
      <w:pPr>
        <w:pStyle w:val="BodyText"/>
        <w:spacing w:line="480" w:lineRule="auto"/>
        <w:ind w:firstLine="720"/>
      </w:pPr>
      <w:r>
        <w:t xml:space="preserve">The discount rate applied to the future-fragmentation contribution is the third. A central rate comes from the published social discount rate literature, and a low-rate and a high-rate alternative appear as a band. The dissertation says plainly that the discount-rate choice has a first-order effect on the future-fragmentation term and a second-order effect on the avoidance and mission-life terms, and the headline curve is stated at the central rate with the band left visible to the reader.</w:t>
      </w:r>
    </w:p>
    <w:bookmarkEnd w:id="104"/>
    <w:bookmarkStart w:id="105" w:name="summary-of-the-identification-strategy"/>
    <w:p>
      <w:pPr>
        <w:pStyle w:val="Heading2"/>
        <w:spacing w:line="480" w:lineRule="auto"/>
      </w:pPr>
      <w:r>
        <w:t xml:space="preserve">5.8 Summary of the identification strategy</w:t>
      </w:r>
    </w:p>
    <w:p>
      <w:pPr>
        <w:pStyle w:val="FirstParagraph"/>
        <w:spacing w:line="480" w:lineRule="auto"/>
      </w:pPr>
      <w:r>
        <w:t xml:space="preserve">The identification strategy sets a panel estimator that works within-shell density variation under fixed effects and a polynomial functional form alongside an event-study estimator that works exogenous fragmentation shocks under a difference-in-differences design. Both estimators recover the same structural object from different variation, and their agreement is itself a test of the panel estimator’s exogeneity assumption. Monetising the recovered slope splits the per-conjunction loss into avoidance, mission-life, and future-fragmentation terms, with the future-fragmentation term stated under a three-calibration source-sink envelope. Each validity threat is bounded on its own rather than in a bundle, and the headline curve has to clear each bound separately. The chapter that follows lays out the data, the realised panel and event-study estimates, and the sensitivity envelope under which the Chapter 3 falsifiability test gets evaluated.</w:t>
      </w:r>
    </w:p>
    <w:bookmarkEnd w:id="105"/>
    <w:bookmarkEnd w:id="106"/>
    <w:bookmarkStart w:id="124"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estimating papers that together form the quantitative core of the dissertation. The first estimates a cross-sectional marginal congestion cost curve across thirty-six fifty-kilometre LEO altitude shells. The second estimates a log-linear congestion-elasticity specification on a balanced six-shell, six-year panel. Both estimators are ordinary least squares with HC1 heteroskedasticity-consistent standard errors. The numerical artefacts of estimation, meaning the full regression tables, residual diagnostics, leverage plots, and per-shell scatter visualisations, are gathered in Appendix A. What follows is confined to interpretation of the point estimates, the precision around them, the implied effect sizes at policy-relevant levels of the regressors, and the consequences of those magnitudes for the falsifiable claim advanced in the prospectus</w:t>
      </w:r>
      <w:r>
        <w:t xml:space="preserve"> </w:t>
      </w:r>
      <w:hyperlink w:anchor="ref-3">
        <w:r>
          <w:rPr>
            <w:rStyle w:val="Hyperlink"/>
          </w:rPr>
          <w:t xml:space="preserve">[3]</w:t>
        </w:r>
      </w:hyperlink>
      <w:r>
        <w:t xml:space="preserve">[4].</w:t>
      </w:r>
    </w:p>
    <w:bookmarkStart w:id="114" w:name="X200a5894047722e3b0aa24e4cff1e2097c7d4b8"/>
    <w:p>
      <w:pPr>
        <w:pStyle w:val="Heading2"/>
        <w:spacing w:line="480" w:lineRule="auto"/>
      </w:pPr>
      <w:r>
        <w:t xml:space="preserve">6.1 Cross-Sectional Marginal Congestion Cost (Paper 1)</w:t>
      </w:r>
    </w:p>
    <w:p>
      <w:pPr>
        <w:pStyle w:val="FirstParagraph"/>
        <w:spacing w:line="480" w:lineRule="auto"/>
      </w:pPr>
      <w:r>
        <w:t xml:space="preserve">The first paper regresses annual per-object conjunction burden in a shell on four shell-level covariates: the count of catalogued resident space objects, the derelict fraction of that population, the mean radar cross-section in square metres, and the inclination spread in degrees. The estimator is ordinary least squares with HC1 standard errors. The sample comprises thirty-six shells of fifty-kilometre width spanning two hundred to two thousand kilometres of altitude.</w:t>
      </w:r>
    </w:p>
    <w:bookmarkStart w:id="107" w:name="global-fit"/>
    <w:p>
      <w:pPr>
        <w:pStyle w:val="Heading3"/>
        <w:spacing w:line="480" w:lineRule="auto"/>
      </w:pPr>
      <w:r>
        <w:t xml:space="preserve">6.1.1 Global fit</w:t>
      </w:r>
    </w:p>
    <w:p>
      <w:pPr>
        <w:pStyle w:val="FirstParagraph"/>
        <w:spacing w:line="480" w:lineRule="auto"/>
      </w:pPr>
      <w:r>
        <w:t xml:space="preserve">By the standards of cross-sectional debris econometrics, the fit is very strong. The coefficient of determination is 0.9534 and the adjusted coefficient of determination, which penalises the four-parameter specification against a thirty-six observation sample, is 0.9474. The joint F-statistic is 49.5832 with a p-value of 4.87 multiplied by ten to the negative thirteen, a decisive rejection of the null that all four slopes are jointly zero. The reduced model in which only the intercept enters is rejected with no ambiguity. The visible separation between the unadjusted and adjusted coefficient of determination is small, around six tenths of a percentage point, which is what one expects from a parsimonious specification that has not been over-fit to the cross-section. Put plainly, the shell-level cross-section is well-explained by a four-feature linear projection; the marginal congestion burden carried by an additional object in a shell is not a quantity that demands a high-dimensional nonlinear representation to be characterised at policy-relevant resolution</w:t>
      </w:r>
      <w:r>
        <w:t xml:space="preserve"> </w:t>
      </w:r>
      <w:hyperlink w:anchor="ref-11">
        <w:r>
          <w:rPr>
            <w:rStyle w:val="Hyperlink"/>
          </w:rPr>
          <w:t xml:space="preserve">[11]</w:t>
        </w:r>
      </w:hyperlink>
      <w:r>
        <w:t xml:space="preserve">[12].</w:t>
      </w:r>
    </w:p>
    <w:p>
      <w:pPr>
        <w:pStyle w:val="BodyText"/>
        <w:spacing w:line="480" w:lineRule="auto"/>
        <w:ind w:firstLine="720"/>
      </w:pPr>
      <w:r>
        <w:t xml:space="preserve">That degree of fit is interpretable. Because the unit of analysis is the shell rather than the operator or the individual object, the regression estimates a system-level cross-section that aggregates over the within-shell heterogeneity in object class, age, manoeuvrability, and operator behaviour. A high coefficient of determination at the shell level therefore does not claim that per-object burden is well-predicted at any finer resolution. It says instead that two-thirds of a century of accumulated launch history has sorted the LEO altitude column into shells whose congestion outcomes are tightly determined by a small number of population-level features. That sorting is itself a finding, because it means a fee schedule indexed on those features is informationally feasible without the operator-level disclosure that no regulator presently possesses</w:t>
      </w:r>
      <w:r>
        <w:t xml:space="preserve"> </w:t>
      </w:r>
      <w:hyperlink w:anchor="ref-2">
        <w:r>
          <w:rPr>
            <w:rStyle w:val="Hyperlink"/>
          </w:rPr>
          <w:t xml:space="preserve">[2]</w:t>
        </w:r>
      </w:hyperlink>
      <w:r>
        <w:t xml:space="preserve">.</w:t>
      </w:r>
    </w:p>
    <w:bookmarkEnd w:id="107"/>
    <w:bookmarkStart w:id="108" w:name="X5206fb0d3fa4fc73175123c60fe454cd6c2a423"/>
    <w:p>
      <w:pPr>
        <w:pStyle w:val="Heading3"/>
        <w:spacing w:line="480" w:lineRule="auto"/>
      </w:pPr>
      <w:r>
        <w:t xml:space="preserve">6.1.2 Object count: the slope of the marginal congestion cost curve</w:t>
      </w:r>
    </w:p>
    <w:p>
      <w:pPr>
        <w:pStyle w:val="FirstParagraph"/>
        <w:spacing w:line="480" w:lineRule="auto"/>
      </w:pPr>
      <w:r>
        <w:t xml:space="preserve">Catalogued object count enters at 0.0004 conjunction events per object per year per additional catalogued object, with a robust standard error of 0.0000 reported to four decimal places and a p-value indistinguishable from zero at standard precision. The numerical smallness of the slope is an artefact of units. The regressor runs from low tens in the sparse upper LEO shells to several thousand in the populated sun-synchronous belts, and the dependent variable is a per-object rate. The economically meaningful effect size is therefore the slope multiplied by representative shell populations. At a shell population of one thousand catalogued objects, this slope predicts a per-object burden contribution of approximately 0.40 conjunction events per object per year from the object-count channel alone. At a shell population of two thousand five hundred objects, comparable to the densest sun-synchronous shells, the same slope predicts a per-object contribution near 1.00 event per object per year. At a shell population of one hundred, comparable to the upper-LEO tail, the contribution falls to approximately 0.04 events per object per year. That two-order-of-magnitude swing across the LEO column is the central empirical fact of the paper.</w:t>
      </w:r>
    </w:p>
    <w:p>
      <w:pPr>
        <w:pStyle w:val="BodyText"/>
        <w:spacing w:line="480" w:lineRule="auto"/>
        <w:ind w:firstLine="720"/>
      </w:pPr>
      <w:r>
        <w:t xml:space="preserve">The precision of the estimate is unusually high. The reported standard error rounds to zero at four decimal places, and the p-value falls below the limit of the estimator’s reporting precision. In conventional terms, the slope on object count is identified almost without error in this sample. That precision reflects two structural features of the design: the regressor varies across nearly two orders of magnitude across the thirty-six shells, and the dependent variable tracks that variation almost monotonically. The estimator therefore has very high leverage to recover the slope, and the cross-shell residual variation around the fitted line is small relative to the systematic component. What this means substantively is that the marginal congestion cost curve has a measurable, sharply identified slope in the population dimension, and that the slope is essentially constant across the cross-section under the linear specification. The local-slope reading Giudici and colleagues suggest for a density-based evolutionary model is therefore vindicated at the shell level</w:t>
      </w:r>
      <w:r>
        <w:t xml:space="preserve"> </w:t>
      </w:r>
      <w:hyperlink w:anchor="ref-12">
        <w:r>
          <w:rPr>
            <w:rStyle w:val="Hyperlink"/>
          </w:rPr>
          <w:t xml:space="preserve">[12]</w:t>
        </w:r>
      </w:hyperlink>
      <w:r>
        <w:t xml:space="preserve">.</w:t>
      </w:r>
    </w:p>
    <w:bookmarkEnd w:id="108"/>
    <w:bookmarkStart w:id="109" w:name="X607ee876da2173c6ecf7017547ece7c8eb8915f"/>
    <w:p>
      <w:pPr>
        <w:pStyle w:val="Heading3"/>
        <w:spacing w:line="480" w:lineRule="auto"/>
      </w:pPr>
      <w:r>
        <w:t xml:space="preserve">6.1.3 Derelict fraction: the dominant substantive effect</w:t>
      </w:r>
    </w:p>
    <w:p>
      <w:pPr>
        <w:pStyle w:val="FirstParagraph"/>
        <w:spacing w:line="480" w:lineRule="auto"/>
      </w:pPr>
      <w:r>
        <w:t xml:space="preserve">Derelict fraction enters at 1.2730 conjunction events per object per year per unit increase in the derelict share, with a robust standard error of 0.2490 and a p-value indistinguishable from zero at three decimal places. The regressor is bounded between zero and one, so the coefficient reads directly as the predicted change in per-object burden between a fully manoeuvrable population and a fully unmanoeuvrable one, holding shell population and the other covariates fixed. The implied magnitude is large. A one-tenth move in the derelict share, comparable to the difference between a moderately managed broadband constellation shell and a moderately unmanaged legacy shell, raises per-object burden by approximately 0.13 conjunction events per year. A half-unit move, comparable to the gap between a well-managed sun-synchronous environment and one dominated by uncontrolled legacy objects, raises per-object burden by approximately 0.64 conjunction events per year.</w:t>
      </w:r>
    </w:p>
    <w:p>
      <w:pPr>
        <w:pStyle w:val="BodyText"/>
        <w:spacing w:line="480" w:lineRule="auto"/>
        <w:ind w:firstLine="720"/>
      </w:pPr>
      <w:r>
        <w:t xml:space="preserve">The standard error implies a ninety-five percent confidence interval running roughly from 0.78 to 1.76 events per year per unit of derelict share. Even the lower bound of that interval is larger in magnitude than the slope on object count multiplied by any representative shell population in the LEO column, which means the policy-relevant ranking of the two effects, derelict share dominating object count at the within-shell margin, is robust to estimation uncertainty. Substantively this is the reading Pardini and Anselmo anticipated: derelicts impose a per-object burden because the operational behaviour of the manoeuvrable population cannot screen them out of the conjunction risk pool, and the unscreenable fraction of the shell is the operative congestion variable</w:t>
      </w:r>
      <w:r>
        <w:t xml:space="preserve"> </w:t>
      </w:r>
      <w:hyperlink w:anchor="ref-11">
        <w:r>
          <w:rPr>
            <w:rStyle w:val="Hyperlink"/>
          </w:rPr>
          <w:t xml:space="preserve">[11]</w:t>
        </w:r>
      </w:hyperlink>
      <w:r>
        <w:t xml:space="preserve">. The estimator agrees with that prior at high confidence.</w:t>
      </w:r>
    </w:p>
    <w:p>
      <w:pPr>
        <w:pStyle w:val="BodyText"/>
        <w:spacing w:line="480" w:lineRule="auto"/>
        <w:ind w:firstLine="720"/>
      </w:pPr>
      <w:r>
        <w:t xml:space="preserve">The finding has direct consequences for the falsifiable claim. The prospectus advanced the hypothesis that the marginal congestion cost curve is strictly increasing and convex in shell object density, with the rate of convexity highest in shells where derelict accumulation is most acute. Being linear, the cross-sectional estimator cannot speak to convexity directly. It can speak to the conditional ordering of effects across shells with different derelict shares, and that ordering points straight at the convexity argument: shells with high derelict shares carry a per-object burden roughly three orders of magnitude higher than what the object-count slope alone would predict, and the gap concentrates in exactly the shells where the prospectus hypothesised the convexity is sharpest</w:t>
      </w:r>
      <w:r>
        <w:t xml:space="preserve"> </w:t>
      </w:r>
      <w:hyperlink w:anchor="ref-3">
        <w:r>
          <w:rPr>
            <w:rStyle w:val="Hyperlink"/>
          </w:rPr>
          <w:t xml:space="preserve">[3]</w:t>
        </w:r>
      </w:hyperlink>
      <w:r>
        <w:t xml:space="preserve">[4].</w:t>
      </w:r>
    </w:p>
    <w:bookmarkEnd w:id="109"/>
    <w:bookmarkStart w:id="110" w:name="X30a386293d8bc9f4149b0f20cc7d75daee9b686"/>
    <w:p>
      <w:pPr>
        <w:pStyle w:val="Heading3"/>
        <w:spacing w:line="480" w:lineRule="auto"/>
      </w:pPr>
      <w:r>
        <w:t xml:space="preserve">6.1.4 Mean cross-section: positive sign, marginal significance</w:t>
      </w:r>
    </w:p>
    <w:p>
      <w:pPr>
        <w:pStyle w:val="FirstParagraph"/>
        <w:spacing w:line="480" w:lineRule="auto"/>
      </w:pPr>
      <w:r>
        <w:t xml:space="preserve">Mean radar cross-section enters at 0.0432 conjunction events per object per year per square metre of mean cross-section, with a robust standard error of 0.0232 and a p-value of 0.0625. The estimate falls just outside the conventional five-percent rejection band and inside the ten-percent band, which is conventionally read as marginal statistical evidence for the sign-of-effect prediction. The sign matches the geometric prior: a larger mean cross-section raises the effective collision area per encounter, which raises the probability mass attached to each pairwise close approach.</w:t>
      </w:r>
    </w:p>
    <w:p>
      <w:pPr>
        <w:pStyle w:val="BodyText"/>
        <w:spacing w:line="480" w:lineRule="auto"/>
        <w:ind w:firstLine="720"/>
      </w:pPr>
      <w:r>
        <w:t xml:space="preserve">The magnitude is moderate. A one-square-metre increase in mean cross-section, comparable to the difference between a small-satellite-dominated shell and one with substantial legacy payload mass, raises per-object burden by approximately 0.04 events per year. That is the same order of magnitude as the object-count contribution at moderate shell populations and about one-tenth of the derelict-fraction contribution at a half-unit move. The cross-section channel is therefore a third-order effect in the cross-section: present and signed correctly, and not large enough to dominate the policy ranking. The marginal p-value cautions against treating the slope as a precisely identified policy lever. It does not caution against including object size as a secondary multiplier in a fee schedule, because the point estimate carries information even where the rejection band is wide</w:t>
      </w:r>
      <w:r>
        <w:t xml:space="preserve"> </w:t>
      </w:r>
      <w:hyperlink w:anchor="ref-14">
        <w:r>
          <w:rPr>
            <w:rStyle w:val="Hyperlink"/>
          </w:rPr>
          <w:t xml:space="preserve">[14]</w:t>
        </w:r>
      </w:hyperlink>
      <w:r>
        <w:t xml:space="preserve">.</w:t>
      </w:r>
    </w:p>
    <w:bookmarkEnd w:id="110"/>
    <w:bookmarkStart w:id="111" w:name="X42e3c8e0bef0d294d8ccc56bd8a20882180012f"/>
    <w:p>
      <w:pPr>
        <w:pStyle w:val="Heading3"/>
        <w:spacing w:line="480" w:lineRule="auto"/>
      </w:pPr>
      <w:r>
        <w:t xml:space="preserve">6.1.5 Inclination spread: small, statistically indistinguishable from zero</w:t>
      </w:r>
    </w:p>
    <w:p>
      <w:pPr>
        <w:pStyle w:val="FirstParagraph"/>
        <w:spacing w:line="480" w:lineRule="auto"/>
      </w:pPr>
      <w:r>
        <w:t xml:space="preserve">Inclination spread enters at negative-0.0010 conjunction events per object per year per degree of inclination spread, with a robust standard error of 0.0016 and a p-value of 0.5492. The estimator cannot distinguish this slope from zero at any conventional level. The point estimate is negative, but the standard error is larger in absolute magnitude than the point estimate itself, so the sign carries essentially no information. The economically meaningful effect, recovered by multiplying the point estimate by a representative inclination-spread range, is negligible: a fifty-degree spread, near the maximum observed in the sample, would shift per-object burden by approximately negative-0.05 events per year, comparable to the noise floor of the dependent variable.</w:t>
      </w:r>
    </w:p>
    <w:p>
      <w:pPr>
        <w:pStyle w:val="BodyText"/>
        <w:spacing w:line="480" w:lineRule="auto"/>
        <w:ind w:firstLine="720"/>
      </w:pPr>
      <w:r>
        <w:t xml:space="preserve">The reading here is the one anticipated in the theoretical section of Paper 1: wider inclination spreads raise the number of pairwise crossings within a shell but shorten the dwell time at any individual crossing, and the two effects offset in the cross-section. The estimator is consistent with that geometric prior and gives no grounds for indexing a Pigouvian fee schedule on shell-level inclination structure at present resolution</w:t>
      </w:r>
      <w:r>
        <w:t xml:space="preserve"> </w:t>
      </w:r>
      <w:hyperlink w:anchor="ref-12">
        <w:r>
          <w:rPr>
            <w:rStyle w:val="Hyperlink"/>
          </w:rPr>
          <w:t xml:space="preserve">[12]</w:t>
        </w:r>
      </w:hyperlink>
      <w:r>
        <w:t xml:space="preserve">. This is a useful negative finding, because it bounds the dimensionality of any defensible fee schedule. A schedule indexed on shell population and derelict fraction, with object size as a secondary multiplier, captures all the variation the cross-section can identify; adding inclination structure adds parameters without adding signal.</w:t>
      </w:r>
    </w:p>
    <w:bookmarkEnd w:id="111"/>
    <w:bookmarkStart w:id="112" w:name="the-intercept"/>
    <w:p>
      <w:pPr>
        <w:pStyle w:val="Heading3"/>
        <w:spacing w:line="480" w:lineRule="auto"/>
      </w:pPr>
      <w:r>
        <w:t xml:space="preserve">6.1.6 The intercept</w:t>
      </w:r>
    </w:p>
    <w:p>
      <w:pPr>
        <w:pStyle w:val="FirstParagraph"/>
        <w:spacing w:line="480" w:lineRule="auto"/>
      </w:pPr>
      <w:r>
        <w:t xml:space="preserve">The intercept comes in at negative-0.3310 with a robust standard error of 0.1115 and a p-value of 0.0030. It is statistically distinguishable from zero at the one-percent level. Its negative sign is mechanically expected in the linear specification. Per-object burden is bounded below at zero, and the four covariates carry positive (and one effectively zero) slopes, so the intercept must absorb the geometry of fitting a hyperplane through the cluster of low-density, low-derelict, sparse-population observations at the upper end of the LEO column. The intercept is therefore given no structural interpretation. It is reported for completeness, because what matters at the policy-relevant region of the regressor space is the fitted line, not the predicted value at the (zero, zero, zero, zero) null point that lies well outside the support of the data.</w:t>
      </w:r>
    </w:p>
    <w:bookmarkEnd w:id="112"/>
    <w:bookmarkStart w:id="113" w:name="summary-reading-of-paper-1"/>
    <w:p>
      <w:pPr>
        <w:pStyle w:val="Heading3"/>
        <w:spacing w:line="480" w:lineRule="auto"/>
      </w:pPr>
      <w:r>
        <w:t xml:space="preserve">6.1.7 Summary reading of Paper 1</w:t>
      </w:r>
    </w:p>
    <w:p>
      <w:pPr>
        <w:pStyle w:val="FirstParagraph"/>
        <w:spacing w:line="480" w:lineRule="auto"/>
      </w:pPr>
      <w:r>
        <w:t xml:space="preserve">Paper 1 identifies a two-feature core to the marginal congestion cost curve across the LEO altitude column. Shell population carries a small per-unit slope that aggregates to economically meaningful per-object burden in the densely populated shells. Derelict share carries the largest substantive effect, with a confidence interval that does not approach zero. Mean cross-section enters with the geometrically expected positive sign at marginal statistical significance. Inclination spread is statistically silent. The composite reading is that a shell-conditioned Pigouvian fee schedule indexed on population and derelict share, with cross-section as a secondary multiplier, captures effectively all the cross-sectional variation in per-object burden this data permits to be measured. The prospectus hypothesis that the marginal cost curve is monotonically increasing in shell density is not rejected, and the conditional pattern across derelict shares is consistent with the convexity prediction, though the linear specification cannot test convexity directly</w:t>
      </w:r>
      <w:r>
        <w:t xml:space="preserve"> </w:t>
      </w:r>
      <w:hyperlink w:anchor="ref-11">
        <w:r>
          <w:rPr>
            <w:rStyle w:val="Hyperlink"/>
          </w:rPr>
          <w:t xml:space="preserve">[11]</w:t>
        </w:r>
      </w:hyperlink>
      <w:r>
        <w:t xml:space="preserve">[12].</w:t>
      </w:r>
    </w:p>
    <w:bookmarkEnd w:id="113"/>
    <w:bookmarkEnd w:id="114"/>
    <w:bookmarkStart w:id="122" w:name="log-linear-congestion-elasticity-paper-2"/>
    <w:p>
      <w:pPr>
        <w:pStyle w:val="Heading2"/>
        <w:spacing w:line="480" w:lineRule="auto"/>
      </w:pPr>
      <w:r>
        <w:t xml:space="preserve">6.2 Log-Linear Congestion Elasticity (Paper 2)</w:t>
      </w:r>
    </w:p>
    <w:p>
      <w:pPr>
        <w:pStyle w:val="FirstParagraph"/>
        <w:spacing w:line="480" w:lineRule="auto"/>
      </w:pPr>
      <w:r>
        <w:t xml:space="preserve">The second paper estimates a log-linear specification of conjunction events on resident object counts and active satellite counts using a balanced panel of six fifty-to-one-hundred-kilometre shells observed annually from 2019 through 2024. The estimator is again ordinary least squares with HC1 robust standard errors, regressing the log of conjunctions on the log of total resident space objects, the log of active satellites, a linear year index, and a binary indicator for the four-hundred-to-five-hundred-kilometre band. The sample is again thirty-six observations.</w:t>
      </w:r>
    </w:p>
    <w:bookmarkStart w:id="115" w:name="global-fit-1"/>
    <w:p>
      <w:pPr>
        <w:pStyle w:val="Heading3"/>
        <w:spacing w:line="480" w:lineRule="auto"/>
      </w:pPr>
      <w:r>
        <w:t xml:space="preserve">6.2.1 Global fit</w:t>
      </w:r>
    </w:p>
    <w:p>
      <w:pPr>
        <w:pStyle w:val="FirstParagraph"/>
        <w:spacing w:line="480" w:lineRule="auto"/>
      </w:pPr>
      <w:r>
        <w:t xml:space="preserve">Even by the standards of log-linear panel work, the fit is exceptional. The coefficient of determination is 0.9965 and the adjusted coefficient of determination is 0.9960. The joint F-statistic is 6253.0272 with a p-value of 1.42 multiplied by ten to the negative forty-four. The reduced model is rejected at any precision the estimator can express. The log-log structure exposes a near-deterministic system-level relationship between shell occupancy and conjunction events once active-satellite concentration and the time trend in screening practice are absorbed.</w:t>
      </w:r>
    </w:p>
    <w:p>
      <w:pPr>
        <w:pStyle w:val="BodyText"/>
        <w:spacing w:line="480" w:lineRule="auto"/>
        <w:ind w:firstLine="720"/>
      </w:pPr>
      <w:r>
        <w:t xml:space="preserve">That very high fit warrants a note of methodological self-awareness. With four regressors, thirty-six observations, and a coefficient of determination above 0.99, the estimator is operating in a regime where measurement noise in the regressors and dependent variable is small relative to the systematic component. That is interpretable in the present context, because the dependent variable, log conjunctions, and the principal regressor, log objects, both derive from the same orbital census instruments and inherit the same sources of systematic variation across shells and years. The high fit therefore does not claim the marginal congestion cost curve is recoverable in dollar terms without further calibration. It claims that the elasticity of conjunctions to resident objects is identified with extremely high precision at the system level</w:t>
      </w:r>
      <w:r>
        <w:t xml:space="preserve"> </w:t>
      </w:r>
      <w:hyperlink w:anchor="ref-18">
        <w:r>
          <w:rPr>
            <w:rStyle w:val="Hyperlink"/>
          </w:rPr>
          <w:t xml:space="preserve">[18]</w:t>
        </w:r>
      </w:hyperlink>
      <w:r>
        <w:t xml:space="preserve">[22].</w:t>
      </w:r>
    </w:p>
    <w:bookmarkEnd w:id="115"/>
    <w:bookmarkStart w:id="116" w:name="Xce92a07d92c6a21ef2d419856cdeb13a79886ae"/>
    <w:p>
      <w:pPr>
        <w:pStyle w:val="Heading3"/>
        <w:spacing w:line="480" w:lineRule="auto"/>
      </w:pPr>
      <w:r>
        <w:t xml:space="preserve">6.2.2 Elasticity of conjunctions with respect to resident objects</w:t>
      </w:r>
    </w:p>
    <w:p>
      <w:pPr>
        <w:pStyle w:val="FirstParagraph"/>
        <w:spacing w:line="480" w:lineRule="auto"/>
      </w:pPr>
      <w:r>
        <w:t xml:space="preserve">Log objects enters at 0.8032, with a robust standard error of 0.0695 and a p-value indistinguishable from zero at three decimal places. The implied ninety-five percent confidence interval runs approximately from 0.67 to 0.94. The point estimate is statistically distinguishable from zero at any conventional level and from one at conventional levels as well: the upper bound of the interval falls below one, and the test of the null that the elasticity equals one is rejected by inspection of the interval alone.</w:t>
      </w:r>
    </w:p>
    <w:p>
      <w:pPr>
        <w:pStyle w:val="BodyText"/>
        <w:spacing w:line="480" w:lineRule="auto"/>
        <w:ind w:firstLine="720"/>
      </w:pPr>
      <w:r>
        <w:t xml:space="preserve">This is the central numerical finding of Paper 2, and it has to be read carefully. The primary hypothesis the paper advanced was that the elasticity of conjunctions to resident objects exceeds one, which would be the log-linear signature of a strictly convex congestion curve in the population dimension. The point estimate, 0.80, falls below one. Taken at face value and in isolation, the object-count elasticity is therefore inconsistent with strict convexity of the per-object congestion burden in population. The estimator does not, however, license the corresponding categorical reading that the congestion curve is concave. Two considerations are needed for an honest interpretation.</w:t>
      </w:r>
    </w:p>
    <w:p>
      <w:pPr>
        <w:pStyle w:val="BodyText"/>
        <w:spacing w:line="480" w:lineRule="auto"/>
        <w:ind w:firstLine="720"/>
      </w:pPr>
      <w:r>
        <w:t xml:space="preserve">Catalogued object count is measured conservatively relative to the true small-debris population. Sub-ten-centimetre objects are systematically under-represented in the catalogue, and their share of the actual conjunction-relevant population correlates with the shell-level total in ways that bias the estimated elasticity toward zero. The estimated 0.80 is therefore best read as a lower bound on the true elasticity under measurement-error correction</w:t>
      </w:r>
      <w:r>
        <w:t xml:space="preserve"> </w:t>
      </w:r>
      <w:hyperlink w:anchor="ref-6">
        <w:r>
          <w:rPr>
            <w:rStyle w:val="Hyperlink"/>
          </w:rPr>
          <w:t xml:space="preserve">[6]</w:t>
        </w:r>
      </w:hyperlink>
      <w:r>
        <w:t xml:space="preserve">.</w:t>
      </w:r>
    </w:p>
    <w:p>
      <w:pPr>
        <w:pStyle w:val="BodyText"/>
        <w:spacing w:line="480" w:lineRule="auto"/>
        <w:ind w:firstLine="720"/>
      </w:pPr>
      <w:r>
        <w:t xml:space="preserve">The elasticity is also estimated jointly with the elasticity on active satellites, which captures a population channel the log-objects regressor does not absorb. The joint reading of the two elasticities comes in the next subsection. The standalone reading of the object-count elasticity should not, on its own, be used to characterise the shape of the congestion curve.</w:t>
      </w:r>
    </w:p>
    <w:bookmarkEnd w:id="116"/>
    <w:bookmarkStart w:id="117" w:name="Xfa95dfbbfa01b6252989b5468e0440a0419996d"/>
    <w:p>
      <w:pPr>
        <w:pStyle w:val="Heading3"/>
        <w:spacing w:line="480" w:lineRule="auto"/>
      </w:pPr>
      <w:r>
        <w:t xml:space="preserve">6.2.3 Elasticity of conjunctions with respect to active satellites</w:t>
      </w:r>
    </w:p>
    <w:p>
      <w:pPr>
        <w:pStyle w:val="FirstParagraph"/>
        <w:spacing w:line="480" w:lineRule="auto"/>
      </w:pPr>
      <w:r>
        <w:t xml:space="preserve">Log active satellites enters at 0.3656 with a robust standard error of 0.0334 and a p-value indistinguishable from zero at three decimal places. The implied ninety-five percent confidence interval runs approximately from 0.30 to 0.43. The estimator identifies the active-satellite elasticity with high precision and statistical significance well below the one-percent threshold.</w:t>
      </w:r>
    </w:p>
    <w:p>
      <w:pPr>
        <w:pStyle w:val="BodyText"/>
        <w:spacing w:line="480" w:lineRule="auto"/>
        <w:ind w:firstLine="720"/>
      </w:pPr>
      <w:r>
        <w:t xml:space="preserve">The economically meaningful reading comes from combining the two population-channel elasticities. The joint elasticity of conjunctions with respect to total in-shell population, summing 0.8032 and 0.3656, is approximately 1.17. That joint elasticity exceeds one. Once active satellites are credited for the disproportionate screening volume and the relative-velocity geometry they generate, the system-level congestion curve is mildly convex in total in-shell population. The naive standard error on the sum, treating the two coefficient estimates as approximately uncorrelated for present purposes, is the square root of the sum of squared standard errors, approximately 0.0771. The joint elasticity is therefore distinguishable from one at the conventional level, though the cushion above one is modest.</w:t>
      </w:r>
    </w:p>
    <w:p>
      <w:pPr>
        <w:pStyle w:val="BodyText"/>
        <w:spacing w:line="480" w:lineRule="auto"/>
        <w:ind w:firstLine="720"/>
      </w:pPr>
      <w:r>
        <w:t xml:space="preserve">This is the falsifiable contribution of Paper 2, and it supports the prospectus claim that the marginal congestion cost curve is increasing in shell occupancy at present population levels, with the proviso that the active-satellite margin is the channel through which the convexity is most clearly visible. The point estimate of 1.17 for the joint elasticity is approximately the same order of magnitude as the local convexity implied by density-based evolutionary modelling of the LEO environment in the period under study</w:t>
      </w:r>
      <w:r>
        <w:t xml:space="preserve"> </w:t>
      </w:r>
      <w:hyperlink w:anchor="ref-12">
        <w:r>
          <w:rPr>
            <w:rStyle w:val="Hyperlink"/>
          </w:rPr>
          <w:t xml:space="preserve">[12]</w:t>
        </w:r>
      </w:hyperlink>
      <w:r>
        <w:t xml:space="preserve">[18]. The economic implication is that a Pigouvian access fee scaling with total in-shell occupancy, counting both passive resident objects and operational satellites, has a defensible empirical anchor in this elasticity.</w:t>
      </w:r>
    </w:p>
    <w:bookmarkEnd w:id="117"/>
    <w:bookmarkStart w:id="118" w:name="the-year-trend"/>
    <w:p>
      <w:pPr>
        <w:pStyle w:val="Heading3"/>
        <w:spacing w:line="480" w:lineRule="auto"/>
      </w:pPr>
      <w:r>
        <w:t xml:space="preserve">6.2.4 The year trend</w:t>
      </w:r>
    </w:p>
    <w:p>
      <w:pPr>
        <w:pStyle w:val="FirstParagraph"/>
        <w:spacing w:line="480" w:lineRule="auto"/>
      </w:pPr>
      <w:r>
        <w:t xml:space="preserve">The year index enters at 0.0122 with a robust standard error of 0.0058 and a p-value of 0.0347. The estimator identifies a positive year trend in log conjunctions distinguishable from zero at the five-percent level and not at the one-percent level. The magnitude is small: a one-year increment raises log conjunctions by 0.0122, a multiplicative increase of approximately 1.23 percent in the conjunction count holding object and active-satellite counts fixed.</w:t>
      </w:r>
    </w:p>
    <w:p>
      <w:pPr>
        <w:pStyle w:val="BodyText"/>
        <w:spacing w:line="480" w:lineRule="auto"/>
        <w:ind w:firstLine="720"/>
      </w:pPr>
      <w:r>
        <w:t xml:space="preserve">This residual time trend reads as the share of the rising conjunction count that the rise in catalogued objects or active satellites does not absorb. Conjunction-screening practice has tightened over the sample period, screening volumes have grown with sensor coverage, and operator-side avoidance discipline has matured. The estimator allocates roughly 1.2 percent per year of conjunction growth to this residual channel, small but not negligible. The consequence for the prospectus is that the elasticities in subsections 6.2.2 and 6.2.3 are not contaminated by an unmodelled secular trend; the trend is small, separately identified, and absorbed into its own coefficient</w:t>
      </w:r>
      <w:r>
        <w:t xml:space="preserve"> </w:t>
      </w:r>
      <w:hyperlink w:anchor="ref-22">
        <w:r>
          <w:rPr>
            <w:rStyle w:val="Hyperlink"/>
          </w:rPr>
          <w:t xml:space="preserve">[22]</w:t>
        </w:r>
      </w:hyperlink>
      <w:r>
        <w:t xml:space="preserve">.</w:t>
      </w:r>
    </w:p>
    <w:bookmarkEnd w:id="118"/>
    <w:bookmarkStart w:id="119" w:name="the-lowest-shell-indicator"/>
    <w:p>
      <w:pPr>
        <w:pStyle w:val="Heading3"/>
        <w:spacing w:line="480" w:lineRule="auto"/>
      </w:pPr>
      <w:r>
        <w:t xml:space="preserve">6.2.5 The lowest-shell indicator</w:t>
      </w:r>
    </w:p>
    <w:p>
      <w:pPr>
        <w:pStyle w:val="FirstParagraph"/>
        <w:spacing w:line="480" w:lineRule="auto"/>
      </w:pPr>
      <w:r>
        <w:t xml:space="preserve">The four-hundred-to-five-hundred-kilometre shell indicator enters at 0.2542 with a robust standard error of 0.0372 and a p-value indistinguishable from zero at three decimal places. The implied ninety-five percent confidence interval runs approximately from 0.18 to 0.33. The estimator identifies a level shift in log conjunctions in the lowest LEO band of approximately 0.25, a multiplicative increase of approximately 1.29 in the conjunction count relative to the higher shells, holding object and active-satellite counts and the year trend fixed.</w:t>
      </w:r>
    </w:p>
    <w:p>
      <w:pPr>
        <w:pStyle w:val="BodyText"/>
        <w:spacing w:line="480" w:lineRule="auto"/>
        <w:ind w:firstLine="720"/>
      </w:pPr>
      <w:r>
        <w:t xml:space="preserve">The reading is that the lowest LEO band carries an elevated baseline congestion intensity the four log-linear regressors do not absorb. Mechanically, the four-hundred-to-five-hundred-kilometre band concentrates operational traffic tied to the ISS regime, reentry-bound debris transiting toward atmospheric decay, and the descent phase of disposed broadband constellation satellites. The level shift therefore captures a regime where the conjunction-relevant population mix is not described by the same shell-features-to-conjunctions mapping that holds at higher altitudes</w:t>
      </w:r>
      <w:r>
        <w:t xml:space="preserve"> </w:t>
      </w:r>
      <w:hyperlink w:anchor="ref-22">
        <w:r>
          <w:rPr>
            <w:rStyle w:val="Hyperlink"/>
          </w:rPr>
          <w:t xml:space="preserve">[22]</w:t>
        </w:r>
      </w:hyperlink>
      <w:r>
        <w:t xml:space="preserve">.</w:t>
      </w:r>
    </w:p>
    <w:p>
      <w:pPr>
        <w:pStyle w:val="BodyText"/>
        <w:spacing w:line="480" w:lineRule="auto"/>
        <w:ind w:firstLine="720"/>
      </w:pPr>
      <w:r>
        <w:t xml:space="preserve">The policy reading is direct. A fee schedule keyed only to object count would understate marginal congestion in the four-hundred-to-five-hundred-kilometre band by approximately the level-shift magnitude, which translates to a fee that should run roughly thirty percent higher in the lowest band than the elasticity terms alone would predict. The estimator therefore identifies a shell-specific add-on that any defensible Pigouvian schedule has to absorb</w:t>
      </w:r>
      <w:r>
        <w:t xml:space="preserve"> </w:t>
      </w:r>
      <w:hyperlink w:anchor="ref-4">
        <w:r>
          <w:rPr>
            <w:rStyle w:val="Hyperlink"/>
          </w:rPr>
          <w:t xml:space="preserve">[4]</w:t>
        </w:r>
      </w:hyperlink>
      <w:r>
        <w:t xml:space="preserve">.</w:t>
      </w:r>
    </w:p>
    <w:bookmarkEnd w:id="119"/>
    <w:bookmarkStart w:id="120" w:name="the-intercept-1"/>
    <w:p>
      <w:pPr>
        <w:pStyle w:val="Heading3"/>
        <w:spacing w:line="480" w:lineRule="auto"/>
      </w:pPr>
      <w:r>
        <w:t xml:space="preserve">6.2.6 The intercept</w:t>
      </w:r>
    </w:p>
    <w:p>
      <w:pPr>
        <w:pStyle w:val="FirstParagraph"/>
        <w:spacing w:line="480" w:lineRule="auto"/>
      </w:pPr>
      <w:r>
        <w:t xml:space="preserve">The intercept comes in at negative-1.3636 with a robust standard error of 0.3550 and a p-value of 0.0001. It is statistically distinguishable from zero at any conventional level. In the log-linear specification the intercept is the predicted log conjunction count at unit values of all four regressors, well outside the support of the data, so its structural interpretation is not pursued. It is reported for completeness and is needed for the prediction calculations that appear in the Discussion chapter</w:t>
      </w:r>
      <w:r>
        <w:t xml:space="preserve"> </w:t>
      </w:r>
      <w:hyperlink w:anchor="ref-3">
        <w:r>
          <w:rPr>
            <w:rStyle w:val="Hyperlink"/>
          </w:rPr>
          <w:t xml:space="preserve">[3]</w:t>
        </w:r>
      </w:hyperlink>
      <w:r>
        <w:t xml:space="preserve">.</w:t>
      </w:r>
    </w:p>
    <w:bookmarkEnd w:id="120"/>
    <w:bookmarkStart w:id="121" w:name="summary-reading-of-paper-2"/>
    <w:p>
      <w:pPr>
        <w:pStyle w:val="Heading3"/>
        <w:spacing w:line="480" w:lineRule="auto"/>
      </w:pPr>
      <w:r>
        <w:t xml:space="preserve">6.2.7 Summary reading of Paper 2</w:t>
      </w:r>
    </w:p>
    <w:p>
      <w:pPr>
        <w:pStyle w:val="FirstParagraph"/>
        <w:spacing w:line="480" w:lineRule="auto"/>
      </w:pPr>
      <w:r>
        <w:t xml:space="preserve">Paper 2 identifies a joint population elasticity of conjunctions of approximately 1.17, with the object-count channel contributing 0.80 and the active-satellite channel contributing 0.37. The joint elasticity exceeds one and supports the prospectus hypothesis of a strictly convex marginal congestion cost curve at present LEO populations. A residual time trend of approximately 1.2 percent per year is separately identified. A level shift of approximately 0.25 in log conjunctions is identified in the four-hundred-to-five-hundred-kilometre band, translating into a shell-specific congestion premium that any altitude-blind fee schedule misses by construction. The composite reading is that the elasticity-based estimator complements the cross-sectional estimator of Paper 1: the first identifies the level and ranking of marginal congestion effects across the LEO column, and the second identifies the curvature of the system response to total in-shell occupancy. The two readings together support the falsifiable claim advanced in the prospectus at the resolution the data permit</w:t>
      </w:r>
      <w:r>
        <w:t xml:space="preserve"> </w:t>
      </w:r>
      <w:hyperlink w:anchor="ref-3">
        <w:r>
          <w:rPr>
            <w:rStyle w:val="Hyperlink"/>
          </w:rPr>
          <w:t xml:space="preserve">[3]</w:t>
        </w:r>
      </w:hyperlink>
      <w:r>
        <w:t xml:space="preserve">[4][12].</w:t>
      </w:r>
    </w:p>
    <w:bookmarkEnd w:id="121"/>
    <w:bookmarkEnd w:id="122"/>
    <w:bookmarkStart w:id="123" w:name="joint-reading-and-the-falsifiable-claim"/>
    <w:p>
      <w:pPr>
        <w:pStyle w:val="Heading2"/>
        <w:spacing w:line="480" w:lineRule="auto"/>
      </w:pPr>
      <w:r>
        <w:t xml:space="preserve">6.3 Joint Reading and the Falsifiable Claim</w:t>
      </w:r>
    </w:p>
    <w:p>
      <w:pPr>
        <w:pStyle w:val="FirstParagraph"/>
        <w:spacing w:line="480" w:lineRule="auto"/>
      </w:pPr>
      <w:r>
        <w:t xml:space="preserve">The two estimators address overlapping but distinct margins. Paper 1 estimates a per-object burden cross-section across thirty-six shells at one observation period and identifies the shell features that allocate burden across the LEO column. Paper 2 estimates a system-level conjunction elasticity on a balanced shell-year panel and identifies the curvature of the congestion response to total occupancy. The falsifiable claim the prospectus advanced is that the marginal external cost curve is strictly increasing and convex in shell density across the four-hundred-to-twelve-hundred-kilometre band</w:t>
      </w:r>
      <w:r>
        <w:t xml:space="preserve"> </w:t>
      </w:r>
      <w:hyperlink w:anchor="ref-3">
        <w:r>
          <w:rPr>
            <w:rStyle w:val="Hyperlink"/>
          </w:rPr>
          <w:t xml:space="preserve">[3]</w:t>
        </w:r>
      </w:hyperlink>
      <w:r>
        <w:t xml:space="preserve">[4].</w:t>
      </w:r>
    </w:p>
    <w:p>
      <w:pPr>
        <w:pStyle w:val="BodyText"/>
        <w:spacing w:line="480" w:lineRule="auto"/>
        <w:ind w:firstLine="720"/>
      </w:pPr>
      <w:r>
        <w:t xml:space="preserve">The cross-sectional estimator does not reject monotonicity. Shell population enters with a sharply identified positive slope; derelict fraction enters with a large and tightly bounded positive slope; mean cross-section enters with a positive sign at marginal significance; inclination spread is statistically silent. The composite gradient is positive across the policy-relevant shells and the ranking of effects is stable under the design’s measurement assumptions. The linear specification cannot test convexity, but the conditional ordering of effects across derelict shares is consistent with the prediction that convexity concentrates in shells where unmanaged populations dominate</w:t>
      </w:r>
      <w:r>
        <w:t xml:space="preserve"> </w:t>
      </w:r>
      <w:hyperlink w:anchor="ref-11">
        <w:r>
          <w:rPr>
            <w:rStyle w:val="Hyperlink"/>
          </w:rPr>
          <w:t xml:space="preserve">[11]</w:t>
        </w:r>
      </w:hyperlink>
      <w:r>
        <w:t xml:space="preserve">.</w:t>
      </w:r>
    </w:p>
    <w:p>
      <w:pPr>
        <w:pStyle w:val="BodyText"/>
        <w:spacing w:line="480" w:lineRule="auto"/>
        <w:ind w:firstLine="720"/>
      </w:pPr>
      <w:r>
        <w:t xml:space="preserve">The log-linear estimator speaks directly to curvature. The joint population elasticity of 1.17 exceeds one with a cushion that, while modest, is distinguishable from the linear null. The object-count elasticity alone falls below one, and the standalone reading is biased toward zero by catalogue incompleteness in the small-debris regime and by the separate identification of the active-satellite channel. The honest reading is that the system-level congestion curve is mildly convex at present LEO populations and that the convexity is most clearly visible through the active-satellite margin, which captures the disproportionate screening-volume contribution of operational traffic in the populated shells</w:t>
      </w:r>
      <w:r>
        <w:t xml:space="preserve"> </w:t>
      </w:r>
      <w:hyperlink w:anchor="ref-6">
        <w:r>
          <w:rPr>
            <w:rStyle w:val="Hyperlink"/>
          </w:rPr>
          <w:t xml:space="preserve">[6]</w:t>
        </w:r>
      </w:hyperlink>
      <w:r>
        <w:t xml:space="preserve">[18].</w:t>
      </w:r>
    </w:p>
    <w:p>
      <w:pPr>
        <w:pStyle w:val="BodyText"/>
        <w:spacing w:line="480" w:lineRule="auto"/>
        <w:ind w:firstLine="720"/>
      </w:pPr>
      <w:r>
        <w:t xml:space="preserve">The composite empirical reading therefore supports the alternative hypothesis advanced in the prospectus over the null. The null of constant or non-monotonic marginal congestion cost is inconsistent with both estimators at conventional levels of statistical confidence. The alternative of strictly increasing congestion cost is supported by both estimators jointly. The strict-convexity component of the alternative is supported by the elasticity estimator at the joint-population margin. The shell-level differentiation component, which is the policy-actionable part, is supported by the derelict-fraction coefficient in the cross-section and by the level shift on the lowest-shell indicator in the panel.</w:t>
      </w:r>
    </w:p>
    <w:p>
      <w:pPr>
        <w:pStyle w:val="BodyText"/>
        <w:spacing w:line="480" w:lineRule="auto"/>
        <w:ind w:firstLine="720"/>
      </w:pPr>
      <w:r>
        <w:t xml:space="preserve">The Discussion chapter takes up the translation of these estimates into a Pigouvian schedule, the calibration against the aggregate cost path in Rao and Rondina</w:t>
      </w:r>
      <w:r>
        <w:t xml:space="preserve"> </w:t>
      </w:r>
      <w:hyperlink w:anchor="ref-3">
        <w:r>
          <w:rPr>
            <w:rStyle w:val="Hyperlink"/>
          </w:rPr>
          <w:t xml:space="preserve">[3]</w:t>
        </w:r>
      </w:hyperlink>
      <w:r>
        <w:t xml:space="preserve"> </w:t>
      </w:r>
      <w:r>
        <w:t xml:space="preserve">and the Pigouvian rate in Adilov and colleagues</w:t>
      </w:r>
      <w:r>
        <w:t xml:space="preserve"> </w:t>
      </w:r>
      <w:hyperlink w:anchor="ref-4">
        <w:r>
          <w:rPr>
            <w:rStyle w:val="Hyperlink"/>
          </w:rPr>
          <w:t xml:space="preserve">[4]</w:t>
        </w:r>
      </w:hyperlink>
      <w:r>
        <w:t xml:space="preserve">, and the policy reading of the shell-specific premia the estimators identify. The numerical artefacts that underwrite the estimates reported here are gathered in Appendix A and are referenced from the discussion that follows.</w:t>
      </w:r>
    </w:p>
    <w:bookmarkEnd w:id="123"/>
    <w:bookmarkEnd w:id="124"/>
    <w:bookmarkStart w:id="132" w:name="X21322cb5e29cbf4eb576afddcad42f86ace4e0d"/>
    <w:p>
      <w:pPr>
        <w:pStyle w:val="Heading1"/>
        <w:spacing w:line="480" w:lineRule="auto"/>
      </w:pPr>
      <w:r>
        <w:t xml:space="preserve">Chapter 7. Discussion and Governance Implications</w:t>
      </w:r>
    </w:p>
    <w:bookmarkStart w:id="125" w:name="what-the-estimates-mean"/>
    <w:p>
      <w:pPr>
        <w:pStyle w:val="Heading2"/>
        <w:spacing w:line="480" w:lineRule="auto"/>
      </w:pPr>
      <w:r>
        <w:t xml:space="preserve">7.1 What the Estimates Mean</w:t>
      </w:r>
    </w:p>
    <w:p>
      <w:pPr>
        <w:pStyle w:val="FirstParagraph"/>
        <w:spacing w:line="480" w:lineRule="auto"/>
      </w:pPr>
      <w:r>
        <w:t xml:space="preserve">Both empirical chapters of this dissertation land on one substantive claim. Adding a resident space object to a low Earth orbit shell carries a marginal external cost that does not hold constant down the altitude column, and the gradient runs steep enough that an altitude-blind launch fee misdirects effort long before cascade dynamics ever enter the picture. In the first empirical paper, the cross-sectional regression singles out shell population and derelict fraction as the pair of features holding nearly all the explanatory weight, at a per-object slope on population of 0.0004 conjunctions per year per object and a derelict-fraction coefficient of 1.273 conjunctions per year at full unit move</w:t>
      </w:r>
      <w:r>
        <w:t xml:space="preserve"> </w:t>
      </w:r>
      <w:hyperlink w:anchor="ref-11">
        <w:r>
          <w:rPr>
            <w:rStyle w:val="Hyperlink"/>
          </w:rPr>
          <w:t xml:space="preserve">[11]</w:t>
        </w:r>
      </w:hyperlink>
      <w:r>
        <w:t xml:space="preserve">[12]. In the second, the dose-response panel puts the joint elasticity of conjunctions with respect to total in-shell population near 1.17 once active satellites are credited on their own margin, with a further level shift on the lowest LEO band</w:t>
      </w:r>
      <w:r>
        <w:t xml:space="preserve"> </w:t>
      </w:r>
      <w:hyperlink w:anchor="ref-17">
        <w:r>
          <w:rPr>
            <w:rStyle w:val="Hyperlink"/>
          </w:rPr>
          <w:t xml:space="preserve">[17]</w:t>
        </w:r>
      </w:hyperlink>
      <w:r>
        <w:t xml:space="preserve">[18][20]. The two estimates do not chase exactly the same object, and they reinforce each other, and read together they trace a marginal congestion cost curve that climbs with occupancy, climbs faster where derelicts dominate the population, and climbs faster again in the lowest band where brief residency hides high local screening volumes</w:t>
      </w:r>
      <w:r>
        <w:t xml:space="preserve"> </w:t>
      </w:r>
      <w:hyperlink w:anchor="ref-11">
        <w:r>
          <w:rPr>
            <w:rStyle w:val="Hyperlink"/>
          </w:rPr>
          <w:t xml:space="preserve">[11]</w:t>
        </w:r>
      </w:hyperlink>
      <w:r>
        <w:t xml:space="preserve">[12][22].</w:t>
      </w:r>
    </w:p>
    <w:p>
      <w:pPr>
        <w:pStyle w:val="BodyText"/>
        <w:spacing w:line="480" w:lineRule="auto"/>
        <w:ind w:firstLine="720"/>
      </w:pPr>
      <w:r>
        <w:t xml:space="preserve">The result that matters most for governance is not any lone coefficient. It is the demonstration that the cross-shell gradient runs sharp enough to price. The hypothesis the prospectus set out, that marginal external cost strictly increases in shell density across the 400 to 1200 km band, holds up in the directions theory expected and is thrown out as flat or non-monotonic in none of the specifications</w:t>
      </w:r>
      <w:r>
        <w:t xml:space="preserve"> </w:t>
      </w:r>
      <w:hyperlink w:anchor="ref-3">
        <w:r>
          <w:rPr>
            <w:rStyle w:val="Hyperlink"/>
          </w:rPr>
          <w:t xml:space="preserve">[3]</w:t>
        </w:r>
      </w:hyperlink>
      <w:r>
        <w:t xml:space="preserve">[4]. That moves the policy question off whether a Pigouvian instrument has an empirical rate base and onto which institutional actor is best placed to apply one.</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Launch licensing is not NASA’s to regulate, and the Pigouvian instrument the dissertation’s estimates support belongs most naturally to the Federal Communications Commission, the Federal Aviation Administration, the Office of Space Commerce, or some future statutory authority folding elements of all three together. With that authority lodged elsewhere, the NASA program-management implications never touch fee setting. They run instead to three derivative uses of the marginal congestion cost curve inside the Agency’s existing decision processes.</w:t>
      </w:r>
    </w:p>
    <w:p>
      <w:pPr>
        <w:pStyle w:val="BodyText"/>
        <w:spacing w:line="480" w:lineRule="auto"/>
        <w:ind w:firstLine="720"/>
      </w:pPr>
      <w:r>
        <w:t xml:space="preserve">Mission design leads. When a NASA mission concept picks an orbit during formulation, it implicitly trades altitude against mission performance, communications geometry, and reentry behaviour. What the curve gives mission designers is an internal shadow price they can bring into trade studies to reflect the social cost of the shell they mean to occupy. A mission otherwise torn evenly between a 550 km insertion and an 820 km insertion now leans, in quantifiable terms, toward the shell whose derelict fraction sits lower and whose population stands further from the local convex regime</w:t>
      </w:r>
      <w:r>
        <w:t xml:space="preserve"> </w:t>
      </w:r>
      <w:hyperlink w:anchor="ref-12">
        <w:r>
          <w:rPr>
            <w:rStyle w:val="Hyperlink"/>
          </w:rPr>
          <w:t xml:space="preserve">[12]</w:t>
        </w:r>
      </w:hyperlink>
      <w:r>
        <w:t xml:space="preserve">. That shadow price is no fee. It is a number that renders a previously unpriced externality as a term in the very units the program already tracks for propellant mass, ground-segment cost, and operational complexity. Across the portfolio the effect nudges marginal mission concepts toward shells of lower marginal congestion cost, precisely the allocative response the Pigouvian theorem forecasts, and one that starts working without any external regulatory change.</w:t>
      </w:r>
    </w:p>
    <w:p>
      <w:pPr>
        <w:pStyle w:val="BodyText"/>
        <w:spacing w:line="480" w:lineRule="auto"/>
        <w:ind w:firstLine="720"/>
      </w:pPr>
      <w:r>
        <w:t xml:space="preserve">Compliance with the Agency’s own orbital-debris mitigation standard practices comes next. Today’s practice document is pegged to the 25-year post-mission disposal rule and to passivation requirements, neither of them sensitive to the shell-level density of the orbit occupied. The estimates here point to a uniform 25-year rule running too loose in shells where the derelict fraction already sits high, since each further derelict there drives per-object conjunction burden out of proportion, and running potentially too tight in sparsely populated shells where the marginal contribution stays small</w:t>
      </w:r>
      <w:r>
        <w:t xml:space="preserve"> </w:t>
      </w:r>
      <w:hyperlink w:anchor="ref-11">
        <w:r>
          <w:rPr>
            <w:rStyle w:val="Hyperlink"/>
          </w:rPr>
          <w:t xml:space="preserve">[11]</w:t>
        </w:r>
      </w:hyperlink>
      <w:r>
        <w:t xml:space="preserve">[12]. A density-conditioned disposal requirement, keyed to the shell-level coefficient on derelict fraction, would firm the standard up where the evidence backs firming and ease it where the standard currently binds without matching environmental payoff. NASA program offices that touch the standard practices at Key Decision Point reviews are the natural place to turn that finding into a revised internal rule.</w:t>
      </w:r>
    </w:p>
    <w:p>
      <w:pPr>
        <w:pStyle w:val="BodyText"/>
        <w:spacing w:line="480" w:lineRule="auto"/>
        <w:ind w:firstLine="720"/>
      </w:pPr>
      <w:r>
        <w:t xml:space="preserve">The Agency’s standing as the United States’ principal technical voice on orbital-debris remediation is the third. Its Orbital Debris Program Office keeps the source-sink models and the fragmentation history record that any rate-base estimate depends on</w:t>
      </w:r>
      <w:r>
        <w:t xml:space="preserve"> </w:t>
      </w:r>
      <w:hyperlink w:anchor="ref-22">
        <w:r>
          <w:rPr>
            <w:rStyle w:val="Hyperlink"/>
          </w:rPr>
          <w:t xml:space="preserve">[22]</w:t>
        </w:r>
      </w:hyperlink>
      <w:r>
        <w:t xml:space="preserve">. The dissertation’s monetisation step draws on those products directly, and the convexity the estimates surface shifts with the source-sink calibration chosen</w:t>
      </w:r>
      <w:r>
        <w:t xml:space="preserve"> </w:t>
      </w:r>
      <w:hyperlink w:anchor="ref-8">
        <w:r>
          <w:rPr>
            <w:rStyle w:val="Hyperlink"/>
          </w:rPr>
          <w:t xml:space="preserve">[8]</w:t>
        </w:r>
      </w:hyperlink>
      <w:r>
        <w:t xml:space="preserve">. Were NASA to invest in narrowing the spread across published source-sink models, the rate-base estimate any future fee authority relied on would grow correspondingly more defensible. This reads as a research-program implication rather than an operations one, and it marks the single place where NASA’s investment most directly firms up the empirical footing any Pigouvian instrument would rest on.</w:t>
      </w:r>
    </w:p>
    <w:p>
      <w:pPr>
        <w:pStyle w:val="BodyText"/>
        <w:spacing w:line="480" w:lineRule="auto"/>
        <w:ind w:firstLine="720"/>
      </w:pPr>
      <w:r>
        <w:t xml:space="preserve">A quieter fourth point touches the cross-sector externality these estimates leave outside. The dissertation reports the marginal congestion cost curve as a lower bound on the full external cost, its monetisation step reaching collision externalities and not the aviation-safety externality that uncontrolled reentries carry, the externality Hook and colleagues quantify</w:t>
      </w:r>
      <w:r>
        <w:t xml:space="preserve"> </w:t>
      </w:r>
      <w:hyperlink w:anchor="ref-1">
        <w:r>
          <w:rPr>
            <w:rStyle w:val="Hyperlink"/>
          </w:rPr>
          <w:t xml:space="preserve">[1]</w:t>
        </w:r>
      </w:hyperlink>
      <w:r>
        <w:t xml:space="preserve">. NASA’s reentry-risk modelling community shares a Program Office with the source-sink modelling community, and folding the cross-sector externality into the rate base becomes possible once the two modelling streams are joined. The dissertation performs no such joining, and the data’s structural readiness for it is worth flagging in the Agency’s research planning.</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At the Jet Propulsion Laboratory, orbit selection seldom counts as a degree of freedom of the same order as instrument selection or launch vehicle. Earth-observation missions in particular find their altitude locked by science requirements, and the marginal congestion cost curve leaves those requirements untouched. What it changes is how the Laboratory ought to weigh two specific categories of decision.</w:t>
      </w:r>
    </w:p>
    <w:p>
      <w:pPr>
        <w:pStyle w:val="BodyText"/>
        <w:spacing w:line="480" w:lineRule="auto"/>
        <w:ind w:firstLine="720"/>
      </w:pPr>
      <w:r>
        <w:t xml:space="preserve">Constellation architecture is the first. When a JPL-managed mission concept carries more than one spacecraft, and when the trade space takes in whether to fly a constellation inside a single shell or spread it across two or three shells with offsetting ground-segment complexity, the curve fills in a term the architecture trade previously lacked. The cross-shell estimates here suggest a constellation spread across shells of low derelict fraction lays down materially less aggregate external cost than the same constellation packed into a high-derelict-fraction sun-synchronous shell, the difference large enough to sway trade studies now sitting near indifference on engineering grounds</w:t>
      </w:r>
      <w:r>
        <w:t xml:space="preserve"> </w:t>
      </w:r>
      <w:hyperlink w:anchor="ref-11">
        <w:r>
          <w:rPr>
            <w:rStyle w:val="Hyperlink"/>
          </w:rPr>
          <w:t xml:space="preserve">[11]</w:t>
        </w:r>
      </w:hyperlink>
      <w:r>
        <w:t xml:space="preserve">[12]. The point is not that distributed architectures win every time. It is that the trade study should carry the term now, and the curve supplies its value.</w:t>
      </w:r>
    </w:p>
    <w:p>
      <w:pPr>
        <w:pStyle w:val="BodyText"/>
        <w:spacing w:line="480" w:lineRule="auto"/>
        <w:ind w:firstLine="720"/>
      </w:pPr>
      <w:r>
        <w:t xml:space="preserve">On-orbit servicing, debris removal, and end-of-life disposal are the second. JPL’s stake in active debris removal mission concepts stays modest, and the Laboratory is an established participant in the technology base such missions would draw on, and the active-debris-removal optimization literature shows the value of clearing an object rising sharply with the local density of co-resident objects</w:t>
      </w:r>
      <w:r>
        <w:t xml:space="preserve"> </w:t>
      </w:r>
      <w:hyperlink w:anchor="ref-17">
        <w:r>
          <w:rPr>
            <w:rStyle w:val="Hyperlink"/>
          </w:rPr>
          <w:t xml:space="preserve">[17]</w:t>
        </w:r>
      </w:hyperlink>
      <w:r>
        <w:t xml:space="preserve">[23]. What the curve estimated here gives the Laboratory is a direct empirical anchor for the shell-level value of removal that the optimization literature otherwise has to assume. A removal-mission concept aimed at an 850 km derelict returns a higher per-object social benefit than one aimed at a 1100 km derelict, and the curve puts a number on the ratio. Inside internal proposal development, that ratio marks the line between a mission concept that monetises at the cost-benefit step and one that does not.</w:t>
      </w:r>
    </w:p>
    <w:p>
      <w:pPr>
        <w:pStyle w:val="BodyText"/>
        <w:spacing w:line="480" w:lineRule="auto"/>
        <w:ind w:firstLine="720"/>
      </w:pPr>
      <w:r>
        <w:t xml:space="preserve">A third point bears on the Laboratory’s recompete posture, arriving as NASA has signalled openness to alternative Federally Funded Research and Development Center models for parts of the JPL portfolio. The dissertation’s addition to the orbital-debris policy literature is a defensible, peer-reviewable, shell-resolved cost curve. Insofar as the Laboratory casts itself as the Agency’s principal source of mission-design intellectual property, being able to embed an empirically grounded congestion-cost term in its mission-design loop is a differentiator the curve unlocks and one that alternative providers would have to reproduce. The dissertation pushes for no particular institutional outcome. The technical observation stands: the empirical product built here falls in the category of intellectual property JPL has historically developed best and packaged for external defence worst.</w:t>
      </w:r>
    </w:p>
    <w:bookmarkEnd w:id="127"/>
    <w:bookmarkStart w:id="128" w:name="Xdd90a6d6b5353c06fc901bd4e0ee615ef487aa8"/>
    <w:p>
      <w:pPr>
        <w:pStyle w:val="Heading2"/>
        <w:spacing w:line="480" w:lineRule="auto"/>
      </w:pPr>
      <w:r>
        <w:t xml:space="preserve">7.4 Implications for the Broader Governance Architecture</w:t>
      </w:r>
    </w:p>
    <w:p>
      <w:pPr>
        <w:pStyle w:val="FirstParagraph"/>
        <w:spacing w:line="480" w:lineRule="auto"/>
      </w:pPr>
      <w:r>
        <w:t xml:space="preserve">Beyond NASA and JPL the marginal congestion cost curve has uses the dissertation should acknowledge even where they sit outside the empirical contribution. Three merit recording.</w:t>
      </w:r>
    </w:p>
    <w:p>
      <w:pPr>
        <w:pStyle w:val="BodyText"/>
        <w:spacing w:line="480" w:lineRule="auto"/>
        <w:ind w:firstLine="720"/>
      </w:pPr>
      <w:r>
        <w:t xml:space="preserve">The Space Sustainability Rating composite indicator that Rathnasabapathy and colleagues built currently sets its sub-indicator weights by expert judgement</w:t>
      </w:r>
      <w:r>
        <w:t xml:space="preserve"> </w:t>
      </w:r>
      <w:hyperlink w:anchor="ref-2">
        <w:r>
          <w:rPr>
            <w:rStyle w:val="Hyperlink"/>
          </w:rPr>
          <w:t xml:space="preserve">[2]</w:t>
        </w:r>
      </w:hyperlink>
      <w:r>
        <w:t xml:space="preserve">. What the curve offers is an empirical basis for re-weighting the conjunction-relevant sub-indicators, so operators whose behaviour cuts marginal congestion cost in dense shells collect proportionally larger rating premia. The dissertation does no such re-weighting, and its cost-coefficient outputs already arrive in the form the rating framework can take in.</w:t>
      </w:r>
    </w:p>
    <w:p>
      <w:pPr>
        <w:pStyle w:val="BodyText"/>
        <w:spacing w:line="480" w:lineRule="auto"/>
        <w:ind w:firstLine="720"/>
      </w:pPr>
      <w:r>
        <w:t xml:space="preserve">The Office of Space Commerce and the Federal Communications Commission have each signalled interest in shifting from a uniform regulatory posture to a shell-aware one for licensing review. What the curve offers either authority is a rate base it could adopt without committing to the welfare-translation step, since the per-object conjunction-event metric is a regulator-relevant quantity in its own right even ahead of monetisation. Whether to run the curve as a fee, a bond, a tradeable permit, or a conditional licensing standard is an instrument-design question the regulatory community keeps. The empirical contribution is the rate base.</w:t>
      </w:r>
    </w:p>
    <w:p>
      <w:pPr>
        <w:pStyle w:val="BodyText"/>
        <w:spacing w:line="480" w:lineRule="auto"/>
        <w:ind w:firstLine="720"/>
      </w:pPr>
      <w:r>
        <w:t xml:space="preserve">The integrated-deterrence and economic-statecraft framing in the space-policy literature treats orbital sustainability as a security problem, one where adversary behaviour can lay down externalities an order of magnitude past the commercial congestion externality</w:t>
      </w:r>
      <w:r>
        <w:t xml:space="preserve"> </w:t>
      </w:r>
      <w:hyperlink w:anchor="ref-21">
        <w:r>
          <w:rPr>
            <w:rStyle w:val="Hyperlink"/>
          </w:rPr>
          <w:t xml:space="preserve">[21]</w:t>
        </w:r>
      </w:hyperlink>
      <w:r>
        <w:t xml:space="preserve">. Adversary behaviour the curve does not address. What it does is lay the methodological foundation on which an adversary-inclusive cost curve could be built, since the source-sink model in the monetisation step stays agnostic about whether a fragmentation event was anti-satellite-test-induced or accidental</w:t>
      </w:r>
      <w:r>
        <w:t xml:space="preserve"> </w:t>
      </w:r>
      <w:hyperlink w:anchor="ref-8">
        <w:r>
          <w:rPr>
            <w:rStyle w:val="Hyperlink"/>
          </w:rPr>
          <w:t xml:space="preserve">[8]</w:t>
        </w:r>
      </w:hyperlink>
      <w:r>
        <w:t xml:space="preserve">. The dissertation’s empirical contribution therefore feeds a broader governance architecture the literature has begun to sketch and that the Pigouvian instrument by itself does not exhaust.</w:t>
      </w:r>
    </w:p>
    <w:bookmarkEnd w:id="128"/>
    <w:bookmarkStart w:id="129" w:name="limitations"/>
    <w:p>
      <w:pPr>
        <w:pStyle w:val="Heading2"/>
        <w:spacing w:line="480" w:lineRule="auto"/>
      </w:pPr>
      <w:r>
        <w:t xml:space="preserve">7.5 Limitations</w:t>
      </w:r>
    </w:p>
    <w:p>
      <w:pPr>
        <w:pStyle w:val="FirstParagraph"/>
        <w:spacing w:line="480" w:lineRule="auto"/>
      </w:pPr>
      <w:r>
        <w:t xml:space="preserve">The estimates carry limitations that hold down the strength of the policy claims they can back. Five run first-order.</w:t>
      </w:r>
    </w:p>
    <w:p>
      <w:pPr>
        <w:pStyle w:val="BodyText"/>
        <w:spacing w:line="480" w:lineRule="auto"/>
        <w:ind w:firstLine="720"/>
      </w:pPr>
      <w:r>
        <w:t xml:space="preserve">Catalogue completeness comes first. Object counts below the ten-centimetre regime skew systematically low, and the skew moves with altitude and with sensor coverage</w:t>
      </w:r>
      <w:r>
        <w:t xml:space="preserve"> </w:t>
      </w:r>
      <w:hyperlink w:anchor="ref-6">
        <w:r>
          <w:rPr>
            <w:rStyle w:val="Hyperlink"/>
          </w:rPr>
          <w:t xml:space="preserve">[6]</w:t>
        </w:r>
      </w:hyperlink>
      <w:r>
        <w:t xml:space="preserve">. The dissertation answers with the Space Surveillance Network versus Space Fence bracketing approach, and the MEC band that results stays wider in the sub-ten-centimetre regime than the headline coefficients let on. Any fee schedule adopting the curve as its rate base will have to choose, explicitly, which point inside the band to anchor on, and the dissertation leaves that choice to the regulator.</w:t>
      </w:r>
    </w:p>
    <w:p>
      <w:pPr>
        <w:pStyle w:val="BodyText"/>
        <w:spacing w:line="480" w:lineRule="auto"/>
        <w:ind w:firstLine="720"/>
      </w:pPr>
      <w:r>
        <w:t xml:space="preserve">The conjunction-screening confound is second. Screening volumes have grown endogenously alongside operator behaviour and sensor investment, and even with shell fixed effects the cross-sectional regression cannot fully split physical conjunction rate from screening intensity</w:t>
      </w:r>
      <w:r>
        <w:t xml:space="preserve"> </w:t>
      </w:r>
      <w:hyperlink w:anchor="ref-22">
        <w:r>
          <w:rPr>
            <w:rStyle w:val="Hyperlink"/>
          </w:rPr>
          <w:t xml:space="preserve">[22]</w:t>
        </w:r>
      </w:hyperlink>
      <w:r>
        <w:t xml:space="preserve">[24]. The panel design in the second empirical paper takes in part of this confound through the year index, and a clean instrument for screening-volume variation would firm up the identification, and the present design carries none.</w:t>
      </w:r>
    </w:p>
    <w:p>
      <w:pPr>
        <w:pStyle w:val="BodyText"/>
        <w:spacing w:line="480" w:lineRule="auto"/>
        <w:ind w:firstLine="720"/>
      </w:pPr>
      <w:r>
        <w:t xml:space="preserve">Third, the cost monetisation step hangs on source-sink model specification, and the published source-sink models split on the convexity of long-run hazard contribution</w:t>
      </w:r>
      <w:r>
        <w:t xml:space="preserve"> </w:t>
      </w:r>
      <w:hyperlink w:anchor="ref-8">
        <w:r>
          <w:rPr>
            <w:rStyle w:val="Hyperlink"/>
          </w:rPr>
          <w:t xml:space="preserve">[8]</w:t>
        </w:r>
      </w:hyperlink>
      <w:r>
        <w:t xml:space="preserve">. Three calibrations appear as a robustness band, and the policy interpretation of the curve as a Pigouvian rate base rides, correspondingly, on the convexity assumption baked into the chosen calibration. A regulator adopting the curve as a rate base takes on that conditionality.</w:t>
      </w:r>
    </w:p>
    <w:p>
      <w:pPr>
        <w:pStyle w:val="BodyText"/>
        <w:spacing w:line="480" w:lineRule="auto"/>
        <w:ind w:firstLine="720"/>
      </w:pPr>
      <w:r>
        <w:t xml:space="preserve">Fourth, the analytical unit is the shell-year, not the operator-shell-year. Whether the largest constellation operators or the long tail of small operators drives the convexity in marginal cost is something the dissertation cannot identify, and it matters for the political-economy design of any fee, since the distributional incidence of a shell-conditioned fee lands very differently on the two populations. Operator-level exposure data exist in principle and were out of reach at the resolution the present design needed.</w:t>
      </w:r>
    </w:p>
    <w:p>
      <w:pPr>
        <w:pStyle w:val="BodyText"/>
        <w:spacing w:line="480" w:lineRule="auto"/>
        <w:ind w:firstLine="720"/>
      </w:pPr>
      <w:r>
        <w:t xml:space="preserve">The fifth is the cross-sector externality gap the prospectus flagged</w:t>
      </w:r>
      <w:r>
        <w:t xml:space="preserve"> </w:t>
      </w:r>
      <w:hyperlink w:anchor="ref-1">
        <w:r>
          <w:rPr>
            <w:rStyle w:val="Hyperlink"/>
          </w:rPr>
          <w:t xml:space="preserve">[1]</w:t>
        </w:r>
      </w:hyperlink>
      <w:r>
        <w:t xml:space="preserve">. The MEC curve reported here is a lower bound on the full external cost of dropping an additional object into a given shell, leaving out the aviation-safety externality from uncontrolled reentry, the radio-frequency externality from spectrum congestion, and the astronomical-observation externality from satellite-track contamination. That lower-bound character matters for governance interpretation, since adopting the curve as a fee rate base would under-collect against the full external cost, and the dissertation puts no number on the under-collection.</w:t>
      </w:r>
    </w:p>
    <w:p>
      <w:pPr>
        <w:pStyle w:val="BodyText"/>
        <w:spacing w:line="480" w:lineRule="auto"/>
        <w:ind w:firstLine="720"/>
      </w:pPr>
      <w:r>
        <w:t xml:space="preserve">A sixth limitation is methodological scale. Thirty-six shell observations sit behind the cross-sectional design, and thirty-six shell-year observations behind the panel design. Both suffice for the parsimonious specifications adopted, and neither carries the high-dimensional interaction terms a richer policy analysis would want. The dissertation keeps the specifications spare on purpose, and readers who counted on finer disaggregation should read that spareness as a binding constraint rather than a methodological preference.</w:t>
      </w:r>
    </w:p>
    <w:bookmarkEnd w:id="129"/>
    <w:bookmarkStart w:id="130" w:name="future-research"/>
    <w:p>
      <w:pPr>
        <w:pStyle w:val="Heading2"/>
        <w:spacing w:line="480" w:lineRule="auto"/>
      </w:pPr>
      <w:r>
        <w:t xml:space="preserve">7.6 Future Research</w:t>
      </w:r>
    </w:p>
    <w:p>
      <w:pPr>
        <w:pStyle w:val="FirstParagraph"/>
        <w:spacing w:line="480" w:lineRule="auto"/>
      </w:pPr>
      <w:r>
        <w:t xml:space="preserve">The limitations above set out a coherent agenda for future research. Six directions run most productive.</w:t>
      </w:r>
    </w:p>
    <w:p>
      <w:pPr>
        <w:pStyle w:val="BodyText"/>
        <w:spacing w:line="480" w:lineRule="auto"/>
        <w:ind w:firstLine="720"/>
      </w:pPr>
      <w:r>
        <w:t xml:space="preserve">Operator-shell-year exposure data come first. Should the Combined Space Operations Center, the Office of Space Commerce, or a commercial provider release conjunction data at the operator-shell-year level, the elasticity decomposition sketched in the second empirical paper turns feasible, and the distributional incidence of any shell-conditioned fee turns estimable. The dissertation’s design carries over to that richer dataset directly.</w:t>
      </w:r>
    </w:p>
    <w:p>
      <w:pPr>
        <w:pStyle w:val="BodyText"/>
        <w:spacing w:line="480" w:lineRule="auto"/>
        <w:ind w:firstLine="720"/>
      </w:pPr>
      <w:r>
        <w:t xml:space="preserve">Integrating the cross-sector externality comes second. Hook and colleagues quantify the aviation-safety externality at an aggregate level</w:t>
      </w:r>
      <w:r>
        <w:t xml:space="preserve"> </w:t>
      </w:r>
      <w:hyperlink w:anchor="ref-1">
        <w:r>
          <w:rPr>
            <w:rStyle w:val="Hyperlink"/>
          </w:rPr>
          <w:t xml:space="preserve">[1]</w:t>
        </w:r>
      </w:hyperlink>
      <w:r>
        <w:t xml:space="preserve">, and the dissertation’s monetisation step stands structurally ready to take in a cross-sector term. A follow-on paper adding the reentry-aviation externality to the LEO MEC curve would deliver a full external cost curve in place of a lower bound and would shut the most consequential gap the present estimates leave open.</w:t>
      </w:r>
    </w:p>
    <w:p>
      <w:pPr>
        <w:pStyle w:val="BodyText"/>
        <w:spacing w:line="480" w:lineRule="auto"/>
        <w:ind w:firstLine="720"/>
      </w:pPr>
      <w:r>
        <w:t xml:space="preserve">The survival-analysis companion the first empirical paper already gestures at comes third. A hazard model tracking individual derelicts to decay or disposal would identify which shell features stretch the residence time of risk-generating objects, and the hazard-conditioned MEC curve that results would dominate the contemporaneous-burden curve estimated here anywhere residence time counts</w:t>
      </w:r>
      <w:r>
        <w:t xml:space="preserve"> </w:t>
      </w:r>
      <w:hyperlink w:anchor="ref-12">
        <w:r>
          <w:rPr>
            <w:rStyle w:val="Hyperlink"/>
          </w:rPr>
          <w:t xml:space="preserve">[12]</w:t>
        </w:r>
      </w:hyperlink>
      <w:r>
        <w:t xml:space="preserve">. The data architecture matches the present design, and the methodological extension stays modest.</w:t>
      </w:r>
    </w:p>
    <w:p>
      <w:pPr>
        <w:pStyle w:val="BodyText"/>
        <w:spacing w:line="480" w:lineRule="auto"/>
        <w:ind w:firstLine="720"/>
      </w:pPr>
      <w:r>
        <w:t xml:space="preserve">Dynamic identification comes fourth. The present design identifies the cross-sectional gradient and the short-panel elasticity. The behavioural response of operators to a fee neither one identifies. A difference-in-differences design working a regulatory change in one jurisdiction against another would identify the elasticity of orbit selection with respect to a fee, the quantity the welfare analysis of any Pigouvian instrument ultimately rests on. The dissertation produces no such estimate, and the empirical architecture would extend to it naturally once a fee instrument is implemented anywhere.</w:t>
      </w:r>
    </w:p>
    <w:p>
      <w:pPr>
        <w:pStyle w:val="BodyText"/>
        <w:spacing w:line="480" w:lineRule="auto"/>
        <w:ind w:firstLine="720"/>
      </w:pPr>
      <w:r>
        <w:t xml:space="preserve">Fifth comes the adversary-inclusive cost curve described in section 7.4. A specification conditioning the fragmentation-contribution term in the monetisation step on the political-economic origin of the fragmentation event would yield a curve responsive to anti-satellite-test risk in the way the integrated-deterrence framing asks for</w:t>
      </w:r>
      <w:r>
        <w:t xml:space="preserve"> </w:t>
      </w:r>
      <w:hyperlink w:anchor="ref-21">
        <w:r>
          <w:rPr>
            <w:rStyle w:val="Hyperlink"/>
          </w:rPr>
          <w:t xml:space="preserve">[21]</w:t>
        </w:r>
      </w:hyperlink>
      <w:r>
        <w:t xml:space="preserve">. The methodological extension stays small. The data requirement is the fragmentation-origin metadata the NASA Orbital Debris Program Office already keeps</w:t>
      </w:r>
      <w:r>
        <w:t xml:space="preserve"> </w:t>
      </w:r>
      <w:hyperlink w:anchor="ref-22">
        <w:r>
          <w:rPr>
            <w:rStyle w:val="Hyperlink"/>
          </w:rPr>
          <w:t xml:space="preserve">[22]</w:t>
        </w:r>
      </w:hyperlink>
      <w:r>
        <w:t xml:space="preserve">.</w:t>
      </w:r>
    </w:p>
    <w:p>
      <w:pPr>
        <w:pStyle w:val="BodyText"/>
        <w:spacing w:line="480" w:lineRule="auto"/>
        <w:ind w:firstLine="720"/>
      </w:pPr>
      <w:r>
        <w:t xml:space="preserve">The tie to the active-debris-removal optimization literature comes sixth. The curve estimated here gives the shadow value of removing an object in a given shell, and the optimization literature gives the shadow cost of the removal mission</w:t>
      </w:r>
      <w:r>
        <w:t xml:space="preserve"> </w:t>
      </w:r>
      <w:hyperlink w:anchor="ref-17">
        <w:r>
          <w:rPr>
            <w:rStyle w:val="Hyperlink"/>
          </w:rPr>
          <w:t xml:space="preserve">[17]</w:t>
        </w:r>
      </w:hyperlink>
      <w:r>
        <w:t xml:space="preserve">[23]. A combined analysis solving for the shell-level removal portfolio that maximises the difference between shadow value and shadow cost runs feasible with the present estimates and the published mission-cost models, and the portfolio that results would form a defensible empirical target for the active-debris-removal investments NASA, the Department of War, and commercial operators are starting to make.</w:t>
      </w:r>
    </w:p>
    <w:bookmarkEnd w:id="130"/>
    <w:bookmarkStart w:id="131" w:name="synthesis"/>
    <w:p>
      <w:pPr>
        <w:pStyle w:val="Heading2"/>
        <w:spacing w:line="480" w:lineRule="auto"/>
      </w:pPr>
      <w:r>
        <w:t xml:space="preserve">7.7 Synthesis</w:t>
      </w:r>
    </w:p>
    <w:p>
      <w:pPr>
        <w:pStyle w:val="FirstParagraph"/>
        <w:spacing w:line="480" w:lineRule="auto"/>
      </w:pPr>
      <w:r>
        <w:t xml:space="preserve">The marginal congestion cost curve this dissertation estimates is empirical, falsifiable in the directions theory predicts, and usable as a rate base for the Pigouvian instrument orbital-use economics has called for</w:t>
      </w:r>
      <w:r>
        <w:t xml:space="preserve"> </w:t>
      </w:r>
      <w:hyperlink w:anchor="ref-3">
        <w:r>
          <w:rPr>
            <w:rStyle w:val="Hyperlink"/>
          </w:rPr>
          <w:t xml:space="preserve">[3]</w:t>
        </w:r>
      </w:hyperlink>
      <w:r>
        <w:t xml:space="preserve">[4][19]. Its NASA program-management implications gather in mission design, in the orbital-debris mitigation standard practices, and in the research investments that firm up the source-sink modelling any future rate base will lean on. Its JPL decision-making implications gather in constellation architecture trades, in the empirical anchoring of active-debris-removal cost-benefit analysis, and in the intellectual-property posture the Laboratory takes through a period of institutional review. Govern the orbital commons the curve does not, by itself. What it does is close the empirical gap that once left the governance conversation a contest of priors, and it leaves a tractable research agenda for the steps still to come.</w:t>
      </w:r>
    </w:p>
    <w:bookmarkEnd w:id="131"/>
    <w:bookmarkEnd w:id="132"/>
    <w:bookmarkStart w:id="200" w:name="chapter-8.-conclusion"/>
    <w:p>
      <w:pPr>
        <w:pStyle w:val="Heading1"/>
        <w:spacing w:line="480" w:lineRule="auto"/>
      </w:pPr>
      <w:r>
        <w:t xml:space="preserve">Chapter 8. Conclusion</w:t>
      </w:r>
    </w:p>
    <w:bookmarkStart w:id="133" w:name="restatement-of-the-problem"/>
    <w:p>
      <w:pPr>
        <w:pStyle w:val="Heading2"/>
        <w:spacing w:line="480" w:lineRule="auto"/>
      </w:pPr>
      <w:r>
        <w:t xml:space="preserve">8.1 Restatement of the Problem</w:t>
      </w:r>
    </w:p>
    <w:p>
      <w:pPr>
        <w:pStyle w:val="FirstParagraph"/>
        <w:spacing w:line="480" w:lineRule="auto"/>
      </w:pPr>
      <w:r>
        <w:t xml:space="preserve">A plain observation about a tangled commons set this work in motion. Low Earth orbit has become the defining congestible resource of the young twenty-first century, and the distance between what an operator privately pays to place one more resident space object and what society bears in the conjunction load that object throws off is no longer a tidy abstraction living inside a model. That distance shows up in hard records: in conjunction data messages, in the manoeuvre logs operators keep, in the ledger of fragmentation events, and in the radar-derived population counts that national catalogues and commercial sensor networks now publish</w:t>
      </w:r>
      <w:r>
        <w:t xml:space="preserve"> </w:t>
      </w:r>
      <w:hyperlink w:anchor="ref-15">
        <w:r>
          <w:rPr>
            <w:rStyle w:val="Hyperlink"/>
          </w:rPr>
          <w:t xml:space="preserve">[15]</w:t>
        </w:r>
      </w:hyperlink>
      <w:r>
        <w:t xml:space="preserve">[18][20][22]. Economists have agreed for a decade or more that a Pigouvian instrument could close it</w:t>
      </w:r>
      <w:r>
        <w:t xml:space="preserve"> </w:t>
      </w:r>
      <w:hyperlink w:anchor="ref-3">
        <w:r>
          <w:rPr>
            <w:rStyle w:val="Hyperlink"/>
          </w:rPr>
          <w:t xml:space="preserve">[3]</w:t>
        </w:r>
      </w:hyperlink>
      <w:r>
        <w:t xml:space="preserve">[4][9][10][19][31]. The piece such an instrument has always lacked is empirical: a defensible schedule of marginal external congestion cost (MEC), one that changes with altitude shell and reflects how much of the resident population can still manoeuvre, pinned down at the resolution operators and regulators actually work in. Producing that schedule, subjecting its shape to one falsifiable hypothesis, and treating the coefficients that fall out as the rate base for a shell-conditioned launch surcharge is what this dissertation has added.</w:t>
      </w:r>
    </w:p>
    <w:bookmarkEnd w:id="133"/>
    <w:bookmarkStart w:id="134" w:name="synthesis-of-the-argument"/>
    <w:p>
      <w:pPr>
        <w:pStyle w:val="Heading2"/>
        <w:spacing w:line="480" w:lineRule="auto"/>
      </w:pPr>
      <w:r>
        <w:t xml:space="preserve">8.2 Synthesis of the Argument</w:t>
      </w:r>
    </w:p>
    <w:p>
      <w:pPr>
        <w:pStyle w:val="FirstParagraph"/>
        <w:spacing w:line="480" w:lineRule="auto"/>
      </w:pPr>
      <w:r>
        <w:t xml:space="preserve">Three movements carried the argument. In the first, spread across the opening chapters, the case was made that the open question is not whether to price the orbital commons but at what numerical schedule. Economics had already supplied the theory and an aggregate calibration of the Pigouvian rate</w:t>
      </w:r>
      <w:r>
        <w:t xml:space="preserve"> </w:t>
      </w:r>
      <w:hyperlink w:anchor="ref-3">
        <w:r>
          <w:rPr>
            <w:rStyle w:val="Hyperlink"/>
          </w:rPr>
          <w:t xml:space="preserve">[3]</w:t>
        </w:r>
      </w:hyperlink>
      <w:r>
        <w:t xml:space="preserve">[4][31]. Astrodynamics and space situational awareness had already supplied the physical hazard model and the population dynamics that steer the long-run path of the resident object count</w:t>
      </w:r>
      <w:r>
        <w:t xml:space="preserve"> </w:t>
      </w:r>
      <w:hyperlink w:anchor="ref-5">
        <w:r>
          <w:rPr>
            <w:rStyle w:val="Hyperlink"/>
          </w:rPr>
          <w:t xml:space="preserve">[5]</w:t>
        </w:r>
      </w:hyperlink>
      <w:r>
        <w:t xml:space="preserve">[6][7][8][11][12]. Space policy and sustainability scholarship had already supplied the composite indicators that map operator behaviour onto a scoreable surface, and it had flagged the cross-sector externalities, among them the uncontrolled-reentry hazard to aviation, that any single-sector schedule leaves under-priced</w:t>
      </w:r>
      <w:r>
        <w:t xml:space="preserve"> </w:t>
      </w:r>
      <w:hyperlink w:anchor="ref-1">
        <w:r>
          <w:rPr>
            <w:rStyle w:val="Hyperlink"/>
          </w:rPr>
          <w:t xml:space="preserve">[1]</w:t>
        </w:r>
      </w:hyperlink>
      <w:r>
        <w:t xml:space="preserve">[2][14]. Not one of those bodies of work, on its own, yielded a shell-resolved MEC schedule in operationally meaningful units. This dissertation stitched them together at the single point where they share a quantitative grammar: the per-object conjunction burden inside a 50 km altitude shell.</w:t>
      </w:r>
    </w:p>
    <w:p>
      <w:pPr>
        <w:pStyle w:val="BodyText"/>
        <w:spacing w:line="480" w:lineRule="auto"/>
        <w:ind w:firstLine="720"/>
      </w:pPr>
      <w:r>
        <w:t xml:space="preserve">The second movement, resting on the two empirical papers, pinned the slope of the MEC curve from two directions. Across thirty-six shells reaching from 200 to 2,000 km, the cross-sectional paper ran an ordinary least squares regression of per-object annual conjunctions on four shell features: cataloged population, derelict fraction, mean radar cross-section, and inclination spread. It tracked the cross-section tightly, with an adjusted R-squared above 0.94, and the two coefficients that matter for policy came in sharp. One more cataloged object in a shell lifts per-object annual conjunctions by 0.0004 events, and a half-unit rise in the derelict fraction adds roughly 0.64 conjunctions per object per year with population held fixed. Any shell-conditioned launch surcharge has to reproduce those slopes to work as a genuine Pigouvian instrument instead of a flat tax wearing Pigouvian clothes. The panel paper, spanning six shells over six years, recovered the elasticity of conjunctions with respect to in-shell population and found the joint elasticity, once active satellites earn credit for the outsized screening volume they generate, running near 1.17. In the lowest LEO band a positive level shift in baseline congestion showed through, matching the operational concentration the NASA Orbital Debris Program Office and the LeoLabs LEO Vital Signs releases both document</w:t>
      </w:r>
      <w:r>
        <w:t xml:space="preserve"> </w:t>
      </w:r>
      <w:hyperlink w:anchor="ref-20">
        <w:r>
          <w:rPr>
            <w:rStyle w:val="Hyperlink"/>
          </w:rPr>
          <w:t xml:space="preserve">[20]</w:t>
        </w:r>
      </w:hyperlink>
      <w:r>
        <w:t xml:space="preserve">[22].</w:t>
      </w:r>
    </w:p>
    <w:p>
      <w:pPr>
        <w:pStyle w:val="BodyText"/>
        <w:spacing w:line="480" w:lineRule="auto"/>
        <w:ind w:firstLine="720"/>
      </w:pPr>
      <w:r>
        <w:t xml:space="preserve">The third movement squared the two estimates against each other. What the cross-sectional slopes capture is the local marginal effect of adding an object to a shell of given character, taken at the population mix of the moment. What the panel elasticities capture is how the system-wide conjunction count answers growth in shell occupancy over time, soaking up the within-shell densification that large constellations drive and the residual time trend in screening practice alike. They are not interchangeable quantities, and they line up. Read at the populations seen in the sun-synchronous bands, the linear cross-section returns the aggregate burden those same shells record. Read at the same densities, the log-linear panel returns a joint elasticity a shade above one. Between them they carry the empirical claim behind the whole project: MEC in LEO climbs with shell occupancy and turns convex once the operational character of the population is entered on its own margin. The null of constant or non-monotonic MEC does not survive.</w:t>
      </w:r>
    </w:p>
    <w:bookmarkEnd w:id="134"/>
    <w:bookmarkStart w:id="135" w:name="the-contribution-to-knowledge"/>
    <w:p>
      <w:pPr>
        <w:pStyle w:val="Heading2"/>
        <w:spacing w:line="480" w:lineRule="auto"/>
      </w:pPr>
      <w:r>
        <w:t xml:space="preserve">8.3 The Contribution to Knowledge</w:t>
      </w:r>
    </w:p>
    <w:p>
      <w:pPr>
        <w:pStyle w:val="FirstParagraph"/>
        <w:spacing w:line="480" w:lineRule="auto"/>
      </w:pPr>
      <w:r>
        <w:t xml:space="preserve">One empirical object, together with the identification strategy that yields it, is the contribution. That object is a shell-resolved schedule of marginal external congestion cost for the LEO altitude column, carrying point estimates and confidence intervals at the 50 km resolution operators and regulators handle in practice. The identification strategy weds cross-sectional variation in shell character to within-shell variation in population across a short panel, monetises the result through the operator manoeuvre and mission-shortening parameters aggregated under the Space Sustainability Rating framework, and benchmarks it against the aggregate Pigouvian rate in the Rao-Rondina and Adilov calibrations</w:t>
      </w:r>
      <w:r>
        <w:t xml:space="preserve"> </w:t>
      </w:r>
      <w:hyperlink w:anchor="ref-2">
        <w:r>
          <w:rPr>
            <w:rStyle w:val="Hyperlink"/>
          </w:rPr>
          <w:t xml:space="preserve">[2]</w:t>
        </w:r>
      </w:hyperlink>
      <w:r>
        <w:t xml:space="preserve">[3][4]. The deliverable can serve three roles: rate base for a launch surcharge, sustainability-rating premium, or internal shadow price inside an operator’s mission-design loop. No regulator is obliged to adopt the rate. No regulator can now wave it off as impossible to estimate.</w:t>
      </w:r>
    </w:p>
    <w:p>
      <w:pPr>
        <w:pStyle w:val="BodyText"/>
        <w:spacing w:line="480" w:lineRule="auto"/>
        <w:ind w:firstLine="720"/>
      </w:pPr>
      <w:r>
        <w:t xml:space="preserve">Methodologically, the contribution is the finding that the cross-sectional and panel approaches answer separate questions and belong in the same report. The cross-sectional regression fixes the gradient of the cost surface at one instant, which is what a shell-conditioned fee has to price. The panel elasticity fixes how the system reacts to growth in occupancy, which is what a regulator needs to set the fee’s time path. Report only the cross-section and the convexity operators meet as constellations densify goes understated. Report only the panel and the shell-to-shell heterogeneity that justifies differentiating the fee at all drops from view. This dissertation has shown the two approaches landing on one qualitative claim, that the MEC schedule rises with occupancy and rises faster where derelicts dominate, with quantitative agreement close enough to defend a numerical rate base for policy.</w:t>
      </w:r>
    </w:p>
    <w:p>
      <w:pPr>
        <w:pStyle w:val="BodyText"/>
        <w:spacing w:line="480" w:lineRule="auto"/>
        <w:ind w:firstLine="720"/>
      </w:pPr>
      <w:r>
        <w:t xml:space="preserve">For the literature, the contribution is the closing of one specific seam. Orbital-use economics had theorised the externality and calibrated an aggregate rate</w:t>
      </w:r>
      <w:r>
        <w:t xml:space="preserve"> </w:t>
      </w:r>
      <w:hyperlink w:anchor="ref-3">
        <w:r>
          <w:rPr>
            <w:rStyle w:val="Hyperlink"/>
          </w:rPr>
          <w:t xml:space="preserve">[3]</w:t>
        </w:r>
      </w:hyperlink>
      <w:r>
        <w:t xml:space="preserve">[4][9][10][19][31]. Space situational awareness had measured the hazard at the shell level</w:t>
      </w:r>
      <w:r>
        <w:t xml:space="preserve"> </w:t>
      </w:r>
      <w:hyperlink w:anchor="ref-5">
        <w:r>
          <w:rPr>
            <w:rStyle w:val="Hyperlink"/>
          </w:rPr>
          <w:t xml:space="preserve">[5]</w:t>
        </w:r>
      </w:hyperlink>
      <w:r>
        <w:t xml:space="preserve">[6][7][8][11][12]. The sustainability-rating tradition had scored operator behaviour against a composite indicator and had furnished the operator-disclosure parameters the conjunction burden needs for monetisation</w:t>
      </w:r>
      <w:r>
        <w:t xml:space="preserve"> </w:t>
      </w:r>
      <w:hyperlink w:anchor="ref-2">
        <w:r>
          <w:rPr>
            <w:rStyle w:val="Hyperlink"/>
          </w:rPr>
          <w:t xml:space="preserve">[2]</w:t>
        </w:r>
      </w:hyperlink>
      <w:r>
        <w:t xml:space="preserve">[14]. Active debris removal research had shown the value of clearing an object rising with the local density of its neighbours, the analytic dual of the rising marginal cost measured here</w:t>
      </w:r>
      <w:r>
        <w:t xml:space="preserve"> </w:t>
      </w:r>
      <w:hyperlink w:anchor="ref-17">
        <w:r>
          <w:rPr>
            <w:rStyle w:val="Hyperlink"/>
          </w:rPr>
          <w:t xml:space="preserve">[17]</w:t>
        </w:r>
      </w:hyperlink>
      <w:r>
        <w:t xml:space="preserve">[23]. This dissertation tied those four traditions together at the per-object shell-level conjunction burden, monetised that burden with parameters lifted from disclosed operator data, and produced a schedule each tradition can read in its own dialect. To the orbital-use economist it reads as a calibrated Pigouvian rate. To the astrodynamicist it reads as a shell-conditioned hazard in dollars per object-year. To the sustainability rater it reads as a price signal that squares with the composite indicator. To the active debris removal analyst it reads as a willingness-to-pay floor for clearing derelicts out of the most congested shells.</w:t>
      </w:r>
    </w:p>
    <w:bookmarkEnd w:id="135"/>
    <w:bookmarkStart w:id="136" w:name="limits-honestly-stated"/>
    <w:p>
      <w:pPr>
        <w:pStyle w:val="Heading2"/>
        <w:spacing w:line="480" w:lineRule="auto"/>
      </w:pPr>
      <w:r>
        <w:t xml:space="preserve">8.4 Limits, Honestly Stated</w:t>
      </w:r>
    </w:p>
    <w:p>
      <w:pPr>
        <w:pStyle w:val="FirstParagraph"/>
        <w:spacing w:line="480" w:lineRule="auto"/>
      </w:pPr>
      <w:r>
        <w:t xml:space="preserve">Three limits bound the contribution and shape the work that ought to follow. One is that the schedule is read off a measured conjunction burden rather than a directly observed welfare loss. Getting from events per object per year to dollar damages meant leaning on calibration parameters drawn from operator disclosures, regulatory guidance, and the published source-sink models of the LEO population</w:t>
      </w:r>
      <w:r>
        <w:t xml:space="preserve"> </w:t>
      </w:r>
      <w:hyperlink w:anchor="ref-8">
        <w:r>
          <w:rPr>
            <w:rStyle w:val="Hyperlink"/>
          </w:rPr>
          <w:t xml:space="preserve">[8]</w:t>
        </w:r>
      </w:hyperlink>
      <w:r>
        <w:t xml:space="preserve">[12][15]. Every one of those parameters was tested against published bands instead of being flattened to a point. The confidence intervals reported on the MEC schedule carry that bracketing forward, and they cannot dissolve the parameter uncertainty underneath. Real progress here would take either a regulatory mandate that operators report manoeuvre fuel and mission-life impacts in a standard format, or a cooperative data-sharing arrangement among the largest operators that delivered the same thing.</w:t>
      </w:r>
    </w:p>
    <w:p>
      <w:pPr>
        <w:pStyle w:val="BodyText"/>
        <w:spacing w:line="480" w:lineRule="auto"/>
        <w:ind w:firstLine="720"/>
      </w:pPr>
      <w:r>
        <w:t xml:space="preserve">A second limit is that the schedule prices the within-LEO collision externality and nothing else. Left out are the reentry hazard uncontrolled disposals visit on aviation and populated areas</w:t>
      </w:r>
      <w:r>
        <w:t xml:space="preserve"> </w:t>
      </w:r>
      <w:hyperlink w:anchor="ref-1">
        <w:r>
          <w:rPr>
            <w:rStyle w:val="Hyperlink"/>
          </w:rPr>
          <w:t xml:space="preserve">[1]</w:t>
        </w:r>
      </w:hyperlink>
      <w:r>
        <w:t xml:space="preserve">, the geopolitical externality of contested shells</w:t>
      </w:r>
      <w:r>
        <w:t xml:space="preserve"> </w:t>
      </w:r>
      <w:hyperlink w:anchor="ref-5">
        <w:r>
          <w:rPr>
            <w:rStyle w:val="Hyperlink"/>
          </w:rPr>
          <w:t xml:space="preserve">[5]</w:t>
        </w:r>
      </w:hyperlink>
      <w:r>
        <w:t xml:space="preserve">[21], and the option value future operators surrender when a derelict cohort camps in a shell for decades. This dissertation has said plainly that the reported schedule is a lower bound on the full external cost of one more object. How wide the gap runs between that floor and the full cost is its own research agenda, and it turns on cross-sector data linkages that remain far from routine.</w:t>
      </w:r>
    </w:p>
    <w:p>
      <w:pPr>
        <w:pStyle w:val="BodyText"/>
        <w:spacing w:line="480" w:lineRule="auto"/>
        <w:ind w:firstLine="720"/>
      </w:pPr>
      <w:r>
        <w:t xml:space="preserve">A third limit is that the whole estimate sits inside the current screening regime. The climb in conjunction data message volume over the panel period mixes the rising physical conjunction rate with the rising screening intensity of the United States Space Force and commercial sensor providers</w:t>
      </w:r>
      <w:r>
        <w:t xml:space="preserve"> </w:t>
      </w:r>
      <w:hyperlink w:anchor="ref-6">
        <w:r>
          <w:rPr>
            <w:rStyle w:val="Hyperlink"/>
          </w:rPr>
          <w:t xml:space="preserve">[6]</w:t>
        </w:r>
      </w:hyperlink>
      <w:r>
        <w:t xml:space="preserve">[24][27][29]. A year index lets the panel specification absorb the time trend in screening practice, and the cross-section conditions on contemporaneous shell character, and neither one fully untangles the physical component from the sensor-driven one. A later revision should mine the heterogeneity in sensor coverage across operators and across shells to isolate the physical component more cleanly, perhaps through a coordinated commodity-market framing of the sensor system</w:t>
      </w:r>
      <w:r>
        <w:t xml:space="preserve"> </w:t>
      </w:r>
      <w:hyperlink w:anchor="ref-28">
        <w:r>
          <w:rPr>
            <w:rStyle w:val="Hyperlink"/>
          </w:rPr>
          <w:t xml:space="preserve">[28]</w:t>
        </w:r>
      </w:hyperlink>
      <w:r>
        <w:t xml:space="preserve">.</w:t>
      </w:r>
    </w:p>
    <w:bookmarkEnd w:id="136"/>
    <w:bookmarkStart w:id="137" w:name="implications-for-policy-and-practice"/>
    <w:p>
      <w:pPr>
        <w:pStyle w:val="Heading2"/>
        <w:spacing w:line="480" w:lineRule="auto"/>
      </w:pPr>
      <w:r>
        <w:t xml:space="preserve">8.5 Implications for Policy and Practice</w:t>
      </w:r>
    </w:p>
    <w:p>
      <w:pPr>
        <w:pStyle w:val="FirstParagraph"/>
        <w:spacing w:line="480" w:lineRule="auto"/>
      </w:pPr>
      <w:r>
        <w:t xml:space="preserve">The schedule this dissertation estimates carries three operational uses. It can act, first, as a rate base for a launch surcharge that varies by destination shell. A flat fee at any level shifts rent from quiet shells to dense ones and corrects the externality in neither. A shell-conditioned fee indexed on at minimum the cataloged population and the derelict fraction of the destination shell captures most of the per-object burden variation the cross-section can see and reproduces the panel elasticity once active satellites earn credit on their own margin. It can act, second, as a sustainability-rating premium. Behaviour that trims the operator’s contribution to the conjunction burden already earns reward under the Space Sustainability Rating composite</w:t>
      </w:r>
      <w:r>
        <w:t xml:space="preserve"> </w:t>
      </w:r>
      <w:hyperlink w:anchor="ref-2">
        <w:r>
          <w:rPr>
            <w:rStyle w:val="Hyperlink"/>
          </w:rPr>
          <w:t xml:space="preserve">[2]</w:t>
        </w:r>
      </w:hyperlink>
      <w:r>
        <w:t xml:space="preserve">. What this schedule supplies is the numerical weight that reward should carry, in the same units as the operator’s own avoidance-manoeuvre and disposal disclosures. It can act, third, as an internal shadow price inside an operator’s mission-design loop. Even with no regulatory fee in force, an operator whose mission lifetime rides on the conjunction environment of the destination shell has a direct stake in pricing the externality of its own additions, and the schedule offers a defensible internal figure for that sum, grounded in published hazard models and disclosed cost parameters</w:t>
      </w:r>
      <w:r>
        <w:t xml:space="preserve"> </w:t>
      </w:r>
      <w:hyperlink w:anchor="ref-13">
        <w:r>
          <w:rPr>
            <w:rStyle w:val="Hyperlink"/>
          </w:rPr>
          <w:t xml:space="preserve">[13]</w:t>
        </w:r>
      </w:hyperlink>
      <w:r>
        <w:t xml:space="preserve">[17][23][32].</w:t>
      </w:r>
    </w:p>
    <w:p>
      <w:pPr>
        <w:pStyle w:val="BodyText"/>
        <w:spacing w:line="480" w:lineRule="auto"/>
        <w:ind w:firstLine="720"/>
      </w:pPr>
      <w:r>
        <w:t xml:space="preserve">For the regulator, the upshot is that the rate base for a shell-conditioned fee can now be estimated to a defensible numerical resolution. It will want refreshing as the population moves, and given how fast the constellation population is turning over, the refresh should run at least yearly. For the operator, the upshot is that the cost of one more object dropped into a busy shell is a measurable figure rather than an unbounded externality, and it can be trimmed by picking a quieter shell, flying a smaller cross-section, or hastening end-of-life disposal so the object’s addition to the derelict fraction stays bounded in time. For the sustainability rater, the upshot is that the existing composite indicator can be re-weighted on empirical footing rather than on a working group’s judgement.</w:t>
      </w:r>
    </w:p>
    <w:bookmarkEnd w:id="137"/>
    <w:bookmarkStart w:id="138" w:name="future-work"/>
    <w:p>
      <w:pPr>
        <w:pStyle w:val="Heading2"/>
        <w:spacing w:line="480" w:lineRule="auto"/>
      </w:pPr>
      <w:r>
        <w:t xml:space="preserve">8.6 Future Work</w:t>
      </w:r>
    </w:p>
    <w:p>
      <w:pPr>
        <w:pStyle w:val="FirstParagraph"/>
        <w:spacing w:line="480" w:lineRule="auto"/>
      </w:pPr>
      <w:r>
        <w:t xml:space="preserve">Three lines of follow-on work flow straight from the limits above. One is the cross-sector extension, joining the within-LEO schedule estimated here to the reentry hazard schedule the aviation safety literature has developed, to yield a full external cost curve</w:t>
      </w:r>
      <w:r>
        <w:t xml:space="preserve"> </w:t>
      </w:r>
      <w:hyperlink w:anchor="ref-1">
        <w:r>
          <w:rPr>
            <w:rStyle w:val="Hyperlink"/>
          </w:rPr>
          <w:t xml:space="preserve">[1]</w:t>
        </w:r>
      </w:hyperlink>
      <w:r>
        <w:t xml:space="preserve">. Another is the operator-shell-year panel, which would split the joint elasticity into within-operator and between-operator parts and settle whether the convexity in the system response traces to the largest constellations or to the long tail of smaller operators. The third is the active debris removal pricing problem, which is the analytic dual of the launch-surcharge problem taken up here. In equilibrium the willingness-to-pay floor for clearing a derelict out of a congested shell equals the present value of the marginal congestion cost that derelict will impose over its remaining residence time</w:t>
      </w:r>
      <w:r>
        <w:t xml:space="preserve"> </w:t>
      </w:r>
      <w:hyperlink w:anchor="ref-17">
        <w:r>
          <w:rPr>
            <w:rStyle w:val="Hyperlink"/>
          </w:rPr>
          <w:t xml:space="preserve">[17]</w:t>
        </w:r>
      </w:hyperlink>
      <w:r>
        <w:t xml:space="preserve">[23]. This dissertation hands over the cost path that closes that calculation, and the clearance prices that result are an obvious next deliverable.</w:t>
      </w:r>
    </w:p>
    <w:p>
      <w:pPr>
        <w:pStyle w:val="BodyText"/>
        <w:spacing w:line="480" w:lineRule="auto"/>
        <w:ind w:firstLine="720"/>
      </w:pPr>
      <w:r>
        <w:t xml:space="preserve">Past those three lines, the wider agenda points toward a treatment of orbital use that holds consistent across the engineering, economic, and policy literatures. This dissertation has shown a shared quantitative grammar living at the per-object shell-level conjunction burden, and shown that the grammar admits estimation at the resolution operators and regulators use day to day. What is left is to carry the grammar into the sectors this schedule under-prices, to plant the schedule inside the optimisation problems operators and regulators genuinely solve, and to keep the schedule alive as a standing object refreshed as the population moves.</w:t>
      </w:r>
    </w:p>
    <w:bookmarkEnd w:id="138"/>
    <w:bookmarkStart w:id="139" w:name="closing-statement"/>
    <w:p>
      <w:pPr>
        <w:pStyle w:val="Heading2"/>
        <w:spacing w:line="480" w:lineRule="auto"/>
      </w:pPr>
      <w:r>
        <w:t xml:space="preserve">8.7 Closing Statement</w:t>
      </w:r>
    </w:p>
    <w:p>
      <w:pPr>
        <w:pStyle w:val="FirstParagraph"/>
        <w:spacing w:line="480" w:lineRule="auto"/>
      </w:pPr>
      <w:r>
        <w:t xml:space="preserve">For a long time the orbital commons has been called un-priceable, on the grounds that the externality is too complex, or the data too thin, or the cross-sector linkages too knotted. This dissertation has shown the first two of those grounds to have given way. Complex the externality is, and tractable at the shell level. Thin the data are, and sufficient for cross-sectional and short-panel identification once the public catalogue, the conjunction data message stream, and the operator sustainability disclosures are read side by side. The third ground, that cross-sector entanglement sinks any single-sector schedule, has been respected rather than brushed off: the schedule reported here is a lower bound on the full external cost, and the gap to the full cost is named out loud rather than buried. Inside those honest bounds, the marginal congestion cost curve for LEO has been estimated, its shape has been shown to rise and turn mildly convex in shell occupancy, and the numbers that result now sit ready as a rate base for the instruments orbital-use economics has recommended for years. What is left open is not whether the commons can be priced, but whether the institutions that govern access to it will decide to.</w:t>
      </w:r>
    </w:p>
    <w:bookmarkEnd w:id="139"/>
    <w:bookmarkStart w:id="199" w:name="references"/>
    <w:p>
      <w:pPr>
        <w:pStyle w:val="Heading2"/>
        <w:spacing w:line="480" w:lineRule="auto"/>
      </w:pPr>
      <w:r>
        <w:t xml:space="preserve">References</w:t>
      </w:r>
    </w:p>
    <w:p>
      <w:pPr>
        <w:pStyle w:val="FirstParagraph"/>
        <w:spacing w:line="480" w:lineRule="auto"/>
      </w:pPr>
      <w:bookmarkStart w:id="140" w:name="ref-1"/>
      <w:bookmarkEnd w:id="140"/>
      <w:r>
        <w:t xml:space="preserve">1. Hook, C., Wright, E., Byers, M., and Boley, A. C. (2024). Uncontrolled reentries of space objects and aviation safety. Acta Astronautica, 222. doi:</w:t>
      </w:r>
      <w:r>
        <w:t xml:space="preserve"> </w:t>
      </w:r>
      <w:hyperlink r:id="rId141">
        <w:r>
          <w:rPr>
            <w:rStyle w:val="Hyperlink"/>
          </w:rPr>
          <w:t xml:space="preserve">10.1016/j.actaastro.2024.05.026</w:t>
        </w:r>
      </w:hyperlink>
    </w:p>
    <w:p>
      <w:pPr>
        <w:pStyle w:val="BodyText"/>
        <w:spacing w:line="480" w:lineRule="auto"/>
        <w:ind w:firstLine="720"/>
      </w:pPr>
      <w:bookmarkStart w:id="142" w:name="ref-2"/>
      <w:bookmarkEnd w:id="142"/>
      <w:r>
        <w:t xml:space="preserve">2. Rathnasabapathy, M., Letizia, F., Lemmens, S., Jah, M., Potter, S. J., Khlystov, N., Acuff, K., Lifson, M., Dorrington, S., Es haghi, S., David, E., Kneib, J.-P., and Wood, D. (2025). Space sustainability rating: Designing a composite indicator to incentivize satellite operators to pursue long-term sustainability of the space environment. Acta Astronautica, 232. doi:</w:t>
      </w:r>
      <w:r>
        <w:t xml:space="preserve"> </w:t>
      </w:r>
      <w:hyperlink r:id="rId143">
        <w:r>
          <w:rPr>
            <w:rStyle w:val="Hyperlink"/>
          </w:rPr>
          <w:t xml:space="preserve">10.1016/j.actaastro.2025.03.034</w:t>
        </w:r>
      </w:hyperlink>
    </w:p>
    <w:p>
      <w:pPr>
        <w:pStyle w:val="BodyText"/>
        <w:spacing w:line="480" w:lineRule="auto"/>
        <w:ind w:firstLine="720"/>
      </w:pPr>
      <w:bookmarkStart w:id="144" w:name="ref-3"/>
      <w:bookmarkEnd w:id="144"/>
      <w:r>
        <w:t xml:space="preserve">3. Rao, A. and Rondina, G. (2024). The Economics of Orbit Use: Open Access, External Costs, and Runaway Debris Growth. Journal of the Association of Environmental and Resource Economists. doi:</w:t>
      </w:r>
      <w:r>
        <w:t xml:space="preserve"> </w:t>
      </w:r>
      <w:hyperlink r:id="rId145">
        <w:r>
          <w:rPr>
            <w:rStyle w:val="Hyperlink"/>
          </w:rPr>
          <w:t xml:space="preserve">10.1086/730695</w:t>
        </w:r>
      </w:hyperlink>
    </w:p>
    <w:p>
      <w:pPr>
        <w:pStyle w:val="BodyText"/>
        <w:spacing w:line="480" w:lineRule="auto"/>
        <w:ind w:firstLine="720"/>
      </w:pPr>
      <w:bookmarkStart w:id="146" w:name="ref-4"/>
      <w:bookmarkEnd w:id="146"/>
      <w:r>
        <w:t xml:space="preserve">4. Adilov, N., Alexander, P. J., and Cunningham, B. M. (2018). An economic Kessler Syndrome: A dynamic model of earth orbit debris. Economics Letters. doi:</w:t>
      </w:r>
      <w:r>
        <w:t xml:space="preserve"> </w:t>
      </w:r>
      <w:hyperlink r:id="rId147">
        <w:r>
          <w:rPr>
            <w:rStyle w:val="Hyperlink"/>
          </w:rPr>
          <w:t xml:space="preserve">10.1016/j.econlet.2018.02.025</w:t>
        </w:r>
      </w:hyperlink>
    </w:p>
    <w:p>
      <w:pPr>
        <w:pStyle w:val="BodyText"/>
        <w:spacing w:line="480" w:lineRule="auto"/>
        <w:ind w:firstLine="720"/>
      </w:pPr>
      <w:bookmarkStart w:id="148" w:name="ref-5"/>
      <w:bookmarkEnd w:id="148"/>
      <w:r>
        <w:t xml:space="preserve">5. Shahady, K. (2023). The Future Risk of Space Debris and Contested Environments Increases the Intrinsic and Actual Cost of GEO Slots. Proc. Advanced Maui Optical and Space Surveillance Technologies (AMOS) Conference, 2023. doi:</w:t>
      </w:r>
      <w:r>
        <w:t xml:space="preserve"> </w:t>
      </w:r>
      <w:hyperlink r:id="rId149">
        <w:r>
          <w:rPr>
            <w:rStyle w:val="Hyperlink"/>
          </w:rPr>
          <w:t xml:space="preserve">10.64861/DYBG6563</w:t>
        </w:r>
      </w:hyperlink>
    </w:p>
    <w:p>
      <w:pPr>
        <w:pStyle w:val="BodyText"/>
        <w:spacing w:line="480" w:lineRule="auto"/>
        <w:ind w:firstLine="720"/>
      </w:pPr>
      <w:bookmarkStart w:id="150" w:name="ref-6"/>
      <w:bookmarkEnd w:id="150"/>
      <w:r>
        <w:t xml:space="preserve">6. Smith, T., Folcik, Z., and Linares, R. (2024). Challenges in Orbital Debris Modeling: A Comparative Analysis of NASA SBM and Space Fence Data. Proc. Advanced Maui Optical and Space Surveillance Technologies (AMOS) Conference, 2024. doi:</w:t>
      </w:r>
      <w:r>
        <w:t xml:space="preserve"> </w:t>
      </w:r>
      <w:hyperlink r:id="rId151">
        <w:r>
          <w:rPr>
            <w:rStyle w:val="Hyperlink"/>
          </w:rPr>
          <w:t xml:space="preserve">10.64861/HODQ3334</w:t>
        </w:r>
      </w:hyperlink>
    </w:p>
    <w:p>
      <w:pPr>
        <w:pStyle w:val="BodyText"/>
        <w:spacing w:line="480" w:lineRule="auto"/>
        <w:ind w:firstLine="720"/>
      </w:pPr>
      <w:bookmarkStart w:id="152" w:name="ref-7"/>
      <w:bookmarkEnd w:id="152"/>
      <w:r>
        <w:t xml:space="preserve">7. McKnight, D. and Maclay, T. (2019). Space Environment Management: A Common Sense Framework for Controlling Orbital Debris Risk. Proc. Advanced Maui Optical and Space Surveillance Technologies (AMOS) Conference, 2019.</w:t>
      </w:r>
    </w:p>
    <w:p>
      <w:pPr>
        <w:pStyle w:val="BodyText"/>
        <w:spacing w:line="480" w:lineRule="auto"/>
        <w:ind w:firstLine="720"/>
      </w:pPr>
      <w:bookmarkStart w:id="153" w:name="ref-8"/>
      <w:bookmarkEnd w:id="153"/>
      <w:r>
        <w:t xml:space="preserve">8. Jang, D., D’Ambrosio, A., Lifson, M., Pasiecznik, C., and Linares, R. (2022). Stability of the LEO Environment as a Dynamical System. Proc. Advanced Maui Optical and Space Surveillance Technologies (AMOS) Conference, 2022.</w:t>
      </w:r>
    </w:p>
    <w:p>
      <w:pPr>
        <w:pStyle w:val="BodyText"/>
        <w:spacing w:line="480" w:lineRule="auto"/>
        <w:ind w:firstLine="720"/>
      </w:pPr>
      <w:bookmarkStart w:id="154" w:name="ref-9"/>
      <w:bookmarkEnd w:id="154"/>
      <w:r>
        <w:t xml:space="preserve">9. Weinzierl, M. (2018). Space, the Final Economic Frontier. Source SD18, Space Economy Papers brain.</w:t>
      </w:r>
    </w:p>
    <w:p>
      <w:pPr>
        <w:pStyle w:val="BodyText"/>
        <w:spacing w:line="480" w:lineRule="auto"/>
        <w:ind w:firstLine="720"/>
      </w:pPr>
      <w:bookmarkStart w:id="155" w:name="ref-10"/>
      <w:bookmarkEnd w:id="155"/>
      <w:r>
        <w:t xml:space="preserve">10. Weinzierl, M. (2018). Space, the final economic frontier. Journal of Economic Perspectives. (Space Economy Papers brain, source SD18.)</w:t>
      </w:r>
    </w:p>
    <w:p>
      <w:pPr>
        <w:pStyle w:val="BodyText"/>
        <w:spacing w:line="480" w:lineRule="auto"/>
        <w:ind w:firstLine="720"/>
      </w:pPr>
      <w:bookmarkStart w:id="156" w:name="ref-11"/>
      <w:bookmarkEnd w:id="156"/>
      <w:r>
        <w:t xml:space="preserve">11. Pardini, C., and Anselmo, L. (2021). Evaluating the impact of space activities in low earth orbit. Acta Astronautica, vol. 184. doi:</w:t>
      </w:r>
      <w:r>
        <w:t xml:space="preserve"> </w:t>
      </w:r>
      <w:hyperlink r:id="rId157">
        <w:r>
          <w:rPr>
            <w:rStyle w:val="Hyperlink"/>
          </w:rPr>
          <w:t xml:space="preserve">10.1016/j.actaastro.2021.03.030</w:t>
        </w:r>
      </w:hyperlink>
    </w:p>
    <w:p>
      <w:pPr>
        <w:pStyle w:val="BodyText"/>
        <w:spacing w:line="480" w:lineRule="auto"/>
        <w:ind w:firstLine="720"/>
      </w:pPr>
      <w:bookmarkStart w:id="158" w:name="ref-12"/>
      <w:bookmarkEnd w:id="158"/>
      <w:r>
        <w:t xml:space="preserve">12. Giudici, L., Colombo, C., Horstmann, A., Letizia, F., and Lemmens, S. (2024). Density-based evolutionary model of the space debris environment in low-Earth orbit. Acta Astronautica, vol. 219. doi:</w:t>
      </w:r>
      <w:r>
        <w:t xml:space="preserve"> </w:t>
      </w:r>
      <w:hyperlink r:id="rId159">
        <w:r>
          <w:rPr>
            <w:rStyle w:val="Hyperlink"/>
          </w:rPr>
          <w:t xml:space="preserve">10.1016/j.actaastro.2024.03.008</w:t>
        </w:r>
      </w:hyperlink>
    </w:p>
    <w:p>
      <w:pPr>
        <w:pStyle w:val="BodyText"/>
        <w:spacing w:line="480" w:lineRule="auto"/>
        <w:ind w:firstLine="720"/>
      </w:pPr>
      <w:bookmarkStart w:id="160" w:name="ref-13"/>
      <w:bookmarkEnd w:id="160"/>
      <w:r>
        <w:t xml:space="preserve">13. Sturza, M. A., and Saura Carretero, G. (2021). Design Trades for Environmentally Friendly Broadband LEO Satellite Systems. Proc. Advanced Maui Optical and Space Surveillance Technologies (AMOS) Conference, Poster session.</w:t>
      </w:r>
    </w:p>
    <w:p>
      <w:pPr>
        <w:pStyle w:val="BodyText"/>
        <w:spacing w:line="480" w:lineRule="auto"/>
        <w:ind w:firstLine="720"/>
      </w:pPr>
      <w:bookmarkStart w:id="161" w:name="ref-14"/>
      <w:bookmarkEnd w:id="161"/>
      <w:r>
        <w:t xml:space="preserve">14. Colombo, C., Martinez, P., Letizia, F., Cattani, B. M., David, E., Escobar, D. A., Kawamoto, S., Rovetto, R. J., and Sumelzo, I. (2025). Space capacity management and its interaction with space traffic management. Acta Astronautica, vol. 233. doi:</w:t>
      </w:r>
      <w:r>
        <w:t xml:space="preserve"> </w:t>
      </w:r>
      <w:hyperlink r:id="rId162">
        <w:r>
          <w:rPr>
            <w:rStyle w:val="Hyperlink"/>
          </w:rPr>
          <w:t xml:space="preserve">10.1016/j.actaastro.2025.01.069</w:t>
        </w:r>
      </w:hyperlink>
    </w:p>
    <w:p>
      <w:pPr>
        <w:pStyle w:val="BodyText"/>
        <w:spacing w:line="480" w:lineRule="auto"/>
        <w:ind w:firstLine="720"/>
      </w:pPr>
      <w:bookmarkStart w:id="163" w:name="ref-15"/>
      <w:bookmarkEnd w:id="163"/>
      <w:r>
        <w:t xml:space="preserve">15. ESA Space Debris Office (2024). ESA’s Annual Space Environment Report 2024. Reference GEN-DB-LOG-00288-OPS-SD.</w:t>
      </w:r>
    </w:p>
    <w:p>
      <w:pPr>
        <w:pStyle w:val="BodyText"/>
        <w:spacing w:line="480" w:lineRule="auto"/>
        <w:ind w:firstLine="720"/>
      </w:pPr>
      <w:bookmarkStart w:id="164" w:name="ref-16"/>
      <w:bookmarkEnd w:id="164"/>
      <w:r>
        <w:t xml:space="preserve">16. NASA Orbital Debris Program Office (2024). Orbital Debris Quarterly News, volumes 28-1 and 28-2.</w:t>
      </w:r>
    </w:p>
    <w:p>
      <w:pPr>
        <w:pStyle w:val="BodyText"/>
        <w:spacing w:line="480" w:lineRule="auto"/>
        <w:ind w:firstLine="720"/>
      </w:pPr>
      <w:bookmarkStart w:id="165" w:name="ref-17"/>
      <w:bookmarkEnd w:id="165"/>
      <w:r>
        <w:t xml:space="preserve">17. N. Simha, S. Servadio, M. Lifson, G. Lavezzi, and R. Linares,</w:t>
      </w:r>
      <w:r>
        <w:t xml:space="preserve"> </w:t>
      </w:r>
      <w:r>
        <w:t xml:space="preserve">“Optimal Active Debris Removal mission planning to inform policy decisions,”</w:t>
      </w:r>
      <w:r>
        <w:t xml:space="preserve"> </w:t>
      </w:r>
      <w:r>
        <w:t xml:space="preserve">Acta Astronautica, vol. 228, 2024. doi:</w:t>
      </w:r>
      <w:r>
        <w:t xml:space="preserve"> </w:t>
      </w:r>
      <w:hyperlink r:id="rId166">
        <w:r>
          <w:rPr>
            <w:rStyle w:val="Hyperlink"/>
          </w:rPr>
          <w:t xml:space="preserve">10.1016/j.actaastro.2024.11.050</w:t>
        </w:r>
      </w:hyperlink>
    </w:p>
    <w:p>
      <w:pPr>
        <w:pStyle w:val="BodyText"/>
        <w:spacing w:line="480" w:lineRule="auto"/>
        <w:ind w:firstLine="720"/>
      </w:pPr>
      <w:bookmarkStart w:id="167" w:name="ref-18"/>
      <w:bookmarkEnd w:id="167"/>
      <w:r>
        <w:t xml:space="preserve">18. European Space Agency, ESA Space Environment Report 2020-2025, ESA Space Debris Office, Darmstadt, 2020-2025.</w:t>
      </w:r>
    </w:p>
    <w:p>
      <w:pPr>
        <w:pStyle w:val="BodyText"/>
        <w:spacing w:line="480" w:lineRule="auto"/>
        <w:ind w:firstLine="720"/>
      </w:pPr>
      <w:bookmarkStart w:id="168" w:name="ref-19"/>
      <w:bookmarkEnd w:id="168"/>
      <w:r>
        <w:t xml:space="preserve">19. M. Weinzierl,</w:t>
      </w:r>
      <w:r>
        <w:t xml:space="preserve"> </w:t>
      </w:r>
      <w:r>
        <w:t xml:space="preserve">“Space, the Final Economic Frontier,”</w:t>
      </w:r>
      <w:r>
        <w:t xml:space="preserve"> </w:t>
      </w:r>
      <w:r>
        <w:t xml:space="preserve">Journal of Economic Perspectives, vol. 32, no. 2, 2018, pp. 173-192.</w:t>
      </w:r>
    </w:p>
    <w:p>
      <w:pPr>
        <w:pStyle w:val="BodyText"/>
        <w:spacing w:line="480" w:lineRule="auto"/>
        <w:ind w:firstLine="720"/>
      </w:pPr>
      <w:bookmarkStart w:id="169" w:name="ref-20"/>
      <w:bookmarkEnd w:id="169"/>
      <w:r>
        <w:t xml:space="preserve">20. LeoLabs, LEO Vital Signs Annual Report 2021-2024, LeoLabs Inc., Menlo Park, CA, 2021-2024.</w:t>
      </w:r>
    </w:p>
    <w:p>
      <w:pPr>
        <w:pStyle w:val="BodyText"/>
        <w:spacing w:line="480" w:lineRule="auto"/>
        <w:ind w:firstLine="720"/>
      </w:pPr>
      <w:bookmarkStart w:id="170" w:name="ref-21"/>
      <w:bookmarkEnd w:id="170"/>
      <w:r>
        <w:t xml:space="preserve">21. Secure World Foundation and the Space Economy Papers brain trust source set (Stilwell IAC/ASCEND; SFA DIME; Circular Space Economy), 2022-2024.</w:t>
      </w:r>
    </w:p>
    <w:p>
      <w:pPr>
        <w:pStyle w:val="BodyText"/>
        <w:spacing w:line="480" w:lineRule="auto"/>
        <w:ind w:firstLine="720"/>
      </w:pPr>
      <w:bookmarkStart w:id="171" w:name="ref-22"/>
      <w:bookmarkEnd w:id="171"/>
      <w:r>
        <w:t xml:space="preserve">22. NASA Orbital Debris Program Office, Orbital Debris Quarterly News, vols. 24-1 through 28-2, NASA Johnson Space Center, Houston, 2020-2024.</w:t>
      </w:r>
    </w:p>
    <w:p>
      <w:pPr>
        <w:pStyle w:val="BodyText"/>
        <w:spacing w:line="480" w:lineRule="auto"/>
        <w:ind w:firstLine="720"/>
      </w:pPr>
      <w:bookmarkStart w:id="172" w:name="ref-23"/>
      <w:bookmarkEnd w:id="172"/>
      <w:r>
        <w:t xml:space="preserve">23. Chris Tuttle, Clearspace Today, Inc.; Darren McKnight, LeoLabs; Tim Maclay, ClearSpace. Refining Active Debris Removal Strategies (2023). doi:</w:t>
      </w:r>
      <w:r>
        <w:t xml:space="preserve"> </w:t>
      </w:r>
      <w:hyperlink r:id="rId173">
        <w:r>
          <w:rPr>
            <w:rStyle w:val="Hyperlink"/>
          </w:rPr>
          <w:t xml:space="preserve">10.64861/LBPZ7861</w:t>
        </w:r>
      </w:hyperlink>
    </w:p>
    <w:p>
      <w:pPr>
        <w:pStyle w:val="BodyText"/>
        <w:spacing w:line="480" w:lineRule="auto"/>
        <w:ind w:firstLine="720"/>
      </w:pPr>
      <w:bookmarkStart w:id="174" w:name="ref-24"/>
      <w:bookmarkEnd w:id="174"/>
      <w:r>
        <w:t xml:space="preserve">24. Timothy Olson, Slingshot Aerospace; Clarice Reid, Slingshot Aerospace; Jason Stauch, Slingshot Aerospace; Conner Grey, Slingshot Aerospace; Dylan Kesler, Slingshot Aerospace; Belinda Marchand, Slingshot Aerospace. Contextual Predictive Model for Early Identification of High-Covariance Conjunctions (2024). doi:</w:t>
      </w:r>
      <w:r>
        <w:t xml:space="preserve"> </w:t>
      </w:r>
      <w:hyperlink r:id="rId175">
        <w:r>
          <w:rPr>
            <w:rStyle w:val="Hyperlink"/>
          </w:rPr>
          <w:t xml:space="preserve">10.64861/GXBG7898</w:t>
        </w:r>
      </w:hyperlink>
    </w:p>
    <w:p>
      <w:pPr>
        <w:pStyle w:val="BodyText"/>
        <w:spacing w:line="480" w:lineRule="auto"/>
        <w:ind w:firstLine="720"/>
      </w:pPr>
      <w:bookmarkStart w:id="176" w:name="ref-25"/>
      <w:bookmarkEnd w:id="176"/>
      <w:r>
        <w:t xml:space="preserve">25. Phillip Cunio, ExoAnalytic Solutions; Marcus Bever, ExoAnalytic Solutions; Brien Flewelling, ExoAnalytic Solutions. Payload and Constellation Design for a Solar Exclusion-Avoiding Cislunar SSA Fleet (2020).</w:t>
      </w:r>
    </w:p>
    <w:p>
      <w:pPr>
        <w:pStyle w:val="BodyText"/>
        <w:spacing w:line="480" w:lineRule="auto"/>
        <w:ind w:firstLine="720"/>
      </w:pPr>
      <w:bookmarkStart w:id="177" w:name="ref-26"/>
      <w:bookmarkEnd w:id="177"/>
      <w:r>
        <w:t xml:space="preserve">26. Yue Wang (Worcester Polytechnic Institute), Jingkai Su (Worcester Polytechnic Institute), Islam I. Hussein (Worcester Polytechnic Institute), A. M. Wyglinski (Worcester Polytechnic Institute). Price-Based Information Routing in Complex Satellite Networks for Space-Based Situational Awareness (2009).</w:t>
      </w:r>
    </w:p>
    <w:p>
      <w:pPr>
        <w:pStyle w:val="BodyText"/>
        <w:spacing w:line="480" w:lineRule="auto"/>
        <w:ind w:firstLine="720"/>
      </w:pPr>
      <w:bookmarkStart w:id="178" w:name="ref-27"/>
      <w:bookmarkEnd w:id="178"/>
      <w:r>
        <w:t xml:space="preserve">27. Albert Vasso, Air Force Institute of Technology (AFIT); Richard Cobb, Air Force Institute of Technology (AFIT); John Colombi, Air Force Institute of Technology (AFIT); Bryan Little, Air Force Institute of Technology (AFIT); David Meyer, Air Force Institute of Technology (AFIT). Optimal Incorporation of Non-Traditional Sensors into the Space Domain Awareness Architecture (2020).</w:t>
      </w:r>
    </w:p>
    <w:p>
      <w:pPr>
        <w:pStyle w:val="BodyText"/>
        <w:spacing w:line="480" w:lineRule="auto"/>
        <w:ind w:firstLine="720"/>
      </w:pPr>
      <w:bookmarkStart w:id="179" w:name="ref-28"/>
      <w:bookmarkEnd w:id="179"/>
      <w:r>
        <w:t xml:space="preserve">28. Przemek Wozniak, Los Alamos National Laboratory; Svetlana Riabova, Los Alamos National Laboratory; Hassan Hijazi, Los Alamos National Laboratory. Coordinated Space Domain Awareness as an Optimized Commodity Market (2023). doi:</w:t>
      </w:r>
      <w:r>
        <w:t xml:space="preserve"> </w:t>
      </w:r>
      <w:hyperlink r:id="rId180">
        <w:r>
          <w:rPr>
            <w:rStyle w:val="Hyperlink"/>
          </w:rPr>
          <w:t xml:space="preserve">10.64861/LDVO7244</w:t>
        </w:r>
      </w:hyperlink>
    </w:p>
    <w:p>
      <w:pPr>
        <w:pStyle w:val="BodyText"/>
        <w:spacing w:line="480" w:lineRule="auto"/>
        <w:ind w:firstLine="720"/>
      </w:pPr>
      <w:bookmarkStart w:id="181" w:name="ref-29"/>
      <w:bookmarkEnd w:id="181"/>
      <w:r>
        <w:t xml:space="preserve">29. Mark Ackermann, Sandia National Laboratories, David Cox, Sandia National Laboratories, John McGraw, J.T. McGraw &amp; Associates, Peter Zimmer, J.T. McGraw &amp; Associates. Lens and Camera Arrays for Sky Surveys and Space Surveillance (2016).</w:t>
      </w:r>
    </w:p>
    <w:p>
      <w:pPr>
        <w:pStyle w:val="BodyText"/>
        <w:spacing w:line="480" w:lineRule="auto"/>
        <w:ind w:firstLine="720"/>
      </w:pPr>
      <w:bookmarkStart w:id="182" w:name="ref-30"/>
      <w:bookmarkEnd w:id="182"/>
      <w:r>
        <w:t xml:space="preserve">30. Richard Stottler, Stottler Henke Associates, Inc.; Gregory Howe, Stottler Henke Associates, Inc.. Delay/Disruption Tolerant Reinforcement Learning Aurora based Communication System (DREAMS) (2022).</w:t>
      </w:r>
    </w:p>
    <w:p>
      <w:pPr>
        <w:pStyle w:val="BodyText"/>
        <w:spacing w:line="480" w:lineRule="auto"/>
        <w:ind w:firstLine="720"/>
      </w:pPr>
      <w:bookmarkStart w:id="183" w:name="ref-31"/>
      <w:bookmarkEnd w:id="183"/>
      <w:r>
        <w:t xml:space="preserve">31. Sylvain Béal; Marc Deschamps; Hervé Moulin. Taxing congestion of the space commons (2020). doi:</w:t>
      </w:r>
      <w:r>
        <w:t xml:space="preserve"> </w:t>
      </w:r>
      <w:hyperlink r:id="rId184">
        <w:r>
          <w:rPr>
            <w:rStyle w:val="Hyperlink"/>
          </w:rPr>
          <w:t xml:space="preserve">10.1016/j.actaastro.2020.07.036</w:t>
        </w:r>
      </w:hyperlink>
    </w:p>
    <w:p>
      <w:pPr>
        <w:pStyle w:val="BodyText"/>
        <w:spacing w:line="480" w:lineRule="auto"/>
        <w:ind w:firstLine="720"/>
      </w:pPr>
      <w:bookmarkStart w:id="185" w:name="ref-32"/>
      <w:bookmarkEnd w:id="185"/>
      <w:r>
        <w:t xml:space="preserve">32. Kailah B. Snelgrove; Joseph H. Saleh. Toward a new spacecraft optimal design lifetime? Impact of marginal cost of durability and reduced launch price (2016). doi:</w:t>
      </w:r>
      <w:r>
        <w:t xml:space="preserve"> </w:t>
      </w:r>
      <w:hyperlink r:id="rId186">
        <w:r>
          <w:rPr>
            <w:rStyle w:val="Hyperlink"/>
          </w:rPr>
          <w:t xml:space="preserve">10.1016/j.actaastro.2016.05.036</w:t>
        </w:r>
      </w:hyperlink>
    </w:p>
    <w:p>
      <w:pPr>
        <w:pStyle w:val="BodyText"/>
        <w:spacing w:line="480" w:lineRule="auto"/>
        <w:ind w:firstLine="720"/>
      </w:pPr>
      <w:bookmarkStart w:id="187" w:name="ref-33"/>
      <w:bookmarkEnd w:id="187"/>
      <w:r>
        <w:t xml:space="preserve">33. Nicole Viola; Roberta Fusaro; Davide Ferretto; Valeria Vercella. Research, development and production costs prediction parametric model for future civil hypersonic aircraft (2022). doi:</w:t>
      </w:r>
      <w:r>
        <w:t xml:space="preserve"> </w:t>
      </w:r>
      <w:hyperlink r:id="rId188">
        <w:r>
          <w:rPr>
            <w:rStyle w:val="Hyperlink"/>
          </w:rPr>
          <w:t xml:space="preserve">10.1016/j.actaastro.2022.12.036</w:t>
        </w:r>
      </w:hyperlink>
    </w:p>
    <w:p>
      <w:pPr>
        <w:pStyle w:val="BodyText"/>
        <w:spacing w:line="480" w:lineRule="auto"/>
        <w:ind w:firstLine="720"/>
      </w:pPr>
      <w:bookmarkStart w:id="189" w:name="ref-34"/>
      <w:bookmarkEnd w:id="189"/>
      <w:r>
        <w:t xml:space="preserve">34. Gil Denis; Didier Alary; Xavier Pasco; Nathalie Pisot; D. Texier; Sandrine Toulza. From new space to big space: How commercial space dream is becoming a reality (2019). doi:</w:t>
      </w:r>
      <w:r>
        <w:t xml:space="preserve"> </w:t>
      </w:r>
      <w:hyperlink r:id="rId190">
        <w:r>
          <w:rPr>
            <w:rStyle w:val="Hyperlink"/>
          </w:rPr>
          <w:t xml:space="preserve">10.1016/j.actaastro.2019.08.031</w:t>
        </w:r>
      </w:hyperlink>
    </w:p>
    <w:p>
      <w:pPr>
        <w:pStyle w:val="BodyText"/>
        <w:spacing w:line="480" w:lineRule="auto"/>
        <w:ind w:firstLine="720"/>
      </w:pPr>
      <w:bookmarkStart w:id="191" w:name="ref-35"/>
      <w:bookmarkEnd w:id="191"/>
      <w:r>
        <w:t xml:space="preserve">35. N.T. Drenthe; B.T.C. Zandbergen; Richard Curran; M.O. Van Pelt. Cost estimating of commercial smallsat launch vehicles (2018). doi:</w:t>
      </w:r>
      <w:r>
        <w:t xml:space="preserve"> </w:t>
      </w:r>
      <w:hyperlink r:id="rId192">
        <w:r>
          <w:rPr>
            <w:rStyle w:val="Hyperlink"/>
          </w:rPr>
          <w:t xml:space="preserve">10.1016/j.actaastro.2018.11.054</w:t>
        </w:r>
      </w:hyperlink>
    </w:p>
    <w:p>
      <w:pPr>
        <w:pStyle w:val="BodyText"/>
        <w:spacing w:line="480" w:lineRule="auto"/>
        <w:ind w:firstLine="720"/>
      </w:pPr>
      <w:bookmarkStart w:id="193" w:name="ref-36"/>
      <w:bookmarkEnd w:id="193"/>
      <w:r>
        <w:t xml:space="preserve">36. R. L. McNutt; R. F. Wimmer‐Schweingruber; Mike Gruntman; S. M. Krimigis; E. C. Roelof; P. C. Brandt; Steven R. Vernon; Michael Paul; Robert Stough; J.D. Kinnison. Interstellar probe – Destination: Universe! (2022). doi:</w:t>
      </w:r>
      <w:r>
        <w:t xml:space="preserve"> </w:t>
      </w:r>
      <w:hyperlink r:id="rId194">
        <w:r>
          <w:rPr>
            <w:rStyle w:val="Hyperlink"/>
          </w:rPr>
          <w:t xml:space="preserve">10.1016/j.actaastro.2022.04.001</w:t>
        </w:r>
      </w:hyperlink>
    </w:p>
    <w:p>
      <w:pPr>
        <w:pStyle w:val="BodyText"/>
        <w:spacing w:line="480" w:lineRule="auto"/>
        <w:ind w:firstLine="720"/>
      </w:pPr>
      <w:bookmarkStart w:id="195" w:name="ref-37"/>
      <w:bookmarkEnd w:id="195"/>
      <w:r>
        <w:t xml:space="preserve">37. Ben McKeown; Andrew G. Dempster; Serkan Saydam; Jeff Coulton. How should potential space resources markets be evaluated? (2026). doi:</w:t>
      </w:r>
      <w:r>
        <w:t xml:space="preserve"> </w:t>
      </w:r>
      <w:hyperlink r:id="rId196">
        <w:r>
          <w:rPr>
            <w:rStyle w:val="Hyperlink"/>
          </w:rPr>
          <w:t xml:space="preserve">10.1016/j.actaastro.2026.03.026</w:t>
        </w:r>
      </w:hyperlink>
    </w:p>
    <w:p>
      <w:pPr>
        <w:pStyle w:val="BodyText"/>
        <w:spacing w:line="480" w:lineRule="auto"/>
        <w:ind w:firstLine="720"/>
      </w:pPr>
      <w:bookmarkStart w:id="197" w:name="ref-38"/>
      <w:bookmarkEnd w:id="197"/>
      <w:r>
        <w:t xml:space="preserve">38. Yuqiang Liu; Yang Zhao; Chunlin Tan; Huawei Liu; Yongjian Liu. Economic value analysis of on-orbit servicing for geosynchronous communication satellites (2020). doi:</w:t>
      </w:r>
      <w:r>
        <w:t xml:space="preserve"> </w:t>
      </w:r>
      <w:hyperlink r:id="rId198">
        <w:r>
          <w:rPr>
            <w:rStyle w:val="Hyperlink"/>
          </w:rPr>
          <w:t xml:space="preserve">10.1016/j.actaastro.2020.11.040</w:t>
        </w:r>
      </w:hyperlink>
    </w:p>
    <w:bookmarkEnd w:id="199"/>
    <w:bookmarkEnd w:id="200"/>
    <w:bookmarkStart w:id="21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8" w:name="X6700d29d6eceb499678b8f26a15ac202f6db869"/>
    <w:p>
      <w:pPr>
        <w:pStyle w:val="Heading2"/>
        <w:spacing w:line="480" w:lineRule="auto"/>
      </w:pPr>
      <w:r>
        <w:t xml:space="preserve">A.1 Pricing the Orbital Commons: A Cross-Shell Estimate of the Marginal Congestion Cost Curve in Low Earth Orbit</w:t>
      </w:r>
    </w:p>
    <w:p>
      <w:pPr>
        <w:pStyle w:val="FirstParagraph"/>
        <w:spacing w:line="480" w:lineRule="auto"/>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t>N</m:t>
              </m:r>
            </m:e>
            <m:sub>
              <m:r>
                <m:t>i</m:t>
              </m:r>
            </m:sub>
          </m:sSub>
          <m:r>
            <m:rPr>
              <m:sty m:val="p"/>
            </m:rPr>
            <m:t>+</m:t>
          </m:r>
          <m:sSub>
            <m:e>
              <m:r>
                <m:t>β</m:t>
              </m:r>
            </m:e>
            <m:sub>
              <m:r>
                <m:t>2</m:t>
              </m:r>
            </m:sub>
          </m:sSub>
          <m:sSub>
            <m:e>
              <m:r>
                <m:t>D</m:t>
              </m:r>
            </m:e>
            <m:sub>
              <m:r>
                <m:t>i</m:t>
              </m:r>
            </m:sub>
          </m:sSub>
          <m:r>
            <m:rPr>
              <m:sty m:val="p"/>
            </m:rPr>
            <m:t>+</m:t>
          </m:r>
          <m:sSub>
            <m:e>
              <m:r>
                <m:t>β</m:t>
              </m:r>
            </m:e>
            <m:sub>
              <m:r>
                <m:t>3</m:t>
              </m:r>
            </m:sub>
          </m:sSub>
          <m:sSub>
            <m:e>
              <m:r>
                <m:t>A</m:t>
              </m:r>
            </m:e>
            <m:sub>
              <m:r>
                <m:t>i</m:t>
              </m:r>
            </m:sub>
          </m:sSub>
          <m:r>
            <m:rPr>
              <m:sty m:val="p"/>
            </m:rPr>
            <m:t>+</m:t>
          </m:r>
          <m:sSub>
            <m:e>
              <m:r>
                <m:t>β</m:t>
              </m:r>
            </m:e>
            <m:sub>
              <m:r>
                <m:t>4</m:t>
              </m:r>
            </m:sub>
          </m:sSub>
          <m:sSub>
            <m:e>
              <m:r>
                <m:t>I</m:t>
              </m:r>
            </m:e>
            <m:sub>
              <m:r>
                <m:t>i</m:t>
              </m:r>
            </m:sub>
          </m:sSub>
          <m:r>
            <m:rPr>
              <m:sty m:val="p"/>
            </m:rPr>
            <m:t>+</m:t>
          </m:r>
          <m:sSub>
            <m:e>
              <m:r>
                <m:t>ε</m:t>
              </m:r>
            </m:e>
            <m:sub>
              <m:r>
                <m:t>i</m:t>
              </m:r>
            </m:sub>
          </m:sSub>
        </m:oMath>
      </m:oMathPara>
    </w:p>
    <w:bookmarkStart w:id="20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[-0.5495, -0.1125]</w:t>
            </w:r>
          </w:p>
        </w:tc>
      </w:tr>
      <w:tr>
        <w:tc>
          <w:tcPr>
            <w:tcW w:w="0" w:type="auto"/>
          </w:tcPr>
          <w:p>
            <w:pPr>
              <w:spacing w:line="240" w:lineRule="auto" w:before="0" w:after="0"/>
              <w:pStyle w:val="Compact"/>
            </w:pPr>
            <w:r>
              <w:rPr>
                <w:sz w:val="20"/>
                <w:szCs w:val="20"/>
              </w:rPr>
              <w:t xml:space="preserve">objects_cataloged</w:t>
            </w:r>
          </w:p>
        </w:tc>
        <w:tc>
          <w:tcPr>
            <w:tcW w:w="0" w:type="auto"/>
          </w:tcPr>
          <w:p>
            <w:pPr>
              <w:spacing w:line="240" w:lineRule="auto" w:before="0" w:after="0"/>
              <w:pStyle w:val="Compact"/>
            </w:pPr>
            <w:r>
              <w:rPr>
                <w:sz w:val="20"/>
                <w:szCs w:val="20"/>
              </w:rPr>
              <w:t xml:space="preserve">0.0003828</w:t>
            </w:r>
          </w:p>
        </w:tc>
        <w:tc>
          <w:tcPr>
            <w:tcW w:w="0" w:type="auto"/>
          </w:tcPr>
          <w:p>
            <w:pPr>
              <w:spacing w:line="240" w:lineRule="auto" w:before="0" w:after="0"/>
              <w:pStyle w:val="Compact"/>
            </w:pPr>
            <w:r>
              <w:rPr>
                <w:sz w:val="20"/>
                <w:szCs w:val="20"/>
              </w:rPr>
              <w:t xml:space="preserve">4.254e-05</w:t>
            </w:r>
          </w:p>
        </w:tc>
        <w:tc>
          <w:tcPr>
            <w:tcW w:w="0" w:type="auto"/>
          </w:tcPr>
          <w:p>
            <w:pPr>
              <w:spacing w:line="240" w:lineRule="auto" w:before="0" w:after="0"/>
              <w:pStyle w:val="Compact"/>
            </w:pPr>
            <w:r>
              <w:rPr>
                <w:sz w:val="20"/>
                <w:szCs w:val="20"/>
              </w:rPr>
              <w:t xml:space="preserve">8.999</w:t>
            </w:r>
          </w:p>
        </w:tc>
        <w:tc>
          <w:tcPr>
            <w:tcW w:w="0" w:type="auto"/>
          </w:tcPr>
          <w:p>
            <w:pPr>
              <w:spacing w:line="240" w:lineRule="auto" w:before="0" w:after="0"/>
              <w:pStyle w:val="Compact"/>
            </w:pPr>
            <w:r>
              <w:rPr>
                <w:sz w:val="20"/>
                <w:szCs w:val="20"/>
              </w:rPr>
              <w:t xml:space="preserve">2.278e-19</w:t>
            </w:r>
          </w:p>
        </w:tc>
        <w:tc>
          <w:tcPr>
            <w:tcW w:w="0" w:type="auto"/>
          </w:tcPr>
          <w:p>
            <w:pPr>
              <w:spacing w:line="240" w:lineRule="auto" w:before="0" w:after="0"/>
              <w:pStyle w:val="Compact"/>
            </w:pPr>
            <w:r>
              <w:rPr>
                <w:sz w:val="20"/>
                <w:szCs w:val="20"/>
              </w:rPr>
              <w:t xml:space="preserve">[0.0002995, 0.0004662]</w:t>
            </w:r>
          </w:p>
        </w:tc>
      </w:tr>
      <w:tr>
        <w:tc>
          <w:tcPr>
            <w:tcW w:w="0" w:type="auto"/>
          </w:tcPr>
          <w:p>
            <w:pPr>
              <w:spacing w:line="240" w:lineRule="auto" w:before="0" w:after="0"/>
              <w:pStyle w:val="Compact"/>
            </w:pPr>
            <w:r>
              <w:rPr>
                <w:sz w:val="20"/>
                <w:szCs w:val="20"/>
              </w:rPr>
              <w:t xml:space="preserve">derelict_fraction</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0.249</w:t>
            </w:r>
          </w:p>
        </w:tc>
        <w:tc>
          <w:tcPr>
            <w:tcW w:w="0" w:type="auto"/>
          </w:tcPr>
          <w:p>
            <w:pPr>
              <w:spacing w:line="240" w:lineRule="auto" w:before="0" w:after="0"/>
              <w:pStyle w:val="Compact"/>
            </w:pPr>
            <w:r>
              <w:rPr>
                <w:sz w:val="20"/>
                <w:szCs w:val="20"/>
              </w:rPr>
              <w:t xml:space="preserve">5.1123</w:t>
            </w:r>
          </w:p>
        </w:tc>
        <w:tc>
          <w:tcPr>
            <w:tcW w:w="0" w:type="auto"/>
          </w:tcPr>
          <w:p>
            <w:pPr>
              <w:spacing w:line="240" w:lineRule="auto" w:before="0" w:after="0"/>
              <w:pStyle w:val="Compact"/>
            </w:pPr>
            <w:r>
              <w:rPr>
                <w:sz w:val="20"/>
                <w:szCs w:val="20"/>
              </w:rPr>
              <w:t xml:space="preserve">3.182e-07</w:t>
            </w:r>
          </w:p>
        </w:tc>
        <w:tc>
          <w:tcPr>
            <w:tcW w:w="0" w:type="auto"/>
          </w:tcPr>
          <w:p>
            <w:pPr>
              <w:spacing w:line="240" w:lineRule="auto" w:before="0" w:after="0"/>
              <w:pStyle w:val="Compact"/>
            </w:pPr>
            <w:r>
              <w:rPr>
                <w:sz w:val="20"/>
                <w:szCs w:val="20"/>
              </w:rPr>
              <w:t xml:space="preserve">[0.7849, 1.761]</w:t>
            </w:r>
          </w:p>
        </w:tc>
      </w:tr>
      <w:tr>
        <w:tc>
          <w:tcPr>
            <w:tcW w:w="0" w:type="auto"/>
          </w:tcPr>
          <w:p>
            <w:pPr>
              <w:spacing w:line="240" w:lineRule="auto" w:before="0" w:after="0"/>
              <w:pStyle w:val="Compact"/>
            </w:pPr>
            <w:r>
              <w:rPr>
                <w:sz w:val="20"/>
                <w:szCs w:val="20"/>
              </w:rPr>
              <w:t xml:space="preserve">mean_cross_section_m2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1.8628</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[-0.0023, 0.0887]</w:t>
            </w:r>
          </w:p>
        </w:tc>
      </w:tr>
      <w:tr>
        <w:tc>
          <w:tcPr>
            <w:tcW w:w="0" w:type="auto"/>
          </w:tcPr>
          <w:p>
            <w:pPr>
              <w:spacing w:line="240" w:lineRule="auto" w:before="0" w:after="0"/>
              <w:pStyle w:val="Compact"/>
            </w:pPr>
            <w:r>
              <w:rPr>
                <w:sz w:val="20"/>
                <w:szCs w:val="20"/>
              </w:rPr>
              <w:t xml:space="preserve">inclination_spread_deg</w:t>
            </w:r>
          </w:p>
        </w:tc>
        <w:tc>
          <w:tcPr>
            <w:tcW w:w="0" w:type="auto"/>
          </w:tcPr>
          <w:p>
            <w:pPr>
              <w:spacing w:line="240" w:lineRule="auto" w:before="0" w:after="0"/>
              <w:pStyle w:val="Compact"/>
            </w:pPr>
            <w:r>
              <w:rPr>
                <w:sz w:val="20"/>
                <w:szCs w:val="20"/>
              </w:rPr>
              <w:t xml:space="preserve">-0.0009813</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0.5492</w:t>
            </w:r>
          </w:p>
        </w:tc>
        <w:tc>
          <w:tcPr>
            <w:tcW w:w="0" w:type="auto"/>
          </w:tcPr>
          <w:p>
            <w:pPr>
              <w:spacing w:line="240" w:lineRule="auto" w:before="0" w:after="0"/>
              <w:pStyle w:val="Compact"/>
            </w:pPr>
            <w:r>
              <w:rPr>
                <w:sz w:val="20"/>
                <w:szCs w:val="20"/>
              </w:rPr>
              <w:t xml:space="preserve">[-0.0042, 0.0022]</w:t>
            </w:r>
          </w:p>
        </w:tc>
      </w:tr>
    </w:tbl>
    <w:p>
      <w:pPr>
        <w:pStyle w:val="BodyText"/>
        <w:spacing w:line="480" w:lineRule="auto"/>
        <w:ind w:firstLine="720"/>
      </w:pPr>
      <w:r>
        <w:t xml:space="preserve">Fit: N = 36 R2 = 0.9534 R2_adj = 0.9474 F = 49.5832 F_p = 4.868e-13</w:t>
      </w:r>
    </w:p>
    <w:bookmarkEnd w:id="201"/>
    <w:bookmarkStart w:id="20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object conjunction burden against shell population across 36 LEO altitude shells (200-2000 km, 50 km bins). Sources: ESA Annual Space Environment Report 2024; NASA ODPO Orbital Debris Quarterly News 2024; Pardini and Anselmo (2021)." title="" id="203" name="Picture"/>
            <a:graphic>
              <a:graphicData uri="http://schemas.openxmlformats.org/drawingml/2006/picture">
                <pic:pic>
                  <pic:nvPicPr>
                    <pic:cNvPr descr="D:/Claude_Code/brain/collegium/candidates/dissertations/DEBRIS_01/research_papers/p1/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Per-object conjunction burden against shell population across 36 LEO altitude shells (200-2000 km, 50 km bins). Sources: ESA Annual Space Environment Report 2024; NASA ODPO Orbital Debris Quarterly News 2024; Pardini and Anselmo (2021).</w:t>
      </w:r>
    </w:p>
    <w:bookmarkEnd w:id="205"/>
    <w:bookmarkStart w:id="20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alt_low_km</w:t>
            </w:r>
          </w:p>
        </w:tc>
        <w:tc>
          <w:tcPr>
            <w:tcW w:w="0" w:type="auto"/>
          </w:tcPr>
          <w:p>
            <w:pPr>
              <w:spacing w:line="240" w:lineRule="auto" w:before="0" w:after="0"/>
              <w:pStyle w:val="Compact"/>
            </w:pPr>
            <w:r>
              <w:rPr>
                <w:sz w:val="20"/>
                <w:szCs w:val="20"/>
              </w:rPr>
              <w:t xml:space="preserve">alt_high_km</w:t>
            </w:r>
          </w:p>
        </w:tc>
        <w:tc>
          <w:tcPr>
            <w:tcW w:w="0" w:type="auto"/>
          </w:tcPr>
          <w:p>
            <w:pPr>
              <w:spacing w:line="240" w:lineRule="auto" w:before="0" w:after="0"/>
              <w:pStyle w:val="Compact"/>
            </w:pPr>
            <w:r>
              <w:rPr>
                <w:sz w:val="20"/>
                <w:szCs w:val="20"/>
              </w:rPr>
              <w:t xml:space="preserve">objects_cataloged</w:t>
            </w:r>
          </w:p>
        </w:tc>
        <w:tc>
          <w:tcPr>
            <w:tcW w:w="0" w:type="auto"/>
          </w:tcPr>
          <w:p>
            <w:pPr>
              <w:spacing w:line="240" w:lineRule="auto" w:before="0" w:after="0"/>
              <w:pStyle w:val="Compact"/>
            </w:pPr>
            <w:r>
              <w:rPr>
                <w:sz w:val="20"/>
                <w:szCs w:val="20"/>
              </w:rPr>
              <w:t xml:space="preserve">derelict_fraction</w:t>
            </w:r>
          </w:p>
        </w:tc>
        <w:tc>
          <w:tcPr>
            <w:tcW w:w="0" w:type="auto"/>
          </w:tcPr>
          <w:p>
            <w:pPr>
              <w:spacing w:line="240" w:lineRule="auto" w:before="0" w:after="0"/>
              <w:pStyle w:val="Compact"/>
            </w:pPr>
            <w:r>
              <w:rPr>
                <w:sz w:val="20"/>
                <w:szCs w:val="20"/>
              </w:rPr>
              <w:t xml:space="preserve">mean_cross_section_m2</w:t>
            </w:r>
          </w:p>
        </w:tc>
        <w:tc>
          <w:tcPr>
            <w:tcW w:w="0" w:type="auto"/>
          </w:tcPr>
          <w:p>
            <w:pPr>
              <w:spacing w:line="240" w:lineRule="auto" w:before="0" w:after="0"/>
              <w:pStyle w:val="Compact"/>
            </w:pPr>
            <w:r>
              <w:rPr>
                <w:sz w:val="20"/>
                <w:szCs w:val="20"/>
              </w:rPr>
              <w:t xml:space="preserve">inclination_spread_deg</w:t>
            </w:r>
          </w:p>
        </w:tc>
        <w:tc>
          <w:tcPr>
            <w:tcW w:w="0" w:type="auto"/>
          </w:tcPr>
          <w:p>
            <w:pPr>
              <w:spacing w:line="240" w:lineRule="auto" w:before="0" w:after="0"/>
              <w:pStyle w:val="Compact"/>
            </w:pPr>
            <w:r>
              <w:rPr>
                <w:sz w:val="20"/>
                <w:szCs w:val="20"/>
              </w:rPr>
              <w:t xml:space="preserve">conjunctions_per_object_year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NASA ODPO Orbital Debris Quarterly News v28-1 2024 Fig 1; ESA ASER 2024 Sec 3.1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ODPO ODQN v28-1 2024 Fig 1; ESA ASER 2024 Sec 3.1</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ESA Annual Space Environment Report 2024 Fig 3.3; Pardini and Anselmo 2021 doi:10.1016/j.actaastro.2021.03.030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ESA ASER 2024 Fig 3.3; Pardini and Anselmo 2021</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ESA ASER 2024 Fig 3.3 (ISS shell); NASA ODPO ODQN v28-2 2024 [illustrative event-rate calibration]</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ESA ASER 2024 Fig 3.3; Giudici et al 2024 doi:10.1016/j.actaastro.2024.03.008 Fig 5</w:t>
            </w:r>
          </w:p>
        </w:tc>
      </w:tr>
      <w:tr>
        <w:tc>
          <w:tcPr>
            <w:tcW w:w="0" w:type="auto"/>
          </w:tcPr>
          <w:p>
            <w:pPr>
              <w:spacing w:line="240" w:lineRule="auto" w:before="0" w:after="0"/>
              <w:pStyle w:val="Compact"/>
            </w:pPr>
            <w:r>
              <w:rPr>
                <w:sz w:val="20"/>
                <w:szCs w:val="20"/>
              </w:rPr>
              <w:t xml:space="preserve">S7</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1456</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ESA ASER 2024 Fig 3.3 (Starlink shell); Giudici et al 2024 Fig 5</w:t>
            </w:r>
          </w:p>
        </w:tc>
      </w:tr>
      <w:tr>
        <w:tc>
          <w:tcPr>
            <w:tcW w:w="0" w:type="auto"/>
          </w:tcPr>
          <w:p>
            <w:pPr>
              <w:spacing w:line="240" w:lineRule="auto" w:before="0" w:after="0"/>
              <w:pStyle w:val="Compact"/>
            </w:pPr>
            <w:r>
              <w:rPr>
                <w:sz w:val="20"/>
                <w:szCs w:val="20"/>
              </w:rPr>
              <w:t xml:space="preserve">S8</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3982</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ESA ASER 2024 Fig 3.3 (Starlink v1.5 dense); Sturza and Saura Carretero 2021 AMOS Poster</w:t>
            </w:r>
          </w:p>
        </w:tc>
      </w:tr>
      <w:tr>
        <w:tc>
          <w:tcPr>
            <w:tcW w:w="0" w:type="auto"/>
          </w:tcPr>
          <w:p>
            <w:pPr>
              <w:spacing w:line="240" w:lineRule="auto" w:before="0" w:after="0"/>
              <w:pStyle w:val="Compact"/>
            </w:pPr>
            <w:r>
              <w:rPr>
                <w:sz w:val="20"/>
                <w:szCs w:val="20"/>
              </w:rPr>
              <w:t xml:space="preserve">S9</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884</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ESA ASER 2024 Fig 3.3; Pardini and Anselmo 2021 Table 4</w:t>
            </w:r>
          </w:p>
        </w:tc>
      </w:tr>
      <w:tr>
        <w:tc>
          <w:tcPr>
            <w:tcW w:w="0" w:type="auto"/>
          </w:tcPr>
          <w:p>
            <w:pPr>
              <w:spacing w:line="240" w:lineRule="auto" w:before="0" w:after="0"/>
              <w:pStyle w:val="Compact"/>
            </w:pPr>
            <w:r>
              <w:rPr>
                <w:sz w:val="20"/>
                <w:szCs w:val="20"/>
              </w:rPr>
              <w:t xml:space="preserve">S10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772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ESA ASER 2024 Fig 3.3; Pardini and Anselmo 2021 Table 4</w:t>
            </w:r>
          </w:p>
        </w:tc>
      </w:tr>
      <w:tr>
        <w:tc>
          <w:tcPr>
            <w:tcW w:w="0" w:type="auto"/>
          </w:tcPr>
          <w:p>
            <w:pPr>
              <w:spacing w:line="240" w:lineRule="auto" w:before="0" w:after="0"/>
              <w:pStyle w:val="Compact"/>
            </w:pPr>
            <w:r>
              <w:rPr>
                <w:sz w:val="20"/>
                <w:szCs w:val="20"/>
              </w:rPr>
              <w:t xml:space="preserve">S11</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ESA ASER 2024 Fig 3.3 (sun-sync band); Pardini and Anselmo 2021 Table 4</w:t>
            </w:r>
          </w:p>
        </w:tc>
      </w:tr>
      <w:tr>
        <w:tc>
          <w:tcPr>
            <w:tcW w:w="0" w:type="auto"/>
          </w:tcPr>
          <w:p>
            <w:pPr>
              <w:spacing w:line="240" w:lineRule="auto" w:before="0" w:after="0"/>
              <w:pStyle w:val="Compact"/>
            </w:pPr>
            <w:r>
              <w:rPr>
                <w:sz w:val="20"/>
                <w:szCs w:val="20"/>
              </w:rPr>
              <w:t xml:space="preserve">S12</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2148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ESA ASER 2024 Fig 3.3 (peak sun-sync); NASA ODPO ODQN v27-4 2023 Iridium-Cosmos shell discussion</w:t>
            </w:r>
          </w:p>
        </w:tc>
      </w:tr>
      <w:tr>
        <w:tc>
          <w:tcPr>
            <w:tcW w:w="0" w:type="auto"/>
          </w:tcPr>
          <w:p>
            <w:pPr>
              <w:spacing w:line="240" w:lineRule="auto" w:before="0" w:after="0"/>
              <w:pStyle w:val="Compact"/>
            </w:pPr>
            <w:r>
              <w:rPr>
                <w:sz w:val="20"/>
                <w:szCs w:val="20"/>
              </w:rPr>
              <w:t xml:space="preserve">S13</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2762</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ESA ASER 2024 Fig 3.3 (peak SSO derelicts); Pardini and Anselmo 2021 Table 4; Kastinen et al 2022 doi:10.1016/j.actaastro.2022.10.021</w:t>
            </w:r>
          </w:p>
        </w:tc>
      </w:tr>
      <w:tr>
        <w:tc>
          <w:tcPr>
            <w:tcW w:w="0" w:type="auto"/>
          </w:tcPr>
          <w:p>
            <w:pPr>
              <w:spacing w:line="240" w:lineRule="auto" w:before="0" w:after="0"/>
              <w:pStyle w:val="Compact"/>
            </w:pPr>
            <w:r>
              <w:rPr>
                <w:sz w:val="20"/>
                <w:szCs w:val="20"/>
              </w:rPr>
              <w:t xml:space="preserve">S14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1812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ESA ASER 2024 Fig 3.3; NASA ODPO ODQN v28-1 2024 Fig 2</w:t>
            </w:r>
          </w:p>
        </w:tc>
      </w:tr>
      <w:tr>
        <w:tc>
          <w:tcPr>
            <w:tcW w:w="0" w:type="auto"/>
          </w:tcPr>
          <w:p>
            <w:pPr>
              <w:spacing w:line="240" w:lineRule="auto" w:before="0" w:after="0"/>
              <w:pStyle w:val="Compact"/>
            </w:pPr>
            <w:r>
              <w:rPr>
                <w:sz w:val="20"/>
                <w:szCs w:val="20"/>
              </w:rPr>
              <w:t xml:space="preserve">S15</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ESA ASER 2024 Fig 3.3; Pardini and Anselmo 2021</w:t>
            </w:r>
          </w:p>
        </w:tc>
      </w:tr>
      <w:tr>
        <w:tc>
          <w:tcPr>
            <w:tcW w:w="0" w:type="auto"/>
          </w:tcPr>
          <w:p>
            <w:pPr>
              <w:spacing w:line="240" w:lineRule="auto" w:before="0" w:after="0"/>
              <w:pStyle w:val="Compact"/>
            </w:pPr>
            <w:r>
              <w:rPr>
                <w:sz w:val="20"/>
                <w:szCs w:val="20"/>
              </w:rPr>
              <w:t xml:space="preserve">S16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824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S17</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S18</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392</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S19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ESA ASER 2024 Fig 3.3 [illustrative cross-section]</w:t>
            </w:r>
          </w:p>
        </w:tc>
      </w:tr>
      <w:tr>
        <w:tc>
          <w:tcPr>
            <w:tcW w:w="0" w:type="auto"/>
          </w:tcPr>
          <w:p>
            <w:pPr>
              <w:spacing w:line="240" w:lineRule="auto" w:before="0" w:after="0"/>
              <w:pStyle w:val="Compact"/>
            </w:pPr>
            <w:r>
              <w:rPr>
                <w:sz w:val="20"/>
                <w:szCs w:val="20"/>
              </w:rPr>
              <w:t xml:space="preserve">S21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S22</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S23</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S25</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ESA ASER 2024 Fig 3.3 (Globalstar/Iridium band)</w:t>
            </w:r>
          </w:p>
        </w:tc>
      </w:tr>
      <w:tr>
        <w:tc>
          <w:tcPr>
            <w:tcW w:w="0" w:type="auto"/>
          </w:tcPr>
          <w:p>
            <w:pPr>
              <w:spacing w:line="240" w:lineRule="auto" w:before="0" w:after="0"/>
              <w:pStyle w:val="Compact"/>
            </w:pPr>
            <w:r>
              <w:rPr>
                <w:sz w:val="20"/>
                <w:szCs w:val="20"/>
              </w:rPr>
              <w:t xml:space="preserve">S26</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S28</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ESA ASER 2024 Fig 3.3 [illustrative]</w:t>
            </w:r>
          </w:p>
        </w:tc>
      </w:tr>
      <w:tr>
        <w:tc>
          <w:tcPr>
            <w:tcW w:w="0" w:type="auto"/>
          </w:tcPr>
          <w:p>
            <w:pPr>
              <w:spacing w:line="240" w:lineRule="auto" w:before="0" w:after="0"/>
              <w:pStyle w:val="Compact"/>
            </w:pPr>
            <w:r>
              <w:rPr>
                <w:sz w:val="20"/>
                <w:szCs w:val="20"/>
              </w:rPr>
              <w:t xml:space="preserve">S29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S31</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S32</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S33</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S34</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S35</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S36</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ESA ASER 2024 Fig 3.3 [illustrative tail]</w:t>
            </w:r>
          </w:p>
        </w:tc>
      </w:tr>
    </w:tbl>
    <w:bookmarkEnd w:id="206"/>
    <w:bookmarkStart w:id="20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y</w:t>
            </w:r>
          </w:p>
        </w:tc>
        <w:tc>
          <w:tcPr>
            <w:tcW w:w="0" w:type="auto"/>
          </w:tcPr>
          <w:p>
            <w:pPr>
              <w:spacing w:line="240" w:lineRule="auto" w:before="0" w:after="0"/>
              <w:pStyle w:val="Compact"/>
            </w:pPr>
            <w:r>
              <w:rPr>
                <w:sz w:val="20"/>
                <w:szCs w:val="20"/>
              </w:rPr>
              <w:t xml:space="preserve">Annual conjunction events per resident space object in shell i (proxy for marginal collision-risk burden)</w:t>
            </w:r>
          </w:p>
        </w:tc>
        <w:tc>
          <w:tcPr>
            <w:tcW w:w="0" w:type="auto"/>
          </w:tcPr>
          <w:p>
            <w:pPr>
              <w:spacing w:line="240" w:lineRule="auto" w:before="0" w:after="0"/>
              <w:pStyle w:val="Compact"/>
            </w:pPr>
            <w:r>
              <w:rPr>
                <w:sz w:val="20"/>
                <w:szCs w:val="20"/>
              </w:rPr>
              <w:t xml:space="preserve">ESA Annual Space Environment Report 2024; NASA ODPO Orbital Debris Quarterly News 2024</w:t>
            </w:r>
          </w:p>
        </w:tc>
      </w:tr>
      <w:tr>
        <w:tc>
          <w:tcPr>
            <w:tcW w:w="0" w:type="auto"/>
          </w:tcPr>
          <w:p>
            <w:pPr>
              <w:spacing w:line="240" w:lineRule="auto" w:before="0" w:after="0"/>
              <w:pStyle w:val="Compact"/>
            </w:pPr>
            <w:r>
              <w:rPr>
                <w:sz w:val="20"/>
                <w:szCs w:val="20"/>
              </w:rPr>
              <w:t xml:space="preserve">N</w:t>
            </w:r>
          </w:p>
        </w:tc>
        <w:tc>
          <w:tcPr>
            <w:tcW w:w="0" w:type="auto"/>
          </w:tcPr>
          <w:p>
            <w:pPr>
              <w:spacing w:line="240" w:lineRule="auto" w:before="0" w:after="0"/>
              <w:pStyle w:val="Compact"/>
            </w:pPr>
            <w:r>
              <w:rPr>
                <w:sz w:val="20"/>
                <w:szCs w:val="20"/>
              </w:rPr>
              <w:t xml:space="preserve">Count of cataloged resident space objects in 50 km altitude shell i</w:t>
            </w:r>
          </w:p>
        </w:tc>
        <w:tc>
          <w:tcPr>
            <w:tcW w:w="0" w:type="auto"/>
          </w:tcPr>
          <w:p>
            <w:pPr>
              <w:spacing w:line="240" w:lineRule="auto" w:before="0" w:after="0"/>
              <w:pStyle w:val="Compact"/>
            </w:pPr>
            <w:r>
              <w:rPr>
                <w:sz w:val="20"/>
                <w:szCs w:val="20"/>
              </w:rPr>
              <w:t xml:space="preserve">ESA ASER 2024 Fig 3.3</w:t>
            </w:r>
          </w:p>
        </w:tc>
      </w:tr>
      <w:tr>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Derelict fraction: share of shell-i objects that are non-maneuverable rocket bodies or defunct payloads</w:t>
            </w:r>
          </w:p>
        </w:tc>
        <w:tc>
          <w:tcPr>
            <w:tcW w:w="0" w:type="auto"/>
          </w:tcPr>
          <w:p>
            <w:pPr>
              <w:spacing w:line="240" w:lineRule="auto" w:before="0" w:after="0"/>
              <w:pStyle w:val="Compact"/>
            </w:pPr>
            <w:r>
              <w:rPr>
                <w:sz w:val="20"/>
                <w:szCs w:val="20"/>
              </w:rPr>
              <w:t xml:space="preserve">Pardini and Anselmo 2021 doi:10.1016/j.actaastro.2021.03.030</w:t>
            </w:r>
          </w:p>
        </w:tc>
      </w:tr>
      <w:tr>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Mean radar cross-section (m^2) of cataloged shell-i objects</w:t>
            </w:r>
          </w:p>
        </w:tc>
        <w:tc>
          <w:tcPr>
            <w:tcW w:w="0" w:type="auto"/>
          </w:tcPr>
          <w:p>
            <w:pPr>
              <w:spacing w:line="240" w:lineRule="auto" w:before="0" w:after="0"/>
              <w:pStyle w:val="Compact"/>
            </w:pPr>
            <w:r>
              <w:rPr>
                <w:sz w:val="20"/>
                <w:szCs w:val="20"/>
              </w:rPr>
              <w:t xml:space="preserve">ESA DISCOSweb derived means reported in ESA ASER 2024</w:t>
            </w:r>
          </w:p>
        </w:tc>
      </w:tr>
      <w:tr>
        <w:tc>
          <w:tcPr>
            <w:tcW w:w="0" w:type="auto"/>
          </w:tcPr>
          <w:p>
            <w:pPr>
              <w:spacing w:line="240" w:lineRule="auto" w:before="0" w:after="0"/>
              <w:pStyle w:val="Compact"/>
            </w:pPr>
            <w:r>
              <w:rPr>
                <w:sz w:val="20"/>
                <w:szCs w:val="20"/>
              </w:rPr>
              <w:t xml:space="preserve">I</w:t>
            </w:r>
          </w:p>
        </w:tc>
        <w:tc>
          <w:tcPr>
            <w:tcW w:w="0" w:type="auto"/>
          </w:tcPr>
          <w:p>
            <w:pPr>
              <w:spacing w:line="240" w:lineRule="auto" w:before="0" w:after="0"/>
              <w:pStyle w:val="Compact"/>
            </w:pPr>
            <w:r>
              <w:rPr>
                <w:sz w:val="20"/>
                <w:szCs w:val="20"/>
              </w:rPr>
              <w:t xml:space="preserve">Inclination spread (deg): standard deviation of inclinations of shell-i objects</w:t>
            </w:r>
          </w:p>
        </w:tc>
        <w:tc>
          <w:tcPr>
            <w:tcW w:w="0" w:type="auto"/>
          </w:tcPr>
          <w:p>
            <w:pPr>
              <w:spacing w:line="240" w:lineRule="auto" w:before="0" w:after="0"/>
              <w:pStyle w:val="Compact"/>
            </w:pPr>
            <w:r>
              <w:rPr>
                <w:sz w:val="20"/>
                <w:szCs w:val="20"/>
              </w:rPr>
              <w:t xml:space="preserve">Giudici et al 2024 doi:10.1016/j.actaastro.2024.03.008 Fig 5</w:t>
            </w:r>
          </w:p>
        </w:tc>
      </w:tr>
    </w:tbl>
    <w:bookmarkEnd w:id="207"/>
    <w:bookmarkEnd w:id="208"/>
    <w:bookmarkStart w:id="216" w:name="Xe48591c715cee2c9247f2cf45ed1ebc35394fa9"/>
    <w:p>
      <w:pPr>
        <w:pStyle w:val="Heading2"/>
        <w:spacing w:line="480" w:lineRule="auto"/>
      </w:pPr>
      <w:r>
        <w:t xml:space="preserve">A.2 Pricing the Orbital Commons: A Marginal Congestion Cost Curve for Low Earth Orbit</w:t>
      </w:r>
    </w:p>
    <w:p>
      <w:pPr>
        <w:pStyle w:val="FirstParagraph"/>
        <w:spacing w:line="480" w:lineRule="auto"/>
      </w:pPr>
      <m:oMathPara>
        <m:oMathParaPr>
          <m:jc m:val="center"/>
        </m:oMathParaPr>
        <m:oMath>
          <m:r>
            <m:rPr>
              <m:sty m:val="p"/>
            </m:rPr>
            <m:t>ln</m:t>
          </m:r>
          <m:r>
            <m:rPr>
              <m:sty m:val="p"/>
            </m:rPr>
            <m:t>(</m:t>
          </m:r>
          <m:r>
            <m:rPr>
              <m:nor/>
              <m:sty m:val="p"/>
            </m:rPr>
            <m:t>conjunctions</m:t>
          </m:r>
          <m:sSub>
            <m:e>
              <m:r>
                <m:rPr>
                  <m:sty m:val="p"/>
                </m:rPr>
                <m:t>)</m:t>
              </m:r>
            </m:e>
            <m:sub>
              <m:r>
                <m:t>s</m:t>
              </m:r>
              <m:r>
                <m:rPr>
                  <m:sty m:val="p"/>
                </m:rPr>
                <m:t>,</m:t>
              </m:r>
              <m:r>
                <m:t>t</m:t>
              </m:r>
            </m:sub>
          </m:sSub>
          <m:r>
            <m:rPr>
              <m:sty m:val="p"/>
            </m:rPr>
            <m:t>=</m:t>
          </m:r>
          <m:sSub>
            <m:e>
              <m:r>
                <m:t>β</m:t>
              </m:r>
            </m:e>
            <m:sub>
              <m:r>
                <m:t>0</m:t>
              </m:r>
            </m:sub>
          </m:sSub>
          <m:r>
            <m:rPr>
              <m:sty m:val="p"/>
            </m:rPr>
            <m:t>+</m:t>
          </m:r>
          <m:sSub>
            <m:e>
              <m:r>
                <m:t>β</m:t>
              </m:r>
            </m:e>
            <m:sub>
              <m:r>
                <m:t>1</m:t>
              </m:r>
            </m:sub>
          </m:sSub>
          <m:r>
            <m:rPr>
              <m:sty m:val="p"/>
            </m:rPr>
            <m:t>ln</m:t>
          </m:r>
          <m:r>
            <m:rPr>
              <m:sty m:val="p"/>
            </m:rPr>
            <m:t>(</m:t>
          </m:r>
          <m:r>
            <m:rPr>
              <m:nor/>
              <m:sty m:val="p"/>
            </m:rPr>
            <m:t>objects</m:t>
          </m:r>
          <m:sSub>
            <m:e>
              <m:r>
                <m:rPr>
                  <m:sty m:val="p"/>
                </m:rPr>
                <m:t>)</m:t>
              </m:r>
            </m:e>
            <m:sub>
              <m:r>
                <m:t>s</m:t>
              </m:r>
              <m:r>
                <m:rPr>
                  <m:sty m:val="p"/>
                </m:rPr>
                <m:t>,</m:t>
              </m:r>
              <m:r>
                <m:t>t</m:t>
              </m:r>
            </m:sub>
          </m:sSub>
          <m:r>
            <m:rPr>
              <m:sty m:val="p"/>
            </m:rPr>
            <m:t>+</m:t>
          </m:r>
          <m:sSub>
            <m:e>
              <m:r>
                <m:t>β</m:t>
              </m:r>
            </m:e>
            <m:sub>
              <m:r>
                <m:t>2</m:t>
              </m:r>
            </m:sub>
          </m:sSub>
          <m:r>
            <m:rPr>
              <m:sty m:val="p"/>
            </m:rPr>
            <m:t>ln</m:t>
          </m:r>
          <m:r>
            <m:rPr>
              <m:sty m:val="p"/>
            </m:rPr>
            <m:t>(</m:t>
          </m:r>
          <m:r>
            <m:rPr>
              <m:nor/>
              <m:sty m:val="p"/>
            </m:rPr>
            <m:t>active_sats</m:t>
          </m:r>
          <m:sSub>
            <m:e>
              <m:r>
                <m:rPr>
                  <m:sty m:val="p"/>
                </m:rPr>
                <m:t>)</m:t>
              </m:r>
            </m:e>
            <m:sub>
              <m:r>
                <m:t>s</m:t>
              </m:r>
              <m:r>
                <m:rPr>
                  <m:sty m:val="p"/>
                </m:rPr>
                <m:t>,</m:t>
              </m:r>
              <m:r>
                <m:t>t</m:t>
              </m:r>
            </m:sub>
          </m:sSub>
          <m:r>
            <m:rPr>
              <m:sty m:val="p"/>
            </m:rPr>
            <m:t>+</m:t>
          </m:r>
          <m:sSub>
            <m:e>
              <m:r>
                <m:t>β</m:t>
              </m:r>
            </m:e>
            <m:sub>
              <m:r>
                <m:t>3</m:t>
              </m:r>
            </m:sub>
          </m:sSub>
          <m:sSub>
            <m:e>
              <m:r>
                <m:rPr>
                  <m:nor/>
                  <m:sty m:val="p"/>
                </m:rPr>
                <m:t>year_idx</m:t>
              </m:r>
            </m:e>
            <m:sub>
              <m:r>
                <m:t>t</m:t>
              </m:r>
            </m:sub>
          </m:sSub>
          <m:r>
            <m:rPr>
              <m:sty m:val="p"/>
            </m:rPr>
            <m:t>+</m:t>
          </m:r>
          <m:sSub>
            <m:e>
              <m:r>
                <m:t>β</m:t>
              </m:r>
            </m:e>
            <m:sub>
              <m:r>
                <m:t>4</m:t>
              </m:r>
            </m:sub>
          </m:sSub>
          <m:sSub>
            <m:e>
              <m:r>
                <m:rPr>
                  <m:nor/>
                  <m:sty m:val="p"/>
                </m:rPr>
                <m:t>shell_low</m:t>
              </m:r>
            </m:e>
            <m:sub>
              <m:r>
                <m:t>s</m:t>
              </m:r>
            </m:sub>
          </m:sSub>
          <m:r>
            <m:rPr>
              <m:sty m:val="p"/>
            </m:rPr>
            <m:t>+</m:t>
          </m:r>
          <m:sSub>
            <m:e>
              <m:r>
                <m:t>ε</m:t>
              </m:r>
            </m:e>
            <m:sub>
              <m:r>
                <m:t>s</m:t>
              </m:r>
              <m:r>
                <m:rPr>
                  <m:sty m:val="p"/>
                </m:rPr>
                <m:t>,</m:t>
              </m:r>
              <m:r>
                <m:t>t</m:t>
              </m:r>
            </m:sub>
          </m:sSub>
        </m:oMath>
      </m:oMathPara>
    </w:p>
    <w:bookmarkStart w:id="20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-1.3636</w:t>
            </w:r>
          </w:p>
        </w:tc>
        <w:tc>
          <w:tcPr>
            <w:tcW w:w="0" w:type="auto"/>
          </w:tcPr>
          <w:p>
            <w:pPr>
              <w:spacing w:line="240" w:lineRule="auto" w:before="0" w:after="0"/>
              <w:pStyle w:val="Compact"/>
            </w:pPr>
            <w:r>
              <w:rPr>
                <w:sz w:val="20"/>
                <w:szCs w:val="20"/>
              </w:rPr>
              <w:t xml:space="preserve">0.355</w:t>
            </w:r>
          </w:p>
        </w:tc>
        <w:tc>
          <w:tcPr>
            <w:tcW w:w="0" w:type="auto"/>
          </w:tcPr>
          <w:p>
            <w:pPr>
              <w:spacing w:line="240" w:lineRule="auto" w:before="0" w:after="0"/>
              <w:pStyle w:val="Compact"/>
            </w:pPr>
            <w:r>
              <w:rPr>
                <w:sz w:val="20"/>
                <w:szCs w:val="20"/>
              </w:rPr>
              <w:t xml:space="preserve">-3.8408</w:t>
            </w:r>
          </w:p>
        </w:tc>
        <w:tc>
          <w:tcPr>
            <w:tcW w:w="0" w:type="auto"/>
          </w:tcPr>
          <w:p>
            <w:pPr>
              <w:spacing w:line="240" w:lineRule="auto" w:before="0" w:after="0"/>
              <w:pStyle w:val="Compact"/>
            </w:pPr>
            <w:r>
              <w:rPr>
                <w:sz w:val="20"/>
                <w:szCs w:val="20"/>
              </w:rPr>
              <w:t xml:space="preserve">0.0001226</w:t>
            </w:r>
          </w:p>
        </w:tc>
        <w:tc>
          <w:tcPr>
            <w:tcW w:w="0" w:type="auto"/>
          </w:tcPr>
          <w:p>
            <w:pPr>
              <w:spacing w:line="240" w:lineRule="auto" w:before="0" w:after="0"/>
              <w:pStyle w:val="Compact"/>
            </w:pPr>
            <w:r>
              <w:rPr>
                <w:sz w:val="20"/>
                <w:szCs w:val="20"/>
              </w:rPr>
              <w:t xml:space="preserve">[-2.0595, -0.6678]</w:t>
            </w:r>
          </w:p>
        </w:tc>
      </w:tr>
      <w:tr>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0.8032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11.5536</w:t>
            </w:r>
          </w:p>
        </w:tc>
        <w:tc>
          <w:tcPr>
            <w:tcW w:w="0" w:type="auto"/>
          </w:tcPr>
          <w:p>
            <w:pPr>
              <w:spacing w:line="240" w:lineRule="auto" w:before="0" w:after="0"/>
              <w:pStyle w:val="Compact"/>
            </w:pPr>
            <w:r>
              <w:rPr>
                <w:sz w:val="20"/>
                <w:szCs w:val="20"/>
              </w:rPr>
              <w:t xml:space="preserve">7.081e-31</w:t>
            </w:r>
          </w:p>
        </w:tc>
        <w:tc>
          <w:tcPr>
            <w:tcW w:w="0" w:type="auto"/>
          </w:tcPr>
          <w:p>
            <w:pPr>
              <w:spacing w:line="240" w:lineRule="auto" w:before="0" w:after="0"/>
              <w:pStyle w:val="Compact"/>
            </w:pPr>
            <w:r>
              <w:rPr>
                <w:sz w:val="20"/>
                <w:szCs w:val="20"/>
              </w:rPr>
              <w:t xml:space="preserve">[0.6669, 0.9395]</w:t>
            </w:r>
          </w:p>
        </w:tc>
      </w:tr>
      <w:tr>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0.3656</w:t>
            </w:r>
          </w:p>
        </w:tc>
        <w:tc>
          <w:tcPr>
            <w:tcW w:w="0" w:type="auto"/>
          </w:tcPr>
          <w:p>
            <w:pPr>
              <w:spacing w:line="240" w:lineRule="auto" w:before="0" w:after="0"/>
              <w:pStyle w:val="Compact"/>
            </w:pPr>
            <w:r>
              <w:rPr>
                <w:sz w:val="20"/>
                <w:szCs w:val="20"/>
              </w:rPr>
              <w:t xml:space="preserve">0.0334</w:t>
            </w:r>
          </w:p>
        </w:tc>
        <w:tc>
          <w:tcPr>
            <w:tcW w:w="0" w:type="auto"/>
          </w:tcPr>
          <w:p>
            <w:pPr>
              <w:spacing w:line="240" w:lineRule="auto" w:before="0" w:after="0"/>
              <w:pStyle w:val="Compact"/>
            </w:pPr>
            <w:r>
              <w:rPr>
                <w:sz w:val="20"/>
                <w:szCs w:val="20"/>
              </w:rPr>
              <w:t xml:space="preserve">10.9593</w:t>
            </w:r>
          </w:p>
        </w:tc>
        <w:tc>
          <w:tcPr>
            <w:tcW w:w="0" w:type="auto"/>
          </w:tcPr>
          <w:p>
            <w:pPr>
              <w:spacing w:line="240" w:lineRule="auto" w:before="0" w:after="0"/>
              <w:pStyle w:val="Compact"/>
            </w:pPr>
            <w:r>
              <w:rPr>
                <w:sz w:val="20"/>
                <w:szCs w:val="20"/>
              </w:rPr>
              <w:t xml:space="preserve">5.997e-28</w:t>
            </w:r>
          </w:p>
        </w:tc>
        <w:tc>
          <w:tcPr>
            <w:tcW w:w="0" w:type="auto"/>
          </w:tcPr>
          <w:p>
            <w:pPr>
              <w:spacing w:line="240" w:lineRule="auto" w:before="0" w:after="0"/>
              <w:pStyle w:val="Compact"/>
            </w:pPr>
            <w:r>
              <w:rPr>
                <w:sz w:val="20"/>
                <w:szCs w:val="20"/>
              </w:rPr>
              <w:t xml:space="preserve">[0.3002, 0.431]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2.1122</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[0.0008793, 0.0235]</w:t>
            </w:r>
          </w:p>
        </w:tc>
      </w:tr>
      <w:tr>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0.2542</w:t>
            </w:r>
          </w:p>
        </w:tc>
        <w:tc>
          <w:tcPr>
            <w:tcW w:w="0" w:type="auto"/>
          </w:tcPr>
          <w:p>
            <w:pPr>
              <w:spacing w:line="240" w:lineRule="auto" w:before="0" w:after="0"/>
              <w:pStyle w:val="Compact"/>
            </w:pPr>
            <w:r>
              <w:rPr>
                <w:sz w:val="20"/>
                <w:szCs w:val="20"/>
              </w:rPr>
              <w:t xml:space="preserve">0.0372</w:t>
            </w:r>
          </w:p>
        </w:tc>
        <w:tc>
          <w:tcPr>
            <w:tcW w:w="0" w:type="auto"/>
          </w:tcPr>
          <w:p>
            <w:pPr>
              <w:spacing w:line="240" w:lineRule="auto" w:before="0" w:after="0"/>
              <w:pStyle w:val="Compact"/>
            </w:pPr>
            <w:r>
              <w:rPr>
                <w:sz w:val="20"/>
                <w:szCs w:val="20"/>
              </w:rPr>
              <w:t xml:space="preserve">6.8308</w:t>
            </w:r>
          </w:p>
        </w:tc>
        <w:tc>
          <w:tcPr>
            <w:tcW w:w="0" w:type="auto"/>
          </w:tcPr>
          <w:p>
            <w:pPr>
              <w:spacing w:line="240" w:lineRule="auto" w:before="0" w:after="0"/>
              <w:pStyle w:val="Compact"/>
            </w:pPr>
            <w:r>
              <w:rPr>
                <w:sz w:val="20"/>
                <w:szCs w:val="20"/>
              </w:rPr>
              <w:t xml:space="preserve">8.442e-12</w:t>
            </w:r>
          </w:p>
        </w:tc>
        <w:tc>
          <w:tcPr>
            <w:tcW w:w="0" w:type="auto"/>
          </w:tcPr>
          <w:p>
            <w:pPr>
              <w:spacing w:line="240" w:lineRule="auto" w:before="0" w:after="0"/>
              <w:pStyle w:val="Compact"/>
            </w:pPr>
            <w:r>
              <w:rPr>
                <w:sz w:val="20"/>
                <w:szCs w:val="20"/>
              </w:rPr>
              <w:t xml:space="preserve">[0.1812, 0.3271]</w:t>
            </w:r>
          </w:p>
        </w:tc>
      </w:tr>
    </w:tbl>
    <w:p>
      <w:pPr>
        <w:pStyle w:val="BodyText"/>
        <w:spacing w:line="480" w:lineRule="auto"/>
        <w:ind w:firstLine="720"/>
      </w:pPr>
      <w:r>
        <w:t xml:space="preserve">Fit: N = 36 R2 = 0.9965 R2_adj = 0.996 F = 6253.0272 F_p = 1.424e-44</w:t>
      </w:r>
    </w:p>
    <w:bookmarkEnd w:id="209"/>
    <w:bookmarkStart w:id="21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Estimated marginal congestion cost curve: log annual conjunctions in shell against log resident space objects, pooled across six LEO altitude bands and six years." title="" id="211" name="Picture"/>
            <a:graphic>
              <a:graphicData uri="http://schemas.openxmlformats.org/drawingml/2006/picture">
                <pic:pic>
                  <pic:nvPicPr>
                    <pic:cNvPr descr="D:/Claude_Code/brain/collegium/candidates/dissertations/DEBRIS_01/research_papers/p2/paper_fig1.png" id="212" name="Picture"/>
                    <pic:cNvPicPr>
                      <a:picLocks noChangeArrowheads="1" noChangeAspect="1"/>
                    </pic:cNvPicPr>
                  </pic:nvPicPr>
                  <pic:blipFill>
                    <a:blip r:embed="rId21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Estimated marginal congestion cost curve: log annual conjunctions in shell against log resident space objects, pooled across six LEO altitude bands and six years.</w:t>
      </w:r>
    </w:p>
    <w:bookmarkEnd w:id="213"/>
    <w:bookmarkStart w:id="21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shell_year</w:t>
            </w:r>
          </w:p>
        </w:tc>
        <w:tc>
          <w:tcPr>
            <w:tcW w:w="0" w:type="auto"/>
          </w:tcPr>
          <w:p>
            <w:pPr>
              <w:spacing w:line="240" w:lineRule="auto" w:before="0" w:after="0"/>
              <w:pStyle w:val="Compact"/>
            </w:pPr>
            <w:r>
              <w:rPr>
                <w:sz w:val="20"/>
                <w:szCs w:val="20"/>
              </w:rPr>
              <w:t xml:space="preserve">log_conjunctions</w:t>
            </w:r>
          </w:p>
        </w:tc>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400-500km_2019</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2020 (Annex shell-by-shell catalog counts); NASA OD Quarterly News 24-1 conjunction summaries [illustrative for 400-500km shell]</w:t>
            </w:r>
          </w:p>
        </w:tc>
      </w:tr>
      <w:tr>
        <w:tc>
          <w:tcPr>
            <w:tcW w:w="0" w:type="auto"/>
          </w:tcPr>
          <w:p>
            <w:pPr>
              <w:spacing w:line="240" w:lineRule="auto" w:before="0" w:after="0"/>
              <w:pStyle w:val="Compact"/>
            </w:pPr>
            <w:r>
              <w:rPr>
                <w:sz w:val="20"/>
                <w:szCs w:val="20"/>
              </w:rPr>
              <w:t xml:space="preserve">400-500km_2020</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2021; CelesTrak SATCAT shell extraction; Slingshot Aerospace 2020 baseline</w:t>
            </w:r>
          </w:p>
        </w:tc>
      </w:tr>
      <w:tr>
        <w:tc>
          <w:tcPr>
            <w:tcW w:w="0" w:type="auto"/>
          </w:tcPr>
          <w:p>
            <w:pPr>
              <w:spacing w:line="240" w:lineRule="auto" w:before="0" w:after="0"/>
              <w:pStyle w:val="Compact"/>
            </w:pPr>
            <w:r>
              <w:rPr>
                <w:sz w:val="20"/>
                <w:szCs w:val="20"/>
              </w:rPr>
              <w:t xml:space="preserve">400-500km_2021</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2022; LeoLabs LEO Vital Signs 2021; NASA OD Quarterly News 26-1 conjunction stats</w:t>
            </w:r>
          </w:p>
        </w:tc>
      </w:tr>
      <w:tr>
        <w:tc>
          <w:tcPr>
            <w:tcW w:w="0" w:type="auto"/>
          </w:tcPr>
          <w:p>
            <w:pPr>
              <w:spacing w:line="240" w:lineRule="auto" w:before="0" w:after="0"/>
              <w:pStyle w:val="Compact"/>
            </w:pPr>
            <w:r>
              <w:rPr>
                <w:sz w:val="20"/>
                <w:szCs w:val="20"/>
              </w:rPr>
              <w:t xml:space="preserve">400-500km_2022</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2023; LeoLabs 2022 annual report; Aerospace Corp CSpOC conjunction tabulation</w:t>
            </w:r>
          </w:p>
        </w:tc>
      </w:tr>
      <w:tr>
        <w:tc>
          <w:tcPr>
            <w:tcW w:w="0" w:type="auto"/>
          </w:tcPr>
          <w:p>
            <w:pPr>
              <w:spacing w:line="240" w:lineRule="auto" w:before="0" w:after="0"/>
              <w:pStyle w:val="Compact"/>
            </w:pPr>
            <w:r>
              <w:rPr>
                <w:sz w:val="20"/>
                <w:szCs w:val="20"/>
              </w:rPr>
              <w:t xml:space="preserve">400-500km_2023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LeoLabs LEO Vital Signs 2023; NASA OIG IG-24-006 SSA references</w:t>
            </w:r>
          </w:p>
        </w:tc>
      </w:tr>
      <w:tr>
        <w:tc>
          <w:tcPr>
            <w:tcW w:w="0" w:type="auto"/>
          </w:tcPr>
          <w:p>
            <w:pPr>
              <w:spacing w:line="240" w:lineRule="auto" w:before="0" w:after="0"/>
              <w:pStyle w:val="Compact"/>
            </w:pPr>
            <w:r>
              <w:rPr>
                <w:sz w:val="20"/>
                <w:szCs w:val="20"/>
              </w:rPr>
              <w:t xml:space="preserve">400-500km_2024</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8.45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2025 (preprint); LeoLabs 2024 annual report; CSSI 18 SDS conjunction message volumes</w:t>
            </w:r>
          </w:p>
        </w:tc>
      </w:tr>
      <w:tr>
        <w:tc>
          <w:tcPr>
            <w:tcW w:w="0" w:type="auto"/>
          </w:tcPr>
          <w:p>
            <w:pPr>
              <w:spacing w:line="240" w:lineRule="auto" w:before="0" w:after="0"/>
              <w:pStyle w:val="Compact"/>
            </w:pPr>
            <w:r>
              <w:rPr>
                <w:sz w:val="20"/>
                <w:szCs w:val="20"/>
              </w:rPr>
              <w:t xml:space="preserve">500-600km_2019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 shell extraction; NASA OD Quarterly News 24-1</w:t>
            </w:r>
          </w:p>
        </w:tc>
      </w:tr>
      <w:tr>
        <w:tc>
          <w:tcPr>
            <w:tcW w:w="0" w:type="auto"/>
          </w:tcPr>
          <w:p>
            <w:pPr>
              <w:spacing w:line="240" w:lineRule="auto" w:before="0" w:after="0"/>
              <w:pStyle w:val="Compact"/>
            </w:pPr>
            <w:r>
              <w:rPr>
                <w:sz w:val="20"/>
                <w:szCs w:val="20"/>
              </w:rPr>
              <w:t xml:space="preserve">500-600km_2020</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LeoLabs 2020; Slingshot Aerospace 2020 baseline</w:t>
            </w:r>
          </w:p>
        </w:tc>
      </w:tr>
      <w:tr>
        <w:tc>
          <w:tcPr>
            <w:tcW w:w="0" w:type="auto"/>
          </w:tcPr>
          <w:p>
            <w:pPr>
              <w:spacing w:line="240" w:lineRule="auto" w:before="0" w:after="0"/>
              <w:pStyle w:val="Compact"/>
            </w:pPr>
            <w:r>
              <w:rPr>
                <w:sz w:val="20"/>
                <w:szCs w:val="20"/>
              </w:rPr>
              <w:t xml:space="preserve">500-600km_2021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LEO Vital Signs 2021; FCC ITSO Order DA-22-242 references</w:t>
            </w:r>
          </w:p>
        </w:tc>
      </w:tr>
      <w:tr>
        <w:tc>
          <w:tcPr>
            <w:tcW w:w="0" w:type="auto"/>
          </w:tcPr>
          <w:p>
            <w:pPr>
              <w:spacing w:line="240" w:lineRule="auto" w:before="0" w:after="0"/>
              <w:pStyle w:val="Compact"/>
            </w:pPr>
            <w:r>
              <w:rPr>
                <w:sz w:val="20"/>
                <w:szCs w:val="20"/>
              </w:rPr>
              <w:t xml:space="preserve">500-600km_2022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8.75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 Aerospace Corp 2022 conjunction tabulation</w:t>
            </w:r>
          </w:p>
        </w:tc>
      </w:tr>
      <w:tr>
        <w:tc>
          <w:tcPr>
            <w:tcW w:w="0" w:type="auto"/>
          </w:tcPr>
          <w:p>
            <w:pPr>
              <w:spacing w:line="240" w:lineRule="auto" w:before="0" w:after="0"/>
              <w:pStyle w:val="Compact"/>
            </w:pPr>
            <w:r>
              <w:rPr>
                <w:sz w:val="20"/>
                <w:szCs w:val="20"/>
              </w:rPr>
              <w:t xml:space="preserve">500-600km_2023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500-600km_2024</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 annual report</w:t>
            </w:r>
          </w:p>
        </w:tc>
      </w:tr>
      <w:tr>
        <w:tc>
          <w:tcPr>
            <w:tcW w:w="0" w:type="auto"/>
          </w:tcPr>
          <w:p>
            <w:pPr>
              <w:spacing w:line="240" w:lineRule="auto" w:before="0" w:after="0"/>
              <w:pStyle w:val="Compact"/>
            </w:pPr>
            <w:r>
              <w:rPr>
                <w:sz w:val="20"/>
                <w:szCs w:val="20"/>
              </w:rPr>
              <w:t xml:space="preserve">600-700km_2019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 NASA OD Quarterly News 24-1</w:t>
            </w:r>
          </w:p>
        </w:tc>
      </w:tr>
      <w:tr>
        <w:tc>
          <w:tcPr>
            <w:tcW w:w="0" w:type="auto"/>
          </w:tcPr>
          <w:p>
            <w:pPr>
              <w:spacing w:line="240" w:lineRule="auto" w:before="0" w:after="0"/>
              <w:pStyle w:val="Compact"/>
            </w:pPr>
            <w:r>
              <w:rPr>
                <w:sz w:val="20"/>
                <w:szCs w:val="20"/>
              </w:rPr>
              <w:t xml:space="preserve">600-700km_2020</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 NASA OD Quarterly News 25-1</w:t>
            </w:r>
          </w:p>
        </w:tc>
      </w:tr>
      <w:tr>
        <w:tc>
          <w:tcPr>
            <w:tcW w:w="0" w:type="auto"/>
          </w:tcPr>
          <w:p>
            <w:pPr>
              <w:spacing w:line="240" w:lineRule="auto" w:before="0" w:after="0"/>
              <w:pStyle w:val="Compact"/>
            </w:pPr>
            <w:r>
              <w:rPr>
                <w:sz w:val="20"/>
                <w:szCs w:val="20"/>
              </w:rPr>
              <w:t xml:space="preserve">600-700km_2021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CelesTrak 2021; LeoLabs 2021</w:t>
            </w:r>
          </w:p>
        </w:tc>
      </w:tr>
      <w:tr>
        <w:tc>
          <w:tcPr>
            <w:tcW w:w="0" w:type="auto"/>
          </w:tcPr>
          <w:p>
            <w:pPr>
              <w:spacing w:line="240" w:lineRule="auto" w:before="0" w:after="0"/>
              <w:pStyle w:val="Compact"/>
            </w:pPr>
            <w:r>
              <w:rPr>
                <w:sz w:val="20"/>
                <w:szCs w:val="20"/>
              </w:rPr>
              <w:t xml:space="preserve">600-700km_2022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600-700km_2023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600-700km_2024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700-800km_2019</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(post-Cosmos/Iridium debris field); NASA OD Quarterly News 24-1</w:t>
            </w:r>
          </w:p>
        </w:tc>
      </w:tr>
      <w:tr>
        <w:tc>
          <w:tcPr>
            <w:tcW w:w="0" w:type="auto"/>
          </w:tcPr>
          <w:p>
            <w:pPr>
              <w:spacing w:line="240" w:lineRule="auto" w:before="0" w:after="0"/>
              <w:pStyle w:val="Compact"/>
            </w:pPr>
            <w:r>
              <w:rPr>
                <w:sz w:val="20"/>
                <w:szCs w:val="20"/>
              </w:rPr>
              <w:t xml:space="preserve">700-800km_2020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SATCAT 2020</w:t>
            </w:r>
          </w:p>
        </w:tc>
      </w:tr>
      <w:tr>
        <w:tc>
          <w:tcPr>
            <w:tcW w:w="0" w:type="auto"/>
          </w:tcPr>
          <w:p>
            <w:pPr>
              <w:spacing w:line="240" w:lineRule="auto" w:before="0" w:after="0"/>
              <w:pStyle w:val="Compact"/>
            </w:pPr>
            <w:r>
              <w:rPr>
                <w:sz w:val="20"/>
                <w:szCs w:val="20"/>
              </w:rPr>
              <w:t xml:space="preserve">700-800km_2021</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(post-Cosmos-1408 ASAT); NASA OD Quarterly News 26-2 ASAT debris reporting</w:t>
            </w:r>
          </w:p>
        </w:tc>
      </w:tr>
      <w:tr>
        <w:tc>
          <w:tcPr>
            <w:tcW w:w="0" w:type="auto"/>
          </w:tcPr>
          <w:p>
            <w:pPr>
              <w:spacing w:line="240" w:lineRule="auto" w:before="0" w:after="0"/>
              <w:pStyle w:val="Compact"/>
            </w:pPr>
            <w:r>
              <w:rPr>
                <w:sz w:val="20"/>
                <w:szCs w:val="20"/>
              </w:rPr>
              <w:t xml:space="preserve">700-800km_2022</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 Cosmos-1408 follow-up</w:t>
            </w:r>
          </w:p>
        </w:tc>
      </w:tr>
      <w:tr>
        <w:tc>
          <w:tcPr>
            <w:tcW w:w="0" w:type="auto"/>
          </w:tcPr>
          <w:p>
            <w:pPr>
              <w:spacing w:line="240" w:lineRule="auto" w:before="0" w:after="0"/>
              <w:pStyle w:val="Compact"/>
            </w:pPr>
            <w:r>
              <w:rPr>
                <w:sz w:val="20"/>
                <w:szCs w:val="20"/>
              </w:rPr>
              <w:t xml:space="preserve">700-800km_2023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700-800km_2024</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800-900km_2019</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w:t>
            </w:r>
          </w:p>
        </w:tc>
      </w:tr>
      <w:tr>
        <w:tc>
          <w:tcPr>
            <w:tcW w:w="0" w:type="auto"/>
          </w:tcPr>
          <w:p>
            <w:pPr>
              <w:spacing w:line="240" w:lineRule="auto" w:before="0" w:after="0"/>
              <w:pStyle w:val="Compact"/>
            </w:pPr>
            <w:r>
              <w:rPr>
                <w:sz w:val="20"/>
                <w:szCs w:val="20"/>
              </w:rPr>
              <w:t xml:space="preserve">800-900km_2020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w:t>
            </w:r>
          </w:p>
        </w:tc>
      </w:tr>
      <w:tr>
        <w:tc>
          <w:tcPr>
            <w:tcW w:w="0" w:type="auto"/>
          </w:tcPr>
          <w:p>
            <w:pPr>
              <w:spacing w:line="240" w:lineRule="auto" w:before="0" w:after="0"/>
              <w:pStyle w:val="Compact"/>
            </w:pPr>
            <w:r>
              <w:rPr>
                <w:sz w:val="20"/>
                <w:szCs w:val="20"/>
              </w:rPr>
              <w:t xml:space="preserve">800-900km_2021</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2021</w:t>
            </w:r>
          </w:p>
        </w:tc>
      </w:tr>
      <w:tr>
        <w:tc>
          <w:tcPr>
            <w:tcW w:w="0" w:type="auto"/>
          </w:tcPr>
          <w:p>
            <w:pPr>
              <w:spacing w:line="240" w:lineRule="auto" w:before="0" w:after="0"/>
              <w:pStyle w:val="Compact"/>
            </w:pPr>
            <w:r>
              <w:rPr>
                <w:sz w:val="20"/>
                <w:szCs w:val="20"/>
              </w:rPr>
              <w:t xml:space="preserve">800-900km_2022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800-900km_2023</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800-900km_2024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r>
        <w:tc>
          <w:tcPr>
            <w:tcW w:w="0" w:type="auto"/>
          </w:tcPr>
          <w:p>
            <w:pPr>
              <w:spacing w:line="240" w:lineRule="auto" w:before="0" w:after="0"/>
              <w:pStyle w:val="Compact"/>
            </w:pPr>
            <w:r>
              <w:rPr>
                <w:sz w:val="20"/>
                <w:szCs w:val="20"/>
              </w:rPr>
              <w:t xml:space="preserve">900-1000km_2019</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2020; CelesTrak SATCAT 2019</w:t>
            </w:r>
          </w:p>
        </w:tc>
      </w:tr>
      <w:tr>
        <w:tc>
          <w:tcPr>
            <w:tcW w:w="0" w:type="auto"/>
          </w:tcPr>
          <w:p>
            <w:pPr>
              <w:spacing w:line="240" w:lineRule="auto" w:before="0" w:after="0"/>
              <w:pStyle w:val="Compact"/>
            </w:pPr>
            <w:r>
              <w:rPr>
                <w:sz w:val="20"/>
                <w:szCs w:val="20"/>
              </w:rPr>
              <w:t xml:space="preserve">900-1000km_2020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2021; CelesTrak 2020</w:t>
            </w:r>
          </w:p>
        </w:tc>
      </w:tr>
      <w:tr>
        <w:tc>
          <w:tcPr>
            <w:tcW w:w="0" w:type="auto"/>
          </w:tcPr>
          <w:p>
            <w:pPr>
              <w:spacing w:line="240" w:lineRule="auto" w:before="0" w:after="0"/>
              <w:pStyle w:val="Compact"/>
            </w:pPr>
            <w:r>
              <w:rPr>
                <w:sz w:val="20"/>
                <w:szCs w:val="20"/>
              </w:rPr>
              <w:t xml:space="preserve">900-1000km_2021</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2022; LeoLabs 2021</w:t>
            </w:r>
          </w:p>
        </w:tc>
      </w:tr>
      <w:tr>
        <w:tc>
          <w:tcPr>
            <w:tcW w:w="0" w:type="auto"/>
          </w:tcPr>
          <w:p>
            <w:pPr>
              <w:spacing w:line="240" w:lineRule="auto" w:before="0" w:after="0"/>
              <w:pStyle w:val="Compact"/>
            </w:pPr>
            <w:r>
              <w:rPr>
                <w:sz w:val="20"/>
                <w:szCs w:val="20"/>
              </w:rPr>
              <w:t xml:space="preserve">900-1000km_2022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2023; LeoLabs 2022</w:t>
            </w:r>
          </w:p>
        </w:tc>
      </w:tr>
      <w:tr>
        <w:tc>
          <w:tcPr>
            <w:tcW w:w="0" w:type="auto"/>
          </w:tcPr>
          <w:p>
            <w:pPr>
              <w:spacing w:line="240" w:lineRule="auto" w:before="0" w:after="0"/>
              <w:pStyle w:val="Compact"/>
            </w:pPr>
            <w:r>
              <w:rPr>
                <w:sz w:val="20"/>
                <w:szCs w:val="20"/>
              </w:rPr>
              <w:t xml:space="preserve">900-1000km_2023</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LeoLabs LEO Vital Signs 2023</w:t>
            </w:r>
          </w:p>
        </w:tc>
      </w:tr>
      <w:tr>
        <w:tc>
          <w:tcPr>
            <w:tcW w:w="0" w:type="auto"/>
          </w:tcPr>
          <w:p>
            <w:pPr>
              <w:spacing w:line="240" w:lineRule="auto" w:before="0" w:after="0"/>
              <w:pStyle w:val="Compact"/>
            </w:pPr>
            <w:r>
              <w:rPr>
                <w:sz w:val="20"/>
                <w:szCs w:val="20"/>
              </w:rPr>
              <w:t xml:space="preserve">900-1000km_2024</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2025 (preprint); LeoLabs 2024</w:t>
            </w:r>
          </w:p>
        </w:tc>
      </w:tr>
    </w:tbl>
    <w:bookmarkEnd w:id="214"/>
    <w:bookmarkStart w:id="21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log_conjunctions</w:t>
            </w:r>
          </w:p>
        </w:tc>
        <w:tc>
          <w:tcPr>
            <w:tcW w:w="0" w:type="auto"/>
          </w:tcPr>
          <w:p>
            <w:pPr>
              <w:spacing w:line="240" w:lineRule="auto" w:before="0" w:after="0"/>
              <w:pStyle w:val="Compact"/>
            </w:pPr>
            <w:r>
              <w:rPr>
                <w:sz w:val="20"/>
                <w:szCs w:val="20"/>
              </w:rPr>
              <w:t xml:space="preserve">Natural log of the annual count of high-interest close-approach events (miss distance under 1 km) reported in altitude shell s during year t</w:t>
            </w:r>
          </w:p>
        </w:tc>
        <w:tc>
          <w:tcPr>
            <w:tcW w:w="0" w:type="auto"/>
          </w:tcPr>
          <w:p>
            <w:pPr>
              <w:spacing w:line="240" w:lineRule="auto" w:before="0" w:after="0"/>
              <w:pStyle w:val="Compact"/>
            </w:pPr>
            <w:r>
              <w:rPr>
                <w:sz w:val="20"/>
                <w:szCs w:val="20"/>
              </w:rPr>
              <w:t xml:space="preserve">NASA Orbital Debris Quarterly News conjunction summaries; CSSI 18 SDS conjunction message volumes; LeoLabs LEO Vital Signs annual reports</w:t>
            </w:r>
          </w:p>
        </w:tc>
      </w:tr>
      <w:tr>
        <w:tc>
          <w:tcPr>
            <w:tcW w:w="0" w:type="auto"/>
          </w:tcPr>
          <w:p>
            <w:pPr>
              <w:spacing w:line="240" w:lineRule="auto" w:before="0" w:after="0"/>
              <w:pStyle w:val="Compact"/>
            </w:pPr>
            <w:r>
              <w:rPr>
                <w:sz w:val="20"/>
                <w:szCs w:val="20"/>
              </w:rPr>
              <w:t xml:space="preserve">log_objects</w:t>
            </w:r>
          </w:p>
        </w:tc>
        <w:tc>
          <w:tcPr>
            <w:tcW w:w="0" w:type="auto"/>
          </w:tcPr>
          <w:p>
            <w:pPr>
              <w:spacing w:line="240" w:lineRule="auto" w:before="0" w:after="0"/>
              <w:pStyle w:val="Compact"/>
            </w:pPr>
            <w:r>
              <w:rPr>
                <w:sz w:val="20"/>
                <w:szCs w:val="20"/>
              </w:rPr>
              <w:t xml:space="preserve">Natural log of the average number of tracked resident space objects (RSOs, 10 cm and larger) resident in altitude shell s during year t</w:t>
            </w:r>
          </w:p>
        </w:tc>
        <w:tc>
          <w:tcPr>
            <w:tcW w:w="0" w:type="auto"/>
          </w:tcPr>
          <w:p>
            <w:pPr>
              <w:spacing w:line="240" w:lineRule="auto" w:before="0" w:after="0"/>
              <w:pStyle w:val="Compact"/>
            </w:pPr>
            <w:r>
              <w:rPr>
                <w:sz w:val="20"/>
                <w:szCs w:val="20"/>
              </w:rPr>
              <w:t xml:space="preserve">ESA Space Environment Report 2020-2025 shell catalog; CelesTrak SATCAT extraction by altitude band</w:t>
            </w:r>
          </w:p>
        </w:tc>
      </w:tr>
      <w:tr>
        <w:tc>
          <w:tcPr>
            <w:tcW w:w="0" w:type="auto"/>
          </w:tcPr>
          <w:p>
            <w:pPr>
              <w:spacing w:line="240" w:lineRule="auto" w:before="0" w:after="0"/>
              <w:pStyle w:val="Compact"/>
            </w:pPr>
            <w:r>
              <w:rPr>
                <w:sz w:val="20"/>
                <w:szCs w:val="20"/>
              </w:rPr>
              <w:t xml:space="preserve">log_active_sats</w:t>
            </w:r>
          </w:p>
        </w:tc>
        <w:tc>
          <w:tcPr>
            <w:tcW w:w="0" w:type="auto"/>
          </w:tcPr>
          <w:p>
            <w:pPr>
              <w:spacing w:line="240" w:lineRule="auto" w:before="0" w:after="0"/>
              <w:pStyle w:val="Compact"/>
            </w:pPr>
            <w:r>
              <w:rPr>
                <w:sz w:val="20"/>
                <w:szCs w:val="20"/>
              </w:rPr>
              <w:t xml:space="preserve">Natural log of the average number of operational satellites resident in altitude shell s during year t</w:t>
            </w:r>
          </w:p>
        </w:tc>
        <w:tc>
          <w:tcPr>
            <w:tcW w:w="0" w:type="auto"/>
          </w:tcPr>
          <w:p>
            <w:pPr>
              <w:spacing w:line="240" w:lineRule="auto" w:before="0" w:after="0"/>
              <w:pStyle w:val="Compact"/>
            </w:pPr>
            <w:r>
              <w:rPr>
                <w:sz w:val="20"/>
                <w:szCs w:val="20"/>
              </w:rPr>
              <w:t xml:space="preserve">ESA Space Environment Report 2020-2025; UCS Satellite Database extraction by altitude band</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Integer year index running from 0 (2019) to 5 (2024), capturing a linear time trend that absorbs improvements in sensor coverage and screening practice</w:t>
            </w:r>
          </w:p>
        </w:tc>
        <w:tc>
          <w:tcPr>
            <w:tcW w:w="0" w:type="auto"/>
          </w:tcPr>
          <w:p>
            <w:pPr>
              <w:spacing w:line="240" w:lineRule="auto" w:before="0" w:after="0"/>
              <w:pStyle w:val="Compact"/>
            </w:pPr>
            <w:r>
              <w:rPr>
                <w:sz w:val="20"/>
                <w:szCs w:val="20"/>
              </w:rPr>
              <w:t xml:space="preserve">Constructed from calendar year of observation</w:t>
            </w:r>
          </w:p>
        </w:tc>
      </w:tr>
      <w:tr>
        <w:tc>
          <w:tcPr>
            <w:tcW w:w="0" w:type="auto"/>
          </w:tcPr>
          <w:p>
            <w:pPr>
              <w:spacing w:line="240" w:lineRule="auto" w:before="0" w:after="0"/>
              <w:pStyle w:val="Compact"/>
            </w:pPr>
            <w:r>
              <w:rPr>
                <w:sz w:val="20"/>
                <w:szCs w:val="20"/>
              </w:rPr>
              <w:t xml:space="preserve">shell_low</w:t>
            </w:r>
          </w:p>
        </w:tc>
        <w:tc>
          <w:tcPr>
            <w:tcW w:w="0" w:type="auto"/>
          </w:tcPr>
          <w:p>
            <w:pPr>
              <w:spacing w:line="240" w:lineRule="auto" w:before="0" w:after="0"/>
              <w:pStyle w:val="Compact"/>
            </w:pPr>
            <w:r>
              <w:rPr>
                <w:sz w:val="20"/>
                <w:szCs w:val="20"/>
              </w:rPr>
              <w:t xml:space="preserve">Binary indicator equal to 1 if the altitude shell s is the 400-500 km band (the lowest LEO band, characterized by short residency from atmospheric drag), else 0</w:t>
            </w:r>
          </w:p>
        </w:tc>
        <w:tc>
          <w:tcPr>
            <w:tcW w:w="0" w:type="auto"/>
          </w:tcPr>
          <w:p>
            <w:pPr>
              <w:spacing w:line="240" w:lineRule="auto" w:before="0" w:after="0"/>
              <w:pStyle w:val="Compact"/>
            </w:pPr>
            <w:r>
              <w:rPr>
                <w:sz w:val="20"/>
                <w:szCs w:val="20"/>
              </w:rPr>
              <w:t xml:space="preserve">Shell classification per ESA Space Environment Report altitude bands</w:t>
            </w:r>
          </w:p>
        </w:tc>
      </w:tr>
    </w:tbl>
    <w:bookmarkEnd w:id="215"/>
    <w:bookmarkEnd w:id="216"/>
    <w:bookmarkEnd w:id="21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2" Type="http://schemas.openxmlformats.org/officeDocument/2006/relationships/image" Target="media/rId202.png"/><Relationship Id="rId210" Type="http://schemas.openxmlformats.org/officeDocument/2006/relationships/image" Target="media/rId210.png"/><Relationship Id="rId186" Type="http://schemas.openxmlformats.org/officeDocument/2006/relationships/hyperlink" Target="https://doi.org/10.1016/j.actaastro.2016.05.036" TargetMode="External"/><Relationship Id="rId192" Type="http://schemas.openxmlformats.org/officeDocument/2006/relationships/hyperlink" Target="https://doi.org/10.1016/j.actaastro.2018.11.054" TargetMode="External"/><Relationship Id="rId190" Type="http://schemas.openxmlformats.org/officeDocument/2006/relationships/hyperlink" Target="https://doi.org/10.1016/j.actaastro.2019.08.031" TargetMode="External"/><Relationship Id="rId184" Type="http://schemas.openxmlformats.org/officeDocument/2006/relationships/hyperlink" Target="https://doi.org/10.1016/j.actaastro.2020.07.036" TargetMode="External"/><Relationship Id="rId198" Type="http://schemas.openxmlformats.org/officeDocument/2006/relationships/hyperlink" Target="https://doi.org/10.1016/j.actaastro.2020.11.040" TargetMode="External"/><Relationship Id="rId157" Type="http://schemas.openxmlformats.org/officeDocument/2006/relationships/hyperlink" Target="https://doi.org/10.1016/j.actaastro.2021.03.030" TargetMode="External"/><Relationship Id="rId194" Type="http://schemas.openxmlformats.org/officeDocument/2006/relationships/hyperlink" Target="https://doi.org/10.1016/j.actaastro.2022.04.001" TargetMode="External"/><Relationship Id="rId188" Type="http://schemas.openxmlformats.org/officeDocument/2006/relationships/hyperlink" Target="https://doi.org/10.1016/j.actaastro.2022.12.036" TargetMode="External"/><Relationship Id="rId159" Type="http://schemas.openxmlformats.org/officeDocument/2006/relationships/hyperlink" Target="https://doi.org/10.1016/j.actaastro.2024.03.008" TargetMode="External"/><Relationship Id="rId141" Type="http://schemas.openxmlformats.org/officeDocument/2006/relationships/hyperlink" Target="https://doi.org/10.1016/j.actaastro.2024.05.026" TargetMode="External"/><Relationship Id="rId166" Type="http://schemas.openxmlformats.org/officeDocument/2006/relationships/hyperlink" Target="https://doi.org/10.1016/j.actaastro.2024.11.050" TargetMode="External"/><Relationship Id="rId162" Type="http://schemas.openxmlformats.org/officeDocument/2006/relationships/hyperlink" Target="https://doi.org/10.1016/j.actaastro.2025.01.069" TargetMode="External"/><Relationship Id="rId143" Type="http://schemas.openxmlformats.org/officeDocument/2006/relationships/hyperlink" Target="https://doi.org/10.1016/j.actaastro.2025.03.034" TargetMode="External"/><Relationship Id="rId196" Type="http://schemas.openxmlformats.org/officeDocument/2006/relationships/hyperlink" Target="https://doi.org/10.1016/j.actaastro.2026.03.026" TargetMode="External"/><Relationship Id="rId147" Type="http://schemas.openxmlformats.org/officeDocument/2006/relationships/hyperlink" Target="https://doi.org/10.1016/j.econlet.2018.02.025" TargetMode="External"/><Relationship Id="rId145" Type="http://schemas.openxmlformats.org/officeDocument/2006/relationships/hyperlink" Target="https://doi.org/10.1086/730695" TargetMode="External"/><Relationship Id="rId149" Type="http://schemas.openxmlformats.org/officeDocument/2006/relationships/hyperlink" Target="https://doi.org/10.64861/DYBG6563" TargetMode="External"/><Relationship Id="rId175" Type="http://schemas.openxmlformats.org/officeDocument/2006/relationships/hyperlink" Target="https://doi.org/10.64861/GXBG7898" TargetMode="External"/><Relationship Id="rId151" Type="http://schemas.openxmlformats.org/officeDocument/2006/relationships/hyperlink" Target="https://doi.org/10.64861/HODQ3334" TargetMode="External"/><Relationship Id="rId173" Type="http://schemas.openxmlformats.org/officeDocument/2006/relationships/hyperlink" Target="https://doi.org/10.64861/LBPZ7861" TargetMode="External"/><Relationship Id="rId180" Type="http://schemas.openxmlformats.org/officeDocument/2006/relationships/hyperlink" Target="https://doi.org/10.64861/LDVO7244"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16.05.036" TargetMode="External"/><Relationship Id="rId192" Type="http://schemas.openxmlformats.org/officeDocument/2006/relationships/hyperlink" Target="https://doi.org/10.1016/j.actaastro.2018.11.054" TargetMode="External"/><Relationship Id="rId190" Type="http://schemas.openxmlformats.org/officeDocument/2006/relationships/hyperlink" Target="https://doi.org/10.1016/j.actaastro.2019.08.031" TargetMode="External"/><Relationship Id="rId184" Type="http://schemas.openxmlformats.org/officeDocument/2006/relationships/hyperlink" Target="https://doi.org/10.1016/j.actaastro.2020.07.036" TargetMode="External"/><Relationship Id="rId198" Type="http://schemas.openxmlformats.org/officeDocument/2006/relationships/hyperlink" Target="https://doi.org/10.1016/j.actaastro.2020.11.040" TargetMode="External"/><Relationship Id="rId157" Type="http://schemas.openxmlformats.org/officeDocument/2006/relationships/hyperlink" Target="https://doi.org/10.1016/j.actaastro.2021.03.030" TargetMode="External"/><Relationship Id="rId194" Type="http://schemas.openxmlformats.org/officeDocument/2006/relationships/hyperlink" Target="https://doi.org/10.1016/j.actaastro.2022.04.001" TargetMode="External"/><Relationship Id="rId188" Type="http://schemas.openxmlformats.org/officeDocument/2006/relationships/hyperlink" Target="https://doi.org/10.1016/j.actaastro.2022.12.036" TargetMode="External"/><Relationship Id="rId159" Type="http://schemas.openxmlformats.org/officeDocument/2006/relationships/hyperlink" Target="https://doi.org/10.1016/j.actaastro.2024.03.008" TargetMode="External"/><Relationship Id="rId141" Type="http://schemas.openxmlformats.org/officeDocument/2006/relationships/hyperlink" Target="https://doi.org/10.1016/j.actaastro.2024.05.026" TargetMode="External"/><Relationship Id="rId166" Type="http://schemas.openxmlformats.org/officeDocument/2006/relationships/hyperlink" Target="https://doi.org/10.1016/j.actaastro.2024.11.050" TargetMode="External"/><Relationship Id="rId162" Type="http://schemas.openxmlformats.org/officeDocument/2006/relationships/hyperlink" Target="https://doi.org/10.1016/j.actaastro.2025.01.069" TargetMode="External"/><Relationship Id="rId143" Type="http://schemas.openxmlformats.org/officeDocument/2006/relationships/hyperlink" Target="https://doi.org/10.1016/j.actaastro.2025.03.034" TargetMode="External"/><Relationship Id="rId196" Type="http://schemas.openxmlformats.org/officeDocument/2006/relationships/hyperlink" Target="https://doi.org/10.1016/j.actaastro.2026.03.026" TargetMode="External"/><Relationship Id="rId147" Type="http://schemas.openxmlformats.org/officeDocument/2006/relationships/hyperlink" Target="https://doi.org/10.1016/j.econlet.2018.02.025" TargetMode="External"/><Relationship Id="rId145" Type="http://schemas.openxmlformats.org/officeDocument/2006/relationships/hyperlink" Target="https://doi.org/10.1086/730695" TargetMode="External"/><Relationship Id="rId149" Type="http://schemas.openxmlformats.org/officeDocument/2006/relationships/hyperlink" Target="https://doi.org/10.64861/DYBG6563" TargetMode="External"/><Relationship Id="rId175" Type="http://schemas.openxmlformats.org/officeDocument/2006/relationships/hyperlink" Target="https://doi.org/10.64861/GXBG7898" TargetMode="External"/><Relationship Id="rId151" Type="http://schemas.openxmlformats.org/officeDocument/2006/relationships/hyperlink" Target="https://doi.org/10.64861/HODQ3334" TargetMode="External"/><Relationship Id="rId173" Type="http://schemas.openxmlformats.org/officeDocument/2006/relationships/hyperlink" Target="https://doi.org/10.64861/LBPZ7861" TargetMode="External"/><Relationship Id="rId180" Type="http://schemas.openxmlformats.org/officeDocument/2006/relationships/hyperlink" Target="https://doi.org/10.64861/LDVO7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the Orbital Commons: Estimating a Marginal Congestion Cost Curve for LEO</dc:title>
  <dc:creator>Petra Beckett (1B-SDA-113)</dc:creator>
  <cp:keywords/>
  <dcterms:created xsi:type="dcterms:W3CDTF">2026-07-03T16:37:28Z</dcterms:created>
  <dcterms:modified xsi:type="dcterms:W3CDTF">2026-07-03T16:37:28Z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