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4.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92" w:name="X352bd66f59b231b5727fbf97c2d3d9a45cfe942"/>
    <w:p>
      <w:pPr>
        <w:pStyle w:val="Heading1"/>
      </w:pPr>
      <w:r>
        <w:t xml:space="preserve">How Long Until the Regulator Says Yes? A Cox Proportional-Hazards Analysis of Autonomy Provenance and Time-to-Authorization for U.S. Non-Geostationary Satellite Systems</w:t>
      </w:r>
    </w:p>
    <w:bookmarkStart w:id="61" w:name="introduction"/>
    <w:p>
      <w:pPr>
        <w:pStyle w:val="Heading2"/>
      </w:pPr>
      <w:r>
        <w:t xml:space="preserve">1. Introduction</w:t>
      </w:r>
    </w:p>
    <w:p>
      <w:pPr>
        <w:pStyle w:val="FirstParagraph"/>
      </w:pPr>
      <w:r>
        <w:t xml:space="preserve">A satellite system is not a legal object until a regulator authorizes it. For systems seeking United States market access, that authorization runs through the Federal Communications Commission, and the interval between filing an application and receiving a grant is one of the few governance quantities that is both consequential and cleanly observable. The interval determines when capital can deploy, when spectrum priority attaches, and when an operator’s planned constellation becomes a real fixture of the orbital environment. This paper treats that interval as a survival time and asks a question that the governance literature has gestured at but not measured: does the autonomy provenance of a satellite system, specifically whether its operating concept depends on large-scale machine-decided collision avoidance rather than human-supervised maneuvering, change how long the regulator takes to say yes.</w:t>
      </w:r>
    </w:p>
    <w:p>
      <w:pPr>
        <w:pStyle w:val="BodyText"/>
      </w:pPr>
      <w:r>
        <w:t xml:space="preserve">The question matters because the maneuver decision is migrating into software. On-board and distributed autonomy now executes the collision-avoidance function that regulators historically treated as the operator’s accountable act</w:t>
      </w:r>
      <w:r>
        <w:t xml:space="preserve"> </w:t>
      </w:r>
      <w:hyperlink w:anchor="ref-1">
        <m:oMathPara>
          <m:oMathParaPr>
            <m:jc m:val="center"/>
          </m:oMathParaPr>
          <m:oMath>
            <m:r>
              <m:t>1</m:t>
            </m:r>
          </m:oMath>
        </m:oMathPara>
      </w:hyperlink>
      <w:r>
        <w:t xml:space="preserve">[5], and reinforcement-learning schedulers are taking over the tasking decisions that surround it</w:t>
      </w:r>
      <w:r>
        <w:t xml:space="preserve"> </w:t>
      </w:r>
      <w:hyperlink w:anchor="ref-6">
        <m:oMathPara>
          <m:oMathParaPr>
            <m:jc m:val="center"/>
          </m:oMathParaPr>
          <m:oMath>
            <m:r>
              <m:t>6</m:t>
            </m:r>
          </m:oMath>
        </m:oMathPara>
      </w:hyperlink>
      <w:r>
        <w:t xml:space="preserve">. A regulator confronting a mega-constellation whose avoidance logic is autonomous and, in the learned case, not fully auditable, faces a different supervisory object than a regulator confronting a small human-supervised system. If that difference shows up in the time-to-authorization record, then the licensing apparatus is already conditioning on autonomy provenance even though no rule names it. If it does not show up, the governance concern about provenance is, at least at the licensing stage, misplaced, and attention belongs elsewhere.</w:t>
      </w:r>
    </w:p>
    <w:p>
      <w:pPr>
        <w:pStyle w:val="FirstParagraph"/>
      </w:pPr>
      <w:r>
        <w:t xml:space="preserve">This paper estimates the relationship directly with a Cox proportional-hazards model on a hand-assembled record of twenty-four United States non-geostationary and supplemental-coverage satellite-system authorizations. The contribution is one estimated hazard ratio for autonomy provenance, reported with its standard error and confidence interval, and one finding that is sharper than the hypothesis that motivated it.</w:t>
      </w:r>
    </w:p>
    <w:bookmarkEnd w:id="61"/>
    <w:bookmarkStart w:id="62" w:name="theory-and-hypotheses"/>
    <w:p>
      <w:pPr>
        <w:pStyle w:val="Heading2"/>
      </w:pPr>
      <w:r>
        <w:t xml:space="preserve">2. Theory and Hypotheses</w:t>
      </w:r>
    </w:p>
    <w:p>
      <w:pPr>
        <w:pStyle w:val="FirstParagraph"/>
      </w:pPr>
      <w:r>
        <w:t xml:space="preserve">Two bodies of work bear on the licensing interval, and they do not communicate. The technical literature builds the autonomy that now selects and executes avoidance maneuvers, ranging from auditable model-based reasoners</w:t>
      </w:r>
      <w:r>
        <w:t xml:space="preserve"> </w:t>
      </w:r>
      <w:hyperlink w:anchor="ref-3">
        <m:oMathPara>
          <m:oMathParaPr>
            <m:jc m:val="center"/>
          </m:oMathParaPr>
          <m:oMath>
            <m:r>
              <m:t>3</m:t>
            </m:r>
          </m:oMath>
        </m:oMathPara>
      </w:hyperlink>
      <w:r>
        <w:t xml:space="preserve"> </w:t>
      </w:r>
      <w:r>
        <w:t xml:space="preserve">to mission-level distributed autonomy on NASA’s Starling</w:t>
      </w:r>
      <w:r>
        <w:t xml:space="preserve"> </w:t>
      </w:r>
      <w:hyperlink w:anchor="ref-5">
        <m:oMathPara>
          <m:oMathParaPr>
            <m:jc m:val="center"/>
          </m:oMathParaPr>
          <m:oMath>
            <m:r>
              <m:t>5</m:t>
            </m:r>
          </m:oMath>
        </m:oMathPara>
      </w:hyperlink>
      <w:r>
        <w:t xml:space="preserve"> </w:t>
      </w:r>
      <w:r>
        <w:t xml:space="preserve">to learned schedulers</w:t>
      </w:r>
      <w:r>
        <w:t xml:space="preserve"> </w:t>
      </w:r>
      <w:hyperlink w:anchor="ref-6">
        <m:oMathPara>
          <m:oMathParaPr>
            <m:jc m:val="center"/>
          </m:oMathParaPr>
          <m:oMath>
            <m:r>
              <m:t>6</m:t>
            </m:r>
          </m:oMath>
        </m:oMathPara>
      </w:hyperlink>
      <w:r>
        <w:t xml:space="preserve">, and it optimizes the avoidance maneuver itself as an engineering object</w:t>
      </w:r>
      <w:r>
        <w:t xml:space="preserve"> </w:t>
      </w:r>
      <w:hyperlink w:anchor="ref-1">
        <m:oMathPara>
          <m:oMathParaPr>
            <m:jc m:val="center"/>
          </m:oMathParaPr>
          <m:oMath>
            <m:r>
              <m:t>1</m:t>
            </m:r>
          </m:oMath>
        </m:oMathPara>
      </w:hyperlink>
      <w:r>
        <w:t xml:space="preserve">. The institutional literature frames orbital crowding as a negative externality requiring governance traction</w:t>
      </w:r>
      <w:r>
        <w:t xml:space="preserve"> </w:t>
      </w:r>
      <w:hyperlink w:anchor="ref-8">
        <m:oMathPara>
          <m:oMathParaPr>
            <m:jc m:val="center"/>
          </m:oMathParaPr>
          <m:oMath>
            <m:r>
              <m:t>8</m:t>
            </m:r>
          </m:oMath>
        </m:oMathPara>
      </w:hyperlink>
      <w:r>
        <w:t xml:space="preserve">, designs space-traffic-management and capacity frameworks around human operators and national authorities</w:t>
      </w:r>
      <w:r>
        <w:t xml:space="preserve"> </w:t>
      </w:r>
      <w:hyperlink w:anchor="ref-7">
        <m:oMathPara>
          <m:oMathParaPr>
            <m:jc m:val="center"/>
          </m:oMathParaPr>
          <m:oMath>
            <m:r>
              <m:t>7</m:t>
            </m:r>
          </m:oMath>
        </m:oMathPara>
      </w:hyperlink>
      <w:r>
        <w:t xml:space="preserve">[10], and documents that registration and coordination practices are themselves straining under the scale of new systems</w:t>
      </w:r>
      <w:r>
        <w:t xml:space="preserve"> </w:t>
      </w:r>
      <w:hyperlink w:anchor="ref-2">
        <m:oMathPara>
          <m:oMathParaPr>
            <m:jc m:val="center"/>
          </m:oMathParaPr>
          <m:oMath>
            <m:r>
              <m:t>2</m:t>
            </m:r>
          </m:oMath>
        </m:oMathPara>
      </w:hyperlink>
      <w:r>
        <w:t xml:space="preserve">. Neither body measures whether the provenance of an autonomy stack changes the regulatory fate of the system that carries it.</w:t>
      </w:r>
    </w:p>
    <w:p>
      <w:pPr>
        <w:pStyle w:val="FirstParagraph"/>
      </w:pPr>
      <w:r>
        <w:t xml:space="preserve">The intuition that provenance should slow authorization rests on a supervisory-burden mechanism. A regulator can reconstruct and reason about a human-supervised maneuver concept more readily than an autonomous one, and an autonomous concept at mega-constellation scale forecloses per-event human review by design</w:t>
      </w:r>
      <w:r>
        <w:t xml:space="preserve"> </w:t>
      </w:r>
      <w:hyperlink w:anchor="ref-3">
        <m:oMathPara>
          <m:oMathParaPr>
            <m:jc m:val="center"/>
          </m:oMathParaPr>
          <m:oMath>
            <m:r>
              <m:t>3</m:t>
            </m:r>
          </m:oMath>
        </m:oMathPara>
      </w:hyperlink>
      <w:r>
        <w:t xml:space="preserve">[6]. If regulators internalize that burden, autonomy-intensive systems should clear more slowly, which in survival terms means a lower hazard of authorization at any given elapsed time.</w:t>
      </w:r>
    </w:p>
    <w:p>
      <w:pPr>
        <w:pStyle w:val="FirstParagraph"/>
      </w:pPr>
      <w:r>
        <w:rPr>
          <w:b/>
          <w:bCs/>
        </w:rPr>
        <w:t xml:space="preserve">H1.</w:t>
      </w:r>
      <w:r>
        <w:t xml:space="preserve"> </w:t>
      </w:r>
      <w:r>
        <w:t xml:space="preserve">Conditional on system size and processing-round status, autonomy-intensive systems experience a lower hazard of authorization, that is, a longer time-to-grant. The autonomy coefficient is negative and the hazard ratio is below one.</w:t>
      </w:r>
    </w:p>
    <w:p>
      <w:pPr>
        <w:pStyle w:val="BodyText"/>
      </w:pPr>
      <w:r>
        <w:rPr>
          <w:b/>
          <w:bCs/>
        </w:rPr>
        <w:t xml:space="preserve">H0.</w:t>
      </w:r>
      <w:r>
        <w:t xml:space="preserve"> </w:t>
      </w:r>
      <w:r>
        <w:t xml:space="preserve">Autonomy provenance has no association with the authorization hazard once size and processing-round status are controlled. The coefficient is statistically indistinguishable from zero.</w:t>
      </w:r>
    </w:p>
    <w:p>
      <w:pPr>
        <w:pStyle w:val="BodyText"/>
      </w:pPr>
      <w:r>
        <w:t xml:space="preserve">A competing account treats the licensing interval as driven not by the technology inside the system but by the coordination architecture around it. The Commission processes most large NGSO applications in competitive processing rounds with collective cut-off dates, which bind every applicant in a round to the slowest shared coordination step</w:t>
      </w:r>
      <w:r>
        <w:t xml:space="preserve"> </w:t>
      </w:r>
      <w:hyperlink w:anchor="ref-2">
        <m:oMathPara>
          <m:oMathParaPr>
            <m:jc m:val="center"/>
          </m:oMathParaPr>
          <m:oMath>
            <m:r>
              <m:t>2</m:t>
            </m:r>
          </m:oMath>
        </m:oMathPara>
      </w:hyperlink>
      <w:r>
        <w:t xml:space="preserve">[7]. Under this account, what predicts delay is procedural position, not autonomy provenance, and the policy concern about machine decision-making is orthogonal to the speed at which systems are approved.</w:t>
      </w:r>
    </w:p>
    <w:bookmarkEnd w:id="62"/>
    <w:bookmarkStart w:id="63" w:name="data"/>
    <w:p>
      <w:pPr>
        <w:pStyle w:val="Heading2"/>
      </w:pPr>
      <w:r>
        <w:t xml:space="preserve">3. Data</w:t>
      </w:r>
    </w:p>
    <w:p>
      <w:pPr>
        <w:pStyle w:val="FirstParagraph"/>
      </w:pPr>
      <w:r>
        <w:t xml:space="preserve">The unit of observation is a satellite-system authorization request filed with the FCC for a non-geostationary orbit (NGSO) or supplemental-coverage-from-space (SCS) system. I assembled twenty-four such requests from documented FCC orders, public notices, IBFS file records, and confirming trade-press coverage, spanning filings from 2010 through 2024 and grants from 2012 through 2026. Each row carries its own source citation in the data file, and every filing and grant date traces to a named FCC document or operator record.</w:t>
      </w:r>
    </w:p>
    <w:p>
      <w:pPr>
        <w:pStyle w:val="BodyText"/>
      </w:pPr>
      <w:r>
        <w:t xml:space="preserve">The survival time is</w:t>
      </w:r>
      <w:r>
        <w:t xml:space="preserve"> </w:t>
      </w:r>
      <w:r>
        <w:rPr>
          <w:rStyle w:val="VerbatimChar"/>
        </w:rPr>
        <w:t xml:space="preserve">duration_months</w:t>
      </w:r>
      <w:r>
        <w:t xml:space="preserve">, the interval from the application or petition filing date to the grant or market-access date. Seventeen of the twenty-four systems had been granted by the 2026-06-01 observation cutoff and enter as events; the remaining seven, filed mostly into the 2021 second processing round and still pending at cutoff, enter as right-censored observations measured from filing to cutoff. Treating pending systems as censored rather than dropping them is what makes the design a survival analysis rather than a regression on completed cases only, and it removes the bias that would follow from analyzing only the systems that happened to clear.</w:t>
      </w:r>
    </w:p>
    <w:p>
      <w:pPr>
        <w:pStyle w:val="BodyText"/>
      </w:pPr>
      <w:r>
        <w:t xml:space="preserve">The treatment,</w:t>
      </w:r>
      <w:r>
        <w:t xml:space="preserve"> </w:t>
      </w:r>
      <w:r>
        <w:rPr>
          <w:rStyle w:val="VerbatimChar"/>
        </w:rPr>
        <w:t xml:space="preserve">autonomy_intensive</w:t>
      </w:r>
      <w:r>
        <w:t xml:space="preserve">, is a binary provenance proxy coded one when a system’s documented operating concept depends on large-scale onboard or distributed autonomous collision avoidance and tasking, and coded zero when the system operates at a scale compatible with human-supervised maneuver decisions. The coding rubric draws the line at operational scale and concept: mega-constellations and direct-to-device SCS systems whose satellite counts preclude per-event human maneuver authoring are coded one, while smaller MSS and MEO systems that retain human-supervised avoidance are coded zero. Nine systems are coded autonomy-intensive and fifteen are not. Two controls accompany the treatment:</w:t>
      </w:r>
      <w:r>
        <w:t xml:space="preserve"> </w:t>
      </w:r>
      <w:r>
        <w:rPr>
          <w:rStyle w:val="VerbatimChar"/>
        </w:rPr>
        <w:t xml:space="preserve">log_satellites</w:t>
      </w:r>
      <w:r>
        <w:t xml:space="preserve">, the natural log of authorized or requested satellite count as a measure of system complexity, and</w:t>
      </w:r>
      <w:r>
        <w:t xml:space="preserve"> </w:t>
      </w:r>
      <w:r>
        <w:rPr>
          <w:rStyle w:val="VerbatimChar"/>
        </w:rPr>
        <w:t xml:space="preserve">processing_round</w:t>
      </w:r>
      <w:r>
        <w:t xml:space="preserve">, an indicator for filing into a competitive FCC NGSO processing round. A small number of legacy-system fields, fewer than one row in seven, carry an illustrative marker where an exact day-level date or a single satellite count was genuinely unobtainable; these are flagged in the source column and none affects the treatment coding.</w:t>
      </w:r>
    </w:p>
    <w:bookmarkEnd w:id="63"/>
    <w:bookmarkStart w:id="64" w:name="method"/>
    <w:p>
      <w:pPr>
        <w:pStyle w:val="Heading2"/>
      </w:pPr>
      <w:r>
        <w:t xml:space="preserve">4. Method</w:t>
      </w:r>
    </w:p>
    <w:p>
      <w:pPr>
        <w:pStyle w:val="FirstParagraph"/>
      </w:pPr>
      <w:r>
        <w:t xml:space="preserve">I estimate a Cox proportional-hazards model in which the hazard of authorization at elapsed time t depends on autonomy provenance and the two controls through a multiplicative, semiparametric specification. The Cox form is appropriate here for three reasons. It accommodates right-censoring directly, so the seven pending systems contribute the information that they had not been granted by a known elapsed time without forcing an imputed grant date. It leaves the baseline hazard unspecified, so the result does not depend on assuming a particular shape for how authorization probability evolves over the months of review. And it reports each covariate as a hazard ratio, the multiplicative change in the instantaneous probability of authorization, which is the natural quantity for a question about whether a system trait speeds or slows the regulator. The coefficient of interest is the one on</w:t>
      </w:r>
      <w:r>
        <w:t xml:space="preserve"> </w:t>
      </w:r>
      <w:r>
        <w:rPr>
          <w:rStyle w:val="VerbatimChar"/>
        </w:rPr>
        <w:t xml:space="preserve">autonomy_intensive</w:t>
      </w:r>
      <w:r>
        <w:t xml:space="preserve">; a hazard ratio below one would support H1, a ratio indistinguishable from one would support H0, and a ratio above one would indicate that autonomy-intensive systems clear faster, against the supervisory-burden intuition. The model is estimated by partial-likelihood maximization with Wald standard errors.</w:t>
      </w:r>
    </w:p>
    <w:bookmarkEnd w:id="64"/>
    <w:bookmarkStart w:id="65" w:name="findings"/>
    <w:p>
      <w:pPr>
        <w:pStyle w:val="Heading2"/>
      </w:pPr>
      <w:r>
        <w:t xml:space="preserve">5. Findings</w:t>
      </w:r>
    </w:p>
    <w:p>
      <w:pPr>
        <w:pStyle w:val="FirstParagraph"/>
      </w:pPr>
      <w:r>
        <w:t xml:space="preserve">The estimates do not support the supervisory-burden hypothesis, and they locate the binding constraint elsewhere. With twenty-four systems and seventeen events, the autonomy-provenance coefficient is positive, not negative: the point estimate is 0.745 with a standard error of 0.712 (z = 1.05, p = 0.295), a hazard ratio of 2.11 with a ninety-five percent confidence interval on the coefficient of -0.651 to 2.141. The sign runs opposite to H1. Taken at face value the point estimate says autonomy-intensive systems clear faster, not slower, but the confidence interval comfortably includes zero, so the honest reading is that the data do not reject H0: at conventional thresholds, autonomy provenance has no detectable association with the speed of authorization. The supervisory-burden mechanism, which predicted a hazard ratio below one, is not visible in the licensing record. System complexity behaves the same way. The coefficient on log satellites is 0.072 with a standard error of 0.176 (p = 0.680, hazard ratio 1.08), statistically indistinguishable from zero; larger systems are not authorized at a detectably different rate once procedural position is held fixed.</w:t>
      </w:r>
    </w:p>
    <w:p>
      <w:pPr>
        <w:pStyle w:val="BodyText"/>
      </w:pPr>
      <w:r>
        <w:t xml:space="preserve">The procedural variable is where the signal concentrates. Filing into a competitive processing round carries a coefficient of -2.308 with a standard error of 0.873 (z = -2.64, p = 0.008), a hazard ratio of 0.099. The instantaneous probability of authorization for a system in a competitive round is on the order of one-tenth that of an otherwise comparable standalone filing, and this is the only coefficient in the model that clears significance. The estimate is consistent with the coordination account: what governs the licensing clock is the shared cut-off architecture that binds every applicant in a round to a collective coordination step</w:t>
      </w:r>
      <w:r>
        <w:t xml:space="preserve"> </w:t>
      </w:r>
      <w:hyperlink w:anchor="ref-2">
        <m:oMathPara>
          <m:oMathParaPr>
            <m:jc m:val="center"/>
          </m:oMathParaPr>
          <m:oMath>
            <m:r>
              <m:t>2</m:t>
            </m:r>
          </m:oMath>
        </m:oMathPara>
      </w:hyperlink>
      <w:r>
        <w:t xml:space="preserve">[7], not the technology inside any one system. The two genuinely autonomy-intensive systems that cleared quickly, both early standalone or streamlined filings, and the slow standalone Boeing and AST grants illustrate that the autonomy distinction does not sort the durations the way procedural position does.</w:t>
      </w:r>
    </w:p>
    <w:p>
      <w:pPr>
        <w:pStyle w:val="FirstParagraph"/>
      </w:pPr>
      <w:r>
        <w:t xml:space="preserve">The interpretation must respect the sample. Twenty-four systems and seventeen events is a small survival sample, the autonomy coefficient is imprecisely estimated, and the wide confidence interval means the analysis cannot exclude a moderate provenance effect in either direction. What it can say with the data in hand is that no provenance effect emerges from the licensing record once the processing-round structure is accounted for, and that the processing-round structure itself is a large and statistically clear determinant of delay.</w:t>
      </w:r>
    </w:p>
    <w:bookmarkEnd w:id="65"/>
    <w:bookmarkStart w:id="66" w:name="discussion"/>
    <w:p>
      <w:pPr>
        <w:pStyle w:val="Heading2"/>
      </w:pPr>
      <w:r>
        <w:t xml:space="preserve">6. Discussion</w:t>
      </w:r>
    </w:p>
    <w:p>
      <w:pPr>
        <w:pStyle w:val="FirstParagraph"/>
      </w:pPr>
      <w:r>
        <w:t xml:space="preserve">The finding reframes where governance attention belongs. The prospectus motivating this dissertation worried that autonomy provenance might silently shift the regulatory treatment of on-orbit operations</w:t>
      </w:r>
      <w:r>
        <w:t xml:space="preserve"> </w:t>
      </w:r>
      <w:hyperlink w:anchor="ref-3">
        <m:oMathPara>
          <m:oMathParaPr>
            <m:jc m:val="center"/>
          </m:oMathParaPr>
          <m:oMath>
            <m:r>
              <m:t>3</m:t>
            </m:r>
          </m:oMath>
        </m:oMathPara>
      </w:hyperlink>
      <w:r>
        <w:t xml:space="preserve">[5][6]. At the licensing stage, and on this evidence, it does not: the speed at which a system is authorized is not detectably a function of whether its avoidance logic is human-supervised or machine-decided, but is strongly a function of whether the system sits inside a competitive processing round. The competitive-round mechanism is a coordination institution, and its dominance in the duration record is consistent with the broader literature’s claim that the binding scarcity in orbit is coordination capacity rather than any single operator’s technology</w:t>
      </w:r>
      <w:r>
        <w:t xml:space="preserve"> </w:t>
      </w:r>
      <w:hyperlink w:anchor="ref-8">
        <m:oMathPara>
          <m:oMathParaPr>
            <m:jc m:val="center"/>
          </m:oMathParaPr>
          <m:oMath>
            <m:r>
              <m:t>8</m:t>
            </m:r>
          </m:oMath>
        </m:oMathPara>
      </w:hyperlink>
      <w:r>
        <w:t xml:space="preserve">[10]. If a regulator wants to change how long systems take to clear, the lever the data identify is the processing-round architecture, not the autonomy stack.</w:t>
      </w:r>
    </w:p>
    <w:p>
      <w:pPr>
        <w:pStyle w:val="FirstParagraph"/>
      </w:pPr>
      <w:r>
        <w:t xml:space="preserve">This null on provenance is itself a result worth recording, because it disciplines the policy conversation. A governance reform aimed at autonomy auditability would not, on this evidence, change licensing timelines, and reforms that promise faster approval by addressing software transparency would be solving a problem the licensing clock does not have. The autonomy-provenance question retains force for post-event reconstruction and accountability, the domain the prospectus and the technical literature emphasize</w:t>
      </w:r>
      <w:r>
        <w:t xml:space="preserve"> </w:t>
      </w:r>
      <w:hyperlink w:anchor="ref-3">
        <m:oMathPara>
          <m:oMathParaPr>
            <m:jc m:val="center"/>
          </m:oMathParaPr>
          <m:oMath>
            <m:r>
              <m:t>3</m:t>
            </m:r>
          </m:oMath>
        </m:oMathPara>
      </w:hyperlink>
      <w:r>
        <w:t xml:space="preserve">[5], but the licensing-speed channel examined here is not where it bites.</w:t>
      </w:r>
    </w:p>
    <w:p>
      <w:pPr>
        <w:pStyle w:val="FirstParagraph"/>
      </w:pPr>
      <w:r>
        <w:t xml:space="preserve">Three limitations bound the claim. The sample is small and United-States-specific, so the autonomy coefficient is imprecise and the processing-round result may not transfer to jurisdictions with different licensing architecture. The provenance proxy is coded from operational scale and documented concept rather than from a verified audit of each system’s decision logic, so it captures the regulator-facing distinction between human-supervised and machine-decided operation rather than the finer transparent-versus-opaque cut that a full provenance rubric</w:t>
      </w:r>
      <w:r>
        <w:t xml:space="preserve"> </w:t>
      </w:r>
      <w:hyperlink w:anchor="ref-3">
        <m:oMathPara>
          <m:oMathParaPr>
            <m:jc m:val="center"/>
          </m:oMathParaPr>
          <m:oMath>
            <m:r>
              <m:t>3</m:t>
            </m:r>
          </m:oMath>
        </m:oMathPara>
      </w:hyperlink>
      <w:r>
        <w:t xml:space="preserve">[6] would draw. And the duration measures the administrative interval to grant, not the substantive scrutiny applied within it, so a provenance effect on the depth of review could exist without moving the clock. Each limitation points to the same extension: a larger multi-jurisdiction sample with audited provenance coding, on which the imprecise autonomy hazard ratio estimated here could be sharpened into a decisive test. The present analysis settles the first-order question for the United States licensing record, that procedural position, not autonomy provenance, governs time-to-authorization, and leaves the provenance coefficient honestly estimated and honestly wide.</w:t>
      </w:r>
    </w:p>
    <w:bookmarkEnd w:id="66"/>
    <w:bookmarkStart w:id="82" w:name="references"/>
    <w:p>
      <w:pPr>
        <w:pStyle w:val="Heading2"/>
      </w:pPr>
      <w:r>
        <w:t xml:space="preserve">References</w:t>
      </w:r>
    </w:p>
    <w:p>
      <w:pPr>
        <w:pStyle w:val="FirstParagraph"/>
      </w:pPr>
      <w:bookmarkStart w:id="67" w:name="ref-1"/>
      <w:bookmarkEnd w:id="67"/>
      <w:r>
        <w:t xml:space="preserve">1. N. Ladhad, R. Neelakantan, and T. Ahmed,</w:t>
      </w:r>
      <w:r>
        <w:t xml:space="preserve"> </w:t>
      </w:r>
      <w:r>
        <w:t xml:space="preserve">“Multi-Objective Multi-Perspective Numerical Optimization of Collision Avoidance Maneuvers Using Differential Evolution,”</w:t>
      </w:r>
      <w:r>
        <w:t xml:space="preserve"> </w:t>
      </w:r>
      <w:r>
        <w:t xml:space="preserve">Proc. Advanced Maui Optical and Space Surveillance Technologies (AMOS) Conference, 2024.</w:t>
      </w:r>
    </w:p>
    <w:p>
      <w:pPr>
        <w:pStyle w:val="BodyText"/>
      </w:pPr>
      <w:bookmarkStart w:id="68" w:name="ref-2"/>
      <w:bookmarkEnd w:id="68"/>
      <w:r>
        <w:t xml:space="preserve">2. T. Masson-Zwaan, P. Martinez, F. Letizia, C. Melograna, M. Reynders, R. J. Rovetto, M. A. Skinner, M. Stanciu-Manolescu, M. Strah, O. Volynskaya, and G. Wang,</w:t>
      </w:r>
      <w:r>
        <w:t xml:space="preserve"> </w:t>
      </w:r>
      <w:r>
        <w:t xml:space="preserve">“The need to improve registration practices in the context of space traffic management,”</w:t>
      </w:r>
      <w:r>
        <w:t xml:space="preserve"> </w:t>
      </w:r>
      <w:r>
        <w:t xml:space="preserve">Acta Astronautica, vol. 223, 2024. doi:</w:t>
      </w:r>
      <w:r>
        <w:t xml:space="preserve"> </w:t>
      </w:r>
      <w:hyperlink r:id="rId69">
        <w:r>
          <w:rPr>
            <w:rStyle w:val="Hyperlink"/>
          </w:rPr>
          <w:t xml:space="preserve">10.1016/j.actaastro.2024.06.052</w:t>
        </w:r>
      </w:hyperlink>
    </w:p>
    <w:p>
      <w:pPr>
        <w:pStyle w:val="BodyText"/>
      </w:pPr>
      <w:bookmarkStart w:id="70" w:name="ref-3"/>
      <w:bookmarkEnd w:id="70"/>
      <w:r>
        <w:t xml:space="preserve">3. R. Stottler, S. Ramachandran, C. Belardi, and R. Mandayam,</w:t>
      </w:r>
      <w:r>
        <w:t xml:space="preserve"> </w:t>
      </w:r>
      <w:r>
        <w:t xml:space="preserve">“On-board, Autonomous, Hybrid Spacecraft Subsystem Fault and Anomaly Detection, Diagnosis, and Recovery,”</w:t>
      </w:r>
      <w:r>
        <w:t xml:space="preserve"> </w:t>
      </w:r>
      <w:r>
        <w:t xml:space="preserve">Proc. Advanced Maui Optical and Space Surveillance Technologies (AMOS) Conference, 2020.</w:t>
      </w:r>
    </w:p>
    <w:p>
      <w:pPr>
        <w:pStyle w:val="BodyText"/>
      </w:pPr>
      <w:bookmarkStart w:id="71" w:name="ref-4"/>
      <w:bookmarkEnd w:id="71"/>
      <w:r>
        <w:t xml:space="preserve">4. M. Borowitz, C. Pérez Hernández, M. Hejduk, A. Gillet, M. Moury, and P. Faucher,</w:t>
      </w:r>
      <w:r>
        <w:t xml:space="preserve"> </w:t>
      </w:r>
      <w:r>
        <w:t xml:space="preserve">“A Technical Comparison of the Public SSA Services in the United States and the European Union,”</w:t>
      </w:r>
      <w:r>
        <w:t xml:space="preserve"> </w:t>
      </w:r>
      <w:r>
        <w:t xml:space="preserve">Proc. Advanced Maui Optical and Space Surveillance Technologies (AMOS) Conference, 2024.</w:t>
      </w:r>
    </w:p>
    <w:p>
      <w:pPr>
        <w:pStyle w:val="BodyText"/>
      </w:pPr>
      <w:bookmarkStart w:id="72" w:name="ref-5"/>
      <w:bookmarkEnd w:id="72"/>
      <w:r>
        <w:t xml:space="preserve">5. R. Hunter, E. Agasid, S. Phan, N. Benz, S. Miller, C. Adams, B. Kempa, J. Frank, M. Iatauro, J. Kruger, S. D’Amico, J. Fishman, and S. Weston,</w:t>
      </w:r>
      <w:r>
        <w:t xml:space="preserve"> </w:t>
      </w:r>
      <w:r>
        <w:t xml:space="preserve">“NASA’s Starling Mission and Space Situational Awareness Implications,”</w:t>
      </w:r>
      <w:r>
        <w:t xml:space="preserve"> </w:t>
      </w:r>
      <w:r>
        <w:t xml:space="preserve">Proc. Advanced Maui Optical and Space Surveillance Technologies (AMOS) Conference, 2025. doi:</w:t>
      </w:r>
      <w:r>
        <w:t xml:space="preserve"> </w:t>
      </w:r>
      <w:hyperlink r:id="rId73">
        <w:r>
          <w:rPr>
            <w:rStyle w:val="Hyperlink"/>
          </w:rPr>
          <w:t xml:space="preserve">10.64861/XQCN3213</w:t>
        </w:r>
      </w:hyperlink>
    </w:p>
    <w:p>
      <w:pPr>
        <w:pStyle w:val="BodyText"/>
      </w:pPr>
      <w:bookmarkStart w:id="74" w:name="ref-6"/>
      <w:bookmarkEnd w:id="74"/>
      <w:r>
        <w:t xml:space="preserve">6. D. Huterer Prats, H. Schaub, and C. Wheeler,</w:t>
      </w:r>
      <w:r>
        <w:t xml:space="preserve"> </w:t>
      </w:r>
      <w:r>
        <w:t xml:space="preserve">“Reinforcement Learning for Space-to-Space Surveillance: Autonomous Scheduling for Resident Space Object Imaging,”</w:t>
      </w:r>
      <w:r>
        <w:t xml:space="preserve"> </w:t>
      </w:r>
      <w:r>
        <w:t xml:space="preserve">Proc. Advanced Maui Optical and Space Surveillance Technologies (AMOS) Conference, 2025. doi:</w:t>
      </w:r>
      <w:r>
        <w:t xml:space="preserve"> </w:t>
      </w:r>
      <w:hyperlink r:id="rId75">
        <w:r>
          <w:rPr>
            <w:rStyle w:val="Hyperlink"/>
          </w:rPr>
          <w:t xml:space="preserve">10.64861/DDFP2152</w:t>
        </w:r>
      </w:hyperlink>
    </w:p>
    <w:p>
      <w:pPr>
        <w:pStyle w:val="BodyText"/>
      </w:pPr>
      <w:bookmarkStart w:id="76" w:name="ref-7"/>
      <w:bookmarkEnd w:id="76"/>
      <w:r>
        <w:t xml:space="preserve">7. M. E. Sorge, D. Alary, F. Lacomba, H. Tung, and B. Singh,</w:t>
      </w:r>
      <w:r>
        <w:t xml:space="preserve"> </w:t>
      </w:r>
      <w:r>
        <w:t xml:space="preserve">“Space traffic management: Large constellations,”</w:t>
      </w:r>
      <w:r>
        <w:t xml:space="preserve"> </w:t>
      </w:r>
      <w:r>
        <w:t xml:space="preserve">Acta Astronautica, vol. 230, 2025. doi:</w:t>
      </w:r>
      <w:r>
        <w:t xml:space="preserve"> </w:t>
      </w:r>
      <w:hyperlink r:id="rId77">
        <w:r>
          <w:rPr>
            <w:rStyle w:val="Hyperlink"/>
          </w:rPr>
          <w:t xml:space="preserve">10.1016/j.actaastro.2025.01.043</w:t>
        </w:r>
      </w:hyperlink>
    </w:p>
    <w:p>
      <w:pPr>
        <w:pStyle w:val="BodyText"/>
      </w:pPr>
      <w:bookmarkStart w:id="78" w:name="ref-8"/>
      <w:bookmarkEnd w:id="78"/>
      <w:r>
        <w:t xml:space="preserve">8. M. Weinzierl,</w:t>
      </w:r>
      <w:r>
        <w:t xml:space="preserve"> </w:t>
      </w:r>
      <w:r>
        <w:t xml:space="preserve">“Space, the Final Economic Frontier,”</w:t>
      </w:r>
      <w:r>
        <w:t xml:space="preserve"> </w:t>
      </w:r>
      <w:r>
        <w:t xml:space="preserve">Journal of Economic Perspectives, vol. 32, no. 2, 2018.</w:t>
      </w:r>
    </w:p>
    <w:p>
      <w:pPr>
        <w:pStyle w:val="BodyText"/>
      </w:pPr>
      <w:bookmarkStart w:id="79" w:name="ref-9"/>
      <w:bookmarkEnd w:id="79"/>
      <w:r>
        <w:t xml:space="preserve">9. Federal Communications Commission,</w:t>
      </w:r>
      <w:r>
        <w:t xml:space="preserve"> </w:t>
      </w:r>
      <w:r>
        <w:t xml:space="preserve">“FCC Authorizes Kuiper Satellite Constellation,”</w:t>
      </w:r>
      <w:r>
        <w:t xml:space="preserve"> </w:t>
      </w:r>
      <w:r>
        <w:t xml:space="preserve">Order and Authorization FCC 20-102, July 30, 2020. Available: fcc.gov/document/fcc-authorizes-kuiper-satellite-constellation.</w:t>
      </w:r>
    </w:p>
    <w:p>
      <w:pPr>
        <w:pStyle w:val="BodyText"/>
      </w:pPr>
      <w:bookmarkStart w:id="80" w:name="ref-10"/>
      <w:bookmarkEnd w:id="80"/>
      <w:r>
        <w:t xml:space="preserve">10. C. Colombo, P. Martinez, F. Letizia, B. M. Cattani, E. David, D. A. Escobar, S. Kawamoto, R. J. Rovetto, and I. Sumelzo,</w:t>
      </w:r>
      <w:r>
        <w:t xml:space="preserve"> </w:t>
      </w:r>
      <w:r>
        <w:t xml:space="preserve">“Space capacity management and its interaction with space traffic management,”</w:t>
      </w:r>
      <w:r>
        <w:t xml:space="preserve"> </w:t>
      </w:r>
      <w:r>
        <w:t xml:space="preserve">Acta Astronautica, vol. 233, 2025. doi:</w:t>
      </w:r>
      <w:r>
        <w:t xml:space="preserve"> </w:t>
      </w:r>
      <w:hyperlink r:id="rId81">
        <w:r>
          <w:rPr>
            <w:rStyle w:val="Hyperlink"/>
          </w:rPr>
          <w:t xml:space="preserve">10.1016/j.actaastro.2025.01.069</w:t>
        </w:r>
      </w:hyperlink>
    </w:p>
    <w:bookmarkEnd w:id="82"/>
    <w:bookmarkStart w:id="83" w:name="specification"/>
    <w:p>
      <w:pPr>
        <w:pStyle w:val="Heading2"/>
      </w:pPr>
      <w:r>
        <w:t xml:space="preserve">Specification</w:t>
      </w:r>
    </w:p>
    <w:p>
      <w:pPr>
        <w:pStyle w:val="FirstParagraph"/>
      </w:pPr>
      <m:oMathPara>
        <m:oMathParaPr>
          <m:jc m:val="center"/>
        </m:oMathParaPr>
        <m:oMath>
          <m:r>
            <m:t>h</m:t>
          </m:r>
          <m:r>
            <m:rPr>
              <m:sty m:val="p"/>
            </m:rPr>
            <m:t>(</m:t>
          </m:r>
          <m:r>
            <m:t>t</m:t>
          </m:r>
          <m:r>
            <m:rPr>
              <m:sty m:val="p"/>
            </m:rPr>
            <m:t>∣</m:t>
          </m:r>
          <m:r>
            <m:t>x</m:t>
          </m:r>
          <m:r>
            <m:rPr>
              <m:sty m:val="p"/>
            </m:rPr>
            <m:t>)</m:t>
          </m:r>
          <m:r>
            <m:rPr>
              <m:sty m:val="p"/>
            </m:rPr>
            <m:t>=</m:t>
          </m:r>
          <m:sSub>
            <m:e>
              <m:r>
                <m:t>h</m:t>
              </m:r>
            </m:e>
            <m:sub>
              <m:r>
                <m:t>0</m:t>
              </m:r>
            </m:sub>
          </m:sSub>
          <m:r>
            <m:rPr>
              <m:sty m:val="p"/>
            </m:rPr>
            <m:t>(</m:t>
          </m:r>
          <m:r>
            <m:t>t</m:t>
          </m:r>
          <m:r>
            <m:rPr>
              <m:sty m:val="p"/>
            </m:rPr>
            <m:t>)</m:t>
          </m:r>
          <m:r>
            <m:t> </m:t>
          </m:r>
          <m:r>
            <m:rPr>
              <m:sty m:val="p"/>
            </m:rPr>
            <m:t>exp</m:t>
          </m:r>
          <m:r>
            <m:t>​</m:t>
          </m:r>
          <m:d>
            <m:dPr>
              <m:begChr m:val="("/>
              <m:sepChr m:val=""/>
              <m:endChr m:val=")"/>
              <m:grow/>
            </m:dPr>
            <m:e>
              <m:sSub>
                <m:e>
                  <m:r>
                    <m:t>β</m:t>
                  </m:r>
                </m:e>
                <m:sub>
                  <m:r>
                    <m:t>1</m:t>
                  </m:r>
                </m:sub>
              </m:sSub>
              <m:r>
                <m:t> </m:t>
              </m:r>
              <m:r>
                <m:rPr>
                  <m:nor/>
                  <m:sty m:val="p"/>
                </m:rPr>
                <m:t>autonomy_intensive</m:t>
              </m:r>
              <m:r>
                <m:rPr>
                  <m:sty m:val="p"/>
                </m:rPr>
                <m:t>+</m:t>
              </m:r>
              <m:sSub>
                <m:e>
                  <m:r>
                    <m:t>β</m:t>
                  </m:r>
                </m:e>
                <m:sub>
                  <m:r>
                    <m:t>2</m:t>
                  </m:r>
                </m:sub>
              </m:sSub>
              <m:r>
                <m:t> </m:t>
              </m:r>
              <m:r>
                <m:rPr>
                  <m:sty m:val="p"/>
                </m:rPr>
                <m:t>log</m:t>
              </m:r>
              <m:r>
                <m:rPr>
                  <m:sty m:val="p"/>
                </m:rPr>
                <m:t>(</m:t>
              </m:r>
              <m:r>
                <m:rPr>
                  <m:nor/>
                  <m:sty m:val="p"/>
                </m:rPr>
                <m:t>satellites</m:t>
              </m:r>
              <m:r>
                <m:rPr>
                  <m:sty m:val="p"/>
                </m:rPr>
                <m:t>)</m:t>
              </m:r>
              <m:r>
                <m:rPr>
                  <m:sty m:val="p"/>
                </m:rPr>
                <m:t>+</m:t>
              </m:r>
              <m:sSub>
                <m:e>
                  <m:r>
                    <m:t>β</m:t>
                  </m:r>
                </m:e>
                <m:sub>
                  <m:r>
                    <m:t>3</m:t>
                  </m:r>
                </m:sub>
              </m:sSub>
              <m:r>
                <m:t> </m:t>
              </m:r>
              <m:r>
                <m:rPr>
                  <m:nor/>
                  <m:sty m:val="p"/>
                </m:rPr>
                <m:t>processing_round</m:t>
              </m:r>
            </m:e>
          </m:d>
        </m:oMath>
      </m:oMathPara>
    </w:p>
    <w:bookmarkEnd w:id="83"/>
    <w:bookmarkStart w:id="87" w:name="results"/>
    <w:p>
      <w:pPr>
        <w:pStyle w:val="Heading2"/>
      </w:pPr>
      <w:r>
        <w:t xml:space="preserve">Results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autonomy_intensive</w:t>
            </w:r>
          </w:p>
        </w:tc>
        <w:tc>
          <w:tcPr>
            <w:tcW w:w="0" w:type="auto"/>
          </w:tcPr>
          <w:p>
            <w:pPr>
              <w:spacing w:line="240" w:lineRule="auto" w:before="0" w:after="0"/>
              <w:pStyle w:val="Compact"/>
            </w:pPr>
            <w:r>
              <w:rPr>
                <w:sz w:val="20"/>
                <w:szCs w:val="20"/>
              </w:rPr>
              <w:t xml:space="preserve">0.7451</w:t>
            </w:r>
          </w:p>
        </w:tc>
        <w:tc>
          <w:tcPr>
            <w:tcW w:w="0" w:type="auto"/>
          </w:tcPr>
          <w:p>
            <w:pPr>
              <w:spacing w:line="240" w:lineRule="auto" w:before="0" w:after="0"/>
              <w:pStyle w:val="Compact"/>
            </w:pPr>
            <w:r>
              <w:rPr>
                <w:sz w:val="20"/>
                <w:szCs w:val="20"/>
              </w:rPr>
              <w:t xml:space="preserve">0.7122</w:t>
            </w:r>
          </w:p>
        </w:tc>
        <w:tc>
          <w:tcPr>
            <w:tcW w:w="0" w:type="auto"/>
          </w:tcPr>
          <w:p>
            <w:pPr>
              <w:spacing w:line="240" w:lineRule="auto" w:before="0" w:after="0"/>
              <w:pStyle w:val="Compact"/>
            </w:pPr>
            <w:r>
              <w:rPr>
                <w:sz w:val="20"/>
                <w:szCs w:val="20"/>
              </w:rPr>
              <w:t xml:space="preserve">1.0463</w:t>
            </w:r>
          </w:p>
        </w:tc>
        <w:tc>
          <w:tcPr>
            <w:tcW w:w="0" w:type="auto"/>
          </w:tcPr>
          <w:p>
            <w:pPr>
              <w:spacing w:line="240" w:lineRule="auto" w:before="0" w:after="0"/>
              <w:pStyle w:val="Compact"/>
            </w:pPr>
            <w:r>
              <w:rPr>
                <w:sz w:val="20"/>
                <w:szCs w:val="20"/>
              </w:rPr>
              <w:t xml:space="preserve">0.2954</w:t>
            </w:r>
          </w:p>
        </w:tc>
        <w:tc>
          <w:tcPr>
            <w:tcW w:w="0" w:type="auto"/>
          </w:tcPr>
          <w:p>
            <w:pPr>
              <w:spacing w:line="240" w:lineRule="auto" w:before="0" w:after="0"/>
              <w:pStyle w:val="Compact"/>
            </w:pPr>
            <w:r>
              <w:rPr>
                <w:sz w:val="20"/>
                <w:szCs w:val="20"/>
              </w:rPr>
              <w:t xml:space="preserve">[-0.6507, 2.1409]</w:t>
            </w:r>
          </w:p>
        </w:tc>
        <w:tc>
          <w:tcPr>
            <w:tcW w:w="0" w:type="auto"/>
          </w:tcPr>
          <w:p>
            <w:pPr>
              <w:spacing w:line="240" w:lineRule="auto" w:before="0" w:after="0"/>
              <w:pStyle w:val="Compact"/>
            </w:pPr>
            <w:r>
              <w:rPr>
                <w:sz w:val="20"/>
                <w:szCs w:val="20"/>
              </w:rPr>
              <w:t xml:space="preserve">2.1067</w:t>
            </w:r>
          </w:p>
        </w:tc>
      </w:tr>
      <w:tr>
        <w:tc>
          <w:tcPr>
            <w:tcW w:w="0" w:type="auto"/>
          </w:tcPr>
          <w:p>
            <w:pPr>
              <w:spacing w:line="240" w:lineRule="auto" w:before="0" w:after="0"/>
              <w:pStyle w:val="Compact"/>
            </w:pPr>
            <w:r>
              <w:rPr>
                <w:sz w:val="20"/>
                <w:szCs w:val="20"/>
              </w:rPr>
              <w:t xml:space="preserve">log_satellites</w:t>
            </w:r>
          </w:p>
        </w:tc>
        <w:tc>
          <w:tcPr>
            <w:tcW w:w="0" w:type="auto"/>
          </w:tcPr>
          <w:p>
            <w:pPr>
              <w:spacing w:line="240" w:lineRule="auto" w:before="0" w:after="0"/>
              <w:pStyle w:val="Compact"/>
            </w:pPr>
            <w:r>
              <w:rPr>
                <w:sz w:val="20"/>
                <w:szCs w:val="20"/>
              </w:rPr>
              <w:t xml:space="preserve">0.0724</w:t>
            </w:r>
          </w:p>
        </w:tc>
        <w:tc>
          <w:tcPr>
            <w:tcW w:w="0" w:type="auto"/>
          </w:tcPr>
          <w:p>
            <w:pPr>
              <w:spacing w:line="240" w:lineRule="auto" w:before="0" w:after="0"/>
              <w:pStyle w:val="Compact"/>
            </w:pPr>
            <w:r>
              <w:rPr>
                <w:sz w:val="20"/>
                <w:szCs w:val="20"/>
              </w:rPr>
              <w:t xml:space="preserve">0.1757</w:t>
            </w:r>
          </w:p>
        </w:tc>
        <w:tc>
          <w:tcPr>
            <w:tcW w:w="0" w:type="auto"/>
          </w:tcPr>
          <w:p>
            <w:pPr>
              <w:spacing w:line="240" w:lineRule="auto" w:before="0" w:after="0"/>
              <w:pStyle w:val="Compact"/>
            </w:pPr>
            <w:r>
              <w:rPr>
                <w:sz w:val="20"/>
                <w:szCs w:val="20"/>
              </w:rPr>
              <w:t xml:space="preserve">0.4119</w:t>
            </w:r>
          </w:p>
        </w:tc>
        <w:tc>
          <w:tcPr>
            <w:tcW w:w="0" w:type="auto"/>
          </w:tcPr>
          <w:p>
            <w:pPr>
              <w:spacing w:line="240" w:lineRule="auto" w:before="0" w:after="0"/>
              <w:pStyle w:val="Compact"/>
            </w:pPr>
            <w:r>
              <w:rPr>
                <w:sz w:val="20"/>
                <w:szCs w:val="20"/>
              </w:rPr>
              <w:t xml:space="preserve">0.6804</w:t>
            </w:r>
          </w:p>
        </w:tc>
        <w:tc>
          <w:tcPr>
            <w:tcW w:w="0" w:type="auto"/>
          </w:tcPr>
          <w:p>
            <w:pPr>
              <w:spacing w:line="240" w:lineRule="auto" w:before="0" w:after="0"/>
              <w:pStyle w:val="Compact"/>
            </w:pPr>
            <w:r>
              <w:rPr>
                <w:sz w:val="20"/>
                <w:szCs w:val="20"/>
              </w:rPr>
              <w:t xml:space="preserve">[-0.272, 0.4168]</w:t>
            </w:r>
          </w:p>
        </w:tc>
        <w:tc>
          <w:tcPr>
            <w:tcW w:w="0" w:type="auto"/>
          </w:tcPr>
          <w:p>
            <w:pPr>
              <w:spacing w:line="240" w:lineRule="auto" w:before="0" w:after="0"/>
              <w:pStyle w:val="Compact"/>
            </w:pPr>
            <w:r>
              <w:rPr>
                <w:sz w:val="20"/>
                <w:szCs w:val="20"/>
              </w:rPr>
              <w:t xml:space="preserve">1.0751</w:t>
            </w:r>
          </w:p>
        </w:tc>
      </w:tr>
      <w:tr>
        <w:tc>
          <w:tcPr>
            <w:tcW w:w="0" w:type="auto"/>
          </w:tcPr>
          <w:p>
            <w:pPr>
              <w:spacing w:line="240" w:lineRule="auto" w:before="0" w:after="0"/>
              <w:pStyle w:val="Compact"/>
            </w:pPr>
            <w:r>
              <w:rPr>
                <w:sz w:val="20"/>
                <w:szCs w:val="20"/>
              </w:rPr>
              <w:t xml:space="preserve">processing_round</w:t>
            </w:r>
          </w:p>
        </w:tc>
        <w:tc>
          <w:tcPr>
            <w:tcW w:w="0" w:type="auto"/>
          </w:tcPr>
          <w:p>
            <w:pPr>
              <w:spacing w:line="240" w:lineRule="auto" w:before="0" w:after="0"/>
              <w:pStyle w:val="Compact"/>
            </w:pPr>
            <w:r>
              <w:rPr>
                <w:sz w:val="20"/>
                <w:szCs w:val="20"/>
              </w:rPr>
              <w:t xml:space="preserve">-2.3083</w:t>
            </w:r>
          </w:p>
        </w:tc>
        <w:tc>
          <w:tcPr>
            <w:tcW w:w="0" w:type="auto"/>
          </w:tcPr>
          <w:p>
            <w:pPr>
              <w:spacing w:line="240" w:lineRule="auto" w:before="0" w:after="0"/>
              <w:pStyle w:val="Compact"/>
            </w:pPr>
            <w:r>
              <w:rPr>
                <w:sz w:val="20"/>
                <w:szCs w:val="20"/>
              </w:rPr>
              <w:t xml:space="preserve">0.8732</w:t>
            </w:r>
          </w:p>
        </w:tc>
        <w:tc>
          <w:tcPr>
            <w:tcW w:w="0" w:type="auto"/>
          </w:tcPr>
          <w:p>
            <w:pPr>
              <w:spacing w:line="240" w:lineRule="auto" w:before="0" w:after="0"/>
              <w:pStyle w:val="Compact"/>
            </w:pPr>
            <w:r>
              <w:rPr>
                <w:sz w:val="20"/>
                <w:szCs w:val="20"/>
              </w:rPr>
              <w:t xml:space="preserve">-2.6436</w:t>
            </w:r>
          </w:p>
        </w:tc>
        <w:tc>
          <w:tcPr>
            <w:tcW w:w="0" w:type="auto"/>
          </w:tcPr>
          <w:p>
            <w:pPr>
              <w:spacing w:line="240" w:lineRule="auto" w:before="0" w:after="0"/>
              <w:pStyle w:val="Compact"/>
            </w:pPr>
            <w:r>
              <w:rPr>
                <w:sz w:val="20"/>
                <w:szCs w:val="20"/>
              </w:rPr>
              <w:t xml:space="preserve">0.0082</w:t>
            </w:r>
          </w:p>
        </w:tc>
        <w:tc>
          <w:tcPr>
            <w:tcW w:w="0" w:type="auto"/>
          </w:tcPr>
          <w:p>
            <w:pPr>
              <w:spacing w:line="240" w:lineRule="auto" w:before="0" w:after="0"/>
              <w:pStyle w:val="Compact"/>
            </w:pPr>
            <w:r>
              <w:rPr>
                <w:sz w:val="20"/>
                <w:szCs w:val="20"/>
              </w:rPr>
              <w:t xml:space="preserve">[-4.0196, -0.5969]</w:t>
            </w:r>
          </w:p>
        </w:tc>
        <w:tc>
          <w:tcPr>
            <w:tcW w:w="0" w:type="auto"/>
          </w:tcPr>
          <w:p>
            <w:pPr>
              <w:spacing w:line="240" w:lineRule="auto" w:before="0" w:after="0"/>
              <w:pStyle w:val="Compact"/>
            </w:pPr>
            <w:r>
              <w:rPr>
                <w:sz w:val="20"/>
                <w:szCs w:val="20"/>
              </w:rPr>
              <w:t xml:space="preserve">0.0994</w:t>
            </w:r>
          </w:p>
        </w:tc>
      </w:tr>
    </w:tbl>
    <w:p>
      <w:pPr>
        <w:pStyle w:val="BodyText"/>
      </w:pPr>
      <w:r>
        <w:t xml:space="preserve">Fit: N = 24 events = 17</w:t>
      </w:r>
    </w:p>
    <w:p>
      <w:pPr>
        <w:pStyle w:val="CaptionedFigure"/>
      </w:pPr>
      <w:r>
        <w:drawing>
          <wp:inline>
            <wp:extent cx="5669280" cy="3657600"/>
            <wp:effectExtent b="0" l="0" r="0" t="0"/>
            <wp:docPr descr="Figure 1. Time from FCC application to grant against system complexity for U.S. NGSO and SCS satellite systems; autonomy-intensive systems concentrate toward longer authorization intervals." title="" id="85" name="Picture"/>
            <a:graphic>
              <a:graphicData uri="http://schemas.openxmlformats.org/drawingml/2006/picture">
                <pic:pic>
                  <pic:nvPicPr>
                    <pic:cNvPr descr="D:\Claude_Code\brain\collegium\candidates\dissertations\CYBER_AI_13\research_papers\p2\paper_fig1.png" id="86" name="Picture"/>
                    <pic:cNvPicPr>
                      <a:picLocks noChangeArrowheads="1" noChangeAspect="1"/>
                    </pic:cNvPicPr>
                  </pic:nvPicPr>
                  <pic:blipFill>
                    <a:blip r:embed="rId84"/>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Time from FCC application to grant against system complexity for U.S. NGSO and SCS satellite systems; autonomy-intensive systems concentrate toward longer authorization intervals.</w:t>
      </w:r>
    </w:p>
    <w:bookmarkEnd w:id="87"/>
    <w:bookmarkStart w:id="91"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8"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609"/>
        <w:gridCol w:w="609"/>
        <w:gridCol w:w="609"/>
        <w:gridCol w:w="609"/>
        <w:gridCol w:w="609"/>
        <w:gridCol w:w="609"/>
        <w:gridCol w:w="609"/>
        <w:gridCol w:w="609"/>
        <w:gridCol w:w="609"/>
        <w:gridCol w:w="609"/>
        <w:gridCol w:w="609"/>
        <w:gridCol w:w="609"/>
        <w:gridCol w:w="609"/>
      </w:tblGrid>
      <w:tr>
        <w:trPr>
          <w:tblHeader w:val="on"/>
        </w:trPr>
        <w:tc>
          <w:tcPr>
            <w:tcW w:w="0" w:type="auto"/>
          </w:tcPr>
          <w:p>
            <w:pPr>
              <w:spacing w:line="240" w:lineRule="auto" w:before="0" w:after="0"/>
              <w:pStyle w:val="Compact"/>
            </w:pPr>
            <w:r>
              <w:rPr>
                <w:sz w:val="20"/>
                <w:szCs w:val="20"/>
              </w:rPr>
              <w:t xml:space="preserve">system</w:t>
            </w:r>
          </w:p>
        </w:tc>
        <w:tc>
          <w:tcPr>
            <w:tcW w:w="0" w:type="auto"/>
          </w:tcPr>
          <w:p>
            <w:pPr>
              <w:spacing w:line="240" w:lineRule="auto" w:before="0" w:after="0"/>
              <w:pStyle w:val="Compact"/>
            </w:pPr>
            <w:r>
              <w:rPr>
                <w:sz w:val="20"/>
                <w:szCs w:val="20"/>
              </w:rPr>
              <w:t xml:space="preserve">operator</w:t>
            </w:r>
          </w:p>
        </w:tc>
        <w:tc>
          <w:tcPr>
            <w:tcW w:w="0" w:type="auto"/>
          </w:tcPr>
          <w:p>
            <w:pPr>
              <w:spacing w:line="240" w:lineRule="auto" w:before="0" w:after="0"/>
              <w:pStyle w:val="Compact"/>
            </w:pPr>
            <w:r>
              <w:rPr>
                <w:sz w:val="20"/>
                <w:szCs w:val="20"/>
              </w:rPr>
              <w:t xml:space="preserve">app_date</w:t>
            </w:r>
          </w:p>
        </w:tc>
        <w:tc>
          <w:tcPr>
            <w:tcW w:w="0" w:type="auto"/>
          </w:tcPr>
          <w:p>
            <w:pPr>
              <w:spacing w:line="240" w:lineRule="auto" w:before="0" w:after="0"/>
              <w:pStyle w:val="Compact"/>
            </w:pPr>
            <w:r>
              <w:rPr>
                <w:sz w:val="20"/>
                <w:szCs w:val="20"/>
              </w:rPr>
              <w:t xml:space="preserve">grant_date</w:t>
            </w:r>
          </w:p>
        </w:tc>
        <w:tc>
          <w:tcPr>
            <w:tcW w:w="0" w:type="auto"/>
          </w:tcPr>
          <w:p>
            <w:pPr>
              <w:spacing w:line="240" w:lineRule="auto" w:before="0" w:after="0"/>
              <w:pStyle w:val="Compact"/>
            </w:pPr>
            <w:r>
              <w:rPr>
                <w:sz w:val="20"/>
                <w:szCs w:val="20"/>
              </w:rPr>
              <w:t xml:space="preserve">obs_cutoff</w:t>
            </w:r>
          </w:p>
        </w:tc>
        <w:tc>
          <w:tcPr>
            <w:tcW w:w="0" w:type="auto"/>
          </w:tcPr>
          <w:p>
            <w:pPr>
              <w:spacing w:line="240" w:lineRule="auto" w:before="0" w:after="0"/>
              <w:pStyle w:val="Compact"/>
            </w:pPr>
            <w:r>
              <w:rPr>
                <w:sz w:val="20"/>
                <w:szCs w:val="20"/>
              </w:rPr>
              <w:t xml:space="preserve">duration_months</w:t>
            </w:r>
          </w:p>
        </w:tc>
        <w:tc>
          <w:tcPr>
            <w:tcW w:w="0" w:type="auto"/>
          </w:tcPr>
          <w:p>
            <w:pPr>
              <w:spacing w:line="240" w:lineRule="auto" w:before="0" w:after="0"/>
              <w:pStyle w:val="Compact"/>
            </w:pPr>
            <w:r>
              <w:rPr>
                <w:sz w:val="20"/>
                <w:szCs w:val="20"/>
              </w:rPr>
              <w:t xml:space="preserve">granted</w:t>
            </w:r>
          </w:p>
        </w:tc>
        <w:tc>
          <w:tcPr>
            <w:tcW w:w="0" w:type="auto"/>
          </w:tcPr>
          <w:p>
            <w:pPr>
              <w:spacing w:line="240" w:lineRule="auto" w:before="0" w:after="0"/>
              <w:pStyle w:val="Compact"/>
            </w:pPr>
            <w:r>
              <w:rPr>
                <w:sz w:val="20"/>
                <w:szCs w:val="20"/>
              </w:rPr>
              <w:t xml:space="preserve">n_satellites</w:t>
            </w:r>
          </w:p>
        </w:tc>
        <w:tc>
          <w:tcPr>
            <w:tcW w:w="0" w:type="auto"/>
          </w:tcPr>
          <w:p>
            <w:pPr>
              <w:spacing w:line="240" w:lineRule="auto" w:before="0" w:after="0"/>
              <w:pStyle w:val="Compact"/>
            </w:pPr>
            <w:r>
              <w:rPr>
                <w:sz w:val="20"/>
                <w:szCs w:val="20"/>
              </w:rPr>
              <w:t xml:space="preserve">log_satellites</w:t>
            </w:r>
          </w:p>
        </w:tc>
        <w:tc>
          <w:tcPr>
            <w:tcW w:w="0" w:type="auto"/>
          </w:tcPr>
          <w:p>
            <w:pPr>
              <w:spacing w:line="240" w:lineRule="auto" w:before="0" w:after="0"/>
              <w:pStyle w:val="Compact"/>
            </w:pPr>
            <w:r>
              <w:rPr>
                <w:sz w:val="20"/>
                <w:szCs w:val="20"/>
              </w:rPr>
              <w:t xml:space="preserve">autonomy_intensive</w:t>
            </w:r>
          </w:p>
        </w:tc>
        <w:tc>
          <w:tcPr>
            <w:tcW w:w="0" w:type="auto"/>
          </w:tcPr>
          <w:p>
            <w:pPr>
              <w:spacing w:line="240" w:lineRule="auto" w:before="0" w:after="0"/>
              <w:pStyle w:val="Compact"/>
            </w:pPr>
            <w:r>
              <w:rPr>
                <w:sz w:val="20"/>
                <w:szCs w:val="20"/>
              </w:rPr>
              <w:t xml:space="preserve">processing_round</w:t>
            </w:r>
          </w:p>
        </w:tc>
        <w:tc>
          <w:tcPr>
            <w:tcW w:w="0" w:type="auto"/>
          </w:tcPr>
          <w:p>
            <w:pPr>
              <w:spacing w:line="240" w:lineRule="auto" w:before="0" w:after="0"/>
              <w:pStyle w:val="Compact"/>
            </w:pPr>
            <w:r>
              <w:rPr>
                <w:sz w:val="20"/>
                <w:szCs w:val="20"/>
              </w:rPr>
              <w:t xml:space="preserve">orbit_regime_leo</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Starlink Gen1 Ku/Ka</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2016-11-15</w:t>
            </w:r>
          </w:p>
        </w:tc>
        <w:tc>
          <w:tcPr>
            <w:tcW w:w="0" w:type="auto"/>
          </w:tcPr>
          <w:p>
            <w:pPr>
              <w:spacing w:line="240" w:lineRule="auto" w:before="0" w:after="0"/>
              <w:pStyle w:val="Compact"/>
            </w:pPr>
            <w:r>
              <w:rPr>
                <w:sz w:val="20"/>
                <w:szCs w:val="20"/>
              </w:rPr>
              <w:t xml:space="preserve">2018-03-29</w:t>
            </w:r>
          </w:p>
        </w:tc>
        <w:tc>
          <w:tcPr>
            <w:tcW w:w="0" w:type="auto"/>
          </w:tcPr>
          <w:p>
            <w:pPr>
              <w:spacing w:line="240" w:lineRule="auto" w:before="0" w:after="0"/>
              <w:pStyle w:val="Compact"/>
            </w:pPr>
            <w:r>
              <w:rPr>
                <w:sz w:val="20"/>
                <w:szCs w:val="20"/>
              </w:rPr>
              <w:t xml:space="preserve">2018-03-29</w:t>
            </w:r>
          </w:p>
        </w:tc>
        <w:tc>
          <w:tcPr>
            <w:tcW w:w="0" w:type="auto"/>
          </w:tcPr>
          <w:p>
            <w:pPr>
              <w:spacing w:line="240" w:lineRule="auto" w:before="0" w:after="0"/>
              <w:pStyle w:val="Compact"/>
            </w:pPr>
            <w:r>
              <w:rPr>
                <w:sz w:val="20"/>
                <w:szCs w:val="20"/>
              </w:rPr>
              <w:t xml:space="preserve">16.5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4425</w:t>
            </w:r>
          </w:p>
        </w:tc>
        <w:tc>
          <w:tcPr>
            <w:tcW w:w="0" w:type="auto"/>
          </w:tcPr>
          <w:p>
            <w:pPr>
              <w:spacing w:line="240" w:lineRule="auto" w:before="0" w:after="0"/>
              <w:pStyle w:val="Compact"/>
            </w:pPr>
            <w:r>
              <w:rPr>
                <w:sz w:val="20"/>
                <w:szCs w:val="20"/>
              </w:rPr>
              <w:t xml:space="preserve">8.395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FCC-18-38 grant 2018-03-29; application Nov 2016 (en.wikipedia.org/wiki/Starlink; transition.fcc.gov Daily_Releases FCC-18-38A1)</w:t>
            </w:r>
          </w:p>
        </w:tc>
      </w:tr>
      <w:tr>
        <w:tc>
          <w:tcPr>
            <w:tcW w:w="0" w:type="auto"/>
          </w:tcPr>
          <w:p>
            <w:pPr>
              <w:spacing w:line="240" w:lineRule="auto" w:before="0" w:after="0"/>
              <w:pStyle w:val="Compact"/>
            </w:pPr>
            <w:r>
              <w:rPr>
                <w:sz w:val="20"/>
                <w:szCs w:val="20"/>
              </w:rPr>
              <w:t xml:space="preserve">Starlink V-band</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2017-03-01</w:t>
            </w:r>
          </w:p>
        </w:tc>
        <w:tc>
          <w:tcPr>
            <w:tcW w:w="0" w:type="auto"/>
          </w:tcPr>
          <w:p>
            <w:pPr>
              <w:spacing w:line="240" w:lineRule="auto" w:before="0" w:after="0"/>
              <w:pStyle w:val="Compact"/>
            </w:pPr>
            <w:r>
              <w:rPr>
                <w:sz w:val="20"/>
                <w:szCs w:val="20"/>
              </w:rPr>
              <w:t xml:space="preserve">2018-11-15</w:t>
            </w:r>
          </w:p>
        </w:tc>
        <w:tc>
          <w:tcPr>
            <w:tcW w:w="0" w:type="auto"/>
          </w:tcPr>
          <w:p>
            <w:pPr>
              <w:spacing w:line="240" w:lineRule="auto" w:before="0" w:after="0"/>
              <w:pStyle w:val="Compact"/>
            </w:pPr>
            <w:r>
              <w:rPr>
                <w:sz w:val="20"/>
                <w:szCs w:val="20"/>
              </w:rPr>
              <w:t xml:space="preserve">2018-11-15</w:t>
            </w:r>
          </w:p>
        </w:tc>
        <w:tc>
          <w:tcPr>
            <w:tcW w:w="0" w:type="auto"/>
          </w:tcPr>
          <w:p>
            <w:pPr>
              <w:spacing w:line="240" w:lineRule="auto" w:before="0" w:after="0"/>
              <w:pStyle w:val="Compact"/>
            </w:pPr>
            <w:r>
              <w:rPr>
                <w:sz w:val="20"/>
                <w:szCs w:val="20"/>
              </w:rPr>
              <w:t xml:space="preserve">20.5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7518</w:t>
            </w:r>
          </w:p>
        </w:tc>
        <w:tc>
          <w:tcPr>
            <w:tcW w:w="0" w:type="auto"/>
          </w:tcPr>
          <w:p>
            <w:pPr>
              <w:spacing w:line="240" w:lineRule="auto" w:before="0" w:after="0"/>
              <w:pStyle w:val="Compact"/>
            </w:pPr>
            <w:r>
              <w:rPr>
                <w:sz w:val="20"/>
                <w:szCs w:val="20"/>
              </w:rPr>
              <w:t xml:space="preserve">8.925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SpaceX NGSO V-band Authorization Nov 2018 (fcc.gov/document/fcc-grants-spacex-ngso-v-band-authorization; docs.fcc.gov DOC-354775A1)</w:t>
            </w:r>
          </w:p>
        </w:tc>
      </w:tr>
      <w:tr>
        <w:tc>
          <w:tcPr>
            <w:tcW w:w="0" w:type="auto"/>
          </w:tcPr>
          <w:p>
            <w:pPr>
              <w:spacing w:line="240" w:lineRule="auto" w:before="0" w:after="0"/>
              <w:pStyle w:val="Compact"/>
            </w:pPr>
            <w:r>
              <w:rPr>
                <w:sz w:val="20"/>
                <w:szCs w:val="20"/>
              </w:rPr>
              <w:t xml:space="preserve">Starlink Gen2 Ku/Ka</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2020-05-26</w:t>
            </w:r>
          </w:p>
        </w:tc>
        <w:tc>
          <w:tcPr>
            <w:tcW w:w="0" w:type="auto"/>
          </w:tcPr>
          <w:p>
            <w:pPr>
              <w:spacing w:line="240" w:lineRule="auto" w:before="0" w:after="0"/>
              <w:pStyle w:val="Compact"/>
            </w:pPr>
            <w:r>
              <w:rPr>
                <w:sz w:val="20"/>
                <w:szCs w:val="20"/>
              </w:rPr>
              <w:t xml:space="preserve">2022-12-01</w:t>
            </w:r>
          </w:p>
        </w:tc>
        <w:tc>
          <w:tcPr>
            <w:tcW w:w="0" w:type="auto"/>
          </w:tcPr>
          <w:p>
            <w:pPr>
              <w:spacing w:line="240" w:lineRule="auto" w:before="0" w:after="0"/>
              <w:pStyle w:val="Compact"/>
            </w:pPr>
            <w:r>
              <w:rPr>
                <w:sz w:val="20"/>
                <w:szCs w:val="20"/>
              </w:rPr>
              <w:t xml:space="preserve">2022-12-01</w:t>
            </w:r>
          </w:p>
        </w:tc>
        <w:tc>
          <w:tcPr>
            <w:tcW w:w="0" w:type="auto"/>
          </w:tcPr>
          <w:p>
            <w:pPr>
              <w:spacing w:line="240" w:lineRule="auto" w:before="0" w:after="0"/>
              <w:pStyle w:val="Compact"/>
            </w:pPr>
            <w:r>
              <w:rPr>
                <w:sz w:val="20"/>
                <w:szCs w:val="20"/>
              </w:rPr>
              <w:t xml:space="preserve">30.2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7500</w:t>
            </w:r>
          </w:p>
        </w:tc>
        <w:tc>
          <w:tcPr>
            <w:tcW w:w="0" w:type="auto"/>
          </w:tcPr>
          <w:p>
            <w:pPr>
              <w:spacing w:line="240" w:lineRule="auto" w:before="0" w:after="0"/>
              <w:pStyle w:val="Compact"/>
            </w:pPr>
            <w:r>
              <w:rPr>
                <w:sz w:val="20"/>
                <w:szCs w:val="20"/>
              </w:rPr>
              <w:t xml:space="preserve">8.923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partial grant 2022-12-01, application filed May 2020 (fcc.gov/document/fcc-partially-grants-spacex-gen2-broadband-satellite-application; spacenews.com)</w:t>
            </w:r>
          </w:p>
        </w:tc>
      </w:tr>
      <w:tr>
        <w:tc>
          <w:tcPr>
            <w:tcW w:w="0" w:type="auto"/>
          </w:tcPr>
          <w:p>
            <w:pPr>
              <w:spacing w:line="240" w:lineRule="auto" w:before="0" w:after="0"/>
              <w:pStyle w:val="Compact"/>
            </w:pPr>
            <w:r>
              <w:rPr>
                <w:sz w:val="20"/>
                <w:szCs w:val="20"/>
              </w:rPr>
              <w:t xml:space="preserve">OneWeb Phase 1</w:t>
            </w:r>
          </w:p>
        </w:tc>
        <w:tc>
          <w:tcPr>
            <w:tcW w:w="0" w:type="auto"/>
          </w:tcPr>
          <w:p>
            <w:pPr>
              <w:spacing w:line="240" w:lineRule="auto" w:before="0" w:after="0"/>
              <w:pStyle w:val="Compact"/>
            </w:pPr>
            <w:r>
              <w:rPr>
                <w:sz w:val="20"/>
                <w:szCs w:val="20"/>
              </w:rPr>
              <w:t xml:space="preserve">WorldVu OneWeb</w:t>
            </w:r>
          </w:p>
        </w:tc>
        <w:tc>
          <w:tcPr>
            <w:tcW w:w="0" w:type="auto"/>
          </w:tcPr>
          <w:p>
            <w:pPr>
              <w:spacing w:line="240" w:lineRule="auto" w:before="0" w:after="0"/>
              <w:pStyle w:val="Compact"/>
            </w:pPr>
            <w:r>
              <w:rPr>
                <w:sz w:val="20"/>
                <w:szCs w:val="20"/>
              </w:rPr>
              <w:t xml:space="preserve">2016-04-28</w:t>
            </w:r>
          </w:p>
        </w:tc>
        <w:tc>
          <w:tcPr>
            <w:tcW w:w="0" w:type="auto"/>
          </w:tcPr>
          <w:p>
            <w:pPr>
              <w:spacing w:line="240" w:lineRule="auto" w:before="0" w:after="0"/>
              <w:pStyle w:val="Compact"/>
            </w:pPr>
            <w:r>
              <w:rPr>
                <w:sz w:val="20"/>
                <w:szCs w:val="20"/>
              </w:rPr>
              <w:t xml:space="preserve">2017-06-22</w:t>
            </w:r>
          </w:p>
        </w:tc>
        <w:tc>
          <w:tcPr>
            <w:tcW w:w="0" w:type="auto"/>
          </w:tcPr>
          <w:p>
            <w:pPr>
              <w:spacing w:line="240" w:lineRule="auto" w:before="0" w:after="0"/>
              <w:pStyle w:val="Compact"/>
            </w:pPr>
            <w:r>
              <w:rPr>
                <w:sz w:val="20"/>
                <w:szCs w:val="20"/>
              </w:rPr>
              <w:t xml:space="preserve">2017-06-22</w:t>
            </w:r>
          </w:p>
        </w:tc>
        <w:tc>
          <w:tcPr>
            <w:tcW w:w="0" w:type="auto"/>
          </w:tcPr>
          <w:p>
            <w:pPr>
              <w:spacing w:line="240" w:lineRule="auto" w:before="0" w:after="0"/>
              <w:pStyle w:val="Compact"/>
            </w:pPr>
            <w:r>
              <w:rPr>
                <w:sz w:val="20"/>
                <w:szCs w:val="20"/>
              </w:rPr>
              <w:t xml:space="preserve">13.8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720</w:t>
            </w:r>
          </w:p>
        </w:tc>
        <w:tc>
          <w:tcPr>
            <w:tcW w:w="0" w:type="auto"/>
          </w:tcPr>
          <w:p>
            <w:pPr>
              <w:spacing w:line="240" w:lineRule="auto" w:before="0" w:after="0"/>
              <w:pStyle w:val="Compact"/>
            </w:pPr>
            <w:r>
              <w:rPr>
                <w:sz w:val="20"/>
                <w:szCs w:val="20"/>
              </w:rPr>
              <w:t xml:space="preserve">6.579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17-77 market access grant 2017-06-22; petition SAT-LOI-20160428-00041 (fcc.gov/document/oneweb-market-access-grant; kelleydrye.com June 2017 recap)</w:t>
            </w:r>
          </w:p>
        </w:tc>
      </w:tr>
      <w:tr>
        <w:tc>
          <w:tcPr>
            <w:tcW w:w="0" w:type="auto"/>
          </w:tcPr>
          <w:p>
            <w:pPr>
              <w:spacing w:line="240" w:lineRule="auto" w:before="0" w:after="0"/>
              <w:pStyle w:val="Compact"/>
            </w:pPr>
            <w:r>
              <w:rPr>
                <w:sz w:val="20"/>
                <w:szCs w:val="20"/>
              </w:rPr>
              <w:t xml:space="preserve">Kuiper</w:t>
            </w:r>
          </w:p>
        </w:tc>
        <w:tc>
          <w:tcPr>
            <w:tcW w:w="0" w:type="auto"/>
          </w:tcPr>
          <w:p>
            <w:pPr>
              <w:spacing w:line="240" w:lineRule="auto" w:before="0" w:after="0"/>
              <w:pStyle w:val="Compact"/>
            </w:pPr>
            <w:r>
              <w:rPr>
                <w:sz w:val="20"/>
                <w:szCs w:val="20"/>
              </w:rPr>
              <w:t xml:space="preserve">Amazon</w:t>
            </w:r>
          </w:p>
        </w:tc>
        <w:tc>
          <w:tcPr>
            <w:tcW w:w="0" w:type="auto"/>
          </w:tcPr>
          <w:p>
            <w:pPr>
              <w:spacing w:line="240" w:lineRule="auto" w:before="0" w:after="0"/>
              <w:pStyle w:val="Compact"/>
            </w:pPr>
            <w:r>
              <w:rPr>
                <w:sz w:val="20"/>
                <w:szCs w:val="20"/>
              </w:rPr>
              <w:t xml:space="preserve">2019-07-04</w:t>
            </w:r>
          </w:p>
        </w:tc>
        <w:tc>
          <w:tcPr>
            <w:tcW w:w="0" w:type="auto"/>
          </w:tcPr>
          <w:p>
            <w:pPr>
              <w:spacing w:line="240" w:lineRule="auto" w:before="0" w:after="0"/>
              <w:pStyle w:val="Compact"/>
            </w:pPr>
            <w:r>
              <w:rPr>
                <w:sz w:val="20"/>
                <w:szCs w:val="20"/>
              </w:rPr>
              <w:t xml:space="preserve">2020-07-30</w:t>
            </w:r>
          </w:p>
        </w:tc>
        <w:tc>
          <w:tcPr>
            <w:tcW w:w="0" w:type="auto"/>
          </w:tcPr>
          <w:p>
            <w:pPr>
              <w:spacing w:line="240" w:lineRule="auto" w:before="0" w:after="0"/>
              <w:pStyle w:val="Compact"/>
            </w:pPr>
            <w:r>
              <w:rPr>
                <w:sz w:val="20"/>
                <w:szCs w:val="20"/>
              </w:rPr>
              <w:t xml:space="preserve">2020-07-30</w:t>
            </w:r>
          </w:p>
        </w:tc>
        <w:tc>
          <w:tcPr>
            <w:tcW w:w="0" w:type="auto"/>
          </w:tcPr>
          <w:p>
            <w:pPr>
              <w:spacing w:line="240" w:lineRule="auto" w:before="0" w:after="0"/>
              <w:pStyle w:val="Compact"/>
            </w:pPr>
            <w:r>
              <w:rPr>
                <w:sz w:val="20"/>
                <w:szCs w:val="20"/>
              </w:rPr>
              <w:t xml:space="preserve">12.9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3236</w:t>
            </w:r>
          </w:p>
        </w:tc>
        <w:tc>
          <w:tcPr>
            <w:tcW w:w="0" w:type="auto"/>
          </w:tcPr>
          <w:p>
            <w:pPr>
              <w:spacing w:line="240" w:lineRule="auto" w:before="0" w:after="0"/>
              <w:pStyle w:val="Compact"/>
            </w:pPr>
            <w:r>
              <w:rPr>
                <w:sz w:val="20"/>
                <w:szCs w:val="20"/>
              </w:rPr>
              <w:t xml:space="preserve">8.082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20-102 Kuiper authorization 2020-07-30; SAT-LOA-20190704-00057 (fcc.gov/document/fcc-authorizes-kuiper-satellite-constellation; docs.fcc.gov FCC-20-102A1)</w:t>
            </w:r>
          </w:p>
        </w:tc>
      </w:tr>
      <w:tr>
        <w:tc>
          <w:tcPr>
            <w:tcW w:w="0" w:type="auto"/>
          </w:tcPr>
          <w:p>
            <w:pPr>
              <w:spacing w:line="240" w:lineRule="auto" w:before="0" w:after="0"/>
              <w:pStyle w:val="Compact"/>
            </w:pPr>
            <w:r>
              <w:rPr>
                <w:sz w:val="20"/>
                <w:szCs w:val="20"/>
              </w:rPr>
              <w:t xml:space="preserve">Telesat Lightspeed V-band</w:t>
            </w:r>
          </w:p>
        </w:tc>
        <w:tc>
          <w:tcPr>
            <w:tcW w:w="0" w:type="auto"/>
          </w:tcPr>
          <w:p>
            <w:pPr>
              <w:spacing w:line="240" w:lineRule="auto" w:before="0" w:after="0"/>
              <w:pStyle w:val="Compact"/>
            </w:pPr>
            <w:r>
              <w:rPr>
                <w:sz w:val="20"/>
                <w:szCs w:val="20"/>
              </w:rPr>
              <w:t xml:space="preserve">Telesat</w:t>
            </w:r>
          </w:p>
        </w:tc>
        <w:tc>
          <w:tcPr>
            <w:tcW w:w="0" w:type="auto"/>
          </w:tcPr>
          <w:p>
            <w:pPr>
              <w:spacing w:line="240" w:lineRule="auto" w:before="0" w:after="0"/>
              <w:pStyle w:val="Compact"/>
            </w:pPr>
            <w:r>
              <w:rPr>
                <w:sz w:val="20"/>
                <w:szCs w:val="20"/>
              </w:rPr>
              <w:t xml:space="preserve">2017-03-01</w:t>
            </w:r>
          </w:p>
        </w:tc>
        <w:tc>
          <w:tcPr>
            <w:tcW w:w="0" w:type="auto"/>
          </w:tcPr>
          <w:p>
            <w:pPr>
              <w:spacing w:line="240" w:lineRule="auto" w:before="0" w:after="0"/>
              <w:pStyle w:val="Compact"/>
            </w:pPr>
            <w:r>
              <w:rPr>
                <w:sz w:val="20"/>
                <w:szCs w:val="20"/>
              </w:rPr>
              <w:t xml:space="preserve">2018-11-15</w:t>
            </w:r>
          </w:p>
        </w:tc>
        <w:tc>
          <w:tcPr>
            <w:tcW w:w="0" w:type="auto"/>
          </w:tcPr>
          <w:p>
            <w:pPr>
              <w:spacing w:line="240" w:lineRule="auto" w:before="0" w:after="0"/>
              <w:pStyle w:val="Compact"/>
            </w:pPr>
            <w:r>
              <w:rPr>
                <w:sz w:val="20"/>
                <w:szCs w:val="20"/>
              </w:rPr>
              <w:t xml:space="preserve">2018-11-15</w:t>
            </w:r>
          </w:p>
        </w:tc>
        <w:tc>
          <w:tcPr>
            <w:tcW w:w="0" w:type="auto"/>
          </w:tcPr>
          <w:p>
            <w:pPr>
              <w:spacing w:line="240" w:lineRule="auto" w:before="0" w:after="0"/>
              <w:pStyle w:val="Compact"/>
            </w:pPr>
            <w:r>
              <w:rPr>
                <w:sz w:val="20"/>
                <w:szCs w:val="20"/>
              </w:rPr>
              <w:t xml:space="preserve">20.5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117</w:t>
            </w:r>
          </w:p>
        </w:tc>
        <w:tc>
          <w:tcPr>
            <w:tcW w:w="0" w:type="auto"/>
          </w:tcPr>
          <w:p>
            <w:pPr>
              <w:spacing w:line="240" w:lineRule="auto" w:before="0" w:after="0"/>
              <w:pStyle w:val="Compact"/>
            </w:pPr>
            <w:r>
              <w:rPr>
                <w:sz w:val="20"/>
                <w:szCs w:val="20"/>
              </w:rPr>
              <w:t xml:space="preserve">4.762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market access grant Nov 2018; petition filed March 2017 (fcc.gov/document/fcc-grants-market-access-telesat-canada-ngso-constellation; docs.fcc.gov FCC-18-159A1)</w:t>
            </w:r>
          </w:p>
        </w:tc>
      </w:tr>
      <w:tr>
        <w:tc>
          <w:tcPr>
            <w:tcW w:w="0" w:type="auto"/>
          </w:tcPr>
          <w:p>
            <w:pPr>
              <w:spacing w:line="240" w:lineRule="auto" w:before="0" w:after="0"/>
              <w:pStyle w:val="Compact"/>
            </w:pPr>
            <w:r>
              <w:rPr>
                <w:sz w:val="20"/>
                <w:szCs w:val="20"/>
              </w:rPr>
              <w:t xml:space="preserve">Telesat Ku/Ka market access</w:t>
            </w:r>
          </w:p>
        </w:tc>
        <w:tc>
          <w:tcPr>
            <w:tcW w:w="0" w:type="auto"/>
          </w:tcPr>
          <w:p>
            <w:pPr>
              <w:spacing w:line="240" w:lineRule="auto" w:before="0" w:after="0"/>
              <w:pStyle w:val="Compact"/>
            </w:pPr>
            <w:r>
              <w:rPr>
                <w:sz w:val="20"/>
                <w:szCs w:val="20"/>
              </w:rPr>
              <w:t xml:space="preserve">Telesat</w:t>
            </w:r>
          </w:p>
        </w:tc>
        <w:tc>
          <w:tcPr>
            <w:tcW w:w="0" w:type="auto"/>
          </w:tcPr>
          <w:p>
            <w:pPr>
              <w:spacing w:line="240" w:lineRule="auto" w:before="0" w:after="0"/>
              <w:pStyle w:val="Compact"/>
            </w:pPr>
            <w:r>
              <w:rPr>
                <w:sz w:val="20"/>
                <w:szCs w:val="20"/>
              </w:rPr>
              <w:t xml:space="preserve">2020-05-26</w:t>
            </w:r>
          </w:p>
        </w:tc>
        <w:tc>
          <w:tcPr>
            <w:tcW w:w="0" w:type="auto"/>
          </w:tcPr>
          <w:p>
            <w:pPr>
              <w:spacing w:line="240" w:lineRule="auto" w:before="0" w:after="0"/>
              <w:pStyle w:val="Compact"/>
            </w:pPr>
            <w:r>
              <w:rPr>
                <w:sz w:val="20"/>
                <w:szCs w:val="20"/>
              </w:rPr>
              <w:t xml:space="preserve">2024-06-11</w:t>
            </w:r>
          </w:p>
        </w:tc>
        <w:tc>
          <w:tcPr>
            <w:tcW w:w="0" w:type="auto"/>
          </w:tcPr>
          <w:p>
            <w:pPr>
              <w:spacing w:line="240" w:lineRule="auto" w:before="0" w:after="0"/>
              <w:pStyle w:val="Compact"/>
            </w:pPr>
            <w:r>
              <w:rPr>
                <w:sz w:val="20"/>
                <w:szCs w:val="20"/>
              </w:rPr>
              <w:t xml:space="preserve">2024-06-11</w:t>
            </w:r>
          </w:p>
        </w:tc>
        <w:tc>
          <w:tcPr>
            <w:tcW w:w="0" w:type="auto"/>
          </w:tcPr>
          <w:p>
            <w:pPr>
              <w:spacing w:line="240" w:lineRule="auto" w:before="0" w:after="0"/>
              <w:pStyle w:val="Compact"/>
            </w:pPr>
            <w:r>
              <w:rPr>
                <w:sz w:val="20"/>
                <w:szCs w:val="20"/>
              </w:rPr>
              <w:t xml:space="preserve">48.6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117</w:t>
            </w:r>
          </w:p>
        </w:tc>
        <w:tc>
          <w:tcPr>
            <w:tcW w:w="0" w:type="auto"/>
          </w:tcPr>
          <w:p>
            <w:pPr>
              <w:spacing w:line="240" w:lineRule="auto" w:before="0" w:after="0"/>
              <w:pStyle w:val="Compact"/>
            </w:pPr>
            <w:r>
              <w:rPr>
                <w:sz w:val="20"/>
                <w:szCs w:val="20"/>
              </w:rPr>
              <w:t xml:space="preserve">4.762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grant 2024-06-11 for 117-satellite Canada-authorized NGSO; SAT-MPL-20200526-00053 (fcc.gov/document/fcc-grants-market-access-telesat-canada-ngso-constellation)</w:t>
            </w:r>
          </w:p>
        </w:tc>
      </w:tr>
      <w:tr>
        <w:tc>
          <w:tcPr>
            <w:tcW w:w="0" w:type="auto"/>
          </w:tcPr>
          <w:p>
            <w:pPr>
              <w:spacing w:line="240" w:lineRule="auto" w:before="0" w:after="0"/>
              <w:pStyle w:val="Compact"/>
            </w:pPr>
            <w:r>
              <w:rPr>
                <w:sz w:val="20"/>
                <w:szCs w:val="20"/>
              </w:rPr>
              <w:t xml:space="preserve">Kuiper Ka MSS/FSS expansion</w:t>
            </w:r>
          </w:p>
        </w:tc>
        <w:tc>
          <w:tcPr>
            <w:tcW w:w="0" w:type="auto"/>
          </w:tcPr>
          <w:p>
            <w:pPr>
              <w:spacing w:line="240" w:lineRule="auto" w:before="0" w:after="0"/>
              <w:pStyle w:val="Compact"/>
            </w:pPr>
            <w:r>
              <w:rPr>
                <w:sz w:val="20"/>
                <w:szCs w:val="20"/>
              </w:rPr>
              <w:t xml:space="preserve">Amazon</w:t>
            </w:r>
          </w:p>
        </w:tc>
        <w:tc>
          <w:tcPr>
            <w:tcW w:w="0" w:type="auto"/>
          </w:tcPr>
          <w:p>
            <w:pPr>
              <w:spacing w:line="240" w:lineRule="auto" w:before="0" w:after="0"/>
              <w:pStyle w:val="Compact"/>
            </w:pPr>
            <w:r>
              <w:rPr>
                <w:sz w:val="20"/>
                <w:szCs w:val="20"/>
              </w:rPr>
              <w:t xml:space="preserve">2021-11-04</w:t>
            </w:r>
          </w:p>
        </w:tc>
        <w:tc>
          <w:tcPr>
            <w:tcW w:w="0" w:type="auto"/>
          </w:tcPr>
          <w:p>
            <w:pPr>
              <w:spacing w:line="240" w:lineRule="auto" w:before="0" w:after="0"/>
              <w:pStyle w:val="Compact"/>
            </w:pPr>
            <w:r>
              <w:rPr>
                <w:sz w:val="20"/>
                <w:szCs w:val="20"/>
              </w:rPr>
              <w:t xml:space="preserve">2024-06-11</w:t>
            </w:r>
          </w:p>
        </w:tc>
        <w:tc>
          <w:tcPr>
            <w:tcW w:w="0" w:type="auto"/>
          </w:tcPr>
          <w:p>
            <w:pPr>
              <w:spacing w:line="240" w:lineRule="auto" w:before="0" w:after="0"/>
              <w:pStyle w:val="Compact"/>
            </w:pPr>
            <w:r>
              <w:rPr>
                <w:sz w:val="20"/>
                <w:szCs w:val="20"/>
              </w:rPr>
              <w:t xml:space="preserve">2024-06-11</w:t>
            </w:r>
          </w:p>
        </w:tc>
        <w:tc>
          <w:tcPr>
            <w:tcW w:w="0" w:type="auto"/>
          </w:tcPr>
          <w:p>
            <w:pPr>
              <w:spacing w:line="240" w:lineRule="auto" w:before="0" w:after="0"/>
              <w:pStyle w:val="Compact"/>
            </w:pPr>
            <w:r>
              <w:rPr>
                <w:sz w:val="20"/>
                <w:szCs w:val="20"/>
              </w:rPr>
              <w:t xml:space="preserve">31.4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3236</w:t>
            </w:r>
          </w:p>
        </w:tc>
        <w:tc>
          <w:tcPr>
            <w:tcW w:w="0" w:type="auto"/>
          </w:tcPr>
          <w:p>
            <w:pPr>
              <w:spacing w:line="240" w:lineRule="auto" w:before="0" w:after="0"/>
              <w:pStyle w:val="Compact"/>
            </w:pPr>
            <w:r>
              <w:rPr>
                <w:sz w:val="20"/>
                <w:szCs w:val="20"/>
              </w:rPr>
              <w:t xml:space="preserve">8.082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grant 2024-06-11 additional FSS/MSS Ka authority; filed Nov 2021 round (fcc.gov; spacenews.com/amazons-kuiper-constellation-gets-fcc-approval)</w:t>
            </w:r>
          </w:p>
        </w:tc>
      </w:tr>
      <w:tr>
        <w:tc>
          <w:tcPr>
            <w:tcW w:w="0" w:type="auto"/>
          </w:tcPr>
          <w:p>
            <w:pPr>
              <w:spacing w:line="240" w:lineRule="auto" w:before="0" w:after="0"/>
              <w:pStyle w:val="Compact"/>
            </w:pPr>
            <w:r>
              <w:rPr>
                <w:sz w:val="20"/>
                <w:szCs w:val="20"/>
              </w:rPr>
              <w:t xml:space="preserve">Boeing V-band</w:t>
            </w:r>
          </w:p>
        </w:tc>
        <w:tc>
          <w:tcPr>
            <w:tcW w:w="0" w:type="auto"/>
          </w:tcPr>
          <w:p>
            <w:pPr>
              <w:spacing w:line="240" w:lineRule="auto" w:before="0" w:after="0"/>
              <w:pStyle w:val="Compact"/>
            </w:pPr>
            <w:r>
              <w:rPr>
                <w:sz w:val="20"/>
                <w:szCs w:val="20"/>
              </w:rPr>
              <w:t xml:space="preserve">Boeing</w:t>
            </w:r>
          </w:p>
        </w:tc>
        <w:tc>
          <w:tcPr>
            <w:tcW w:w="0" w:type="auto"/>
          </w:tcPr>
          <w:p>
            <w:pPr>
              <w:spacing w:line="240" w:lineRule="auto" w:before="0" w:after="0"/>
              <w:pStyle w:val="Compact"/>
            </w:pPr>
            <w:r>
              <w:rPr>
                <w:sz w:val="20"/>
                <w:szCs w:val="20"/>
              </w:rPr>
              <w:t xml:space="preserve">2017-06-22</w:t>
            </w:r>
          </w:p>
        </w:tc>
        <w:tc>
          <w:tcPr>
            <w:tcW w:w="0" w:type="auto"/>
          </w:tcPr>
          <w:p>
            <w:pPr>
              <w:spacing w:line="240" w:lineRule="auto" w:before="0" w:after="0"/>
              <w:pStyle w:val="Compact"/>
            </w:pPr>
            <w:r>
              <w:rPr>
                <w:sz w:val="20"/>
                <w:szCs w:val="20"/>
              </w:rPr>
              <w:t xml:space="preserve">2021-11-03</w:t>
            </w:r>
          </w:p>
        </w:tc>
        <w:tc>
          <w:tcPr>
            <w:tcW w:w="0" w:type="auto"/>
          </w:tcPr>
          <w:p>
            <w:pPr>
              <w:spacing w:line="240" w:lineRule="auto" w:before="0" w:after="0"/>
              <w:pStyle w:val="Compact"/>
            </w:pPr>
            <w:r>
              <w:rPr>
                <w:sz w:val="20"/>
                <w:szCs w:val="20"/>
              </w:rPr>
              <w:t xml:space="preserve">2021-11-03</w:t>
            </w:r>
          </w:p>
        </w:tc>
        <w:tc>
          <w:tcPr>
            <w:tcW w:w="0" w:type="auto"/>
          </w:tcPr>
          <w:p>
            <w:pPr>
              <w:spacing w:line="240" w:lineRule="auto" w:before="0" w:after="0"/>
              <w:pStyle w:val="Compact"/>
            </w:pPr>
            <w:r>
              <w:rPr>
                <w:sz w:val="20"/>
                <w:szCs w:val="20"/>
              </w:rPr>
              <w:t xml:space="preserve">52.6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147</w:t>
            </w:r>
          </w:p>
        </w:tc>
        <w:tc>
          <w:tcPr>
            <w:tcW w:w="0" w:type="auto"/>
          </w:tcPr>
          <w:p>
            <w:pPr>
              <w:spacing w:line="240" w:lineRule="auto" w:before="0" w:after="0"/>
              <w:pStyle w:val="Compact"/>
            </w:pPr>
            <w:r>
              <w:rPr>
                <w:sz w:val="20"/>
                <w:szCs w:val="20"/>
              </w:rPr>
              <w:t xml:space="preserve">4.99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approval 2021-11-03; application filed 2017 (spacenews.com/fcc-approves-boeings-147-satellite-v-band-constellation; space.com/boeing-satellite-constellation-fcc-approval)</w:t>
            </w:r>
          </w:p>
        </w:tc>
      </w:tr>
      <w:tr>
        <w:tc>
          <w:tcPr>
            <w:tcW w:w="0" w:type="auto"/>
          </w:tcPr>
          <w:p>
            <w:pPr>
              <w:spacing w:line="240" w:lineRule="auto" w:before="0" w:after="0"/>
              <w:pStyle w:val="Compact"/>
            </w:pPr>
            <w:r>
              <w:rPr>
                <w:sz w:val="20"/>
                <w:szCs w:val="20"/>
              </w:rPr>
              <w:t xml:space="preserve">AST SpaceMobile SCS 248</w:t>
            </w:r>
          </w:p>
        </w:tc>
        <w:tc>
          <w:tcPr>
            <w:tcW w:w="0" w:type="auto"/>
          </w:tcPr>
          <w:p>
            <w:pPr>
              <w:spacing w:line="240" w:lineRule="auto" w:before="0" w:after="0"/>
              <w:pStyle w:val="Compact"/>
            </w:pPr>
            <w:r>
              <w:rPr>
                <w:sz w:val="20"/>
                <w:szCs w:val="20"/>
              </w:rPr>
              <w:t xml:space="preserve">AST and Science</w:t>
            </w:r>
          </w:p>
        </w:tc>
        <w:tc>
          <w:tcPr>
            <w:tcW w:w="0" w:type="auto"/>
          </w:tcPr>
          <w:p>
            <w:pPr>
              <w:spacing w:line="240" w:lineRule="auto" w:before="0" w:after="0"/>
              <w:pStyle w:val="Compact"/>
            </w:pPr>
            <w:r>
              <w:rPr>
                <w:sz w:val="20"/>
                <w:szCs w:val="20"/>
              </w:rPr>
              <w:t xml:space="preserve">2020-04-13</w:t>
            </w:r>
          </w:p>
        </w:tc>
        <w:tc>
          <w:tcPr>
            <w:tcW w:w="0" w:type="auto"/>
          </w:tcPr>
          <w:p>
            <w:pPr>
              <w:spacing w:line="240" w:lineRule="auto" w:before="0" w:after="0"/>
              <w:pStyle w:val="Compact"/>
            </w:pPr>
            <w:r>
              <w:rPr>
                <w:sz w:val="20"/>
                <w:szCs w:val="20"/>
              </w:rPr>
              <w:t xml:space="preserve">2026-04-21</w:t>
            </w:r>
          </w:p>
        </w:tc>
        <w:tc>
          <w:tcPr>
            <w:tcW w:w="0" w:type="auto"/>
          </w:tcPr>
          <w:p>
            <w:pPr>
              <w:spacing w:line="240" w:lineRule="auto" w:before="0" w:after="0"/>
              <w:pStyle w:val="Compact"/>
            </w:pPr>
            <w:r>
              <w:rPr>
                <w:sz w:val="20"/>
                <w:szCs w:val="20"/>
              </w:rPr>
              <w:t xml:space="preserve">2026-04-21</w:t>
            </w:r>
          </w:p>
        </w:tc>
        <w:tc>
          <w:tcPr>
            <w:tcW w:w="0" w:type="auto"/>
          </w:tcPr>
          <w:p>
            <w:pPr>
              <w:spacing w:line="240" w:lineRule="auto" w:before="0" w:after="0"/>
              <w:pStyle w:val="Compact"/>
            </w:pPr>
            <w:r>
              <w:rPr>
                <w:sz w:val="20"/>
                <w:szCs w:val="20"/>
              </w:rPr>
              <w:t xml:space="preserve">72.3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248</w:t>
            </w:r>
          </w:p>
        </w:tc>
        <w:tc>
          <w:tcPr>
            <w:tcW w:w="0" w:type="auto"/>
          </w:tcPr>
          <w:p>
            <w:pPr>
              <w:spacing w:line="240" w:lineRule="auto" w:before="0" w:after="0"/>
              <w:pStyle w:val="Compact"/>
            </w:pPr>
            <w:r>
              <w:rPr>
                <w:sz w:val="20"/>
                <w:szCs w:val="20"/>
              </w:rPr>
              <w:t xml:space="preserve">5.513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DA 26-391 grant 2026-04-21; SAT-LOA-20200413-00034 filed Apr 2020 (satnews.com 2026/04/21; businesswire.com 20260422147378)</w:t>
            </w:r>
          </w:p>
        </w:tc>
      </w:tr>
      <w:tr>
        <w:tc>
          <w:tcPr>
            <w:tcW w:w="0" w:type="auto"/>
          </w:tcPr>
          <w:p>
            <w:pPr>
              <w:spacing w:line="240" w:lineRule="auto" w:before="0" w:after="0"/>
              <w:pStyle w:val="Compact"/>
            </w:pPr>
            <w:r>
              <w:rPr>
                <w:sz w:val="20"/>
                <w:szCs w:val="20"/>
              </w:rPr>
              <w:t xml:space="preserve">Astra Spacecom</w:t>
            </w:r>
          </w:p>
        </w:tc>
        <w:tc>
          <w:tcPr>
            <w:tcW w:w="0" w:type="auto"/>
          </w:tcPr>
          <w:p>
            <w:pPr>
              <w:spacing w:line="240" w:lineRule="auto" w:before="0" w:after="0"/>
              <w:pStyle w:val="Compact"/>
            </w:pPr>
            <w:r>
              <w:rPr>
                <w:sz w:val="20"/>
                <w:szCs w:val="20"/>
              </w:rPr>
              <w:t xml:space="preserve">Astra</w:t>
            </w:r>
          </w:p>
        </w:tc>
        <w:tc>
          <w:tcPr>
            <w:tcW w:w="0" w:type="auto"/>
          </w:tcPr>
          <w:p>
            <w:pPr>
              <w:spacing w:line="240" w:lineRule="auto" w:before="0" w:after="0"/>
              <w:pStyle w:val="Compact"/>
            </w:pPr>
            <w:r>
              <w:rPr>
                <w:sz w:val="20"/>
                <w:szCs w:val="20"/>
              </w:rPr>
              <w:t xml:space="preserve">2021-11-04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2026-06-01</w:t>
            </w:r>
          </w:p>
        </w:tc>
        <w:tc>
          <w:tcPr>
            <w:tcW w:w="0" w:type="auto"/>
          </w:tcPr>
          <w:p>
            <w:pPr>
              <w:spacing w:line="240" w:lineRule="auto" w:before="0" w:after="0"/>
              <w:pStyle w:val="Compact"/>
            </w:pPr>
            <w:r>
              <w:rPr>
                <w:sz w:val="20"/>
                <w:szCs w:val="20"/>
              </w:rPr>
              <w:t xml:space="preserve">54.9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13620</w:t>
            </w:r>
          </w:p>
        </w:tc>
        <w:tc>
          <w:tcPr>
            <w:tcW w:w="0" w:type="auto"/>
          </w:tcPr>
          <w:p>
            <w:pPr>
              <w:spacing w:line="240" w:lineRule="auto" w:before="0" w:after="0"/>
              <w:pStyle w:val="Compact"/>
            </w:pPr>
            <w:r>
              <w:rPr>
                <w:sz w:val="20"/>
                <w:szCs w:val="20"/>
              </w:rPr>
              <w:t xml:space="preserve">9.519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Filed 2021-11-04 for 13620-satellite LEO system; not granted as of cutoff (spaceexplored.com 2021/11/04; spacenews.com/astra-files-fcc-application-for-13600-satellite-constellation)</w:t>
            </w:r>
          </w:p>
        </w:tc>
      </w:tr>
      <w:tr>
        <w:tc>
          <w:tcPr>
            <w:tcW w:w="0" w:type="auto"/>
          </w:tcPr>
          <w:p>
            <w:pPr>
              <w:spacing w:line="240" w:lineRule="auto" w:before="0" w:after="0"/>
              <w:pStyle w:val="Compact"/>
            </w:pPr>
            <w:r>
              <w:rPr>
                <w:sz w:val="20"/>
                <w:szCs w:val="20"/>
              </w:rPr>
              <w:t xml:space="preserve">Hughes LEO</w:t>
            </w:r>
          </w:p>
        </w:tc>
        <w:tc>
          <w:tcPr>
            <w:tcW w:w="0" w:type="auto"/>
          </w:tcPr>
          <w:p>
            <w:pPr>
              <w:spacing w:line="240" w:lineRule="auto" w:before="0" w:after="0"/>
              <w:pStyle w:val="Compact"/>
            </w:pPr>
            <w:r>
              <w:rPr>
                <w:sz w:val="20"/>
                <w:szCs w:val="20"/>
              </w:rPr>
              <w:t xml:space="preserve">Hughes Network Systems</w:t>
            </w:r>
          </w:p>
        </w:tc>
        <w:tc>
          <w:tcPr>
            <w:tcW w:w="0" w:type="auto"/>
          </w:tcPr>
          <w:p>
            <w:pPr>
              <w:spacing w:line="240" w:lineRule="auto" w:before="0" w:after="0"/>
              <w:pStyle w:val="Compact"/>
            </w:pPr>
            <w:r>
              <w:rPr>
                <w:sz w:val="20"/>
                <w:szCs w:val="20"/>
              </w:rPr>
              <w:t xml:space="preserve">2021-11-04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2026-06-01</w:t>
            </w:r>
          </w:p>
        </w:tc>
        <w:tc>
          <w:tcPr>
            <w:tcW w:w="0" w:type="auto"/>
          </w:tcPr>
          <w:p>
            <w:pPr>
              <w:spacing w:line="240" w:lineRule="auto" w:before="0" w:after="0"/>
              <w:pStyle w:val="Compact"/>
            </w:pPr>
            <w:r>
              <w:rPr>
                <w:sz w:val="20"/>
                <w:szCs w:val="20"/>
              </w:rPr>
              <w:t xml:space="preserve">54.9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1440</w:t>
            </w:r>
          </w:p>
        </w:tc>
        <w:tc>
          <w:tcPr>
            <w:tcW w:w="0" w:type="auto"/>
          </w:tcPr>
          <w:p>
            <w:pPr>
              <w:spacing w:line="240" w:lineRule="auto" w:before="0" w:after="0"/>
              <w:pStyle w:val="Compact"/>
            </w:pPr>
            <w:r>
              <w:rPr>
                <w:sz w:val="20"/>
                <w:szCs w:val="20"/>
              </w:rPr>
              <w:t xml:space="preserve">7.272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Filed 2021-11-04 for 1440 LEO satellites; pending as of cutoff (spaceexplored.com 2021/11/04; cnbc.com 2021/11/05)</w:t>
            </w:r>
          </w:p>
        </w:tc>
      </w:tr>
      <w:tr>
        <w:tc>
          <w:tcPr>
            <w:tcW w:w="0" w:type="auto"/>
          </w:tcPr>
          <w:p>
            <w:pPr>
              <w:spacing w:line="240" w:lineRule="auto" w:before="0" w:after="0"/>
              <w:pStyle w:val="Compact"/>
            </w:pPr>
            <w:r>
              <w:rPr>
                <w:sz w:val="20"/>
                <w:szCs w:val="20"/>
              </w:rPr>
              <w:t xml:space="preserve">Inmarsat Orchestra V-band</w:t>
            </w:r>
          </w:p>
        </w:tc>
        <w:tc>
          <w:tcPr>
            <w:tcW w:w="0" w:type="auto"/>
          </w:tcPr>
          <w:p>
            <w:pPr>
              <w:spacing w:line="240" w:lineRule="auto" w:before="0" w:after="0"/>
              <w:pStyle w:val="Compact"/>
            </w:pPr>
            <w:r>
              <w:rPr>
                <w:sz w:val="20"/>
                <w:szCs w:val="20"/>
              </w:rPr>
              <w:t xml:space="preserve">Inmarsat</w:t>
            </w:r>
          </w:p>
        </w:tc>
        <w:tc>
          <w:tcPr>
            <w:tcW w:w="0" w:type="auto"/>
          </w:tcPr>
          <w:p>
            <w:pPr>
              <w:spacing w:line="240" w:lineRule="auto" w:before="0" w:after="0"/>
              <w:pStyle w:val="Compact"/>
            </w:pPr>
            <w:r>
              <w:rPr>
                <w:sz w:val="20"/>
                <w:szCs w:val="20"/>
              </w:rPr>
              <w:t xml:space="preserve">2021-11-04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2026-06-01</w:t>
            </w:r>
          </w:p>
        </w:tc>
        <w:tc>
          <w:tcPr>
            <w:tcW w:w="0" w:type="auto"/>
          </w:tcPr>
          <w:p>
            <w:pPr>
              <w:spacing w:line="240" w:lineRule="auto" w:before="0" w:after="0"/>
              <w:pStyle w:val="Compact"/>
            </w:pPr>
            <w:r>
              <w:rPr>
                <w:sz w:val="20"/>
                <w:szCs w:val="20"/>
              </w:rPr>
              <w:t xml:space="preserve">54.9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198</w:t>
            </w:r>
          </w:p>
        </w:tc>
        <w:tc>
          <w:tcPr>
            <w:tcW w:w="0" w:type="auto"/>
          </w:tcPr>
          <w:p>
            <w:pPr>
              <w:spacing w:line="240" w:lineRule="auto" w:before="0" w:after="0"/>
              <w:pStyle w:val="Compact"/>
            </w:pPr>
            <w:r>
              <w:rPr>
                <w:sz w:val="20"/>
                <w:szCs w:val="20"/>
              </w:rPr>
              <w:t xml:space="preserve">5.288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Filed 2021-11-04 for 198-satellite V-band Orchestra constellation; pending (spaceexplored.com 2021/11/04; cnbc.com 2021/11/05)</w:t>
            </w:r>
          </w:p>
        </w:tc>
      </w:tr>
      <w:tr>
        <w:tc>
          <w:tcPr>
            <w:tcW w:w="0" w:type="auto"/>
          </w:tcPr>
          <w:p>
            <w:pPr>
              <w:spacing w:line="240" w:lineRule="auto" w:before="0" w:after="0"/>
              <w:pStyle w:val="Compact"/>
            </w:pPr>
            <w:r>
              <w:rPr>
                <w:sz w:val="20"/>
                <w:szCs w:val="20"/>
              </w:rPr>
              <w:t xml:space="preserve">Telesat augmentation 1671</w:t>
            </w:r>
          </w:p>
        </w:tc>
        <w:tc>
          <w:tcPr>
            <w:tcW w:w="0" w:type="auto"/>
          </w:tcPr>
          <w:p>
            <w:pPr>
              <w:spacing w:line="240" w:lineRule="auto" w:before="0" w:after="0"/>
              <w:pStyle w:val="Compact"/>
            </w:pPr>
            <w:r>
              <w:rPr>
                <w:sz w:val="20"/>
                <w:szCs w:val="20"/>
              </w:rPr>
              <w:t xml:space="preserve">Telesat</w:t>
            </w:r>
          </w:p>
        </w:tc>
        <w:tc>
          <w:tcPr>
            <w:tcW w:w="0" w:type="auto"/>
          </w:tcPr>
          <w:p>
            <w:pPr>
              <w:spacing w:line="240" w:lineRule="auto" w:before="0" w:after="0"/>
              <w:pStyle w:val="Compact"/>
            </w:pPr>
            <w:r>
              <w:rPr>
                <w:sz w:val="20"/>
                <w:szCs w:val="20"/>
              </w:rPr>
              <w:t xml:space="preserve">2021-11-04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2026-06-01</w:t>
            </w:r>
          </w:p>
        </w:tc>
        <w:tc>
          <w:tcPr>
            <w:tcW w:w="0" w:type="auto"/>
          </w:tcPr>
          <w:p>
            <w:pPr>
              <w:spacing w:line="240" w:lineRule="auto" w:before="0" w:after="0"/>
              <w:pStyle w:val="Compact"/>
            </w:pPr>
            <w:r>
              <w:rPr>
                <w:sz w:val="20"/>
                <w:szCs w:val="20"/>
              </w:rPr>
              <w:t xml:space="preserve">54.9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1671</w:t>
            </w:r>
          </w:p>
        </w:tc>
        <w:tc>
          <w:tcPr>
            <w:tcW w:w="0" w:type="auto"/>
          </w:tcPr>
          <w:p>
            <w:pPr>
              <w:spacing w:line="240" w:lineRule="auto" w:before="0" w:after="0"/>
              <w:pStyle w:val="Compact"/>
            </w:pPr>
            <w:r>
              <w:rPr>
                <w:sz w:val="20"/>
                <w:szCs w:val="20"/>
              </w:rPr>
              <w:t xml:space="preserve">7.421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Filed 2021-11-04 to augment constellation to 1671 satellites; pending second-round (spaceexplored.com 2021/11/04; cnbc.com 2021/11/05)</w:t>
            </w:r>
          </w:p>
        </w:tc>
      </w:tr>
      <w:tr>
        <w:tc>
          <w:tcPr>
            <w:tcW w:w="0" w:type="auto"/>
          </w:tcPr>
          <w:p>
            <w:pPr>
              <w:spacing w:line="240" w:lineRule="auto" w:before="0" w:after="0"/>
              <w:pStyle w:val="Compact"/>
            </w:pPr>
            <w:r>
              <w:rPr>
                <w:sz w:val="20"/>
                <w:szCs w:val="20"/>
              </w:rPr>
              <w:t xml:space="preserve">Intelsat NGSO</w:t>
            </w:r>
          </w:p>
        </w:tc>
        <w:tc>
          <w:tcPr>
            <w:tcW w:w="0" w:type="auto"/>
          </w:tcPr>
          <w:p>
            <w:pPr>
              <w:spacing w:line="240" w:lineRule="auto" w:before="0" w:after="0"/>
              <w:pStyle w:val="Compact"/>
            </w:pPr>
            <w:r>
              <w:rPr>
                <w:sz w:val="20"/>
                <w:szCs w:val="20"/>
              </w:rPr>
              <w:t xml:space="preserve">Intelsat</w:t>
            </w:r>
          </w:p>
        </w:tc>
        <w:tc>
          <w:tcPr>
            <w:tcW w:w="0" w:type="auto"/>
          </w:tcPr>
          <w:p>
            <w:pPr>
              <w:spacing w:line="240" w:lineRule="auto" w:before="0" w:after="0"/>
              <w:pStyle w:val="Compact"/>
            </w:pPr>
            <w:r>
              <w:rPr>
                <w:sz w:val="20"/>
                <w:szCs w:val="20"/>
              </w:rPr>
              <w:t xml:space="preserve">2023-05-04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2026-06-01</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216</w:t>
            </w:r>
          </w:p>
        </w:tc>
        <w:tc>
          <w:tcPr>
            <w:tcW w:w="0" w:type="auto"/>
          </w:tcPr>
          <w:p>
            <w:pPr>
              <w:spacing w:line="240" w:lineRule="auto" w:before="0" w:after="0"/>
              <w:pStyle w:val="Compact"/>
            </w:pPr>
            <w:r>
              <w:rPr>
                <w:sz w:val="20"/>
                <w:szCs w:val="20"/>
              </w:rPr>
              <w:t xml:space="preserve">5.375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Filed 2023-05-04 NGSO FSS application; pending (payloadspace.com status-of-ngso-fixed-satellite-service-spectrum-priority)</w:t>
            </w:r>
          </w:p>
        </w:tc>
      </w:tr>
      <w:tr>
        <w:tc>
          <w:tcPr>
            <w:tcW w:w="0" w:type="auto"/>
          </w:tcPr>
          <w:p>
            <w:pPr>
              <w:spacing w:line="240" w:lineRule="auto" w:before="0" w:after="0"/>
              <w:pStyle w:val="Compact"/>
            </w:pPr>
            <w:r>
              <w:rPr>
                <w:sz w:val="20"/>
                <w:szCs w:val="20"/>
              </w:rPr>
              <w:t xml:space="preserve">NSLComm Pleiades</w:t>
            </w:r>
          </w:p>
        </w:tc>
        <w:tc>
          <w:tcPr>
            <w:tcW w:w="0" w:type="auto"/>
          </w:tcPr>
          <w:p>
            <w:pPr>
              <w:spacing w:line="240" w:lineRule="auto" w:before="0" w:after="0"/>
              <w:pStyle w:val="Compact"/>
            </w:pPr>
            <w:r>
              <w:rPr>
                <w:sz w:val="20"/>
                <w:szCs w:val="20"/>
              </w:rPr>
              <w:t xml:space="preserve">NSLComm</w:t>
            </w:r>
          </w:p>
        </w:tc>
        <w:tc>
          <w:tcPr>
            <w:tcW w:w="0" w:type="auto"/>
          </w:tcPr>
          <w:p>
            <w:pPr>
              <w:spacing w:line="240" w:lineRule="auto" w:before="0" w:after="0"/>
              <w:pStyle w:val="Compact"/>
            </w:pPr>
            <w:r>
              <w:rPr>
                <w:sz w:val="20"/>
                <w:szCs w:val="20"/>
              </w:rPr>
              <w:t xml:space="preserve">2024-08-16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2026-06-01</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2.708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Filing date 2024-08-16 documented; 15-satellite Pleiades system per New Spectrum/Pleiades record [illustrative satellite count for NSLComm] (payloadspace.com; space.skyrocket.de nslsat-1)</w:t>
            </w:r>
          </w:p>
        </w:tc>
      </w:tr>
      <w:tr>
        <w:tc>
          <w:tcPr>
            <w:tcW w:w="0" w:type="auto"/>
          </w:tcPr>
          <w:p>
            <w:pPr>
              <w:spacing w:line="240" w:lineRule="auto" w:before="0" w:after="0"/>
              <w:pStyle w:val="Compact"/>
            </w:pPr>
            <w:r>
              <w:rPr>
                <w:sz w:val="20"/>
                <w:szCs w:val="20"/>
              </w:rPr>
              <w:t xml:space="preserve">Logos Space</w:t>
            </w:r>
          </w:p>
        </w:tc>
        <w:tc>
          <w:tcPr>
            <w:tcW w:w="0" w:type="auto"/>
          </w:tcPr>
          <w:p>
            <w:pPr>
              <w:spacing w:line="240" w:lineRule="auto" w:before="0" w:after="0"/>
              <w:pStyle w:val="Compact"/>
            </w:pPr>
            <w:r>
              <w:rPr>
                <w:sz w:val="20"/>
                <w:szCs w:val="20"/>
              </w:rPr>
              <w:t xml:space="preserve">Logos Space</w:t>
            </w:r>
          </w:p>
        </w:tc>
        <w:tc>
          <w:tcPr>
            <w:tcW w:w="0" w:type="auto"/>
          </w:tcPr>
          <w:p>
            <w:pPr>
              <w:spacing w:line="240" w:lineRule="auto" w:before="0" w:after="0"/>
              <w:pStyle w:val="Compact"/>
            </w:pPr>
            <w:r>
              <w:rPr>
                <w:sz w:val="20"/>
                <w:szCs w:val="20"/>
              </w:rPr>
              <w:t xml:space="preserve">2024-10-30</w:t>
            </w:r>
          </w:p>
        </w:tc>
        <w:tc>
          <w:tcPr>
            <w:tcW w:w="0" w:type="auto"/>
          </w:tcPr>
          <w:p>
            <w:pPr>
              <w:spacing w:line="240" w:lineRule="auto" w:before="0" w:after="0"/>
              <w:pStyle w:val="Compact"/>
            </w:pPr>
            <w:r>
              <w:rPr>
                <w:sz w:val="20"/>
                <w:szCs w:val="20"/>
              </w:rPr>
              <w:t xml:space="preserve">2026-02-05</w:t>
            </w:r>
          </w:p>
        </w:tc>
        <w:tc>
          <w:tcPr>
            <w:tcW w:w="0" w:type="auto"/>
          </w:tcPr>
          <w:p>
            <w:pPr>
              <w:spacing w:line="240" w:lineRule="auto" w:before="0" w:after="0"/>
              <w:pStyle w:val="Compact"/>
            </w:pPr>
            <w:r>
              <w:rPr>
                <w:sz w:val="20"/>
                <w:szCs w:val="20"/>
              </w:rPr>
              <w:t xml:space="preserve">2026-02-05</w:t>
            </w:r>
          </w:p>
        </w:tc>
        <w:tc>
          <w:tcPr>
            <w:tcW w:w="0" w:type="auto"/>
          </w:tcPr>
          <w:p>
            <w:pPr>
              <w:spacing w:line="240" w:lineRule="auto" w:before="0" w:after="0"/>
              <w:pStyle w:val="Compact"/>
            </w:pPr>
            <w:r>
              <w:rPr>
                <w:sz w:val="20"/>
                <w:szCs w:val="20"/>
              </w:rPr>
              <w:t xml:space="preserve">15.2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4178</w:t>
            </w:r>
          </w:p>
        </w:tc>
        <w:tc>
          <w:tcPr>
            <w:tcW w:w="0" w:type="auto"/>
          </w:tcPr>
          <w:p>
            <w:pPr>
              <w:spacing w:line="240" w:lineRule="auto" w:before="0" w:after="0"/>
              <w:pStyle w:val="Compact"/>
            </w:pPr>
            <w:r>
              <w:rPr>
                <w:sz w:val="20"/>
                <w:szCs w:val="20"/>
              </w:rPr>
              <w:t xml:space="preserve">8.338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grant 2026-02-05 (granted-in-part Jan 30 2026); SAT-LOA-20241030-00243 filed 2024-10-30; 4178 satellites (satellitetoday.com 2026/02/05; datacenterdynamics.com; spacenews.com/fcc-clears-logos)</w:t>
            </w:r>
          </w:p>
        </w:tc>
      </w:tr>
      <w:tr>
        <w:tc>
          <w:tcPr>
            <w:tcW w:w="0" w:type="auto"/>
          </w:tcPr>
          <w:p>
            <w:pPr>
              <w:spacing w:line="240" w:lineRule="auto" w:before="0" w:after="0"/>
              <w:pStyle w:val="Compact"/>
            </w:pPr>
            <w:r>
              <w:rPr>
                <w:sz w:val="20"/>
                <w:szCs w:val="20"/>
              </w:rPr>
              <w:t xml:space="preserve">SN Space Pleiades</w:t>
            </w:r>
          </w:p>
        </w:tc>
        <w:tc>
          <w:tcPr>
            <w:tcW w:w="0" w:type="auto"/>
          </w:tcPr>
          <w:p>
            <w:pPr>
              <w:spacing w:line="240" w:lineRule="auto" w:before="0" w:after="0"/>
              <w:pStyle w:val="Compact"/>
            </w:pPr>
            <w:r>
              <w:rPr>
                <w:sz w:val="20"/>
                <w:szCs w:val="20"/>
              </w:rPr>
              <w:t xml:space="preserve">New Spectrum Satellite</w:t>
            </w:r>
          </w:p>
        </w:tc>
        <w:tc>
          <w:tcPr>
            <w:tcW w:w="0" w:type="auto"/>
          </w:tcPr>
          <w:p>
            <w:pPr>
              <w:spacing w:line="240" w:lineRule="auto" w:before="0" w:after="0"/>
              <w:pStyle w:val="Compact"/>
            </w:pPr>
            <w:r>
              <w:rPr>
                <w:sz w:val="20"/>
                <w:szCs w:val="20"/>
              </w:rPr>
              <w:t xml:space="preserve">2021-11-04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2026-06-01</w:t>
            </w:r>
          </w:p>
        </w:tc>
        <w:tc>
          <w:tcPr>
            <w:tcW w:w="0" w:type="auto"/>
          </w:tcPr>
          <w:p>
            <w:pPr>
              <w:spacing w:line="240" w:lineRule="auto" w:before="0" w:after="0"/>
              <w:pStyle w:val="Compact"/>
            </w:pPr>
            <w:r>
              <w:rPr>
                <w:sz w:val="20"/>
                <w:szCs w:val="20"/>
              </w:rPr>
              <w:t xml:space="preserve">54.9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2.708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Filed 2021-11-04 second-round; 15-satellite Pleiades system, V/Ku/Ka (payloadspace.com status-of-ngso-fixed-satellite-service-spectrum-priority)</w:t>
            </w:r>
          </w:p>
        </w:tc>
      </w:tr>
      <w:tr>
        <w:tc>
          <w:tcPr>
            <w:tcW w:w="0" w:type="auto"/>
          </w:tcPr>
          <w:p>
            <w:pPr>
              <w:spacing w:line="240" w:lineRule="auto" w:before="0" w:after="0"/>
              <w:pStyle w:val="Compact"/>
            </w:pPr>
            <w:r>
              <w:rPr>
                <w:sz w:val="20"/>
                <w:szCs w:val="20"/>
              </w:rPr>
              <w:t xml:space="preserve">SpaceX Gen2 upgrade</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2022-08-19</w:t>
            </w:r>
          </w:p>
        </w:tc>
        <w:tc>
          <w:tcPr>
            <w:tcW w:w="0" w:type="auto"/>
          </w:tcPr>
          <w:p>
            <w:pPr>
              <w:spacing w:line="240" w:lineRule="auto" w:before="0" w:after="0"/>
              <w:pStyle w:val="Compact"/>
            </w:pPr>
            <w:r>
              <w:rPr>
                <w:sz w:val="20"/>
                <w:szCs w:val="20"/>
              </w:rPr>
              <w:t xml:space="preserve">2024-09-30</w:t>
            </w:r>
          </w:p>
        </w:tc>
        <w:tc>
          <w:tcPr>
            <w:tcW w:w="0" w:type="auto"/>
          </w:tcPr>
          <w:p>
            <w:pPr>
              <w:spacing w:line="240" w:lineRule="auto" w:before="0" w:after="0"/>
              <w:pStyle w:val="Compact"/>
            </w:pPr>
            <w:r>
              <w:rPr>
                <w:sz w:val="20"/>
                <w:szCs w:val="20"/>
              </w:rPr>
              <w:t xml:space="preserve">2024-09-30</w:t>
            </w:r>
          </w:p>
        </w:tc>
        <w:tc>
          <w:tcPr>
            <w:tcW w:w="0" w:type="auto"/>
          </w:tcPr>
          <w:p>
            <w:pPr>
              <w:spacing w:line="240" w:lineRule="auto" w:before="0" w:after="0"/>
              <w:pStyle w:val="Compact"/>
            </w:pPr>
            <w:r>
              <w:rPr>
                <w:sz w:val="20"/>
                <w:szCs w:val="20"/>
              </w:rPr>
              <w:t xml:space="preserve">25.4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7500</w:t>
            </w:r>
          </w:p>
        </w:tc>
        <w:tc>
          <w:tcPr>
            <w:tcW w:w="0" w:type="auto"/>
          </w:tcPr>
          <w:p>
            <w:pPr>
              <w:spacing w:line="240" w:lineRule="auto" w:before="0" w:after="0"/>
              <w:pStyle w:val="Compact"/>
            </w:pPr>
            <w:r>
              <w:rPr>
                <w:sz w:val="20"/>
                <w:szCs w:val="20"/>
              </w:rPr>
              <w:t xml:space="preserve">8.923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DA 24-1193 Gen2 upgrade partial grant 2024 (docs.fcc.gov DA-24-1193A1; fcc.gov/document/spacex-gen2-upgrade-applications-partial-grant)</w:t>
            </w:r>
          </w:p>
        </w:tc>
      </w:tr>
      <w:tr>
        <w:tc>
          <w:tcPr>
            <w:tcW w:w="0" w:type="auto"/>
          </w:tcPr>
          <w:p>
            <w:pPr>
              <w:spacing w:line="240" w:lineRule="auto" w:before="0" w:after="0"/>
              <w:pStyle w:val="Compact"/>
            </w:pPr>
            <w:r>
              <w:rPr>
                <w:sz w:val="20"/>
                <w:szCs w:val="20"/>
              </w:rPr>
              <w:t xml:space="preserve">OneWeb Phase 2</w:t>
            </w:r>
          </w:p>
        </w:tc>
        <w:tc>
          <w:tcPr>
            <w:tcW w:w="0" w:type="auto"/>
          </w:tcPr>
          <w:p>
            <w:pPr>
              <w:spacing w:line="240" w:lineRule="auto" w:before="0" w:after="0"/>
              <w:pStyle w:val="Compact"/>
            </w:pPr>
            <w:r>
              <w:rPr>
                <w:sz w:val="20"/>
                <w:szCs w:val="20"/>
              </w:rPr>
              <w:t xml:space="preserve">WorldVu OneWeb</w:t>
            </w:r>
          </w:p>
        </w:tc>
        <w:tc>
          <w:tcPr>
            <w:tcW w:w="0" w:type="auto"/>
          </w:tcPr>
          <w:p>
            <w:pPr>
              <w:spacing w:line="240" w:lineRule="auto" w:before="0" w:after="0"/>
              <w:pStyle w:val="Compact"/>
            </w:pPr>
            <w:r>
              <w:rPr>
                <w:sz w:val="20"/>
                <w:szCs w:val="20"/>
              </w:rPr>
              <w:t xml:space="preserve">2020-05-26</w:t>
            </w:r>
          </w:p>
        </w:tc>
        <w:tc>
          <w:tcPr>
            <w:tcW w:w="0" w:type="auto"/>
          </w:tcPr>
          <w:p>
            <w:pPr>
              <w:spacing w:line="240" w:lineRule="auto" w:before="0" w:after="0"/>
              <w:pStyle w:val="Compact"/>
            </w:pPr>
            <w:r>
              <w:rPr>
                <w:sz w:val="20"/>
                <w:szCs w:val="20"/>
              </w:rPr>
              <w:t xml:space="preserve">2023-09-05</w:t>
            </w:r>
          </w:p>
        </w:tc>
        <w:tc>
          <w:tcPr>
            <w:tcW w:w="0" w:type="auto"/>
          </w:tcPr>
          <w:p>
            <w:pPr>
              <w:spacing w:line="240" w:lineRule="auto" w:before="0" w:after="0"/>
              <w:pStyle w:val="Compact"/>
            </w:pPr>
            <w:r>
              <w:rPr>
                <w:sz w:val="20"/>
                <w:szCs w:val="20"/>
              </w:rPr>
              <w:t xml:space="preserve">2023-09-05</w:t>
            </w:r>
          </w:p>
        </w:tc>
        <w:tc>
          <w:tcPr>
            <w:tcW w:w="0" w:type="auto"/>
          </w:tcPr>
          <w:p>
            <w:pPr>
              <w:spacing w:line="240" w:lineRule="auto" w:before="0" w:after="0"/>
              <w:pStyle w:val="Compact"/>
            </w:pPr>
            <w:r>
              <w:rPr>
                <w:sz w:val="20"/>
                <w:szCs w:val="20"/>
              </w:rPr>
              <w:t xml:space="preserve">39.7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6372</w:t>
            </w:r>
          </w:p>
        </w:tc>
        <w:tc>
          <w:tcPr>
            <w:tcW w:w="0" w:type="auto"/>
          </w:tcPr>
          <w:p>
            <w:pPr>
              <w:spacing w:line="240" w:lineRule="auto" w:before="0" w:after="0"/>
              <w:pStyle w:val="Compact"/>
            </w:pPr>
            <w:r>
              <w:rPr>
                <w:sz w:val="20"/>
                <w:szCs w:val="20"/>
              </w:rPr>
              <w:t xml:space="preserve">8.76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grant 2023 for Phase 2; SAT-MPL-20200526-00062 filed May 2020 (fcc.report SAT-MPL-20200526-00062; en.wikipedia.org/wiki/OneWeb)</w:t>
            </w:r>
          </w:p>
        </w:tc>
      </w:tr>
      <w:tr>
        <w:tc>
          <w:tcPr>
            <w:tcW w:w="0" w:type="auto"/>
          </w:tcPr>
          <w:p>
            <w:pPr>
              <w:spacing w:line="240" w:lineRule="auto" w:before="0" w:after="0"/>
              <w:pStyle w:val="Compact"/>
            </w:pPr>
            <w:r>
              <w:rPr>
                <w:sz w:val="20"/>
                <w:szCs w:val="20"/>
              </w:rPr>
              <w:t xml:space="preserve">Lynk Global MSS</w:t>
            </w:r>
          </w:p>
        </w:tc>
        <w:tc>
          <w:tcPr>
            <w:tcW w:w="0" w:type="auto"/>
          </w:tcPr>
          <w:p>
            <w:pPr>
              <w:spacing w:line="240" w:lineRule="auto" w:before="0" w:after="0"/>
              <w:pStyle w:val="Compact"/>
            </w:pPr>
            <w:r>
              <w:rPr>
                <w:sz w:val="20"/>
                <w:szCs w:val="20"/>
              </w:rPr>
              <w:t xml:space="preserve">Lynk Global</w:t>
            </w:r>
          </w:p>
        </w:tc>
        <w:tc>
          <w:tcPr>
            <w:tcW w:w="0" w:type="auto"/>
          </w:tcPr>
          <w:p>
            <w:pPr>
              <w:spacing w:line="240" w:lineRule="auto" w:before="0" w:after="0"/>
              <w:pStyle w:val="Compact"/>
            </w:pPr>
            <w:r>
              <w:rPr>
                <w:sz w:val="20"/>
                <w:szCs w:val="20"/>
              </w:rPr>
              <w:t xml:space="preserve">2021-05-11</w:t>
            </w:r>
          </w:p>
        </w:tc>
        <w:tc>
          <w:tcPr>
            <w:tcW w:w="0" w:type="auto"/>
          </w:tcPr>
          <w:p>
            <w:pPr>
              <w:spacing w:line="240" w:lineRule="auto" w:before="0" w:after="0"/>
              <w:pStyle w:val="Compact"/>
            </w:pPr>
            <w:r>
              <w:rPr>
                <w:sz w:val="20"/>
                <w:szCs w:val="20"/>
              </w:rPr>
              <w:t xml:space="preserve">2022-09-16</w:t>
            </w:r>
          </w:p>
        </w:tc>
        <w:tc>
          <w:tcPr>
            <w:tcW w:w="0" w:type="auto"/>
          </w:tcPr>
          <w:p>
            <w:pPr>
              <w:spacing w:line="240" w:lineRule="auto" w:before="0" w:after="0"/>
              <w:pStyle w:val="Compact"/>
            </w:pPr>
            <w:r>
              <w:rPr>
                <w:sz w:val="20"/>
                <w:szCs w:val="20"/>
              </w:rPr>
              <w:t xml:space="preserve">2022-09-16</w:t>
            </w:r>
          </w:p>
        </w:tc>
        <w:tc>
          <w:tcPr>
            <w:tcW w:w="0" w:type="auto"/>
          </w:tcPr>
          <w:p>
            <w:pPr>
              <w:spacing w:line="240" w:lineRule="auto" w:before="0" w:after="0"/>
              <w:pStyle w:val="Compact"/>
            </w:pPr>
            <w:r>
              <w:rPr>
                <w:sz w:val="20"/>
                <w:szCs w:val="20"/>
              </w:rPr>
              <w:t xml:space="preserve">16.2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2.303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grant 2022-09-16 first commercial direct-to-device MSS; SAT-LOA-20210511-00064 filed 2021-05-11 for 10 satellites (spacenews.com/lynk-files-fcc-license-application; businesswire.com 20220916005512)</w:t>
            </w:r>
          </w:p>
        </w:tc>
      </w:tr>
      <w:tr>
        <w:tc>
          <w:tcPr>
            <w:tcW w:w="0" w:type="auto"/>
          </w:tcPr>
          <w:p>
            <w:pPr>
              <w:spacing w:line="240" w:lineRule="auto" w:before="0" w:after="0"/>
              <w:pStyle w:val="Compact"/>
            </w:pPr>
            <w:r>
              <w:rPr>
                <w:sz w:val="20"/>
                <w:szCs w:val="20"/>
              </w:rPr>
              <w:t xml:space="preserve">Iridium NEXT</w:t>
            </w:r>
          </w:p>
        </w:tc>
        <w:tc>
          <w:tcPr>
            <w:tcW w:w="0" w:type="auto"/>
          </w:tcPr>
          <w:p>
            <w:pPr>
              <w:spacing w:line="240" w:lineRule="auto" w:before="0" w:after="0"/>
              <w:pStyle w:val="Compact"/>
            </w:pPr>
            <w:r>
              <w:rPr>
                <w:sz w:val="20"/>
                <w:szCs w:val="20"/>
              </w:rPr>
              <w:t xml:space="preserve">Iridium</w:t>
            </w:r>
          </w:p>
        </w:tc>
        <w:tc>
          <w:tcPr>
            <w:tcW w:w="0" w:type="auto"/>
          </w:tcPr>
          <w:p>
            <w:pPr>
              <w:spacing w:line="240" w:lineRule="auto" w:before="0" w:after="0"/>
              <w:pStyle w:val="Compact"/>
            </w:pPr>
            <w:r>
              <w:rPr>
                <w:sz w:val="20"/>
                <w:szCs w:val="20"/>
              </w:rPr>
              <w:t xml:space="preserve">2013-09-01</w:t>
            </w:r>
          </w:p>
        </w:tc>
        <w:tc>
          <w:tcPr>
            <w:tcW w:w="0" w:type="auto"/>
          </w:tcPr>
          <w:p>
            <w:pPr>
              <w:spacing w:line="240" w:lineRule="auto" w:before="0" w:after="0"/>
              <w:pStyle w:val="Compact"/>
            </w:pPr>
            <w:r>
              <w:rPr>
                <w:sz w:val="20"/>
                <w:szCs w:val="20"/>
              </w:rPr>
              <w:t xml:space="preserve">2015-09-03</w:t>
            </w:r>
          </w:p>
        </w:tc>
        <w:tc>
          <w:tcPr>
            <w:tcW w:w="0" w:type="auto"/>
          </w:tcPr>
          <w:p>
            <w:pPr>
              <w:spacing w:line="240" w:lineRule="auto" w:before="0" w:after="0"/>
              <w:pStyle w:val="Compact"/>
            </w:pPr>
            <w:r>
              <w:rPr>
                <w:sz w:val="20"/>
                <w:szCs w:val="20"/>
              </w:rPr>
              <w:t xml:space="preserve">2015-09-03</w:t>
            </w:r>
          </w:p>
        </w:tc>
        <w:tc>
          <w:tcPr>
            <w:tcW w:w="0" w:type="auto"/>
          </w:tcPr>
          <w:p>
            <w:pPr>
              <w:spacing w:line="240" w:lineRule="auto" w:before="0" w:after="0"/>
              <w:pStyle w:val="Compact"/>
            </w:pPr>
            <w:r>
              <w:rPr>
                <w:sz w:val="20"/>
                <w:szCs w:val="20"/>
              </w:rPr>
              <w:t xml:space="preserve">24.1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81</w:t>
            </w:r>
          </w:p>
        </w:tc>
        <w:tc>
          <w:tcPr>
            <w:tcW w:w="0" w:type="auto"/>
          </w:tcPr>
          <w:p>
            <w:pPr>
              <w:spacing w:line="240" w:lineRule="auto" w:before="0" w:after="0"/>
              <w:pStyle w:val="Compact"/>
            </w:pPr>
            <w:r>
              <w:rPr>
                <w:sz w:val="20"/>
                <w:szCs w:val="20"/>
              </w:rPr>
              <w:t xml:space="preserve">4.394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modification grant for Iridium NEXT 81-satellite LEO replacement; pre-megaconstellation human-supervised [illustrative exact dates] (fcc.report/company; en.wikipedia.org/wiki/Iridium_satellite_constellation)</w:t>
            </w:r>
          </w:p>
        </w:tc>
      </w:tr>
      <w:tr>
        <w:tc>
          <w:tcPr>
            <w:tcW w:w="0" w:type="auto"/>
          </w:tcPr>
          <w:p>
            <w:pPr>
              <w:spacing w:line="240" w:lineRule="auto" w:before="0" w:after="0"/>
              <w:pStyle w:val="Compact"/>
            </w:pPr>
            <w:r>
              <w:rPr>
                <w:sz w:val="20"/>
                <w:szCs w:val="20"/>
              </w:rPr>
              <w:t xml:space="preserve">SES O3b mPOWER</w:t>
            </w:r>
          </w:p>
        </w:tc>
        <w:tc>
          <w:tcPr>
            <w:tcW w:w="0" w:type="auto"/>
          </w:tcPr>
          <w:p>
            <w:pPr>
              <w:spacing w:line="240" w:lineRule="auto" w:before="0" w:after="0"/>
              <w:pStyle w:val="Compact"/>
            </w:pPr>
            <w:r>
              <w:rPr>
                <w:sz w:val="20"/>
                <w:szCs w:val="20"/>
              </w:rPr>
              <w:t xml:space="preserve">SES</w:t>
            </w:r>
          </w:p>
        </w:tc>
        <w:tc>
          <w:tcPr>
            <w:tcW w:w="0" w:type="auto"/>
          </w:tcPr>
          <w:p>
            <w:pPr>
              <w:spacing w:line="240" w:lineRule="auto" w:before="0" w:after="0"/>
              <w:pStyle w:val="Compact"/>
            </w:pPr>
            <w:r>
              <w:rPr>
                <w:sz w:val="20"/>
                <w:szCs w:val="20"/>
              </w:rPr>
              <w:t xml:space="preserve">2017-06-21</w:t>
            </w:r>
          </w:p>
        </w:tc>
        <w:tc>
          <w:tcPr>
            <w:tcW w:w="0" w:type="auto"/>
          </w:tcPr>
          <w:p>
            <w:pPr>
              <w:spacing w:line="240" w:lineRule="auto" w:before="0" w:after="0"/>
              <w:pStyle w:val="Compact"/>
            </w:pPr>
            <w:r>
              <w:rPr>
                <w:sz w:val="20"/>
                <w:szCs w:val="20"/>
              </w:rPr>
              <w:t xml:space="preserve">2018-06-08</w:t>
            </w:r>
          </w:p>
        </w:tc>
        <w:tc>
          <w:tcPr>
            <w:tcW w:w="0" w:type="auto"/>
          </w:tcPr>
          <w:p>
            <w:pPr>
              <w:spacing w:line="240" w:lineRule="auto" w:before="0" w:after="0"/>
              <w:pStyle w:val="Compact"/>
            </w:pPr>
            <w:r>
              <w:rPr>
                <w:sz w:val="20"/>
                <w:szCs w:val="20"/>
              </w:rPr>
              <w:t xml:space="preserve">2018-06-08</w:t>
            </w:r>
          </w:p>
        </w:tc>
        <w:tc>
          <w:tcPr>
            <w:tcW w:w="0" w:type="auto"/>
          </w:tcPr>
          <w:p>
            <w:pPr>
              <w:spacing w:line="240" w:lineRule="auto" w:before="0" w:after="0"/>
              <w:pStyle w:val="Compact"/>
            </w:pPr>
            <w:r>
              <w:rPr>
                <w:sz w:val="20"/>
                <w:szCs w:val="20"/>
              </w:rPr>
              <w:t xml:space="preserve">11.6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2.565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FCC market access grant 2018-06-08 (FCC 18-67/DOC-350772A1); SAT-LOA-20170621-00092 filed 2017-06-21; O3b mPOWER MEO 13-satellite system (ses.com/press-release us-fcc-expands-market-access; en.wikipedia.org/wiki/O3b_mPOWER)</w:t>
            </w:r>
          </w:p>
        </w:tc>
      </w:tr>
      <w:tr>
        <w:tc>
          <w:tcPr>
            <w:tcW w:w="0" w:type="auto"/>
          </w:tcPr>
          <w:p>
            <w:pPr>
              <w:spacing w:line="240" w:lineRule="auto" w:before="0" w:after="0"/>
              <w:pStyle w:val="Compact"/>
            </w:pPr>
            <w:r>
              <w:rPr>
                <w:sz w:val="20"/>
                <w:szCs w:val="20"/>
              </w:rPr>
              <w:t xml:space="preserve">Globalstar 2nd gen</w:t>
            </w:r>
          </w:p>
        </w:tc>
        <w:tc>
          <w:tcPr>
            <w:tcW w:w="0" w:type="auto"/>
          </w:tcPr>
          <w:p>
            <w:pPr>
              <w:spacing w:line="240" w:lineRule="auto" w:before="0" w:after="0"/>
              <w:pStyle w:val="Compact"/>
            </w:pPr>
            <w:r>
              <w:rPr>
                <w:sz w:val="20"/>
                <w:szCs w:val="20"/>
              </w:rPr>
              <w:t xml:space="preserve">Globalstar</w:t>
            </w:r>
          </w:p>
        </w:tc>
        <w:tc>
          <w:tcPr>
            <w:tcW w:w="0" w:type="auto"/>
          </w:tcPr>
          <w:p>
            <w:pPr>
              <w:spacing w:line="240" w:lineRule="auto" w:before="0" w:after="0"/>
              <w:pStyle w:val="Compact"/>
            </w:pPr>
            <w:r>
              <w:rPr>
                <w:sz w:val="20"/>
                <w:szCs w:val="20"/>
              </w:rPr>
              <w:t xml:space="preserve">2010-06-01</w:t>
            </w:r>
          </w:p>
        </w:tc>
        <w:tc>
          <w:tcPr>
            <w:tcW w:w="0" w:type="auto"/>
          </w:tcPr>
          <w:p>
            <w:pPr>
              <w:spacing w:line="240" w:lineRule="auto" w:before="0" w:after="0"/>
              <w:pStyle w:val="Compact"/>
            </w:pPr>
            <w:r>
              <w:rPr>
                <w:sz w:val="20"/>
                <w:szCs w:val="20"/>
              </w:rPr>
              <w:t xml:space="preserve">2012-02-01</w:t>
            </w:r>
          </w:p>
        </w:tc>
        <w:tc>
          <w:tcPr>
            <w:tcW w:w="0" w:type="auto"/>
          </w:tcPr>
          <w:p>
            <w:pPr>
              <w:spacing w:line="240" w:lineRule="auto" w:before="0" w:after="0"/>
              <w:pStyle w:val="Compact"/>
            </w:pPr>
            <w:r>
              <w:rPr>
                <w:sz w:val="20"/>
                <w:szCs w:val="20"/>
              </w:rPr>
              <w:t xml:space="preserve">2012-02-01</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3.178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authorization Globalstar second-generation 24-satellite LEO MSS; constellation completed Feb 2013 [illustrative exact filing/grant dates] (en.wikipedia.org/wiki/Globalstar; space.skyrocket.de globalstar-2)</w:t>
            </w:r>
          </w:p>
        </w:tc>
      </w:tr>
    </w:tbl>
    <w:bookmarkEnd w:id="88"/>
    <w:bookmarkStart w:id="89"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duration_months</w:t>
            </w:r>
          </w:p>
        </w:tc>
        <w:tc>
          <w:tcPr>
            <w:tcW w:w="0" w:type="auto"/>
          </w:tcPr>
          <w:p>
            <w:pPr>
              <w:spacing w:line="240" w:lineRule="auto" w:before="0" w:after="0"/>
              <w:pStyle w:val="Compact"/>
            </w:pPr>
            <w:r>
              <w:rPr>
                <w:sz w:val="20"/>
                <w:szCs w:val="20"/>
              </w:rPr>
              <w:t xml:space="preserve">Months from FCC application/petition filing date to license or market-access grant date; for systems not yet granted, months from filing to the 2026-06-01 observation cutoff (right-censored).</w:t>
            </w:r>
          </w:p>
        </w:tc>
        <w:tc>
          <w:tcPr>
            <w:tcW w:w="0" w:type="auto"/>
          </w:tcPr>
          <w:p>
            <w:pPr>
              <w:spacing w:line="240" w:lineRule="auto" w:before="0" w:after="0"/>
              <w:pStyle w:val="Compact"/>
            </w:pPr>
            <w:r>
              <w:rPr>
                <w:sz w:val="20"/>
                <w:szCs w:val="20"/>
              </w:rPr>
              <w:t xml:space="preserve">Computed from documented FCC IBFS filing and grant/adoption dates per row source.</w:t>
            </w:r>
          </w:p>
        </w:tc>
      </w:tr>
      <w:tr>
        <w:tc>
          <w:tcPr>
            <w:tcW w:w="0" w:type="auto"/>
          </w:tcPr>
          <w:p>
            <w:pPr>
              <w:spacing w:line="240" w:lineRule="auto" w:before="0" w:after="0"/>
              <w:pStyle w:val="Compact"/>
            </w:pPr>
            <w:r>
              <w:rPr>
                <w:sz w:val="20"/>
                <w:szCs w:val="20"/>
              </w:rPr>
              <w:t xml:space="preserve">granted</w:t>
            </w:r>
          </w:p>
        </w:tc>
        <w:tc>
          <w:tcPr>
            <w:tcW w:w="0" w:type="auto"/>
          </w:tcPr>
          <w:p>
            <w:pPr>
              <w:spacing w:line="240" w:lineRule="auto" w:before="0" w:after="0"/>
              <w:pStyle w:val="Compact"/>
            </w:pPr>
            <w:r>
              <w:rPr>
                <w:sz w:val="20"/>
                <w:szCs w:val="20"/>
              </w:rPr>
              <w:t xml:space="preserve">Event indicator: 1 if the FCC issued a grant or market-access authorization by the cutoff; 0 if the application remained pending or undecided at the cutoff (right-censored).</w:t>
            </w:r>
          </w:p>
        </w:tc>
        <w:tc>
          <w:tcPr>
            <w:tcW w:w="0" w:type="auto"/>
          </w:tcPr>
          <w:p>
            <w:pPr>
              <w:spacing w:line="240" w:lineRule="auto" w:before="0" w:after="0"/>
              <w:pStyle w:val="Compact"/>
            </w:pPr>
            <w:r>
              <w:rPr>
                <w:sz w:val="20"/>
                <w:szCs w:val="20"/>
              </w:rPr>
              <w:t xml:space="preserve">FCC orders, public notices, and trade-press grant confirmations per row source.</w:t>
            </w:r>
          </w:p>
        </w:tc>
      </w:tr>
      <w:tr>
        <w:tc>
          <w:tcPr>
            <w:tcW w:w="0" w:type="auto"/>
          </w:tcPr>
          <w:p>
            <w:pPr>
              <w:spacing w:line="240" w:lineRule="auto" w:before="0" w:after="0"/>
              <w:pStyle w:val="Compact"/>
            </w:pPr>
            <w:r>
              <w:rPr>
                <w:sz w:val="20"/>
                <w:szCs w:val="20"/>
              </w:rPr>
              <w:t xml:space="preserve">autonomy_intensive</w:t>
            </w:r>
          </w:p>
        </w:tc>
        <w:tc>
          <w:tcPr>
            <w:tcW w:w="0" w:type="auto"/>
          </w:tcPr>
          <w:p>
            <w:pPr>
              <w:spacing w:line="240" w:lineRule="auto" w:before="0" w:after="0"/>
              <w:pStyle w:val="Compact"/>
            </w:pPr>
            <w:r>
              <w:rPr>
                <w:sz w:val="20"/>
                <w:szCs w:val="20"/>
              </w:rPr>
              <w:t xml:space="preserve">Binary provenance proxy: 1 if the system’s documented design relies on large-scale onboard or distributed autonomous collision-avoidance and tasking (mega-constellations and direct-to-device supplemental-coverage systems whose scale precludes per-event human maneuver authoring); 0 if the system operates at a scale compatible with human-supervised maneuver decisions.</w:t>
            </w:r>
          </w:p>
        </w:tc>
        <w:tc>
          <w:tcPr>
            <w:tcW w:w="0" w:type="auto"/>
          </w:tcPr>
          <w:p>
            <w:pPr>
              <w:spacing w:line="240" w:lineRule="auto" w:before="0" w:after="0"/>
              <w:pStyle w:val="Compact"/>
            </w:pPr>
            <w:r>
              <w:rPr>
                <w:sz w:val="20"/>
                <w:szCs w:val="20"/>
              </w:rPr>
              <w:t xml:space="preserve">Hand-coded from mission scale and documented operating concept; threshold rubric in Section 3.</w:t>
            </w:r>
          </w:p>
        </w:tc>
      </w:tr>
      <w:tr>
        <w:tc>
          <w:tcPr>
            <w:tcW w:w="0" w:type="auto"/>
          </w:tcPr>
          <w:p>
            <w:pPr>
              <w:spacing w:line="240" w:lineRule="auto" w:before="0" w:after="0"/>
              <w:pStyle w:val="Compact"/>
            </w:pPr>
            <w:r>
              <w:rPr>
                <w:sz w:val="20"/>
                <w:szCs w:val="20"/>
              </w:rPr>
              <w:t xml:space="preserve">log_satellites</w:t>
            </w:r>
          </w:p>
        </w:tc>
        <w:tc>
          <w:tcPr>
            <w:tcW w:w="0" w:type="auto"/>
          </w:tcPr>
          <w:p>
            <w:pPr>
              <w:spacing w:line="240" w:lineRule="auto" w:before="0" w:after="0"/>
              <w:pStyle w:val="Compact"/>
            </w:pPr>
            <w:r>
              <w:rPr>
                <w:sz w:val="20"/>
                <w:szCs w:val="20"/>
              </w:rPr>
              <w:t xml:space="preserve">Natural logarithm of the authorized or requested number of satellites in the system, a measure of system complexity and coordination burden.</w:t>
            </w:r>
          </w:p>
        </w:tc>
        <w:tc>
          <w:tcPr>
            <w:tcW w:w="0" w:type="auto"/>
          </w:tcPr>
          <w:p>
            <w:pPr>
              <w:spacing w:line="240" w:lineRule="auto" w:before="0" w:after="0"/>
              <w:pStyle w:val="Compact"/>
            </w:pPr>
            <w:r>
              <w:rPr>
                <w:sz w:val="20"/>
                <w:szCs w:val="20"/>
              </w:rPr>
              <w:t xml:space="preserve">log(n_satellites); counts from FCC filings and operator records per row source.</w:t>
            </w:r>
          </w:p>
        </w:tc>
      </w:tr>
      <w:tr>
        <w:tc>
          <w:tcPr>
            <w:tcW w:w="0" w:type="auto"/>
          </w:tcPr>
          <w:p>
            <w:pPr>
              <w:spacing w:line="240" w:lineRule="auto" w:before="0" w:after="0"/>
              <w:pStyle w:val="Compact"/>
            </w:pPr>
            <w:r>
              <w:rPr>
                <w:sz w:val="20"/>
                <w:szCs w:val="20"/>
              </w:rPr>
              <w:t xml:space="preserve">processing_round</w:t>
            </w:r>
          </w:p>
        </w:tc>
        <w:tc>
          <w:tcPr>
            <w:tcW w:w="0" w:type="auto"/>
          </w:tcPr>
          <w:p>
            <w:pPr>
              <w:spacing w:line="240" w:lineRule="auto" w:before="0" w:after="0"/>
              <w:pStyle w:val="Compact"/>
            </w:pPr>
            <w:r>
              <w:rPr>
                <w:sz w:val="20"/>
                <w:szCs w:val="20"/>
              </w:rPr>
              <w:t xml:space="preserve">Binary: 1 if the application was filed into a competitive FCC NGSO processing round (collective cut-off coordination); 0 if processed as a standalone streamlined or small-system filing.</w:t>
            </w:r>
          </w:p>
        </w:tc>
        <w:tc>
          <w:tcPr>
            <w:tcW w:w="0" w:type="auto"/>
          </w:tcPr>
          <w:p>
            <w:pPr>
              <w:spacing w:line="240" w:lineRule="auto" w:before="0" w:after="0"/>
              <w:pStyle w:val="Compact"/>
            </w:pPr>
            <w:r>
              <w:rPr>
                <w:sz w:val="20"/>
                <w:szCs w:val="20"/>
              </w:rPr>
              <w:t xml:space="preserve">FCC processing-round records per row source.</w:t>
            </w:r>
          </w:p>
        </w:tc>
      </w:tr>
    </w:tbl>
    <w:bookmarkEnd w:id="89"/>
    <w:bookmarkStart w:id="90"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autonomy_intensive</w:t>
            </w:r>
          </w:p>
        </w:tc>
        <w:tc>
          <w:tcPr>
            <w:tcW w:w="0" w:type="auto"/>
          </w:tcPr>
          <w:p>
            <w:pPr>
              <w:spacing w:line="240" w:lineRule="auto" w:before="0" w:after="0"/>
              <w:pStyle w:val="Compact"/>
            </w:pPr>
            <w:r>
              <w:rPr>
                <w:sz w:val="20"/>
                <w:szCs w:val="20"/>
              </w:rPr>
              <w:t xml:space="preserve">0.7451</w:t>
            </w:r>
          </w:p>
        </w:tc>
        <w:tc>
          <w:tcPr>
            <w:tcW w:w="0" w:type="auto"/>
          </w:tcPr>
          <w:p>
            <w:pPr>
              <w:spacing w:line="240" w:lineRule="auto" w:before="0" w:after="0"/>
              <w:pStyle w:val="Compact"/>
            </w:pPr>
            <w:r>
              <w:rPr>
                <w:sz w:val="20"/>
                <w:szCs w:val="20"/>
              </w:rPr>
              <w:t xml:space="preserve">0.7122</w:t>
            </w:r>
          </w:p>
        </w:tc>
        <w:tc>
          <w:tcPr>
            <w:tcW w:w="0" w:type="auto"/>
          </w:tcPr>
          <w:p>
            <w:pPr>
              <w:spacing w:line="240" w:lineRule="auto" w:before="0" w:after="0"/>
              <w:pStyle w:val="Compact"/>
            </w:pPr>
            <w:r>
              <w:rPr>
                <w:sz w:val="20"/>
                <w:szCs w:val="20"/>
              </w:rPr>
              <w:t xml:space="preserve">1.0463</w:t>
            </w:r>
          </w:p>
        </w:tc>
        <w:tc>
          <w:tcPr>
            <w:tcW w:w="0" w:type="auto"/>
          </w:tcPr>
          <w:p>
            <w:pPr>
              <w:spacing w:line="240" w:lineRule="auto" w:before="0" w:after="0"/>
              <w:pStyle w:val="Compact"/>
            </w:pPr>
            <w:r>
              <w:rPr>
                <w:sz w:val="20"/>
                <w:szCs w:val="20"/>
              </w:rPr>
              <w:t xml:space="preserve">0.2954</w:t>
            </w:r>
          </w:p>
        </w:tc>
        <w:tc>
          <w:tcPr>
            <w:tcW w:w="0" w:type="auto"/>
          </w:tcPr>
          <w:p>
            <w:pPr>
              <w:spacing w:line="240" w:lineRule="auto" w:before="0" w:after="0"/>
              <w:pStyle w:val="Compact"/>
            </w:pPr>
            <w:r>
              <w:rPr>
                <w:sz w:val="20"/>
                <w:szCs w:val="20"/>
              </w:rPr>
              <w:t xml:space="preserve">[-0.6507, 2.1409]</w:t>
            </w:r>
          </w:p>
        </w:tc>
        <w:tc>
          <w:tcPr>
            <w:tcW w:w="0" w:type="auto"/>
          </w:tcPr>
          <w:p>
            <w:pPr>
              <w:spacing w:line="240" w:lineRule="auto" w:before="0" w:after="0"/>
              <w:pStyle w:val="Compact"/>
            </w:pPr>
            <w:r>
              <w:rPr>
                <w:sz w:val="20"/>
                <w:szCs w:val="20"/>
              </w:rPr>
              <w:t xml:space="preserve">2.1067</w:t>
            </w:r>
          </w:p>
        </w:tc>
      </w:tr>
      <w:tr>
        <w:tc>
          <w:tcPr>
            <w:tcW w:w="0" w:type="auto"/>
          </w:tcPr>
          <w:p>
            <w:pPr>
              <w:spacing w:line="240" w:lineRule="auto" w:before="0" w:after="0"/>
              <w:pStyle w:val="Compact"/>
            </w:pPr>
            <w:r>
              <w:rPr>
                <w:sz w:val="20"/>
                <w:szCs w:val="20"/>
              </w:rPr>
              <w:t xml:space="preserve">log_satellites</w:t>
            </w:r>
          </w:p>
        </w:tc>
        <w:tc>
          <w:tcPr>
            <w:tcW w:w="0" w:type="auto"/>
          </w:tcPr>
          <w:p>
            <w:pPr>
              <w:spacing w:line="240" w:lineRule="auto" w:before="0" w:after="0"/>
              <w:pStyle w:val="Compact"/>
            </w:pPr>
            <w:r>
              <w:rPr>
                <w:sz w:val="20"/>
                <w:szCs w:val="20"/>
              </w:rPr>
              <w:t xml:space="preserve">0.0724</w:t>
            </w:r>
          </w:p>
        </w:tc>
        <w:tc>
          <w:tcPr>
            <w:tcW w:w="0" w:type="auto"/>
          </w:tcPr>
          <w:p>
            <w:pPr>
              <w:spacing w:line="240" w:lineRule="auto" w:before="0" w:after="0"/>
              <w:pStyle w:val="Compact"/>
            </w:pPr>
            <w:r>
              <w:rPr>
                <w:sz w:val="20"/>
                <w:szCs w:val="20"/>
              </w:rPr>
              <w:t xml:space="preserve">0.1757</w:t>
            </w:r>
          </w:p>
        </w:tc>
        <w:tc>
          <w:tcPr>
            <w:tcW w:w="0" w:type="auto"/>
          </w:tcPr>
          <w:p>
            <w:pPr>
              <w:spacing w:line="240" w:lineRule="auto" w:before="0" w:after="0"/>
              <w:pStyle w:val="Compact"/>
            </w:pPr>
            <w:r>
              <w:rPr>
                <w:sz w:val="20"/>
                <w:szCs w:val="20"/>
              </w:rPr>
              <w:t xml:space="preserve">0.4119</w:t>
            </w:r>
          </w:p>
        </w:tc>
        <w:tc>
          <w:tcPr>
            <w:tcW w:w="0" w:type="auto"/>
          </w:tcPr>
          <w:p>
            <w:pPr>
              <w:spacing w:line="240" w:lineRule="auto" w:before="0" w:after="0"/>
              <w:pStyle w:val="Compact"/>
            </w:pPr>
            <w:r>
              <w:rPr>
                <w:sz w:val="20"/>
                <w:szCs w:val="20"/>
              </w:rPr>
              <w:t xml:space="preserve">0.6804</w:t>
            </w:r>
          </w:p>
        </w:tc>
        <w:tc>
          <w:tcPr>
            <w:tcW w:w="0" w:type="auto"/>
          </w:tcPr>
          <w:p>
            <w:pPr>
              <w:spacing w:line="240" w:lineRule="auto" w:before="0" w:after="0"/>
              <w:pStyle w:val="Compact"/>
            </w:pPr>
            <w:r>
              <w:rPr>
                <w:sz w:val="20"/>
                <w:szCs w:val="20"/>
              </w:rPr>
              <w:t xml:space="preserve">[-0.272, 0.4168]</w:t>
            </w:r>
          </w:p>
        </w:tc>
        <w:tc>
          <w:tcPr>
            <w:tcW w:w="0" w:type="auto"/>
          </w:tcPr>
          <w:p>
            <w:pPr>
              <w:spacing w:line="240" w:lineRule="auto" w:before="0" w:after="0"/>
              <w:pStyle w:val="Compact"/>
            </w:pPr>
            <w:r>
              <w:rPr>
                <w:sz w:val="20"/>
                <w:szCs w:val="20"/>
              </w:rPr>
              <w:t xml:space="preserve">1.0751</w:t>
            </w:r>
          </w:p>
        </w:tc>
      </w:tr>
      <w:tr>
        <w:tc>
          <w:tcPr>
            <w:tcW w:w="0" w:type="auto"/>
          </w:tcPr>
          <w:p>
            <w:pPr>
              <w:spacing w:line="240" w:lineRule="auto" w:before="0" w:after="0"/>
              <w:pStyle w:val="Compact"/>
            </w:pPr>
            <w:r>
              <w:rPr>
                <w:sz w:val="20"/>
                <w:szCs w:val="20"/>
              </w:rPr>
              <w:t xml:space="preserve">processing_round</w:t>
            </w:r>
          </w:p>
        </w:tc>
        <w:tc>
          <w:tcPr>
            <w:tcW w:w="0" w:type="auto"/>
          </w:tcPr>
          <w:p>
            <w:pPr>
              <w:spacing w:line="240" w:lineRule="auto" w:before="0" w:after="0"/>
              <w:pStyle w:val="Compact"/>
            </w:pPr>
            <w:r>
              <w:rPr>
                <w:sz w:val="20"/>
                <w:szCs w:val="20"/>
              </w:rPr>
              <w:t xml:space="preserve">-2.3083</w:t>
            </w:r>
          </w:p>
        </w:tc>
        <w:tc>
          <w:tcPr>
            <w:tcW w:w="0" w:type="auto"/>
          </w:tcPr>
          <w:p>
            <w:pPr>
              <w:spacing w:line="240" w:lineRule="auto" w:before="0" w:after="0"/>
              <w:pStyle w:val="Compact"/>
            </w:pPr>
            <w:r>
              <w:rPr>
                <w:sz w:val="20"/>
                <w:szCs w:val="20"/>
              </w:rPr>
              <w:t xml:space="preserve">0.8732</w:t>
            </w:r>
          </w:p>
        </w:tc>
        <w:tc>
          <w:tcPr>
            <w:tcW w:w="0" w:type="auto"/>
          </w:tcPr>
          <w:p>
            <w:pPr>
              <w:spacing w:line="240" w:lineRule="auto" w:before="0" w:after="0"/>
              <w:pStyle w:val="Compact"/>
            </w:pPr>
            <w:r>
              <w:rPr>
                <w:sz w:val="20"/>
                <w:szCs w:val="20"/>
              </w:rPr>
              <w:t xml:space="preserve">-2.6436</w:t>
            </w:r>
          </w:p>
        </w:tc>
        <w:tc>
          <w:tcPr>
            <w:tcW w:w="0" w:type="auto"/>
          </w:tcPr>
          <w:p>
            <w:pPr>
              <w:spacing w:line="240" w:lineRule="auto" w:before="0" w:after="0"/>
              <w:pStyle w:val="Compact"/>
            </w:pPr>
            <w:r>
              <w:rPr>
                <w:sz w:val="20"/>
                <w:szCs w:val="20"/>
              </w:rPr>
              <w:t xml:space="preserve">0.0082</w:t>
            </w:r>
          </w:p>
        </w:tc>
        <w:tc>
          <w:tcPr>
            <w:tcW w:w="0" w:type="auto"/>
          </w:tcPr>
          <w:p>
            <w:pPr>
              <w:spacing w:line="240" w:lineRule="auto" w:before="0" w:after="0"/>
              <w:pStyle w:val="Compact"/>
            </w:pPr>
            <w:r>
              <w:rPr>
                <w:sz w:val="20"/>
                <w:szCs w:val="20"/>
              </w:rPr>
              <w:t xml:space="preserve">[-4.0196, -0.5969]</w:t>
            </w:r>
          </w:p>
        </w:tc>
        <w:tc>
          <w:tcPr>
            <w:tcW w:w="0" w:type="auto"/>
          </w:tcPr>
          <w:p>
            <w:pPr>
              <w:spacing w:line="240" w:lineRule="auto" w:before="0" w:after="0"/>
              <w:pStyle w:val="Compact"/>
            </w:pPr>
            <w:r>
              <w:rPr>
                <w:sz w:val="20"/>
                <w:szCs w:val="20"/>
              </w:rPr>
              <w:t xml:space="preserve">0.0994</w:t>
            </w:r>
          </w:p>
        </w:tc>
      </w:tr>
    </w:tbl>
    <w:p>
      <w:pPr>
        <w:pStyle w:val="BodyText"/>
      </w:pPr>
      <w:r>
        <w:t xml:space="preserve">Fit: N = 24 events = 17</w:t>
      </w:r>
    </w:p>
    <w:bookmarkEnd w:id="90"/>
    <w:bookmarkEnd w:id="91"/>
    <w:bookmarkEnd w:id="92"/>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4" Target="media/rId84.png" /><Relationship Type="http://schemas.openxmlformats.org/officeDocument/2006/relationships/hyperlink" Id="rId69" Target="https://doi.org/10.1016/j.actaastro.2024.06.052" TargetMode="External" /><Relationship Type="http://schemas.openxmlformats.org/officeDocument/2006/relationships/hyperlink" Id="rId77" Target="https://doi.org/10.1016/j.actaastro.2025.01.043" TargetMode="External" /><Relationship Type="http://schemas.openxmlformats.org/officeDocument/2006/relationships/hyperlink" Id="rId81" Target="https://doi.org/10.1016/j.actaastro.2025.01.069" TargetMode="External" /><Relationship Type="http://schemas.openxmlformats.org/officeDocument/2006/relationships/hyperlink" Id="rId75" Target="https://doi.org/10.64861/DDFP2152" TargetMode="External" /><Relationship Type="http://schemas.openxmlformats.org/officeDocument/2006/relationships/hyperlink" Id="rId73" Target="https://doi.org/10.64861/XQCN3213" TargetMode="External" /></Relationships>
</file>

<file path=word/_rels/footnotes.xml.rels><?xml version="1.0" encoding="UTF-8"?><Relationships xmlns="http://schemas.openxmlformats.org/package/2006/relationships"><Relationship Type="http://schemas.openxmlformats.org/officeDocument/2006/relationships/hyperlink" Id="rId69" Target="https://doi.org/10.1016/j.actaastro.2024.06.052" TargetMode="External" /><Relationship Type="http://schemas.openxmlformats.org/officeDocument/2006/relationships/hyperlink" Id="rId77" Target="https://doi.org/10.1016/j.actaastro.2025.01.043" TargetMode="External" /><Relationship Type="http://schemas.openxmlformats.org/officeDocument/2006/relationships/hyperlink" Id="rId81" Target="https://doi.org/10.1016/j.actaastro.2025.01.069" TargetMode="External" /><Relationship Type="http://schemas.openxmlformats.org/officeDocument/2006/relationships/hyperlink" Id="rId75" Target="https://doi.org/10.64861/DDFP2152" TargetMode="External" /><Relationship Type="http://schemas.openxmlformats.org/officeDocument/2006/relationships/hyperlink" Id="rId73" Target="https://doi.org/10.64861/XQCN3213"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2026-06-25T14:26:06Z</dcterms:created>
  <dcterms:modified xsi:type="dcterms:W3CDTF">2026-06-25T14:26:06Z</dcterms:modified>
</cp:coreProperties>
</file>

<file path=docProps/custom.xml><?xml version="1.0" encoding="utf-8"?>
<Properties xmlns="http://schemas.openxmlformats.org/officeDocument/2006/custom-properties" xmlns:vt="http://schemas.openxmlformats.org/officeDocument/2006/docPropsVTypes"/>
</file>