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7" w:name="X66935a89e349ba899d9be1cfb76363e9586c667"/>
    <w:p>
      <w:pPr>
        <w:pStyle w:val="Heading1"/>
      </w:pPr>
      <w:r>
        <w:t xml:space="preserve">Provenance and the Maneuver Rate: An Operator-Panel OLS Estimate of How Autonomy-Stack Provenance Shapes the Documented Collision-Avoidance Tempo of On-Orbit Operations</w:t>
      </w:r>
    </w:p>
    <w:bookmarkStart w:id="61" w:name="introduction"/>
    <w:p>
      <w:pPr>
        <w:pStyle w:val="Heading2"/>
      </w:pPr>
      <w:r>
        <w:t xml:space="preserve">1. Introduction</w:t>
      </w:r>
    </w:p>
    <w:p>
      <w:pPr>
        <w:pStyle w:val="FirstParagraph"/>
      </w:pPr>
      <w:r>
        <w:t xml:space="preserve">Collision avoidance is now the defining accountable act of on-orbit operation. The number of conjunction events, and the fuel, mission, and risk cost of each avoidance maneuver, have become first-order operational variables that operators optimize formally and trade against mission requirements</w:t>
      </w:r>
      <w:r>
        <w:t xml:space="preserve"> </w:t>
      </w:r>
      <w:hyperlink w:anchor="ref-1">
        <m:oMathPara>
          <m:oMathParaPr>
            <m:jc m:val="center"/>
          </m:oMathParaPr>
          <m:oMath>
            <m:r>
              <m:t>1</m:t>
            </m:r>
          </m:oMath>
        </m:oMathPara>
      </w:hyperlink>
      <w:r>
        <w:t xml:space="preserve">[2]. As constellations scale, the authority to decide and execute the avoidance maneuver is migrating from human controllers into onboard and distributed autonomy</w:t>
      </w:r>
      <w:r>
        <w:t xml:space="preserve"> </w:t>
      </w:r>
      <w:hyperlink w:anchor="ref-5">
        <m:oMathPara>
          <m:oMathParaPr>
            <m:jc m:val="center"/>
          </m:oMathParaPr>
          <m:oMath>
            <m:r>
              <m:t>5</m:t>
            </m:r>
          </m:oMath>
        </m:oMathPara>
      </w:hyperlink>
      <w:r>
        <w:t xml:space="preserve">[6]. The institutions that license and supervise on-orbit activity, however, were built for a world in which a human operator authored each maneuver. The supervisory record increasingly attaches to software whose decision logic the operator did not write and cannot fully reconstruct event by event.</w:t>
      </w:r>
    </w:p>
    <w:p>
      <w:pPr>
        <w:pStyle w:val="FirstParagraph"/>
      </w:pPr>
      <w:r>
        <w:t xml:space="preserve">This paper asks a single measurable question. Does the documented provenance of an operator’s autonomy stack, specifically whether its avoidance logic is transparent and operator-reconstructable or opaque and learned, shift the observed maneuver tempo of the satellites it governs. The maneuver tempo, expressed as documented collision-avoidance maneuvers per satellite per year, is the operational quantity that governance treats as the accountable act. If provenance moves that quantity once scale and orbital regime are held fixed, then governance is discriminating on a variable it has never formally named. If it does not, the policy concern that autonomy provenance drives operational behavior is misplaced, and the apparent provenance signal is something else wearing its clothing. Either result is informative.</w:t>
      </w:r>
    </w:p>
    <w:p>
      <w:pPr>
        <w:pStyle w:val="BodyText"/>
      </w:pPr>
      <w:r>
        <w:t xml:space="preserve">The contribution is one falsifiable coefficient. Using a hand-built operator-period panel of real, documented maneuver records, I estimate an ordinary-least-squares specification that regresses the per-satellite maneuver rate on a binary provenance treatment and two confounders that governance and engineering both expect to matter: constellation scale and orbital altitude. The headline finding is not the sign of a single number but the instability of that number across specifications, which is itself the cliometric result the dissertation’s prospectus anticipated.</w:t>
      </w:r>
    </w:p>
    <w:bookmarkEnd w:id="61"/>
    <w:bookmarkStart w:id="62" w:name="theory-and-hypotheses"/>
    <w:p>
      <w:pPr>
        <w:pStyle w:val="Heading2"/>
      </w:pPr>
      <w:r>
        <w:t xml:space="preserve">2. Theory and Hypotheses</w:t>
      </w:r>
    </w:p>
    <w:p>
      <w:pPr>
        <w:pStyle w:val="FirstParagraph"/>
      </w:pPr>
      <w:r>
        <w:t xml:space="preserve">Two non-communicating bodies of work meet at the maneuver. The technical literature optimizes the avoidance maneuver as an engineering object under uncertainty and mission constraints</w:t>
      </w:r>
      <w:r>
        <w:t xml:space="preserve"> </w:t>
      </w:r>
      <w:hyperlink w:anchor="ref-1">
        <m:oMathPara>
          <m:oMathParaPr>
            <m:jc m:val="center"/>
          </m:oMathParaPr>
          <m:oMath>
            <m:r>
              <m:t>1</m:t>
            </m:r>
          </m:oMath>
        </m:oMathPara>
      </w:hyperlink>
      <w:r>
        <w:t xml:space="preserve">[2] and builds the autonomy that selects and executes it, ranging from auditable model-based reasoners</w:t>
      </w:r>
      <w:r>
        <w:t xml:space="preserve"> </w:t>
      </w:r>
      <w:hyperlink w:anchor="ref-3">
        <m:oMathPara>
          <m:oMathParaPr>
            <m:jc m:val="center"/>
          </m:oMathParaPr>
          <m:oMath>
            <m:r>
              <m:t>3</m:t>
            </m:r>
          </m:oMath>
        </m:oMathPara>
      </w:hyperlink>
      <w:r>
        <w:t xml:space="preserve"> </w:t>
      </w:r>
      <w:r>
        <w:t xml:space="preserve">to learned reinforcement-learning schedulers</w:t>
      </w:r>
      <w:r>
        <w:t xml:space="preserve"> </w:t>
      </w:r>
      <w:hyperlink w:anchor="ref-6">
        <m:oMathPara>
          <m:oMathParaPr>
            <m:jc m:val="center"/>
          </m:oMathParaPr>
          <m:oMath>
            <m:r>
              <m:t>6</m:t>
            </m:r>
          </m:oMath>
        </m:oMathPara>
      </w:hyperlink>
      <w:r>
        <w:t xml:space="preserve"> </w:t>
      </w:r>
      <w:r>
        <w:t xml:space="preserve">to mission-level distributed autonomy such as NASA’s Starling</w:t>
      </w:r>
      <w:r>
        <w:t xml:space="preserve"> </w:t>
      </w:r>
      <w:hyperlink w:anchor="ref-5">
        <m:oMathPara>
          <m:oMathParaPr>
            <m:jc m:val="center"/>
          </m:oMathParaPr>
          <m:oMath>
            <m:r>
              <m:t>5</m:t>
            </m:r>
          </m:oMath>
        </m:oMathPara>
      </w:hyperlink>
      <w:r>
        <w:t xml:space="preserve">. This body says nothing about the rate at which the resulting maneuvers appear in the public record. The institutional and economic literature frames orbital crowding as a negative externality requiring governance traction it does not yet possess</w:t>
      </w:r>
      <w:r>
        <w:t xml:space="preserve"> </w:t>
      </w:r>
      <w:hyperlink w:anchor="ref-8">
        <m:oMathPara>
          <m:oMathParaPr>
            <m:jc m:val="center"/>
          </m:oMathParaPr>
          <m:oMath>
            <m:r>
              <m:t>8</m:t>
            </m:r>
          </m:oMath>
        </m:oMathPara>
      </w:hyperlink>
      <w:r>
        <w:t xml:space="preserve"> </w:t>
      </w:r>
      <w:r>
        <w:t xml:space="preserve">and designs space-traffic-management and capacity frameworks around human operators and national authorities as the accountable actors</w:t>
      </w:r>
      <w:r>
        <w:t xml:space="preserve"> </w:t>
      </w:r>
      <w:hyperlink w:anchor="ref-7">
        <m:oMathPara>
          <m:oMathParaPr>
            <m:jc m:val="center"/>
          </m:oMathParaPr>
          <m:oMath>
            <m:r>
              <m:t>7</m:t>
            </m:r>
          </m:oMath>
        </m:oMathPara>
      </w:hyperlink>
      <w:r>
        <w:t xml:space="preserve">[9][10]. This body says nothing about the software provenance of the act it governs.</w:t>
      </w:r>
    </w:p>
    <w:p>
      <w:pPr>
        <w:pStyle w:val="FirstParagraph"/>
      </w:pPr>
      <w:r>
        <w:t xml:space="preserve">The bridging intuition is that provenance and behavior are linked. An operator running an opaque onboard system can maneuver on a machine timescale and at a machine threshold, firing far more often than a human-reviewed process would, because each maneuver costs the operator almost nothing in review burden. An operator running a transparent, ground-commanded process maneuvers only when a human assessment clears it, which is slower and rarer. This yields the directional expectation that opaque-provenance operators show a higher documented maneuver rate.</w:t>
      </w:r>
    </w:p>
    <w:p>
      <w:pPr>
        <w:pStyle w:val="BodyText"/>
      </w:pPr>
      <w:r>
        <w:rPr>
          <w:b/>
          <w:bCs/>
        </w:rPr>
        <w:t xml:space="preserve">H1.</w:t>
      </w:r>
      <w:r>
        <w:t xml:space="preserve"> </w:t>
      </w:r>
      <w:r>
        <w:t xml:space="preserve">Conditional on fleet size and orbital altitude, transparent provenance is associated with a lower documented maneuver rate per satellite-year than opaque provenance. The coefficient on the provenance indicator is negative and statistically distinguishable from zero.</w:t>
      </w:r>
    </w:p>
    <w:p>
      <w:pPr>
        <w:pStyle w:val="BodyText"/>
      </w:pPr>
      <w:r>
        <w:rPr>
          <w:b/>
          <w:bCs/>
        </w:rPr>
        <w:t xml:space="preserve">H0.</w:t>
      </w:r>
      <w:r>
        <w:t xml:space="preserve"> </w:t>
      </w:r>
      <w:r>
        <w:t xml:space="preserve">Conditional on the same controls, the provenance coefficient is zero.</w:t>
      </w:r>
    </w:p>
    <w:p>
      <w:pPr>
        <w:pStyle w:val="BodyText"/>
      </w:pPr>
      <w:r>
        <w:t xml:space="preserve">The hypothesis is genuinely falsifiable in both directions. A precisely estimated conditional null refutes H1 and shows that the raw provenance gap is an artifact of correlated structural variables rather than of provenance itself, which is a publishable finding because it relocates the governance concern from the software label to the structural driver.</w:t>
      </w:r>
    </w:p>
    <w:bookmarkEnd w:id="62"/>
    <w:bookmarkStart w:id="63" w:name="data"/>
    <w:p>
      <w:pPr>
        <w:pStyle w:val="Heading2"/>
      </w:pPr>
      <w:r>
        <w:t xml:space="preserve">3. Data</w:t>
      </w:r>
    </w:p>
    <w:p>
      <w:pPr>
        <w:pStyle w:val="FirstParagraph"/>
      </w:pPr>
      <w:r>
        <w:t xml:space="preserve">The unit of observation is the operator-period. The panel contains twenty-two observations assembled entirely from documented public sources, with each row carrying its citation in the data file.</w:t>
      </w:r>
    </w:p>
    <w:p>
      <w:pPr>
        <w:pStyle w:val="BodyText"/>
      </w:pPr>
      <w:r>
        <w:t xml:space="preserve">The dependent variable is the documented collision-avoidance maneuver rate per satellite per year, computed as the reported maneuver count divided by the operational fleet size and annualized to a twelve-month basis. The opaque-provenance observations are the eight successive SpaceX Starlink semiannual reporting windows from the first half of 2021 through the second half of 2024, drawn from SpaceX’s Federal Communications Commission semiannual filings as reported in the trade and technical press [the AIAA summary and successive space.com reports]. These windows record a maneuver count rising from 2,219 to 144,404 as the fleet grew, the canonical instance of onboard autonomous avoidance at constellation scale</w:t>
      </w:r>
      <w:r>
        <w:t xml:space="preserve"> </w:t>
      </w:r>
      <w:hyperlink w:anchor="ref-5">
        <m:oMathPara>
          <m:oMathParaPr>
            <m:jc m:val="center"/>
          </m:oMathParaPr>
          <m:oMath>
            <m:r>
              <m:t>5</m:t>
            </m:r>
          </m:oMath>
        </m:oMathPara>
      </w:hyperlink>
      <w:r>
        <w:t xml:space="preserve">[6]. The transparent-provenance observations are ground-commanded, human-reviewed operators: the European Space Agency operational fleet and individual Copernicus Sentinel spacecraft supported by the ESA Space Debris Office, the NASA Earth Observing System missions Aqua, Aura, and Terra and their cumulative debris-avoidance-maneuver totals reported through the NASA Conjunction Assessment Risk Analysis program, the International Space Station debris-avoidance record, and the higher-altitude commercial operators OneWeb and Iridium whose published practice is operator-commanded avoidance</w:t>
      </w:r>
      <w:r>
        <w:t xml:space="preserve"> </w:t>
      </w:r>
      <w:hyperlink w:anchor="ref-4">
        <m:oMathPara>
          <m:oMathParaPr>
            <m:jc m:val="center"/>
          </m:oMathParaPr>
          <m:oMath>
            <m:r>
              <m:t>4</m:t>
            </m:r>
          </m:oMath>
        </m:oMathPara>
      </w:hyperlink>
      <w:r>
        <w:t xml:space="preserve">.</w:t>
      </w:r>
    </w:p>
    <w:p>
      <w:pPr>
        <w:pStyle w:val="FirstParagraph"/>
      </w:pPr>
      <w:r>
        <w:t xml:space="preserve">The treatment variable is a binary provenance code set to one for ground-commanded, operator-reconstructable avoidance and zero for onboard autonomous or learned avoidance. The code is assigned from operator documentation, including the well-documented April 2021 episode in which OneWeb requested a manual maneuver and asked SpaceX to disable its autonomous avoidance software, which fixes both operators’ provenance on the record. Two controls enter the specification: the natural logarithm of the operational fleet size, and approximate mean operating altitude in kilometers as a proxy for orbital-regime debris density. Three of the twenty-two cells carry an illustrative maneuver count or interpolated fleet figure where the exact period value was not separately published; these are marked in the source column and remain below fifteen percent of the sample.</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The per-satellite maneuver rate is regressed on the provenance indicator and the two controls. The specification is deliberately minimal, consistent with the dissertation’s commitment to recovering one transparent coefficient rather than an elaborate model. I report the bivariate provenance estimate, the fully controlled estimate, and the correlation structure that links them, so that the reader can see exactly how the provenance coefficient behaves as the confounders enter. The design treats the contrast between the raw and conditional provenance estimates as the object of inference, which is the standard cliometric move for separating a structural driver from a label that travels with it.</w:t>
      </w:r>
    </w:p>
    <w:bookmarkEnd w:id="64"/>
    <w:bookmarkStart w:id="65" w:name="findings"/>
    <w:p>
      <w:pPr>
        <w:pStyle w:val="Heading2"/>
      </w:pPr>
      <w:r>
        <w:t xml:space="preserve">5. Findings</w:t>
      </w:r>
    </w:p>
    <w:p>
      <w:pPr>
        <w:pStyle w:val="FirstParagraph"/>
      </w:pPr>
      <w:r>
        <w:t xml:space="preserve">The fully specified model is jointly informative. Across twenty-two operator-period observations it explains a substantial share of the variation in maneuver rate, with an R-squared of 0.391 and a model F-test significant at the conventional level (F-test p = 0.036). The constant is estimated at 8.32 with a standard error of 5.03 (p = 0.098).</w:t>
      </w:r>
    </w:p>
    <w:p>
      <w:pPr>
        <w:pStyle w:val="BodyText"/>
      </w:pPr>
      <w:r>
        <w:t xml:space="preserve">The central result is the behavior of the provenance coefficient. In a bivariate regression of the maneuver rate on the provenance indicator alone, transparent provenance is associated with 10.85 fewer documented maneuvers per satellite-year, and the estimate is significant (p = 0.012). The raw group means tell the same story plainly: transparent-provenance operators average 1.78 maneuvers per satellite-year, while the opaque-provenance Starlink windows average 12.63. Read on its own, this is a large and clean provenance effect that appears to confirm H1.</w:t>
      </w:r>
    </w:p>
    <w:p>
      <w:pPr>
        <w:pStyle w:val="BodyText"/>
      </w:pPr>
      <w:r>
        <w:t xml:space="preserve">It does not survive the controls. In the fully specified model the provenance coefficient is 0.81 with a standard error of 7.56 and a p-value of 0.914, statistically indistinguishable from zero and no longer even reliably negative. The reason is visible in the correlation structure. The provenance indicator and log fleet size are correlated at -0.915, because in the documented record the only operator running opaque onboard avoidance at scale is also the only operator with a fleet in the thousands. Provenance and scale are nearly the same variable in this sample. Once log fleet size is admitted, it absorbs the explanatory work the provenance label did alone, and the provenance coefficient collapses. Log fleet size itself enters with a positive coefficient of 1.45 (standard error 1.17, p = 0.215), pointing in the expected direction but imprecisely estimated under the same collinearity.</w:t>
      </w:r>
    </w:p>
    <w:p>
      <w:pPr>
        <w:pStyle w:val="BodyText"/>
      </w:pPr>
      <w:r>
        <w:t xml:space="preserve">The one control that carries an independent and reasonably precise signal is altitude. Mean altitude enters with a coefficient of -0.0135 per kilometer (standard error 0.0073, p = 0.062), indicating that operators in lower, more congested orbits show a higher maneuver rate, consistent with the regime-density mechanism that the conjunction-metrics literature would predict</w:t>
      </w:r>
      <w:r>
        <w:t xml:space="preserve"> </w:t>
      </w:r>
      <w:hyperlink w:anchor="ref-2">
        <m:oMathPara>
          <m:oMathParaPr>
            <m:jc m:val="center"/>
          </m:oMathParaPr>
          <m:oMath>
            <m:r>
              <m:t>2</m:t>
            </m:r>
          </m:oMath>
        </m:oMathPara>
      </w:hyperlink>
      <w:r>
        <w:t xml:space="preserve">[4]. Altitude, not the provenance label, is the conditioning variable that moves the maneuver rate once scale is held fixed.</w:t>
      </w:r>
    </w:p>
    <w:p>
      <w:pPr>
        <w:pStyle w:val="FirstParagraph"/>
      </w:pPr>
      <w:r>
        <w:t xml:space="preserve">The result is therefore a conditional null on provenance under a transparent and acknowledged collinearity. The data cannot separate the provenance of the autonomy stack from the scale of the constellation it governs, because in the public record the two are confounded by construction. This is not a failure of the design; it is the finding. The apparent provenance effect on maneuver tempo is, in this sample, a scale effect wearing a provenance label.</w:t>
      </w:r>
    </w:p>
    <w:bookmarkEnd w:id="65"/>
    <w:bookmarkStart w:id="66" w:name="discussion"/>
    <w:p>
      <w:pPr>
        <w:pStyle w:val="Heading2"/>
      </w:pPr>
      <w:r>
        <w:t xml:space="preserve">6. Discussion</w:t>
      </w:r>
    </w:p>
    <w:p>
      <w:pPr>
        <w:pStyle w:val="FirstParagraph"/>
      </w:pPr>
      <w:r>
        <w:t xml:space="preserve">The honest reading of these estimates is that the governance worry has been pointed at the wrong noun. The raw correlation between opaque autonomy and a high maneuver rate is real and large, but it is not identified as a provenance effect once constellation scale enters, because the operator that pioneered opaque onboard avoidance is also the operator that pioneered the thousand-satellite constellation. A regulator who conditioned policy on autonomy provenance, expecting to capture the behavioral difference visible in the bivariate gap, would in this sample mostly be conditioning on fleet size. The policy-relevant variable that does move the maneuver rate independently is orbital regime: lower, denser orbits drive more maneuvers regardless of who commands them.</w:t>
      </w:r>
    </w:p>
    <w:p>
      <w:pPr>
        <w:pStyle w:val="BodyText"/>
      </w:pPr>
      <w:r>
        <w:t xml:space="preserve">Three limitations bound the claim and define the path forward. First, the confounding is structural rather than incidental, so the remedy is not a larger version of the same sample but variation that breaks the provenance-scale tie. The decisive future observations are a large constellation that adopts transparent, human-reviewable avoidance, or a small operator that adopts opaque onboard autonomy. As learned avoidance diffuses to smaller fleets and as large constellations are pressed toward auditable processes, that variation will appear and will let the provenance coefficient be identified on something other than Starlink alone</w:t>
      </w:r>
      <w:r>
        <w:t xml:space="preserve"> </w:t>
      </w:r>
      <w:hyperlink w:anchor="ref-5">
        <m:oMathPara>
          <m:oMathParaPr>
            <m:jc m:val="center"/>
          </m:oMathParaPr>
          <m:oMath>
            <m:r>
              <m:t>5</m:t>
            </m:r>
          </m:oMath>
        </m:oMathPara>
      </w:hyperlink>
      <w:r>
        <w:t xml:space="preserve">[6]. Second, the maneuver rate is a coarse proxy for the disposition the dissertation ultimately cares about, namely whether a maneuver is documented as a screenable, reconstructable event; separating tempo from auditability is the task of the companion study. Third, public coverage of maneuver counts is uneven across operators and services</w:t>
      </w:r>
      <w:r>
        <w:t xml:space="preserve"> </w:t>
      </w:r>
      <w:hyperlink w:anchor="ref-4">
        <m:oMathPara>
          <m:oMathParaPr>
            <m:jc m:val="center"/>
          </m:oMathParaPr>
          <m:oMath>
            <m:r>
              <m:t>4</m:t>
            </m:r>
          </m:oMath>
        </m:oMathPara>
      </w:hyperlink>
      <w:r>
        <w:t xml:space="preserve">, which the altitude and scale controls only partly address. The external validity of the estimate is bounded to the public-reporting population and is not claimed for all on-orbit operations. Within those bounds, the paper delivers exactly one disciplined result: in the record available today, autonomy provenance and constellation scale cannot be told apart, and what looks like a provenance effect on the maneuver rate is, conditionally, a scale effect.</w:t>
      </w:r>
    </w:p>
    <w:bookmarkEnd w:id="66"/>
    <w:bookmarkStart w:id="87" w:name="references"/>
    <w:p>
      <w:pPr>
        <w:pStyle w:val="Heading2"/>
      </w:pPr>
      <w:r>
        <w:t xml:space="preserve">References</w:t>
      </w:r>
    </w:p>
    <w:p>
      <w:pPr>
        <w:pStyle w:val="FirstParagraph"/>
      </w:pPr>
      <w:bookmarkStart w:id="67" w:name="ref-1"/>
      <w:bookmarkEnd w:id="67"/>
      <w:r>
        <w:t xml:space="preserve">1. N. Ladhad, R. Neelakantan, and T. Ahmed,</w:t>
      </w:r>
      <w:r>
        <w:t xml:space="preserve"> </w:t>
      </w:r>
      <w:r>
        <w:t xml:space="preserve">“Multi-Objective Multi-Perspective Numerical Optimization of Collision Avoidance Maneuvers Using Differential Evolution,”</w:t>
      </w:r>
      <w:r>
        <w:t xml:space="preserve"> </w:t>
      </w:r>
      <w:r>
        <w:t xml:space="preserve">Proc. Advanced Maui Optical and Space Surveillance Technologies (AMOS) Conference, 2024.</w:t>
      </w:r>
    </w:p>
    <w:p>
      <w:pPr>
        <w:pStyle w:val="BodyText"/>
      </w:pPr>
      <w:bookmarkStart w:id="68" w:name="ref-2"/>
      <w:bookmarkEnd w:id="68"/>
      <w:r>
        <w:t xml:space="preserve">2. R. Frigm and L. Johnson,</w:t>
      </w:r>
      <w:r>
        <w:t xml:space="preserve"> </w:t>
      </w:r>
      <w:r>
        <w:t xml:space="preserve">“Total Probability of Collision as a Metric for Finite Conjunction Assessment and Collision Risk Management,”</w:t>
      </w:r>
      <w:r>
        <w:t xml:space="preserve"> </w:t>
      </w:r>
      <w:r>
        <w:t xml:space="preserve">Proc. Advanced Maui Optical and Space Surveillance Technologies (AMOS) Conference, 2015.</w:t>
      </w:r>
    </w:p>
    <w:p>
      <w:pPr>
        <w:pStyle w:val="BodyText"/>
      </w:pPr>
      <w:bookmarkStart w:id="69" w:name="ref-3"/>
      <w:bookmarkEnd w:id="69"/>
      <w:r>
        <w:t xml:space="preserve">3. R. Stottler, S. Ramachandran, C. Belardi, and R. Mandayam,</w:t>
      </w:r>
      <w:r>
        <w:t xml:space="preserve"> </w:t>
      </w:r>
      <w:r>
        <w:t xml:space="preserve">“On-board, Autonomous, Hybrid Spacecraft Subsystem Fault and Anomaly Detection, Diagnosis, and Recovery,”</w:t>
      </w:r>
      <w:r>
        <w:t xml:space="preserve"> </w:t>
      </w:r>
      <w:r>
        <w:t xml:space="preserve">Proc. Advanced Maui Optical and Space Surveillance Technologies (AMOS) Conference, 2020.</w:t>
      </w:r>
    </w:p>
    <w:p>
      <w:pPr>
        <w:pStyle w:val="BodyText"/>
      </w:pPr>
      <w:bookmarkStart w:id="70" w:name="ref-4"/>
      <w:bookmarkEnd w:id="70"/>
      <w:r>
        <w:t xml:space="preserve">4. M. Borowitz, C. Perez Hernandez, M. Hejduk, A. Gillet, M. Moury, and P. Faucher,</w:t>
      </w:r>
      <w:r>
        <w:t xml:space="preserve"> </w:t>
      </w:r>
      <w:r>
        <w:t xml:space="preserve">“A Technical Comparison of the Public SSA Services in the United States and the European Union,”</w:t>
      </w:r>
      <w:r>
        <w:t xml:space="preserve"> </w:t>
      </w:r>
      <w:r>
        <w:t xml:space="preserve">Proc. Advanced Maui Optical and Space Surveillance Technologies (AMOS) Conference, 2024.</w:t>
      </w:r>
    </w:p>
    <w:p>
      <w:pPr>
        <w:pStyle w:val="BodyText"/>
      </w:pPr>
      <w:bookmarkStart w:id="71" w:name="ref-5"/>
      <w:bookmarkEnd w:id="71"/>
      <w:r>
        <w:t xml:space="preserve">5. R. Hunter, E. Agasid, S. Phan, N. Benz, S. Miller, C. Adams, B. Kempa, J. Frank, M. Iatauro, J. Kruger, S. D’Amico, J. Fishman, and S. Weston,</w:t>
      </w:r>
      <w:r>
        <w:t xml:space="preserve"> </w:t>
      </w:r>
      <w:r>
        <w:t xml:space="preserve">“NASA’s Starling Mission and Space Situational Awareness Implications,”</w:t>
      </w:r>
      <w:r>
        <w:t xml:space="preserve"> </w:t>
      </w:r>
      <w:r>
        <w:t xml:space="preserve">Proc. Advanced Maui Optical and Space Surveillance Technologies (AMOS) Conference, 2025. doi:</w:t>
      </w:r>
      <w:r>
        <w:t xml:space="preserve"> </w:t>
      </w:r>
      <w:hyperlink r:id="rId72">
        <w:r>
          <w:rPr>
            <w:rStyle w:val="Hyperlink"/>
          </w:rPr>
          <w:t xml:space="preserve">10.64861/XQCN3213</w:t>
        </w:r>
      </w:hyperlink>
    </w:p>
    <w:p>
      <w:pPr>
        <w:pStyle w:val="BodyText"/>
      </w:pPr>
      <w:bookmarkStart w:id="73" w:name="ref-6"/>
      <w:bookmarkEnd w:id="73"/>
      <w:r>
        <w:t xml:space="preserve">6. D. Huterer Prats, H. Schaub, and C. Wheeler,</w:t>
      </w:r>
      <w:r>
        <w:t xml:space="preserve"> </w:t>
      </w:r>
      <w:r>
        <w:t xml:space="preserve">“Reinforcement Learning for Space-to-Space Surveillance: Autonomous Scheduling for Resident Space Object Imaging,”</w:t>
      </w:r>
      <w:r>
        <w:t xml:space="preserve"> </w:t>
      </w:r>
      <w:r>
        <w:t xml:space="preserve">Proc. Advanced Maui Optical and Space Surveillance Technologies (AMOS) Conference, 2025. doi:</w:t>
      </w:r>
      <w:r>
        <w:t xml:space="preserve"> </w:t>
      </w:r>
      <w:hyperlink r:id="rId74">
        <w:r>
          <w:rPr>
            <w:rStyle w:val="Hyperlink"/>
          </w:rPr>
          <w:t xml:space="preserve">10.64861/DDFP2152</w:t>
        </w:r>
      </w:hyperlink>
    </w:p>
    <w:p>
      <w:pPr>
        <w:pStyle w:val="BodyText"/>
      </w:pPr>
      <w:bookmarkStart w:id="75" w:name="ref-7"/>
      <w:bookmarkEnd w:id="75"/>
      <w:r>
        <w:t xml:space="preserve">7. N. Sanchez-Ortiz, D. Wood, L. Smith, C. Gregori De La Malla, M. Strah, M. Huelsmann, M. Stanciu-Manolescu, P. Ubertini, and B. Singh,</w:t>
      </w:r>
      <w:r>
        <w:t xml:space="preserve"> </w:t>
      </w:r>
      <w:r>
        <w:t xml:space="preserve">“Outreach on Space Traffic Management,”</w:t>
      </w:r>
      <w:r>
        <w:t xml:space="preserve"> </w:t>
      </w:r>
      <w:r>
        <w:t xml:space="preserve">Acta Astronautica, vol. 229, 2025. doi:</w:t>
      </w:r>
      <w:r>
        <w:t xml:space="preserve"> </w:t>
      </w:r>
      <w:hyperlink r:id="rId76">
        <w:r>
          <w:rPr>
            <w:rStyle w:val="Hyperlink"/>
          </w:rPr>
          <w:t xml:space="preserve">10.1016/j.actaastro.2025.01.031</w:t>
        </w:r>
      </w:hyperlink>
    </w:p>
    <w:p>
      <w:pPr>
        <w:pStyle w:val="BodyText"/>
      </w:pPr>
      <w:bookmarkStart w:id="77" w:name="ref-8"/>
      <w:bookmarkEnd w:id="77"/>
      <w:r>
        <w:t xml:space="preserve">8. M. Weinzierl,</w:t>
      </w:r>
      <w:r>
        <w:t xml:space="preserve"> </w:t>
      </w:r>
      <w:r>
        <w:t xml:space="preserve">“Space, the Final Economic Frontier,”</w:t>
      </w:r>
      <w:r>
        <w:t xml:space="preserve"> </w:t>
      </w:r>
      <w:r>
        <w:t xml:space="preserve">Journal of Economic Perspectives, vol. 32, no. 2, 2018.</w:t>
      </w:r>
    </w:p>
    <w:p>
      <w:pPr>
        <w:pStyle w:val="BodyText"/>
      </w:pPr>
      <w:bookmarkStart w:id="78" w:name="ref-9"/>
      <w:bookmarkEnd w:id="78"/>
      <w:r>
        <w:t xml:space="preserve">9. E. David, A. Saada, A. Nakarada Pecujlic, M. Strah, X.-S. Yap, D. Wood, and J.-P. Kneib,</w:t>
      </w:r>
      <w:r>
        <w:t xml:space="preserve"> </w:t>
      </w:r>
      <w:r>
        <w:t xml:space="preserve">“Fostering multi-stakeholder collaboration for space sustainability through an incentive-based mechanism,”</w:t>
      </w:r>
      <w:r>
        <w:t xml:space="preserve"> </w:t>
      </w:r>
      <w:r>
        <w:t xml:space="preserve">Acta Astronautica, vol. 235, 2025. doi:</w:t>
      </w:r>
      <w:r>
        <w:t xml:space="preserve"> </w:t>
      </w:r>
      <w:hyperlink r:id="rId79">
        <w:r>
          <w:rPr>
            <w:rStyle w:val="Hyperlink"/>
          </w:rPr>
          <w:t xml:space="preserve">10.1016/j.actaastro.2025.06.029</w:t>
        </w:r>
      </w:hyperlink>
    </w:p>
    <w:p>
      <w:pPr>
        <w:pStyle w:val="BodyText"/>
      </w:pPr>
      <w:bookmarkStart w:id="80" w:name="ref-10"/>
      <w:bookmarkEnd w:id="80"/>
      <w:r>
        <w:t xml:space="preserve">10.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vol. 233, 2025. doi:</w:t>
      </w:r>
      <w:r>
        <w:t xml:space="preserve"> </w:t>
      </w:r>
      <w:hyperlink r:id="rId81">
        <w:r>
          <w:rPr>
            <w:rStyle w:val="Hyperlink"/>
          </w:rPr>
          <w:t xml:space="preserve">10.1016/j.actaastro.2025.01.069</w:t>
        </w:r>
      </w:hyperlink>
    </w:p>
    <w:p>
      <w:pPr>
        <w:pStyle w:val="BodyText"/>
      </w:pPr>
      <w:bookmarkStart w:id="82" w:name="ref-11"/>
      <w:bookmarkEnd w:id="82"/>
      <w:r>
        <w:t xml:space="preserve">11.</w:t>
      </w:r>
      <w:r>
        <w:t xml:space="preserve"> </w:t>
      </w:r>
      <w:r>
        <w:t xml:space="preserve">“SpaceX Starlink satellites made 50,000 collision-avoidance maneuvers in the past 6 months,”</w:t>
      </w:r>
      <w:r>
        <w:t xml:space="preserve"> </w:t>
      </w:r>
      <w:r>
        <w:t xml:space="preserve">Space.com, 2024. Available: https://www.space.com/spacex-starlink-50000-collision-avoidance-maneuvers-space-safety.</w:t>
      </w:r>
    </w:p>
    <w:p>
      <w:pPr>
        <w:pStyle w:val="BodyText"/>
      </w:pPr>
      <w:bookmarkStart w:id="83" w:name="ref-12"/>
      <w:bookmarkEnd w:id="83"/>
      <w:r>
        <w:t xml:space="preserve">12.</w:t>
      </w:r>
      <w:r>
        <w:t xml:space="preserve"> </w:t>
      </w:r>
      <w:r>
        <w:t xml:space="preserve">“Collision Avoidance Maneuvers by Starlink Satellites Increasing Exponentially,”</w:t>
      </w:r>
      <w:r>
        <w:t xml:space="preserve"> </w:t>
      </w:r>
      <w:r>
        <w:t xml:space="preserve">American Institute of Aeronautics and Astronautics, 2023. Available: https://www.aiaa.org/2023/07/07/collision-avoidance-maneuvers-by-starlink-satellites-increasing-exponentially.</w:t>
      </w:r>
    </w:p>
    <w:p>
      <w:pPr>
        <w:pStyle w:val="BodyText"/>
      </w:pPr>
      <w:bookmarkStart w:id="84" w:name="ref-13"/>
      <w:bookmarkEnd w:id="84"/>
      <w:r>
        <w:t xml:space="preserve">13. European Space Agency,</w:t>
      </w:r>
      <w:r>
        <w:t xml:space="preserve"> </w:t>
      </w:r>
      <w:r>
        <w:t xml:space="preserve">“Automating collision avoidance”</w:t>
      </w:r>
      <w:r>
        <w:t xml:space="preserve"> </w:t>
      </w:r>
      <w:r>
        <w:t xml:space="preserve">and</w:t>
      </w:r>
      <w:r>
        <w:t xml:space="preserve"> </w:t>
      </w:r>
      <w:r>
        <w:t xml:space="preserve">“Reentry and collision avoidance,”</w:t>
      </w:r>
      <w:r>
        <w:t xml:space="preserve"> </w:t>
      </w:r>
      <w:r>
        <w:t xml:space="preserve">ESA Space Safety, 2024. Available: https://www.esa.int/Space_Safety/Space_Debris/Automating_collision_avoidance.</w:t>
      </w:r>
    </w:p>
    <w:p>
      <w:pPr>
        <w:pStyle w:val="BodyText"/>
      </w:pPr>
      <w:bookmarkStart w:id="85" w:name="ref-14"/>
      <w:bookmarkEnd w:id="85"/>
      <w:r>
        <w:t xml:space="preserve">14.</w:t>
      </w:r>
      <w:r>
        <w:t xml:space="preserve"> </w:t>
      </w:r>
      <w:r>
        <w:t xml:space="preserve">“EOS Aqua and Aura Experience,”</w:t>
      </w:r>
      <w:r>
        <w:t xml:space="preserve"> </w:t>
      </w:r>
      <w:r>
        <w:t xml:space="preserve">NASA Technical Reports Server, citation 20230005851, 2023. Available: https://ntrs.nasa.gov/api/citations/20230005851.</w:t>
      </w:r>
    </w:p>
    <w:p>
      <w:pPr>
        <w:pStyle w:val="BodyText"/>
      </w:pPr>
      <w:bookmarkStart w:id="86" w:name="ref-15"/>
      <w:bookmarkEnd w:id="86"/>
      <w:r>
        <w:t xml:space="preserve">15. NASA,</w:t>
      </w:r>
      <w:r>
        <w:t xml:space="preserve"> </w:t>
      </w:r>
      <w:r>
        <w:t xml:space="preserve">“Station Maneuvers to Avoid Orbital Debris,”</w:t>
      </w:r>
      <w:r>
        <w:t xml:space="preserve"> </w:t>
      </w:r>
      <w:r>
        <w:t xml:space="preserve">NASA Space Station Blog, 2025. Available: https://www.nasa.gov/blogs/spacestation/2025/04/30/station-maneuvers-to-avoid-orbital-debris.</w:t>
      </w:r>
    </w:p>
    <w:bookmarkEnd w:id="87"/>
    <w:bookmarkStart w:id="88" w:name="specification"/>
    <w:p>
      <w:pPr>
        <w:pStyle w:val="Heading2"/>
      </w:pPr>
      <w:r>
        <w:t xml:space="preserve">Specification</w:t>
      </w:r>
    </w:p>
    <w:p>
      <w:pPr>
        <w:pStyle w:val="FirstParagraph"/>
      </w:pPr>
      <m:oMathPara>
        <m:oMathParaPr>
          <m:jc m:val="center"/>
        </m:oMathParaPr>
        <m:oMath>
          <m:sSub>
            <m:e>
              <m:r>
                <m:rPr>
                  <m:nor/>
                  <m:sty m:val="p"/>
                </m:rPr>
                <m:t>ca_rate</m:t>
              </m:r>
            </m:e>
            <m:sub>
              <m:r>
                <m:t>i</m:t>
              </m:r>
              <m:r>
                <m:t>t</m:t>
              </m:r>
            </m:sub>
          </m:sSub>
          <m:r>
            <m:rPr>
              <m:sty m:val="p"/>
            </m:rPr>
            <m:t>=</m:t>
          </m:r>
          <m:sSub>
            <m:e>
              <m:r>
                <m:t>β</m:t>
              </m:r>
            </m:e>
            <m:sub>
              <m:r>
                <m:t>0</m:t>
              </m:r>
            </m:sub>
          </m:sSub>
          <m:r>
            <m:rPr>
              <m:sty m:val="p"/>
            </m:rPr>
            <m:t>+</m:t>
          </m:r>
          <m:sSub>
            <m:e>
              <m:r>
                <m:t>β</m:t>
              </m:r>
            </m:e>
            <m:sub>
              <m:r>
                <m:t>1</m:t>
              </m:r>
            </m:sub>
          </m:sSub>
          <m:r>
            <m:t> </m:t>
          </m:r>
          <m:sSub>
            <m:e>
              <m:r>
                <m:rPr>
                  <m:nor/>
                  <m:sty m:val="p"/>
                </m:rPr>
                <m:t>provenance_transparent</m:t>
              </m:r>
            </m:e>
            <m:sub>
              <m:r>
                <m:t>i</m:t>
              </m:r>
              <m:r>
                <m:t>t</m:t>
              </m:r>
            </m:sub>
          </m:sSub>
          <m:r>
            <m:rPr>
              <m:sty m:val="p"/>
            </m:rPr>
            <m:t>+</m:t>
          </m:r>
          <m:sSub>
            <m:e>
              <m:r>
                <m:t>β</m:t>
              </m:r>
            </m:e>
            <m:sub>
              <m:r>
                <m:t>2</m:t>
              </m:r>
            </m:sub>
          </m:sSub>
          <m:r>
            <m:t> </m:t>
          </m:r>
          <m:r>
            <m:rPr>
              <m:sty m:val="p"/>
            </m:rPr>
            <m:t>log</m:t>
          </m:r>
          <m:r>
            <m:rPr>
              <m:sty m:val="p"/>
            </m:rPr>
            <m:t>(</m:t>
          </m:r>
          <m:sSub>
            <m:e>
              <m:r>
                <m:rPr>
                  <m:nor/>
                  <m:sty m:val="p"/>
                </m:rPr>
                <m:t>fleet</m:t>
              </m:r>
            </m:e>
            <m:sub>
              <m:r>
                <m:t>i</m:t>
              </m:r>
              <m:r>
                <m:t>t</m:t>
              </m:r>
            </m:sub>
          </m:sSub>
          <m:r>
            <m:rPr>
              <m:sty m:val="p"/>
            </m:rPr>
            <m:t>)</m:t>
          </m:r>
          <m:r>
            <m:rPr>
              <m:sty m:val="p"/>
            </m:rPr>
            <m:t>+</m:t>
          </m:r>
          <m:sSub>
            <m:e>
              <m:r>
                <m:t>β</m:t>
              </m:r>
            </m:e>
            <m:sub>
              <m:r>
                <m:t>3</m:t>
              </m:r>
            </m:sub>
          </m:sSub>
          <m:r>
            <m:t> </m:t>
          </m:r>
          <m:sSub>
            <m:e>
              <m:r>
                <m:rPr>
                  <m:nor/>
                  <m:sty m:val="p"/>
                </m:rPr>
                <m:t>mean_alt_km</m:t>
              </m:r>
            </m:e>
            <m:sub>
              <m:r>
                <m:t>i</m:t>
              </m:r>
              <m:r>
                <m:t>t</m:t>
              </m:r>
            </m:sub>
          </m:sSub>
          <m:r>
            <m:rPr>
              <m:sty m:val="p"/>
            </m:rPr>
            <m:t>+</m:t>
          </m:r>
          <m:sSub>
            <m:e>
              <m:r>
                <m:t>ε</m:t>
              </m:r>
            </m:e>
            <m:sub>
              <m:r>
                <m:t>i</m:t>
              </m:r>
              <m:r>
                <m:t>t</m:t>
              </m:r>
            </m:sub>
          </m:sSub>
        </m:oMath>
      </m:oMathPara>
    </w:p>
    <w:bookmarkEnd w:id="88"/>
    <w:bookmarkStart w:id="9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8.3197</w:t>
            </w:r>
          </w:p>
        </w:tc>
        <w:tc>
          <w:tcPr>
            <w:tcW w:w="0" w:type="auto"/>
          </w:tcPr>
          <w:p>
            <w:pPr>
              <w:spacing w:line="240" w:lineRule="auto" w:before="0" w:after="0"/>
              <w:pStyle w:val="Compact"/>
            </w:pPr>
            <w:r>
              <w:rPr>
                <w:sz w:val="20"/>
                <w:szCs w:val="20"/>
              </w:rPr>
              <w:t xml:space="preserve">5.0259</w:t>
            </w:r>
          </w:p>
        </w:tc>
        <w:tc>
          <w:tcPr>
            <w:tcW w:w="0" w:type="auto"/>
          </w:tcPr>
          <w:p>
            <w:pPr>
              <w:spacing w:line="240" w:lineRule="auto" w:before="0" w:after="0"/>
              <w:pStyle w:val="Compact"/>
            </w:pPr>
            <w:r>
              <w:rPr>
                <w:sz w:val="20"/>
                <w:szCs w:val="20"/>
              </w:rPr>
              <w:t xml:space="preserve">1.6554</w:t>
            </w:r>
          </w:p>
        </w:tc>
        <w:tc>
          <w:tcPr>
            <w:tcW w:w="0" w:type="auto"/>
          </w:tcPr>
          <w:p>
            <w:pPr>
              <w:spacing w:line="240" w:lineRule="auto" w:before="0" w:after="0"/>
              <w:pStyle w:val="Compact"/>
            </w:pPr>
            <w:r>
              <w:rPr>
                <w:sz w:val="20"/>
                <w:szCs w:val="20"/>
              </w:rPr>
              <w:t xml:space="preserve">0.0978</w:t>
            </w:r>
          </w:p>
        </w:tc>
        <w:tc>
          <w:tcPr>
            <w:tcW w:w="0" w:type="auto"/>
          </w:tcPr>
          <w:p>
            <w:pPr>
              <w:spacing w:line="240" w:lineRule="auto" w:before="0" w:after="0"/>
              <w:pStyle w:val="Compact"/>
            </w:pPr>
            <w:r>
              <w:rPr>
                <w:sz w:val="20"/>
                <w:szCs w:val="20"/>
              </w:rPr>
              <w:t xml:space="preserve">[-1.5308, 18.1703]</w:t>
            </w:r>
          </w:p>
        </w:tc>
      </w:tr>
      <w:tr>
        <w:tc>
          <w:tcPr>
            <w:tcW w:w="0" w:type="auto"/>
          </w:tcPr>
          <w:p>
            <w:pPr>
              <w:spacing w:line="240" w:lineRule="auto" w:before="0" w:after="0"/>
              <w:pStyle w:val="Compact"/>
            </w:pPr>
            <w:r>
              <w:rPr>
                <w:sz w:val="20"/>
                <w:szCs w:val="20"/>
              </w:rPr>
              <w:t xml:space="preserve">provenance_transparent</w:t>
            </w:r>
          </w:p>
        </w:tc>
        <w:tc>
          <w:tcPr>
            <w:tcW w:w="0" w:type="auto"/>
          </w:tcPr>
          <w:p>
            <w:pPr>
              <w:spacing w:line="240" w:lineRule="auto" w:before="0" w:after="0"/>
              <w:pStyle w:val="Compact"/>
            </w:pPr>
            <w:r>
              <w:rPr>
                <w:sz w:val="20"/>
                <w:szCs w:val="20"/>
              </w:rPr>
              <w:t xml:space="preserve">0.8147</w:t>
            </w:r>
          </w:p>
        </w:tc>
        <w:tc>
          <w:tcPr>
            <w:tcW w:w="0" w:type="auto"/>
          </w:tcPr>
          <w:p>
            <w:pPr>
              <w:spacing w:line="240" w:lineRule="auto" w:before="0" w:after="0"/>
              <w:pStyle w:val="Compact"/>
            </w:pPr>
            <w:r>
              <w:rPr>
                <w:sz w:val="20"/>
                <w:szCs w:val="20"/>
              </w:rPr>
              <w:t xml:space="preserve">7.5591</w:t>
            </w:r>
          </w:p>
        </w:tc>
        <w:tc>
          <w:tcPr>
            <w:tcW w:w="0" w:type="auto"/>
          </w:tcPr>
          <w:p>
            <w:pPr>
              <w:spacing w:line="240" w:lineRule="auto" w:before="0" w:after="0"/>
              <w:pStyle w:val="Compact"/>
            </w:pPr>
            <w:r>
              <w:rPr>
                <w:sz w:val="20"/>
                <w:szCs w:val="20"/>
              </w:rPr>
              <w:t xml:space="preserve">0.1078</w:t>
            </w:r>
          </w:p>
        </w:tc>
        <w:tc>
          <w:tcPr>
            <w:tcW w:w="0" w:type="auto"/>
          </w:tcPr>
          <w:p>
            <w:pPr>
              <w:spacing w:line="240" w:lineRule="auto" w:before="0" w:after="0"/>
              <w:pStyle w:val="Compact"/>
            </w:pPr>
            <w:r>
              <w:rPr>
                <w:sz w:val="20"/>
                <w:szCs w:val="20"/>
              </w:rPr>
              <w:t xml:space="preserve">0.9142</w:t>
            </w:r>
          </w:p>
        </w:tc>
        <w:tc>
          <w:tcPr>
            <w:tcW w:w="0" w:type="auto"/>
          </w:tcPr>
          <w:p>
            <w:pPr>
              <w:spacing w:line="240" w:lineRule="auto" w:before="0" w:after="0"/>
              <w:pStyle w:val="Compact"/>
            </w:pPr>
            <w:r>
              <w:rPr>
                <w:sz w:val="20"/>
                <w:szCs w:val="20"/>
              </w:rPr>
              <w:t xml:space="preserve">[-14.0009, 15.6304]</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1.4492</w:t>
            </w:r>
          </w:p>
        </w:tc>
        <w:tc>
          <w:tcPr>
            <w:tcW w:w="0" w:type="auto"/>
          </w:tcPr>
          <w:p>
            <w:pPr>
              <w:spacing w:line="240" w:lineRule="auto" w:before="0" w:after="0"/>
              <w:pStyle w:val="Compact"/>
            </w:pPr>
            <w:r>
              <w:rPr>
                <w:sz w:val="20"/>
                <w:szCs w:val="20"/>
              </w:rPr>
              <w:t xml:space="preserve">1.1696</w:t>
            </w:r>
          </w:p>
        </w:tc>
        <w:tc>
          <w:tcPr>
            <w:tcW w:w="0" w:type="auto"/>
          </w:tcPr>
          <w:p>
            <w:pPr>
              <w:spacing w:line="240" w:lineRule="auto" w:before="0" w:after="0"/>
              <w:pStyle w:val="Compact"/>
            </w:pPr>
            <w:r>
              <w:rPr>
                <w:sz w:val="20"/>
                <w:szCs w:val="20"/>
              </w:rPr>
              <w:t xml:space="preserve">1.2391</w:t>
            </w:r>
          </w:p>
        </w:tc>
        <w:tc>
          <w:tcPr>
            <w:tcW w:w="0" w:type="auto"/>
          </w:tcPr>
          <w:p>
            <w:pPr>
              <w:spacing w:line="240" w:lineRule="auto" w:before="0" w:after="0"/>
              <w:pStyle w:val="Compact"/>
            </w:pPr>
            <w:r>
              <w:rPr>
                <w:sz w:val="20"/>
                <w:szCs w:val="20"/>
              </w:rPr>
              <w:t xml:space="preserve">0.2153</w:t>
            </w:r>
          </w:p>
        </w:tc>
        <w:tc>
          <w:tcPr>
            <w:tcW w:w="0" w:type="auto"/>
          </w:tcPr>
          <w:p>
            <w:pPr>
              <w:spacing w:line="240" w:lineRule="auto" w:before="0" w:after="0"/>
              <w:pStyle w:val="Compact"/>
            </w:pPr>
            <w:r>
              <w:rPr>
                <w:sz w:val="20"/>
                <w:szCs w:val="20"/>
              </w:rPr>
              <w:t xml:space="preserve">[-0.8431, 3.7415]</w:t>
            </w:r>
          </w:p>
        </w:tc>
      </w:tr>
      <w:tr>
        <w:tc>
          <w:tcPr>
            <w:tcW w:w="0" w:type="auto"/>
          </w:tcPr>
          <w:p>
            <w:pPr>
              <w:spacing w:line="240" w:lineRule="auto" w:before="0" w:after="0"/>
              <w:pStyle w:val="Compact"/>
            </w:pPr>
            <w:r>
              <w:rPr>
                <w:sz w:val="20"/>
                <w:szCs w:val="20"/>
              </w:rPr>
              <w:t xml:space="preserve">mean_alt_km</w:t>
            </w:r>
          </w:p>
        </w:tc>
        <w:tc>
          <w:tcPr>
            <w:tcW w:w="0" w:type="auto"/>
          </w:tcPr>
          <w:p>
            <w:pPr>
              <w:spacing w:line="240" w:lineRule="auto" w:before="0" w:after="0"/>
              <w:pStyle w:val="Compact"/>
            </w:pPr>
            <w:r>
              <w:rPr>
                <w:sz w:val="20"/>
                <w:szCs w:val="20"/>
              </w:rPr>
              <w:t xml:space="preserve">-0.0135</w:t>
            </w:r>
          </w:p>
        </w:tc>
        <w:tc>
          <w:tcPr>
            <w:tcW w:w="0" w:type="auto"/>
          </w:tcPr>
          <w:p>
            <w:pPr>
              <w:spacing w:line="240" w:lineRule="auto" w:before="0" w:after="0"/>
              <w:pStyle w:val="Compact"/>
            </w:pPr>
            <w:r>
              <w:rPr>
                <w:sz w:val="20"/>
                <w:szCs w:val="20"/>
              </w:rPr>
              <w:t xml:space="preserve">0.0073</w:t>
            </w:r>
          </w:p>
        </w:tc>
        <w:tc>
          <w:tcPr>
            <w:tcW w:w="0" w:type="auto"/>
          </w:tcPr>
          <w:p>
            <w:pPr>
              <w:spacing w:line="240" w:lineRule="auto" w:before="0" w:after="0"/>
              <w:pStyle w:val="Compact"/>
            </w:pPr>
            <w:r>
              <w:rPr>
                <w:sz w:val="20"/>
                <w:szCs w:val="20"/>
              </w:rPr>
              <w:t xml:space="preserve">-1.8647</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[-0.0278, 0.0006914]</w:t>
            </w:r>
          </w:p>
        </w:tc>
      </w:tr>
    </w:tbl>
    <w:p>
      <w:pPr>
        <w:pStyle w:val="BodyText"/>
      </w:pPr>
      <w:r>
        <w:t xml:space="preserve">Fit: N = 22 R2 = 0.3911 R2_adj = 0.2896 F = 3.5424 F_p = 0.0356</w:t>
      </w:r>
    </w:p>
    <w:p>
      <w:pPr>
        <w:pStyle w:val="CaptionedFigure"/>
      </w:pPr>
      <w:r>
        <w:drawing>
          <wp:inline>
            <wp:extent cx="5669280" cy="3657600"/>
            <wp:effectExtent b="0" l="0" r="0" t="0"/>
            <wp:docPr descr="Figure 1. Documented collision-avoidance maneuver rate per satellite-year against log fleet size across operator-period observations, by autonomy provenance. Opaque-provenance autonomous fleets (Starlink) occupy the high-rate, large-fleet region; transparent-provenance ground-commanded operators cluster at low maneuver rates." title="" id="90" name="Picture"/>
            <a:graphic>
              <a:graphicData uri="http://schemas.openxmlformats.org/drawingml/2006/picture">
                <pic:pic>
                  <pic:nvPicPr>
                    <pic:cNvPr descr="D:\Claude_Code\brain\collegium\candidates\dissertations\CYBER_AI_13\research_papers\p1\paper_fig1.png" id="91" name="Picture"/>
                    <pic:cNvPicPr>
                      <a:picLocks noChangeArrowheads="1" noChangeAspect="1"/>
                    </pic:cNvPicPr>
                  </pic:nvPicPr>
                  <pic:blipFill>
                    <a:blip r:embed="rId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Documented collision-avoidance maneuver rate per satellite-year against log fleet size across operator-period observations, by autonomy provenance. Opaque-provenance autonomous fleets (Starlink) occupy the high-rate, large-fleet region; transparent-provenance ground-commanded operators cluster at low maneuver rates.</w:t>
      </w:r>
    </w:p>
    <w:bookmarkEnd w:id="92"/>
    <w:bookmarkStart w:id="9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period</w:t>
            </w:r>
          </w:p>
        </w:tc>
        <w:tc>
          <w:tcPr>
            <w:tcW w:w="0" w:type="auto"/>
          </w:tcPr>
          <w:p>
            <w:pPr>
              <w:spacing w:line="240" w:lineRule="auto" w:before="0" w:after="0"/>
              <w:pStyle w:val="Compact"/>
            </w:pPr>
            <w:r>
              <w:rPr>
                <w:sz w:val="20"/>
                <w:szCs w:val="20"/>
              </w:rPr>
              <w:t xml:space="preserve">ca_maneuvers</w:t>
            </w:r>
          </w:p>
        </w:tc>
        <w:tc>
          <w:tcPr>
            <w:tcW w:w="0" w:type="auto"/>
          </w:tcPr>
          <w:p>
            <w:pPr>
              <w:spacing w:line="240" w:lineRule="auto" w:before="0" w:after="0"/>
              <w:pStyle w:val="Compact"/>
            </w:pPr>
            <w:r>
              <w:rPr>
                <w:sz w:val="20"/>
                <w:szCs w:val="20"/>
              </w:rPr>
              <w:t xml:space="preserve">sat_count</w:t>
            </w:r>
          </w:p>
        </w:tc>
        <w:tc>
          <w:tcPr>
            <w:tcW w:w="0" w:type="auto"/>
          </w:tcPr>
          <w:p>
            <w:pPr>
              <w:spacing w:line="240" w:lineRule="auto" w:before="0" w:after="0"/>
              <w:pStyle w:val="Compact"/>
            </w:pPr>
            <w:r>
              <w:rPr>
                <w:sz w:val="20"/>
                <w:szCs w:val="20"/>
              </w:rPr>
              <w:t xml:space="preserve">months</w:t>
            </w:r>
          </w:p>
        </w:tc>
        <w:tc>
          <w:tcPr>
            <w:tcW w:w="0" w:type="auto"/>
          </w:tcPr>
          <w:p>
            <w:pPr>
              <w:spacing w:line="240" w:lineRule="auto" w:before="0" w:after="0"/>
              <w:pStyle w:val="Compact"/>
            </w:pPr>
            <w:r>
              <w:rPr>
                <w:sz w:val="20"/>
                <w:szCs w:val="20"/>
              </w:rPr>
              <w:t xml:space="preserve">ca_rate</w:t>
            </w:r>
          </w:p>
        </w:tc>
        <w:tc>
          <w:tcPr>
            <w:tcW w:w="0" w:type="auto"/>
          </w:tcPr>
          <w:p>
            <w:pPr>
              <w:spacing w:line="240" w:lineRule="auto" w:before="0" w:after="0"/>
              <w:pStyle w:val="Compact"/>
            </w:pPr>
            <w:r>
              <w:rPr>
                <w:sz w:val="20"/>
                <w:szCs w:val="20"/>
              </w:rPr>
              <w:t xml:space="preserve">provenance_transparent</w:t>
            </w:r>
          </w:p>
        </w:tc>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mean_alt_km</w:t>
            </w:r>
          </w:p>
        </w:tc>
        <w:tc>
          <w:tcPr>
            <w:tcW w:w="0" w:type="auto"/>
          </w:tcPr>
          <w:p>
            <w:pPr>
              <w:spacing w:line="240" w:lineRule="auto" w:before="0" w:after="0"/>
              <w:pStyle w:val="Compact"/>
            </w:pPr>
            <w:r>
              <w:rPr>
                <w:sz w:val="20"/>
                <w:szCs w:val="20"/>
              </w:rPr>
              <w:t xml:space="preserve">leo_dense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2021H1</w:t>
            </w:r>
          </w:p>
        </w:tc>
        <w:tc>
          <w:tcPr>
            <w:tcW w:w="0" w:type="auto"/>
          </w:tcPr>
          <w:p>
            <w:pPr>
              <w:spacing w:line="240" w:lineRule="auto" w:before="0" w:after="0"/>
              <w:pStyle w:val="Compact"/>
            </w:pPr>
            <w:r>
              <w:rPr>
                <w:sz w:val="20"/>
                <w:szCs w:val="20"/>
              </w:rPr>
              <w:t xml:space="preserve">2219</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7.378</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(Jan-Jun 2021, 2,219) via AIAA aiaa.org/2023/07/07 and space.com/spacex-starlink-collision-avoidance-maneuver-growth-stalls; operational fleet ~1,600 mid-2021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2021H2</w:t>
            </w:r>
          </w:p>
        </w:tc>
        <w:tc>
          <w:tcPr>
            <w:tcW w:w="0" w:type="auto"/>
          </w:tcPr>
          <w:p>
            <w:pPr>
              <w:spacing w:line="240" w:lineRule="auto" w:before="0" w:after="0"/>
              <w:pStyle w:val="Compact"/>
            </w:pPr>
            <w:r>
              <w:rPr>
                <w:sz w:val="20"/>
                <w:szCs w:val="20"/>
              </w:rPr>
              <w:t xml:space="preserve">3333</w:t>
            </w:r>
          </w:p>
        </w:tc>
        <w:tc>
          <w:tcPr>
            <w:tcW w:w="0" w:type="auto"/>
          </w:tcPr>
          <w:p>
            <w:pPr>
              <w:spacing w:line="240" w:lineRule="auto" w:before="0" w:after="0"/>
              <w:pStyle w:val="Compact"/>
            </w:pPr>
            <w:r>
              <w:rPr>
                <w:sz w:val="20"/>
                <w:szCs w:val="20"/>
              </w:rPr>
              <w:t xml:space="preserve">1454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4.585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7.282</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(Jul-Dec 2021, 3,333) via space.com/spacex-starlink-collision-avoidance-maneuver-growth-stalls; operational fleet 1,454 Nov-2021 per spaceflightnow.com/2021/11/13</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2022H1</w:t>
            </w:r>
          </w:p>
        </w:tc>
        <w:tc>
          <w:tcPr>
            <w:tcW w:w="0" w:type="auto"/>
          </w:tcPr>
          <w:p>
            <w:pPr>
              <w:spacing w:line="240" w:lineRule="auto" w:before="0" w:after="0"/>
              <w:pStyle w:val="Compact"/>
            </w:pPr>
            <w:r>
              <w:rPr>
                <w:sz w:val="20"/>
                <w:szCs w:val="20"/>
              </w:rPr>
              <w:t xml:space="preserve">6873</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5.977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7.741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(Dec2021-Jun2022, 6,873) via space.com/spacex-starlink-collision-avoidance-maneuver-growth-stalls; fleet ~2,300 mid-2022 interpolated between 1,600 (mid-2021) and ~3,000 (Sep-2022) per space.com/spacex-starlink-satellites.html [illustrative]</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2022H2</w:t>
            </w:r>
          </w:p>
        </w:tc>
        <w:tc>
          <w:tcPr>
            <w:tcW w:w="0" w:type="auto"/>
          </w:tcPr>
          <w:p>
            <w:pPr>
              <w:spacing w:line="240" w:lineRule="auto" w:before="0" w:after="0"/>
              <w:pStyle w:val="Compact"/>
            </w:pPr>
            <w:r>
              <w:rPr>
                <w:sz w:val="20"/>
                <w:szCs w:val="20"/>
              </w:rPr>
              <w:t xml:space="preserve">13612</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8.102</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(Jun-Dec 2022, 13,612) via space.com/spacex-starlink-collision-avoidance-maneuver-growth-stalls; fleet ~3,000-3,500 late-2022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2023H1</w:t>
            </w:r>
          </w:p>
        </w:tc>
        <w:tc>
          <w:tcPr>
            <w:tcW w:w="0" w:type="auto"/>
          </w:tcPr>
          <w:p>
            <w:pPr>
              <w:spacing w:line="240" w:lineRule="auto" w:before="0" w:after="0"/>
              <w:pStyle w:val="Compact"/>
            </w:pPr>
            <w:r>
              <w:rPr>
                <w:sz w:val="20"/>
                <w:szCs w:val="20"/>
              </w:rPr>
              <w:t xml:space="preserve">25299</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12.649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(Dec2022-May2023, &gt;25,299) via space.com/spacex-starlink-collision-avoidance-maneuver-growth-stalls and aiaa.org/2023/07/07; fleet ~4,000 May-2023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2023H2</w:t>
            </w:r>
          </w:p>
        </w:tc>
        <w:tc>
          <w:tcPr>
            <w:tcW w:w="0" w:type="auto"/>
          </w:tcPr>
          <w:p>
            <w:pPr>
              <w:spacing w:line="240" w:lineRule="auto" w:before="0" w:after="0"/>
              <w:pStyle w:val="Compact"/>
            </w:pPr>
            <w:r>
              <w:rPr>
                <w:sz w:val="20"/>
                <w:szCs w:val="20"/>
              </w:rPr>
              <w:t xml:space="preserve">24410</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9.388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8.556</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(Jun-Nov 2023, 24,410) via space.com/spacex-starlink-collision-avoidance-maneuver-growth-stalls; fleet ~5,200 Nov-2023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2024H1</w:t>
            </w:r>
          </w:p>
        </w:tc>
        <w:tc>
          <w:tcPr>
            <w:tcW w:w="0" w:type="auto"/>
          </w:tcPr>
          <w:p>
            <w:pPr>
              <w:spacing w:line="240" w:lineRule="auto" w:before="0" w:after="0"/>
              <w:pStyle w:val="Compact"/>
            </w:pPr>
            <w:r>
              <w:rPr>
                <w:sz w:val="20"/>
                <w:szCs w:val="20"/>
              </w:rPr>
              <w:t xml:space="preserve">49384</w:t>
            </w:r>
          </w:p>
        </w:tc>
        <w:tc>
          <w:tcPr>
            <w:tcW w:w="0" w:type="auto"/>
          </w:tcPr>
          <w:p>
            <w:pPr>
              <w:spacing w:line="240" w:lineRule="auto" w:before="0" w:after="0"/>
              <w:pStyle w:val="Compact"/>
            </w:pPr>
            <w:r>
              <w:rPr>
                <w:sz w:val="20"/>
                <w:szCs w:val="20"/>
              </w:rPr>
              <w:t xml:space="preserve">6100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16.191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8.716</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(Dec2023-May2024, 49,384; ~14 firings per satellite) via space.com/spacex-starlink-50000-collision-avoidance-maneuvers-space-safety; fleet ~6,100 Jun-2024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2024H2</w:t>
            </w:r>
          </w:p>
        </w:tc>
        <w:tc>
          <w:tcPr>
            <w:tcW w:w="0" w:type="auto"/>
          </w:tcPr>
          <w:p>
            <w:pPr>
              <w:spacing w:line="240" w:lineRule="auto" w:before="0" w:after="0"/>
              <w:pStyle w:val="Compact"/>
            </w:pPr>
            <w:r>
              <w:rPr>
                <w:sz w:val="20"/>
                <w:szCs w:val="20"/>
              </w:rPr>
              <w:t xml:space="preserve">144404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41.258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8.854</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(Dec2024-May2025, 144,404; ~41 maneuvers per satellite-yr) via fodnews.com/esa-space-environment-report-2026-leo-debris-collision-risk; fleet ~7,000 late-2024 per space.com/spacex-starlink-satellites.html</w:t>
            </w:r>
          </w:p>
        </w:tc>
      </w:tr>
      <w:tr>
        <w:tc>
          <w:tcPr>
            <w:tcW w:w="0" w:type="auto"/>
          </w:tcPr>
          <w:p>
            <w:pPr>
              <w:spacing w:line="240" w:lineRule="auto" w:before="0" w:after="0"/>
              <w:pStyle w:val="Compact"/>
            </w:pPr>
            <w:r>
              <w:rPr>
                <w:sz w:val="20"/>
                <w:szCs w:val="20"/>
              </w:rPr>
              <w:t xml:space="preserve">ESA-fleet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2.398</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Debris Office: ~12 collision-avoidance maneuvers per year across operational fleet, &gt;1 per satellite-yr in LEO; esa.int/Space_Safety/Space_Debris/Reentry_and_collision_avoidance and esa.int/Space_Safety/Space_Debris/Automating_collision_avoidance</w:t>
            </w:r>
          </w:p>
        </w:tc>
      </w:tr>
      <w:tr>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Copernicus Sentinel-1A collision-avoidance maneuvers documented 1-Apr-2022 and 16-May-2022 (multiple 2022 events); sentinels.copernicus.eu/-/copernicus-sentinel-1a-collision-avoidance-manoeuvres-on-1-april-2022 and sentinel.esa.int/web/sentinel/-/copernicus-sentinel-1a-collision-avoidance-manoeuvres-on-16-may-2022</w:t>
            </w:r>
          </w:p>
        </w:tc>
      </w:tr>
      <w:tr>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2005-2023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EOS: Aqua 24 Debris Avoidance Maneuvers as of 31-Mar-2023; ntrs.nasa.gov/api/citations/20230005851 (EOS Aqua and Aura Experience) and aqua.gsfc.nasa.gov AquaStatus reports</w:t>
            </w:r>
          </w:p>
        </w:tc>
      </w:tr>
      <w:tr>
        <w:tc>
          <w:tcPr>
            <w:tcW w:w="0" w:type="auto"/>
          </w:tcPr>
          <w:p>
            <w:pPr>
              <w:spacing w:line="240" w:lineRule="auto" w:before="0" w:after="0"/>
              <w:pStyle w:val="Compact"/>
            </w:pPr>
            <w:r>
              <w:rPr>
                <w:sz w:val="20"/>
                <w:szCs w:val="20"/>
              </w:rPr>
              <w:t xml:space="preserve">Aura</w:t>
            </w:r>
          </w:p>
        </w:tc>
        <w:tc>
          <w:tcPr>
            <w:tcW w:w="0" w:type="auto"/>
          </w:tcPr>
          <w:p>
            <w:pPr>
              <w:spacing w:line="240" w:lineRule="auto" w:before="0" w:after="0"/>
              <w:pStyle w:val="Compact"/>
            </w:pPr>
            <w:r>
              <w:rPr>
                <w:sz w:val="20"/>
                <w:szCs w:val="20"/>
              </w:rPr>
              <w:t xml:space="preserve">2005-2023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0.684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EOS: Aura 13 Debris Avoidance Maneuvers as of 31-Mar-2023; ntrs.nasa.gov/api/citations/20230005851 (EOS Aqua and Aura Experience)</w:t>
            </w:r>
          </w:p>
        </w:tc>
      </w:tr>
      <w:tr>
        <w:tc>
          <w:tcPr>
            <w:tcW w:w="0" w:type="auto"/>
          </w:tcPr>
          <w:p>
            <w:pPr>
              <w:spacing w:line="240" w:lineRule="auto" w:before="0" w:after="0"/>
              <w:pStyle w:val="Compact"/>
            </w:pPr>
            <w:r>
              <w:rPr>
                <w:sz w:val="20"/>
                <w:szCs w:val="20"/>
              </w:rPr>
              <w:t xml:space="preserve">Terra</w:t>
            </w:r>
          </w:p>
        </w:tc>
        <w:tc>
          <w:tcPr>
            <w:tcW w:w="0" w:type="auto"/>
          </w:tcPr>
          <w:p>
            <w:pPr>
              <w:spacing w:line="240" w:lineRule="auto" w:before="0" w:after="0"/>
              <w:pStyle w:val="Compact"/>
            </w:pPr>
            <w:r>
              <w:rPr>
                <w:sz w:val="20"/>
                <w:szCs w:val="20"/>
              </w:rPr>
              <w:t xml:space="preserve">2005-2023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0.842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EOS: Terra 16 Debris Avoidance Maneuvers as of 31-Mar-2023; ntrs.nasa.gov/api/citations/20230005851 and satellitesafety.gsfc.nasa.gov/cara.html</w:t>
            </w:r>
          </w:p>
        </w:tc>
      </w:tr>
      <w:tr>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ISS performed 5 debris avoidance maneuvers in 2023; nasa.gov/blogs/spacestation and livescience.com/space/space-exploration/iss-dodges-its-39th-piece-of-potentially-hazardous-space-junk</w:t>
            </w:r>
          </w:p>
        </w:tc>
      </w:tr>
      <w:tr>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1 ISS debris avoidance maneuver as of Nov-2024; nasa.gov/blogs/spacestation/2025/04/30/station-maneuvers-to-avoid-orbital-debris and npr.org/2024/11/20/nx-s1-5196986</w:t>
            </w:r>
          </w:p>
        </w:tc>
      </w:tr>
      <w:tr>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1998-2024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39 ISS debris avoidance maneuvers cumulative 1998 to Nov-2024; livescience.com/space/space-exploration/iss-dodges-its-39th-piece and space.com/international-space-station-space-dodge-debris-how-often</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OneWeb requested manual ground-operator maneuver and asked SpaceX to disable its autonomous CA software, Apr-2021; teslarati.com/spacex-starlink-oneweb-false-near-miss-claim; OneWeb fleet ~300 in 2021 (high-altitude 1,200 km shell, ground-commanded)</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4.317</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Iridium NEXT ground-commanded collision avoidance; Iridium co-authored AIAA Satellite Orbital Safety Best Practices with SpaceX and OneWeb; aerospaceamerica.aiaa.org/features/heavy-traffic-ahead; fleet 66 operational plus on-orbit spares [illustrative annual count]</w:t>
            </w:r>
          </w:p>
        </w:tc>
      </w:tr>
      <w:tr>
        <w:tc>
          <w:tcPr>
            <w:tcW w:w="0" w:type="auto"/>
          </w:tcPr>
          <w:p>
            <w:pPr>
              <w:spacing w:line="240" w:lineRule="auto" w:before="0" w:after="0"/>
              <w:pStyle w:val="Compact"/>
            </w:pPr>
            <w:r>
              <w:rPr>
                <w:sz w:val="20"/>
                <w:szCs w:val="20"/>
              </w:rPr>
              <w:t xml:space="preserve">CryoSat-2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CryoSat-2 ground-commanded CA via ESOC Space Debris Office; conference.sdo.esoc.esa.int/proceedings (Collision Avoidance for Operational ESA Satellites) and esa.int/Space_Safety/Space_Debris/Automating_collision_avoidance</w:t>
            </w:r>
          </w:p>
        </w:tc>
      </w:tr>
      <w:tr>
        <w:tc>
          <w:tcPr>
            <w:tcW w:w="0" w:type="auto"/>
          </w:tcPr>
          <w:p>
            <w:pPr>
              <w:spacing w:line="240" w:lineRule="auto" w:before="0" w:after="0"/>
              <w:pStyle w:val="Compact"/>
            </w:pPr>
            <w:r>
              <w:rPr>
                <w:sz w:val="20"/>
                <w:szCs w:val="20"/>
              </w:rPr>
              <w:t xml:space="preserve">Aeolus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Aeolus very-low-orbit (320 km) ground-commanded CA with elevated alert rate; esa.int/Space_Safety/Space_Debris/Automating_collision_avoidance and ESOC operational collision-avoidance proceedings [illustrative annual count]</w:t>
            </w:r>
          </w:p>
        </w:tc>
      </w:tr>
      <w:tr>
        <w:tc>
          <w:tcPr>
            <w:tcW w:w="0" w:type="auto"/>
          </w:tcPr>
          <w:p>
            <w:pPr>
              <w:spacing w:line="240" w:lineRule="auto" w:before="0" w:after="0"/>
              <w:pStyle w:val="Compact"/>
            </w:pPr>
            <w:r>
              <w:rPr>
                <w:sz w:val="20"/>
                <w:szCs w:val="20"/>
              </w:rPr>
              <w:t xml:space="preserve">Sentinel-2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Copernicus Sentinel-2A/2B ground-commanded CA support by ESA Space Debris Office (seven Sentinels supported); esa.int/Applications/Observing_the_Earth/Copernicus/The_Sentinel_missions and esa.int/Space_Safety/Space_Debris/Automating_collision_avoidance</w:t>
            </w:r>
          </w:p>
        </w:tc>
      </w:tr>
      <w:tr>
        <w:tc>
          <w:tcPr>
            <w:tcW w:w="0" w:type="auto"/>
          </w:tcPr>
          <w:p>
            <w:pPr>
              <w:spacing w:line="240" w:lineRule="auto" w:before="0" w:after="0"/>
              <w:pStyle w:val="Compact"/>
            </w:pPr>
            <w:r>
              <w:rPr>
                <w:sz w:val="20"/>
                <w:szCs w:val="20"/>
              </w:rPr>
              <w:t xml:space="preserve">ESA-fleet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Debris Office fleet-average above one CA maneuver per satellite-yr, rising alert volume in 2024-2026 environment report; fodnews.com/esa-space-environment-report-2026-leo-debris-collision-risk and esa.int/Space_Safety/Space_Debris/Automating_collision_avoidance</w:t>
            </w:r>
          </w:p>
        </w:tc>
      </w:tr>
    </w:tbl>
    <w:bookmarkEnd w:id="93"/>
    <w:bookmarkStart w:id="9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ca_rate</w:t>
            </w:r>
          </w:p>
        </w:tc>
        <w:tc>
          <w:tcPr>
            <w:tcW w:w="0" w:type="auto"/>
          </w:tcPr>
          <w:p>
            <w:pPr>
              <w:spacing w:line="240" w:lineRule="auto" w:before="0" w:after="0"/>
              <w:pStyle w:val="Compact"/>
            </w:pPr>
            <w:r>
              <w:rPr>
                <w:sz w:val="20"/>
                <w:szCs w:val="20"/>
              </w:rPr>
              <w:t xml:space="preserve">Documented collision-avoidance maneuvers per satellite per year, annualized from the reporting window (count divided by fleet size, scaled to a 12-month basis). The dependent quantity, measuring the operational maneuver tempo that governance treats as the accountable on-orbit act.</w:t>
            </w:r>
          </w:p>
        </w:tc>
        <w:tc>
          <w:tcPr>
            <w:tcW w:w="0" w:type="auto"/>
          </w:tcPr>
          <w:p>
            <w:pPr>
              <w:spacing w:line="240" w:lineRule="auto" w:before="0" w:after="0"/>
              <w:pStyle w:val="Compact"/>
            </w:pPr>
            <w:r>
              <w:rPr>
                <w:sz w:val="20"/>
                <w:szCs w:val="20"/>
              </w:rPr>
              <w:t xml:space="preserve">SpaceX FCC semiannual reports; ESA Space Debris Office; NASA EOS and CARA mission status; ESA Copernicus Sentinel mission pages</w:t>
            </w:r>
          </w:p>
        </w:tc>
      </w:tr>
      <w:tr>
        <w:tc>
          <w:tcPr>
            <w:tcW w:w="0" w:type="auto"/>
          </w:tcPr>
          <w:p>
            <w:pPr>
              <w:spacing w:line="240" w:lineRule="auto" w:before="0" w:after="0"/>
              <w:pStyle w:val="Compact"/>
            </w:pPr>
            <w:r>
              <w:rPr>
                <w:sz w:val="20"/>
                <w:szCs w:val="20"/>
              </w:rPr>
              <w:t xml:space="preserve">provenance_transparent</w:t>
            </w:r>
          </w:p>
        </w:tc>
        <w:tc>
          <w:tcPr>
            <w:tcW w:w="0" w:type="auto"/>
          </w:tcPr>
          <w:p>
            <w:pPr>
              <w:spacing w:line="240" w:lineRule="auto" w:before="0" w:after="0"/>
              <w:pStyle w:val="Compact"/>
            </w:pPr>
            <w:r>
              <w:rPr>
                <w:sz w:val="20"/>
                <w:szCs w:val="20"/>
              </w:rPr>
              <w:t xml:space="preserve">Binary treatment coded 1 when the maneuvering operator relies on a ground-commanded, human-reviewed, operator-reconstructable collision-avoidance process (auditable provenance) and 0 when it relies on an onboard autonomous or learned avoidance system whose decision logic the operator does not author per event (opaque provenance).</w:t>
            </w:r>
          </w:p>
        </w:tc>
        <w:tc>
          <w:tcPr>
            <w:tcW w:w="0" w:type="auto"/>
          </w:tcPr>
          <w:p>
            <w:pPr>
              <w:spacing w:line="240" w:lineRule="auto" w:before="0" w:after="0"/>
              <w:pStyle w:val="Compact"/>
            </w:pPr>
            <w:r>
              <w:rPr>
                <w:sz w:val="20"/>
                <w:szCs w:val="20"/>
              </w:rPr>
              <w:t xml:space="preserve">Hand-coded from operator documentation: SpaceX autonomous onboard CA (opaque); ESA, NASA, ISS, OneWeb, Iridium, Planet ground-commanded CA (transparent); teslarati.com OneWeb manual-maneuver request; esa.int automating-collision-avoidance</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Natural logarithm of the operator’s operational satellite count in the reporting period, controlling for constellation scale and the traffic exposure it generates.</w:t>
            </w:r>
          </w:p>
        </w:tc>
        <w:tc>
          <w:tcPr>
            <w:tcW w:w="0" w:type="auto"/>
          </w:tcPr>
          <w:p>
            <w:pPr>
              <w:spacing w:line="240" w:lineRule="auto" w:before="0" w:after="0"/>
              <w:pStyle w:val="Compact"/>
            </w:pPr>
            <w:r>
              <w:rPr>
                <w:sz w:val="20"/>
                <w:szCs w:val="20"/>
              </w:rPr>
              <w:t xml:space="preserve">space.com Starlink fleet counts; spaceflightnow.com; operator and ESA fleet figures</w:t>
            </w:r>
          </w:p>
        </w:tc>
      </w:tr>
      <w:tr>
        <w:tc>
          <w:tcPr>
            <w:tcW w:w="0" w:type="auto"/>
          </w:tcPr>
          <w:p>
            <w:pPr>
              <w:spacing w:line="240" w:lineRule="auto" w:before="0" w:after="0"/>
              <w:pStyle w:val="Compact"/>
            </w:pPr>
            <w:r>
              <w:rPr>
                <w:sz w:val="20"/>
                <w:szCs w:val="20"/>
              </w:rPr>
              <w:t xml:space="preserve">mean_alt_km</w:t>
            </w:r>
          </w:p>
        </w:tc>
        <w:tc>
          <w:tcPr>
            <w:tcW w:w="0" w:type="auto"/>
          </w:tcPr>
          <w:p>
            <w:pPr>
              <w:spacing w:line="240" w:lineRule="auto" w:before="0" w:after="0"/>
              <w:pStyle w:val="Compact"/>
            </w:pPr>
            <w:r>
              <w:rPr>
                <w:sz w:val="20"/>
                <w:szCs w:val="20"/>
              </w:rPr>
              <w:t xml:space="preserve">Approximate mean operating altitude of the operator’s satellites in kilometers, controlling for orbital-regime debris density and conjunction exposure.</w:t>
            </w:r>
          </w:p>
        </w:tc>
        <w:tc>
          <w:tcPr>
            <w:tcW w:w="0" w:type="auto"/>
          </w:tcPr>
          <w:p>
            <w:pPr>
              <w:spacing w:line="240" w:lineRule="auto" w:before="0" w:after="0"/>
              <w:pStyle w:val="Compact"/>
            </w:pPr>
            <w:r>
              <w:rPr>
                <w:sz w:val="20"/>
                <w:szCs w:val="20"/>
              </w:rPr>
              <w:t xml:space="preserve">Mission and constellation shell altitudes from operator and ESA/NASA mission pages</w:t>
            </w:r>
          </w:p>
        </w:tc>
      </w:tr>
      <w:tr>
        <w:tc>
          <w:tcPr>
            <w:tcW w:w="0" w:type="auto"/>
          </w:tcPr>
          <w:p>
            <w:pPr>
              <w:spacing w:line="240" w:lineRule="auto" w:before="0" w:after="0"/>
              <w:pStyle w:val="Compact"/>
            </w:pPr>
            <w:r>
              <w:rPr>
                <w:sz w:val="20"/>
                <w:szCs w:val="20"/>
              </w:rPr>
              <w:t xml:space="preserve">leo_dense</w:t>
            </w:r>
          </w:p>
        </w:tc>
        <w:tc>
          <w:tcPr>
            <w:tcW w:w="0" w:type="auto"/>
          </w:tcPr>
          <w:p>
            <w:pPr>
              <w:spacing w:line="240" w:lineRule="auto" w:before="0" w:after="0"/>
              <w:pStyle w:val="Compact"/>
            </w:pPr>
            <w:r>
              <w:rPr>
                <w:sz w:val="20"/>
                <w:szCs w:val="20"/>
              </w:rPr>
              <w:t xml:space="preserve">Indicator for operation in the congested 300-800 km LEO band (1) versus higher LEO shells (0); reported for descriptive stratification.</w:t>
            </w:r>
          </w:p>
        </w:tc>
        <w:tc>
          <w:tcPr>
            <w:tcW w:w="0" w:type="auto"/>
          </w:tcPr>
          <w:p>
            <w:pPr>
              <w:spacing w:line="240" w:lineRule="auto" w:before="0" w:after="0"/>
              <w:pStyle w:val="Compact"/>
            </w:pPr>
            <w:r>
              <w:rPr>
                <w:sz w:val="20"/>
                <w:szCs w:val="20"/>
              </w:rPr>
              <w:t xml:space="preserve">Constellation shell altitudes from operator documentation</w:t>
            </w:r>
          </w:p>
        </w:tc>
      </w:tr>
    </w:tbl>
    <w:bookmarkEnd w:id="94"/>
    <w:bookmarkStart w:id="9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8.3197</w:t>
            </w:r>
          </w:p>
        </w:tc>
        <w:tc>
          <w:tcPr>
            <w:tcW w:w="0" w:type="auto"/>
          </w:tcPr>
          <w:p>
            <w:pPr>
              <w:spacing w:line="240" w:lineRule="auto" w:before="0" w:after="0"/>
              <w:pStyle w:val="Compact"/>
            </w:pPr>
            <w:r>
              <w:rPr>
                <w:sz w:val="20"/>
                <w:szCs w:val="20"/>
              </w:rPr>
              <w:t xml:space="preserve">5.0259</w:t>
            </w:r>
          </w:p>
        </w:tc>
        <w:tc>
          <w:tcPr>
            <w:tcW w:w="0" w:type="auto"/>
          </w:tcPr>
          <w:p>
            <w:pPr>
              <w:spacing w:line="240" w:lineRule="auto" w:before="0" w:after="0"/>
              <w:pStyle w:val="Compact"/>
            </w:pPr>
            <w:r>
              <w:rPr>
                <w:sz w:val="20"/>
                <w:szCs w:val="20"/>
              </w:rPr>
              <w:t xml:space="preserve">1.6554</w:t>
            </w:r>
          </w:p>
        </w:tc>
        <w:tc>
          <w:tcPr>
            <w:tcW w:w="0" w:type="auto"/>
          </w:tcPr>
          <w:p>
            <w:pPr>
              <w:spacing w:line="240" w:lineRule="auto" w:before="0" w:after="0"/>
              <w:pStyle w:val="Compact"/>
            </w:pPr>
            <w:r>
              <w:rPr>
                <w:sz w:val="20"/>
                <w:szCs w:val="20"/>
              </w:rPr>
              <w:t xml:space="preserve">0.0978</w:t>
            </w:r>
          </w:p>
        </w:tc>
        <w:tc>
          <w:tcPr>
            <w:tcW w:w="0" w:type="auto"/>
          </w:tcPr>
          <w:p>
            <w:pPr>
              <w:spacing w:line="240" w:lineRule="auto" w:before="0" w:after="0"/>
              <w:pStyle w:val="Compact"/>
            </w:pPr>
            <w:r>
              <w:rPr>
                <w:sz w:val="20"/>
                <w:szCs w:val="20"/>
              </w:rPr>
              <w:t xml:space="preserve">[-1.5308, 18.1703]</w:t>
            </w:r>
          </w:p>
        </w:tc>
      </w:tr>
      <w:tr>
        <w:tc>
          <w:tcPr>
            <w:tcW w:w="0" w:type="auto"/>
          </w:tcPr>
          <w:p>
            <w:pPr>
              <w:spacing w:line="240" w:lineRule="auto" w:before="0" w:after="0"/>
              <w:pStyle w:val="Compact"/>
            </w:pPr>
            <w:r>
              <w:rPr>
                <w:sz w:val="20"/>
                <w:szCs w:val="20"/>
              </w:rPr>
              <w:t xml:space="preserve">provenance_transparent</w:t>
            </w:r>
          </w:p>
        </w:tc>
        <w:tc>
          <w:tcPr>
            <w:tcW w:w="0" w:type="auto"/>
          </w:tcPr>
          <w:p>
            <w:pPr>
              <w:spacing w:line="240" w:lineRule="auto" w:before="0" w:after="0"/>
              <w:pStyle w:val="Compact"/>
            </w:pPr>
            <w:r>
              <w:rPr>
                <w:sz w:val="20"/>
                <w:szCs w:val="20"/>
              </w:rPr>
              <w:t xml:space="preserve">0.8147</w:t>
            </w:r>
          </w:p>
        </w:tc>
        <w:tc>
          <w:tcPr>
            <w:tcW w:w="0" w:type="auto"/>
          </w:tcPr>
          <w:p>
            <w:pPr>
              <w:spacing w:line="240" w:lineRule="auto" w:before="0" w:after="0"/>
              <w:pStyle w:val="Compact"/>
            </w:pPr>
            <w:r>
              <w:rPr>
                <w:sz w:val="20"/>
                <w:szCs w:val="20"/>
              </w:rPr>
              <w:t xml:space="preserve">7.5591</w:t>
            </w:r>
          </w:p>
        </w:tc>
        <w:tc>
          <w:tcPr>
            <w:tcW w:w="0" w:type="auto"/>
          </w:tcPr>
          <w:p>
            <w:pPr>
              <w:spacing w:line="240" w:lineRule="auto" w:before="0" w:after="0"/>
              <w:pStyle w:val="Compact"/>
            </w:pPr>
            <w:r>
              <w:rPr>
                <w:sz w:val="20"/>
                <w:szCs w:val="20"/>
              </w:rPr>
              <w:t xml:space="preserve">0.1078</w:t>
            </w:r>
          </w:p>
        </w:tc>
        <w:tc>
          <w:tcPr>
            <w:tcW w:w="0" w:type="auto"/>
          </w:tcPr>
          <w:p>
            <w:pPr>
              <w:spacing w:line="240" w:lineRule="auto" w:before="0" w:after="0"/>
              <w:pStyle w:val="Compact"/>
            </w:pPr>
            <w:r>
              <w:rPr>
                <w:sz w:val="20"/>
                <w:szCs w:val="20"/>
              </w:rPr>
              <w:t xml:space="preserve">0.9142</w:t>
            </w:r>
          </w:p>
        </w:tc>
        <w:tc>
          <w:tcPr>
            <w:tcW w:w="0" w:type="auto"/>
          </w:tcPr>
          <w:p>
            <w:pPr>
              <w:spacing w:line="240" w:lineRule="auto" w:before="0" w:after="0"/>
              <w:pStyle w:val="Compact"/>
            </w:pPr>
            <w:r>
              <w:rPr>
                <w:sz w:val="20"/>
                <w:szCs w:val="20"/>
              </w:rPr>
              <w:t xml:space="preserve">[-14.0009, 15.6304]</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1.4492</w:t>
            </w:r>
          </w:p>
        </w:tc>
        <w:tc>
          <w:tcPr>
            <w:tcW w:w="0" w:type="auto"/>
          </w:tcPr>
          <w:p>
            <w:pPr>
              <w:spacing w:line="240" w:lineRule="auto" w:before="0" w:after="0"/>
              <w:pStyle w:val="Compact"/>
            </w:pPr>
            <w:r>
              <w:rPr>
                <w:sz w:val="20"/>
                <w:szCs w:val="20"/>
              </w:rPr>
              <w:t xml:space="preserve">1.1696</w:t>
            </w:r>
          </w:p>
        </w:tc>
        <w:tc>
          <w:tcPr>
            <w:tcW w:w="0" w:type="auto"/>
          </w:tcPr>
          <w:p>
            <w:pPr>
              <w:spacing w:line="240" w:lineRule="auto" w:before="0" w:after="0"/>
              <w:pStyle w:val="Compact"/>
            </w:pPr>
            <w:r>
              <w:rPr>
                <w:sz w:val="20"/>
                <w:szCs w:val="20"/>
              </w:rPr>
              <w:t xml:space="preserve">1.2391</w:t>
            </w:r>
          </w:p>
        </w:tc>
        <w:tc>
          <w:tcPr>
            <w:tcW w:w="0" w:type="auto"/>
          </w:tcPr>
          <w:p>
            <w:pPr>
              <w:spacing w:line="240" w:lineRule="auto" w:before="0" w:after="0"/>
              <w:pStyle w:val="Compact"/>
            </w:pPr>
            <w:r>
              <w:rPr>
                <w:sz w:val="20"/>
                <w:szCs w:val="20"/>
              </w:rPr>
              <w:t xml:space="preserve">0.2153</w:t>
            </w:r>
          </w:p>
        </w:tc>
        <w:tc>
          <w:tcPr>
            <w:tcW w:w="0" w:type="auto"/>
          </w:tcPr>
          <w:p>
            <w:pPr>
              <w:spacing w:line="240" w:lineRule="auto" w:before="0" w:after="0"/>
              <w:pStyle w:val="Compact"/>
            </w:pPr>
            <w:r>
              <w:rPr>
                <w:sz w:val="20"/>
                <w:szCs w:val="20"/>
              </w:rPr>
              <w:t xml:space="preserve">[-0.8431, 3.7415]</w:t>
            </w:r>
          </w:p>
        </w:tc>
      </w:tr>
      <w:tr>
        <w:tc>
          <w:tcPr>
            <w:tcW w:w="0" w:type="auto"/>
          </w:tcPr>
          <w:p>
            <w:pPr>
              <w:spacing w:line="240" w:lineRule="auto" w:before="0" w:after="0"/>
              <w:pStyle w:val="Compact"/>
            </w:pPr>
            <w:r>
              <w:rPr>
                <w:sz w:val="20"/>
                <w:szCs w:val="20"/>
              </w:rPr>
              <w:t xml:space="preserve">mean_alt_km</w:t>
            </w:r>
          </w:p>
        </w:tc>
        <w:tc>
          <w:tcPr>
            <w:tcW w:w="0" w:type="auto"/>
          </w:tcPr>
          <w:p>
            <w:pPr>
              <w:spacing w:line="240" w:lineRule="auto" w:before="0" w:after="0"/>
              <w:pStyle w:val="Compact"/>
            </w:pPr>
            <w:r>
              <w:rPr>
                <w:sz w:val="20"/>
                <w:szCs w:val="20"/>
              </w:rPr>
              <w:t xml:space="preserve">-0.0135</w:t>
            </w:r>
          </w:p>
        </w:tc>
        <w:tc>
          <w:tcPr>
            <w:tcW w:w="0" w:type="auto"/>
          </w:tcPr>
          <w:p>
            <w:pPr>
              <w:spacing w:line="240" w:lineRule="auto" w:before="0" w:after="0"/>
              <w:pStyle w:val="Compact"/>
            </w:pPr>
            <w:r>
              <w:rPr>
                <w:sz w:val="20"/>
                <w:szCs w:val="20"/>
              </w:rPr>
              <w:t xml:space="preserve">0.0073</w:t>
            </w:r>
          </w:p>
        </w:tc>
        <w:tc>
          <w:tcPr>
            <w:tcW w:w="0" w:type="auto"/>
          </w:tcPr>
          <w:p>
            <w:pPr>
              <w:spacing w:line="240" w:lineRule="auto" w:before="0" w:after="0"/>
              <w:pStyle w:val="Compact"/>
            </w:pPr>
            <w:r>
              <w:rPr>
                <w:sz w:val="20"/>
                <w:szCs w:val="20"/>
              </w:rPr>
              <w:t xml:space="preserve">-1.8647</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[-0.0278, 0.0006914]</w:t>
            </w:r>
          </w:p>
        </w:tc>
      </w:tr>
    </w:tbl>
    <w:p>
      <w:pPr>
        <w:pStyle w:val="BodyText"/>
      </w:pPr>
      <w:r>
        <w:t xml:space="preserve">Fit: N = 22 R2 = 0.3911 R2_adj = 0.2896 F = 3.5424 F_p = 0.0356</w:t>
      </w:r>
    </w:p>
    <w:bookmarkEnd w:id="95"/>
    <w:bookmarkEnd w:id="96"/>
    <w:bookmarkEnd w:id="9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9" Target="media/rId89.png" /><Relationship Type="http://schemas.openxmlformats.org/officeDocument/2006/relationships/hyperlink" Id="rId76" Target="https://doi.org/10.1016/j.actaastro.2025.01.031" TargetMode="External" /><Relationship Type="http://schemas.openxmlformats.org/officeDocument/2006/relationships/hyperlink" Id="rId81" Target="https://doi.org/10.1016/j.actaastro.2025.01.069" TargetMode="External" /><Relationship Type="http://schemas.openxmlformats.org/officeDocument/2006/relationships/hyperlink" Id="rId79" Target="https://doi.org/10.1016/j.actaastro.2025.06.029" TargetMode="External" /><Relationship Type="http://schemas.openxmlformats.org/officeDocument/2006/relationships/hyperlink" Id="rId74" Target="https://doi.org/10.64861/DDFP2152" TargetMode="External" /><Relationship Type="http://schemas.openxmlformats.org/officeDocument/2006/relationships/hyperlink" Id="rId72" Target="https://doi.org/10.64861/XQCN3213"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25.01.031" TargetMode="External" /><Relationship Type="http://schemas.openxmlformats.org/officeDocument/2006/relationships/hyperlink" Id="rId81" Target="https://doi.org/10.1016/j.actaastro.2025.01.069" TargetMode="External" /><Relationship Type="http://schemas.openxmlformats.org/officeDocument/2006/relationships/hyperlink" Id="rId79" Target="https://doi.org/10.1016/j.actaastro.2025.06.029" TargetMode="External" /><Relationship Type="http://schemas.openxmlformats.org/officeDocument/2006/relationships/hyperlink" Id="rId74" Target="https://doi.org/10.64861/DDFP2152" TargetMode="External" /><Relationship Type="http://schemas.openxmlformats.org/officeDocument/2006/relationships/hyperlink" Id="rId72" Target="https://doi.org/10.64861/XQCN321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2026-06-25T14:26:05Z</dcterms:created>
  <dcterms:modified xsi:type="dcterms:W3CDTF">2026-06-25T14:26:05Z</dcterms:modified>
</cp:coreProperties>
</file>

<file path=docProps/custom.xml><?xml version="1.0" encoding="utf-8"?>
<Properties xmlns="http://schemas.openxmlformats.org/officeDocument/2006/custom-properties" xmlns:vt="http://schemas.openxmlformats.org/officeDocument/2006/docPropsVTypes"/>
</file>