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GOVERNING THE AUTONOMOUS OPERATOR: A CLIOMETRIC ANALYSIS OF HOW AI-AUTONOMY PROVENANCE SHAPES REGULATORY APPROVAL OF ON-ORBIT OPERATIONS</w:t>
      </w:r>
    </w:p>
    <w:p>
      <w:pPr>
        <w:jc w:val="center"/>
      </w:pPr>
    </w:p>
    <w:p>
      <w:pPr>
        <w:jc w:val="center"/>
      </w:pPr>
      <w:r>
        <w:rPr>
          <w:rFonts w:ascii="Times New Roman" w:hAnsi="Times New Roman"/>
          <w:sz w:val="24"/>
        </w:rPr>
        <w:t>by</w:t>
      </w:r>
    </w:p>
    <w:p>
      <w:pPr>
        <w:jc w:val="center"/>
      </w:pPr>
      <w:r>
        <w:rPr>
          <w:rFonts w:ascii="Times New Roman" w:hAnsi="Times New Roman"/>
          <w:b/>
          <w:sz w:val="28"/>
        </w:rPr>
        <w:t>Lena Okonkwo</w:t>
      </w:r>
    </w:p>
    <w:p>
      <w:pPr>
        <w:jc w:val="center"/>
      </w:pPr>
      <w:r>
        <w:rPr>
          <w:rFonts w:ascii="Times New Roman" w:hAnsi="Times New Roman"/>
          <w:sz w:val="24"/>
        </w:rPr>
        <w:t>1B-ITI-052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X24a3824a1c091f223d71e6984af8e675bb64a5a"/>
    <w:p>
      <w:pPr>
        <w:pStyle w:val="Heading2"/>
        <w:spacing w:line="480" w:lineRule="auto"/>
      </w:pPr>
      <w:r>
        <w:t xml:space="preserve">1.1 The Accountable Act Has Moved Into Software</w:t>
      </w:r>
    </w:p>
    <w:p>
      <w:pPr>
        <w:pStyle w:val="FirstParagraph"/>
        <w:spacing w:line="480" w:lineRule="auto"/>
      </w:pPr>
      <w:r>
        <w:t xml:space="preserve">A threshold is being crossed in orbit, and the institutions that govern spacecraft were never built to see it. For decades, one function stood above all others as the operator’s accountable act: choosing to move a satellite out of a predicted collision. Responsibility for that choice is now draining out of human control rooms and into onboard and distributed autonomy</w:t>
      </w:r>
      <w:r>
        <w:t xml:space="preserve"> </w:t>
      </w:r>
      <w:hyperlink w:anchor="ref-1">
        <w:r>
          <w:rPr>
            <w:rStyle w:val="Hyperlink"/>
          </w:rPr>
          <w:t xml:space="preserve">[1]</w:t>
        </w:r>
      </w:hyperlink>
      <w:r>
        <w:t xml:space="preserve">[5]. Avoidance has become the quantity that defines on-orbit life, and operators tune it like any other engineering variable, weighing the number of conjunction events and the fuel, mission, and risk price of each maneuver against what the mission needs</w:t>
      </w:r>
      <w:r>
        <w:t xml:space="preserve"> </w:t>
      </w:r>
      <w:hyperlink w:anchor="ref-1">
        <w:r>
          <w:rPr>
            <w:rStyle w:val="Hyperlink"/>
          </w:rPr>
          <w:t xml:space="preserve">[1]</w:t>
        </w:r>
      </w:hyperlink>
      <w:r>
        <w:t xml:space="preserve">[2]. Push a fleet from tens of satellites to thousands and the authority to pick and fire the avoidance maneuver drifts into code the operator never wrote and, where the code is learned, cannot replay decision by decision</w:t>
      </w:r>
      <w:r>
        <w:t xml:space="preserve"> </w:t>
      </w:r>
      <w:hyperlink w:anchor="ref-5">
        <w:r>
          <w:rPr>
            <w:rStyle w:val="Hyperlink"/>
          </w:rPr>
          <w:t xml:space="preserve">[5]</w:t>
        </w:r>
      </w:hyperlink>
      <w:r>
        <w:t xml:space="preserve">[6].</w:t>
      </w:r>
    </w:p>
    <w:p>
      <w:pPr>
        <w:pStyle w:val="BodyText"/>
        <w:spacing w:line="480" w:lineRule="auto"/>
        <w:ind w:firstLine="720"/>
      </w:pPr>
      <w:r>
        <w:t xml:space="preserve">This is not something coming. It already describes the orbital environment we have. NASA’s Starling mission, and the wider program of work on distributed spacecraft autonomy, shows maneuver authority sitting inside software today, with supervisory consequences the coordinating agencies can already see</w:t>
      </w:r>
      <w:r>
        <w:t xml:space="preserve"> </w:t>
      </w:r>
      <w:hyperlink w:anchor="ref-5">
        <w:r>
          <w:rPr>
            <w:rStyle w:val="Hyperlink"/>
          </w:rPr>
          <w:t xml:space="preserve">[5]</w:t>
        </w:r>
      </w:hyperlink>
      <w:r>
        <w:t xml:space="preserve">. Reinforcement-learning schedulers now swallow the tasking that surrounds a maneuver</w:t>
      </w:r>
      <w:r>
        <w:t xml:space="preserve"> </w:t>
      </w:r>
      <w:hyperlink w:anchor="ref-6">
        <w:r>
          <w:rPr>
            <w:rStyle w:val="Hyperlink"/>
          </w:rPr>
          <w:t xml:space="preserve">[6]</w:t>
        </w:r>
      </w:hyperlink>
      <w:r>
        <w:t xml:space="preserve">. Onboard model-based reasoners now run the fault detection and recovery that bracket it</w:t>
      </w:r>
      <w:r>
        <w:t xml:space="preserve"> </w:t>
      </w:r>
      <w:hyperlink w:anchor="ref-3">
        <w:r>
          <w:rPr>
            <w:rStyle w:val="Hyperlink"/>
          </w:rPr>
          <w:t xml:space="preserve">[3]</w:t>
        </w:r>
      </w:hyperlink>
      <w:r>
        <w:t xml:space="preserve">.</w:t>
      </w:r>
    </w:p>
    <w:p>
      <w:pPr>
        <w:pStyle w:val="BodyText"/>
        <w:spacing w:line="480" w:lineRule="auto"/>
        <w:ind w:firstLine="720"/>
      </w:pPr>
      <w:r>
        <w:t xml:space="preserve">So the accountable act has moved. Its supervisory apparatus has stayed put, still built around a human operator picking among a few avoidance options at human speed</w:t>
      </w:r>
      <w:r>
        <w:t xml:space="preserve"> </w:t>
      </w:r>
      <w:hyperlink w:anchor="ref-4">
        <w:r>
          <w:rPr>
            <w:rStyle w:val="Hyperlink"/>
          </w:rPr>
          <w:t xml:space="preserve">[4]</w:t>
        </w:r>
      </w:hyperlink>
      <w:r>
        <w:t xml:space="preserve">.</w:t>
      </w:r>
    </w:p>
    <w:p>
      <w:pPr>
        <w:pStyle w:val="BodyText"/>
        <w:spacing w:line="480" w:lineRule="auto"/>
        <w:ind w:firstLine="720"/>
      </w:pPr>
      <w:r>
        <w:t xml:space="preserve">That gap is what this dissertation is about. Once software authors the maneuver, the supervisory trail leads back to a decision process the operator neither wrote nor can always audit. Give an operator a transparent, model-based fault-and-maneuver system and it can say afterward why a maneuver happened; give it an opaque learned scheduler and often it cannot</w:t>
      </w:r>
      <w:r>
        <w:t xml:space="preserve"> </w:t>
      </w:r>
      <w:hyperlink w:anchor="ref-3">
        <w:r>
          <w:rPr>
            <w:rStyle w:val="Hyperlink"/>
          </w:rPr>
          <w:t xml:space="preserve">[3]</w:t>
        </w:r>
      </w:hyperlink>
      <w:r>
        <w:t xml:space="preserve">[6]. Reconstructing and accounting for the maneuver thus hinges on the documented provenance of the autonomy stack, on whether its decision logic is transparent and operator-reconstructable or opaque and learned. No governance instrument in the retrieved record conditions on that property, and no prior study asks whether it is already bending outcomes. Closing that measurement gap is the work here. Autonomy provenance becomes a treatment variable, and its association with the regulatory and operational fate of the operations it governs is what gets recovered.</w:t>
      </w:r>
    </w:p>
    <w:bookmarkEnd w:id="61"/>
    <w:bookmarkStart w:id="62" w:name="why-the-stakes-fall-on-nasa-and-jpl"/>
    <w:p>
      <w:pPr>
        <w:pStyle w:val="Heading2"/>
        <w:spacing w:line="480" w:lineRule="auto"/>
      </w:pPr>
      <w:r>
        <w:t xml:space="preserve">1.2 Why the Stakes Fall on NASA and JPL</w:t>
      </w:r>
    </w:p>
    <w:p>
      <w:pPr>
        <w:pStyle w:val="FirstParagraph"/>
        <w:spacing w:line="480" w:lineRule="auto"/>
      </w:pPr>
      <w:r>
        <w:t xml:space="preserve">None of this stays abstract for the United States civil-space enterprise, and it cuts sharpest at NASA and its Jet Propulsion Laboratory. Three roles converge on the agency at once in the autonomy-provenance question, and each pushes the stakes higher.</w:t>
      </w:r>
    </w:p>
    <w:p>
      <w:pPr>
        <w:pStyle w:val="BodyText"/>
        <w:spacing w:line="480" w:lineRule="auto"/>
        <w:ind w:firstLine="720"/>
      </w:pPr>
      <w:r>
        <w:t xml:space="preserve">Start with NASA as operator. It flies long-lived, high-value assets in precisely the regimes where conjunction risk piles up. Its Earth Observing System missions, the International Space Station, and the Conjunction Assessment Risk Analysis program that screens and dispositions its avoidance maneuvers all sit at the transparent, human-reviewed end of the spectrum</w:t>
      </w:r>
      <w:r>
        <w:t xml:space="preserve"> </w:t>
      </w:r>
      <w:hyperlink w:anchor="ref-4">
        <w:r>
          <w:rPr>
            <w:rStyle w:val="Hyperlink"/>
          </w:rPr>
          <w:t xml:space="preserve">[4]</w:t>
        </w:r>
      </w:hyperlink>
      <w:r>
        <w:t xml:space="preserve">. Their maneuver record can be reconstructed and screened today, which makes them a ready-made reference population for measuring how opaque, autonomous operators behave by comparison. Let the governance environment start to discriminate on provenance, whether by rule or by habit, and NASA’s own operating posture becomes one pole of the split.</w:t>
      </w:r>
    </w:p>
    <w:p>
      <w:pPr>
        <w:pStyle w:val="BodyText"/>
        <w:spacing w:line="480" w:lineRule="auto"/>
        <w:ind w:firstLine="720"/>
      </w:pPr>
      <w:r>
        <w:t xml:space="preserve">NASA is also, in its second role, the builder of the very autonomy whose provenance is at issue. Starling is a NASA Ames demonstration of distributed spacecraft autonomy, and its authors take up the space-situational-awareness implications head on</w:t>
      </w:r>
      <w:r>
        <w:t xml:space="preserve"> </w:t>
      </w:r>
      <w:hyperlink w:anchor="ref-5">
        <w:r>
          <w:rPr>
            <w:rStyle w:val="Hyperlink"/>
          </w:rPr>
          <w:t xml:space="preserve">[5]</w:t>
        </w:r>
      </w:hyperlink>
      <w:r>
        <w:t xml:space="preserve">. That makes the agency no spectator. It is a principal author of the transparent, documented, auditable end of the spectrum. Whatever NASA decides about documenting and exposing the decision logic of its stacks is a decision about where everyone else’s provenance line falls.</w:t>
      </w:r>
    </w:p>
    <w:p>
      <w:pPr>
        <w:pStyle w:val="BodyText"/>
        <w:spacing w:line="480" w:lineRule="auto"/>
        <w:ind w:firstLine="720"/>
      </w:pPr>
      <w:r>
        <w:t xml:space="preserve">The third role lands hardest on the laboratory. JPL is where deep-space and high-autonomy missions get designed, and there human supervision is not awkward but impossible. Light-time delay kills per-event human review past cislunar space, so JPL’s autonomy has to decide and act with no controller in the loop. Whether that autonomy’s decisions can later be reconstructed and defended is the governance question JPL concepts will hit first, and hardest. Say the regulatory and operational handling of an operation turns on whether its autonomy is auditable. Then the institution whose missions most demand non-auditable, fully autonomous decisions stands to lose most under a regime that quietly penalizes opacity, and to gain most under one that credits principled transparency. Put in NASA-and-JPL terms, the dissertation’s central question is whether the agency’s own technical roadmap runs headlong into a governance preference no rule has stated.</w:t>
      </w:r>
    </w:p>
    <w:bookmarkEnd w:id="62"/>
    <w:bookmarkStart w:id="63" w:name="two-literatures-that-do-not-communicate"/>
    <w:p>
      <w:pPr>
        <w:pStyle w:val="Heading2"/>
        <w:spacing w:line="480" w:lineRule="auto"/>
      </w:pPr>
      <w:r>
        <w:t xml:space="preserve">1.3 Two Literatures That Do Not Communicate</w:t>
      </w:r>
    </w:p>
    <w:p>
      <w:pPr>
        <w:pStyle w:val="FirstParagraph"/>
        <w:spacing w:line="480" w:lineRule="auto"/>
      </w:pPr>
      <w:r>
        <w:t xml:space="preserve">Underneath the governance problem lies a clean partition. The retrieved sources sort into two bodies that never touch, and the variable studied here hides in the seam between them.</w:t>
      </w:r>
    </w:p>
    <w:p>
      <w:pPr>
        <w:pStyle w:val="BodyText"/>
        <w:spacing w:line="480" w:lineRule="auto"/>
        <w:ind w:firstLine="720"/>
      </w:pPr>
      <w:r>
        <w:t xml:space="preserve">One body is technical. It works the avoidance maneuver as an engineering object under uncertainty and mission limits, managing miss distance, probability of collision, and fuel</w:t>
      </w:r>
      <w:r>
        <w:t xml:space="preserve"> </w:t>
      </w:r>
      <w:hyperlink w:anchor="ref-1">
        <w:r>
          <w:rPr>
            <w:rStyle w:val="Hyperlink"/>
          </w:rPr>
          <w:t xml:space="preserve">[1]</w:t>
        </w:r>
      </w:hyperlink>
      <w:r>
        <w:t xml:space="preserve">[2]. It also builds the autonomy that picks and executes the maneuver, a range that starts with auditable model-based reasoners able to explain their own fault diagnoses</w:t>
      </w:r>
      <w:r>
        <w:t xml:space="preserve"> </w:t>
      </w:r>
      <w:hyperlink w:anchor="ref-3">
        <w:r>
          <w:rPr>
            <w:rStyle w:val="Hyperlink"/>
          </w:rPr>
          <w:t xml:space="preserve">[3]</w:t>
        </w:r>
      </w:hyperlink>
      <w:r>
        <w:t xml:space="preserve">, passes through mission-level distributed autonomy like Starling</w:t>
      </w:r>
      <w:r>
        <w:t xml:space="preserve"> </w:t>
      </w:r>
      <w:hyperlink w:anchor="ref-5">
        <w:r>
          <w:rPr>
            <w:rStyle w:val="Hyperlink"/>
          </w:rPr>
          <w:t xml:space="preserve">[5]</w:t>
        </w:r>
      </w:hyperlink>
      <w:r>
        <w:t xml:space="preserve">, and ends at learned reinforcement-learning schedulers whose internal logic stays dark</w:t>
      </w:r>
      <w:r>
        <w:t xml:space="preserve"> </w:t>
      </w:r>
      <w:hyperlink w:anchor="ref-6">
        <w:r>
          <w:rPr>
            <w:rStyle w:val="Hyperlink"/>
          </w:rPr>
          <w:t xml:space="preserve">[6]</w:t>
        </w:r>
      </w:hyperlink>
      <w:r>
        <w:t xml:space="preserve">. Ask this body how autonomy decides and it answers richly. Ask what becomes of the decision in the governance record and it goes quiet.</w:t>
      </w:r>
    </w:p>
    <w:p>
      <w:pPr>
        <w:pStyle w:val="BodyText"/>
        <w:spacing w:line="480" w:lineRule="auto"/>
        <w:ind w:firstLine="720"/>
      </w:pPr>
      <w:r>
        <w:t xml:space="preserve">It manufactures the treatment variable, autonomy provenance, and links it to no regulatory or operational outcome.</w:t>
      </w:r>
    </w:p>
    <w:p>
      <w:pPr>
        <w:pStyle w:val="BodyText"/>
        <w:spacing w:line="480" w:lineRule="auto"/>
        <w:ind w:firstLine="720"/>
      </w:pPr>
      <w:r>
        <w:t xml:space="preserve">The second body is institutional and economic. It casts orbital crowding and debris as a negative externality, a commons tragedy still short of the governance traction it needs</w:t>
      </w:r>
      <w:r>
        <w:t xml:space="preserve"> </w:t>
      </w:r>
      <w:hyperlink w:anchor="ref-8">
        <w:r>
          <w:rPr>
            <w:rStyle w:val="Hyperlink"/>
          </w:rPr>
          <w:t xml:space="preserve">[8]</w:t>
        </w:r>
      </w:hyperlink>
      <w:r>
        <w:t xml:space="preserve">. It builds space-traffic-management and capacity-management frameworks around human operators and national authorities as the accountable parties</w:t>
      </w:r>
      <w:r>
        <w:t xml:space="preserve"> </w:t>
      </w:r>
      <w:hyperlink w:anchor="ref-7">
        <w:r>
          <w:rPr>
            <w:rStyle w:val="Hyperlink"/>
          </w:rPr>
          <w:t xml:space="preserve">[7]</w:t>
        </w:r>
      </w:hyperlink>
      <w:r>
        <w:t xml:space="preserve">[9][10], and it makes the operator’s decisions the thing policy acts on. Ask this body how operations ought to be governed and it answers richly. Ask about the software provenance of the governed act and it goes quiet.</w:t>
      </w:r>
    </w:p>
    <w:p>
      <w:pPr>
        <w:pStyle w:val="BodyText"/>
        <w:spacing w:line="480" w:lineRule="auto"/>
        <w:ind w:firstLine="720"/>
      </w:pPr>
      <w:r>
        <w:t xml:space="preserve">It manufactures the outcome side, the regulatory and operational disposition of operations, and links it to none of the autonomy that now authors them.</w:t>
      </w:r>
    </w:p>
    <w:p>
      <w:pPr>
        <w:pStyle w:val="BodyText"/>
        <w:spacing w:line="480" w:lineRule="auto"/>
        <w:ind w:firstLine="720"/>
      </w:pPr>
      <w:r>
        <w:t xml:space="preserve">Precision marks the seam. Technical work holds the provenance and lacks the outcome. Governance work holds the outcome and lacks the provenance. Not one retrieved source measures whether an autonomy stack’s provenance changes the regulatory or operational fate of the maneuvers and systems that carry it. The two bodies converge on the maneuver, the system, and the operator, and they refuse to join there.</w:t>
      </w:r>
    </w:p>
    <w:p>
      <w:pPr>
        <w:pStyle w:val="BodyText"/>
        <w:spacing w:line="480" w:lineRule="auto"/>
        <w:ind w:firstLine="720"/>
      </w:pPr>
      <w:r>
        <w:t xml:space="preserve">This is no gap of degree, no question earlier work answered roughly that this study answers better. It is a gap of kind: the coefficient tying provenance to outcome has gone unestimated because nobody has set the two literatures on a shared unit and made them speak.</w:t>
      </w:r>
    </w:p>
    <w:bookmarkEnd w:id="63"/>
    <w:bookmarkStart w:id="64" w:name="the-cliometric-bridge"/>
    <w:p>
      <w:pPr>
        <w:pStyle w:val="Heading2"/>
        <w:spacing w:line="480" w:lineRule="auto"/>
      </w:pPr>
      <w:r>
        <w:t xml:space="preserve">1.4 The Cliometric Bridge</w:t>
      </w:r>
    </w:p>
    <w:p>
      <w:pPr>
        <w:pStyle w:val="FirstParagraph"/>
        <w:spacing w:line="480" w:lineRule="auto"/>
      </w:pPr>
      <w:r>
        <w:t xml:space="preserve">Cliometrics supplies the join, and the move is lean. Take a governance intuition that everyone holds and no one has measured. Boil it down to a single estimand on a dataset you can actually get. Recover that estimand under a research design anyone can inspect. Here the intuition says autonomy provenance shifts how the operations it produces are treated by regulators and operators. Rendering that intuition falsifiable, then estimating it, is the whole contribution.</w:t>
      </w:r>
    </w:p>
    <w:p>
      <w:pPr>
        <w:pStyle w:val="BodyText"/>
        <w:spacing w:line="480" w:lineRule="auto"/>
        <w:ind w:firstLine="720"/>
      </w:pPr>
      <w:r>
        <w:t xml:space="preserve">One falsifiable claim carries the work, and it is written so it can lose. In general form: conditional on the conjunction geometry, system, operator, and orbital-regime variables that both governance and engineering expect to matter, an autonomy stack’s documented provenance, coded transparent-and-operator-reconstructable versus opaque-and-learned, bears a measurable, sign-stable association with the regulatory and operational disposition of the operations that stack governs. Under the null, that provenance coefficient is statistically indistinguishable from zero once the controls arrive. Under the alternative, it is non-zero and sign-stable.</w:t>
      </w:r>
    </w:p>
    <w:p>
      <w:pPr>
        <w:pStyle w:val="BodyText"/>
        <w:spacing w:line="480" w:lineRule="auto"/>
        <w:ind w:firstLine="720"/>
      </w:pPr>
      <w:r>
        <w:t xml:space="preserve">The claim can genuinely fail, and that is what disciplines it. A precisely estimated null is no failed study. It publishes on its own terms, because it would show governance outcomes to be provenance-blind and the animating policy concern to be misplaced, moving that concern off the software label and onto whatever structural variable had been carrying it. A precisely estimated non-zero coefficient shows the reverse: governance already discriminating on a variable it has never named, undocumented and unmeasured. Either result reduces to a single coefficient, one sign, one confidence interval, turning an unmeasured intuition into a measured quantity. No elaborate model is on offer here. What is on offer is one disciplined number, estimated three ways across three obtainable records, with a candid account of its reach and its limits.</w:t>
      </w:r>
    </w:p>
    <w:p>
      <w:pPr>
        <w:pStyle w:val="BodyText"/>
        <w:spacing w:line="480" w:lineRule="auto"/>
        <w:ind w:firstLine="720"/>
      </w:pPr>
      <w:r>
        <w:t xml:space="preserve">All of this puts the dissertation squarely in the information-technology-infrastructure category. The thing under governance is not the bus, the propulsion, or the orbital mechanics. It is the software decision layer, the autonomy stack whose provenance settles whether the act it authors can be reconstructed. Computational infrastructure is what is being governed, and the live question is whether the provenance of that computation has already, without anyone saying so, begun to move regulatory and operational outcomes.</w:t>
      </w:r>
    </w:p>
    <w:bookmarkEnd w:id="64"/>
    <w:bookmarkStart w:id="65" w:name="the-three-empirical-probes"/>
    <w:p>
      <w:pPr>
        <w:pStyle w:val="Heading2"/>
        <w:spacing w:line="480" w:lineRule="auto"/>
      </w:pPr>
      <w:r>
        <w:t xml:space="preserve">1.5 The Three Empirical Probes</w:t>
      </w:r>
    </w:p>
    <w:p>
      <w:pPr>
        <w:pStyle w:val="FirstParagraph"/>
        <w:spacing w:line="480" w:lineRule="auto"/>
      </w:pPr>
      <w:r>
        <w:t xml:space="preserve">Three complementary probes come at the one contribution, each carrying the provenance treatment to a different obtainable outcome record and a different fitting estimator. Between them they triangulate one coefficient across the operational, the behavioral, and the regulatory faces of the question.</w:t>
      </w:r>
    </w:p>
    <w:p>
      <w:pPr>
        <w:pStyle w:val="BodyText"/>
        <w:spacing w:line="480" w:lineRule="auto"/>
        <w:ind w:firstLine="720"/>
      </w:pPr>
      <w:r>
        <w:t xml:space="preserve">Probe one estimates how autonomy provenance relates to operational maneuver tempo. Working from a hand-built operator-period panel of documented collision-avoidance records, it regresses the per-satellite maneuver rate on a binary provenance treatment plus the structural confounders both fields expect, constellation scale and orbital altitude</w:t>
      </w:r>
      <w:r>
        <w:t xml:space="preserve"> </w:t>
      </w:r>
      <w:hyperlink w:anchor="ref-1">
        <w:r>
          <w:rPr>
            <w:rStyle w:val="Hyperlink"/>
          </w:rPr>
          <w:t xml:space="preserve">[1]</w:t>
        </w:r>
      </w:hyperlink>
      <w:r>
        <w:t xml:space="preserve">[2][4]. Its headline is not the sign of one number but how badly that number wobbles across specifications. A large, clean raw provenance gap fails to outlive the admission of constellation scale, because in the public record the sole operator running opaque onboard avoidance at scale is also the sole operator with a fleet in the thousands. What the probe returns is a conditional null under an acknowledged, structural collinearity. What reads as a provenance effect on tempo turns out, in the record as it now stands, to be a scale effect in a provenance costume.</w:t>
      </w:r>
    </w:p>
    <w:p>
      <w:pPr>
        <w:pStyle w:val="BodyText"/>
        <w:spacing w:line="480" w:lineRule="auto"/>
        <w:ind w:firstLine="720"/>
      </w:pPr>
      <w:r>
        <w:t xml:space="preserve">Probe two takes the provenance treatment to the regulatory clock. From a hand-assembled record of United States non-geostationary and supplemental-coverage authorizations, it fits a Cox proportional-hazards model of the filing-to-grant interval, entering autonomy provenance alongside controls for system size and processing-round status as covariates</w:t>
      </w:r>
      <w:r>
        <w:t xml:space="preserve"> </w:t>
      </w:r>
      <w:hyperlink w:anchor="ref-2">
        <w:r>
          <w:rPr>
            <w:rStyle w:val="Hyperlink"/>
          </w:rPr>
          <w:t xml:space="preserve">[2]</w:t>
        </w:r>
      </w:hyperlink>
      <w:r>
        <w:t xml:space="preserve">[5][6]. The supervisory-burden intuition says autonomy-intensive systems clear slower, a hazard ratio under one. The data decline. The autonomy coefficient comes back imprecise and pointed the wrong way, while the lone coefficient that reaches significance is procedural: filing into a competitive processing round carries a hazard ratio near one-tenth, pinning the binding constraint on the licensing clock to the coordination architecture around the system rather than the autonomy inside it</w:t>
      </w:r>
      <w:r>
        <w:t xml:space="preserve"> </w:t>
      </w:r>
      <w:hyperlink w:anchor="ref-2">
        <w:r>
          <w:rPr>
            <w:rStyle w:val="Hyperlink"/>
          </w:rPr>
          <w:t xml:space="preserve">[2]</w:t>
        </w:r>
      </w:hyperlink>
      <w:r>
        <w:t xml:space="preserve">[7]. So the probe closes the first-order licensing question for the United States record and leaves the provenance hazard ratio honestly estimated and honestly wide.</w:t>
      </w:r>
    </w:p>
    <w:p>
      <w:pPr>
        <w:pStyle w:val="BodyText"/>
        <w:spacing w:line="480" w:lineRule="auto"/>
        <w:ind w:firstLine="720"/>
      </w:pPr>
      <w:r>
        <w:t xml:space="preserve">Probe three is the dissertation’s terminal target, and it carries the provenance treatment to how the individual maneuver is disposed. Its unit is the conjunction-maneuver event, pulled from the public screening record of the United States and European space-traffic-coordination services and their conjunction data messages</w:t>
      </w:r>
      <w:r>
        <w:t xml:space="preserve"> </w:t>
      </w:r>
      <w:hyperlink w:anchor="ref-4">
        <w:r>
          <w:rPr>
            <w:rStyle w:val="Hyperlink"/>
          </w:rPr>
          <w:t xml:space="preserve">[4]</w:t>
        </w:r>
      </w:hyperlink>
      <w:r>
        <w:t xml:space="preserve">. Its outcome is whether the maneuver ends up executed and documented as a screenable, reconstructable event. Its estimator is a panel linear-probability and logistic specification carrying operator and orbital-regime fixed effects and conjunction-geometry controls</w:t>
      </w:r>
      <w:r>
        <w:t xml:space="preserve"> </w:t>
      </w:r>
      <w:hyperlink w:anchor="ref-2">
        <w:r>
          <w:rPr>
            <w:rStyle w:val="Hyperlink"/>
          </w:rPr>
          <w:t xml:space="preserve">[2]</w:t>
        </w:r>
      </w:hyperlink>
      <w:r>
        <w:t xml:space="preserve">[4]. Of the three, this probe tests most directly whether provenance shifts the auditability of the act, the disposition the dissertation ultimately cares about, and its data assembly and identification demands run steepest.</w:t>
      </w:r>
    </w:p>
    <w:p>
      <w:pPr>
        <w:pStyle w:val="BodyText"/>
        <w:spacing w:line="480" w:lineRule="auto"/>
        <w:ind w:firstLine="720"/>
      </w:pPr>
      <w:r>
        <w:t xml:space="preserve">One discipline runs through all three. A single treatment, coded transparently from primary mission and technical documentation against a published rubric and a released object-to-stack crosswalk</w:t>
      </w:r>
      <w:r>
        <w:t xml:space="preserve"> </w:t>
      </w:r>
      <w:hyperlink w:anchor="ref-3">
        <w:r>
          <w:rPr>
            <w:rStyle w:val="Hyperlink"/>
          </w:rPr>
          <w:t xml:space="preserve">[3]</w:t>
        </w:r>
      </w:hyperlink>
      <w:r>
        <w:t xml:space="preserve">[5][6]. One outcome at a time. One coefficient, shown under progressive control sets and fenced by sensitivity analysis. Triangulation is not the hedge here; it is the design. A provenance effect that lights up in one face of the record and disappears in another is itself the finding, since it tells the regulator exactly where the provenance question bites and where it does not.</w:t>
      </w:r>
    </w:p>
    <w:bookmarkEnd w:id="65"/>
    <w:bookmarkStart w:id="66" w:name="roadmap"/>
    <w:p>
      <w:pPr>
        <w:pStyle w:val="Heading2"/>
        <w:spacing w:line="480" w:lineRule="auto"/>
      </w:pPr>
      <w:r>
        <w:t xml:space="preserve">1.6 Roadmap</w:t>
      </w:r>
    </w:p>
    <w:p>
      <w:pPr>
        <w:pStyle w:val="FirstParagraph"/>
        <w:spacing w:line="480" w:lineRule="auto"/>
      </w:pPr>
      <w:r>
        <w:t xml:space="preserve">What follows unfolds this way.</w:t>
      </w:r>
    </w:p>
    <w:p>
      <w:pPr>
        <w:pStyle w:val="BodyText"/>
        <w:spacing w:line="480" w:lineRule="auto"/>
        <w:ind w:firstLine="720"/>
      </w:pPr>
      <w:r>
        <w:t xml:space="preserve">Chapter 2 builds the conceptual framework. It pins down autonomy provenance, sets it against the two non-communicating literatures, and lays out the bridging theory that ties an autonomy stack’s provenance to how the operations it produces are treated by regulators and operators. It motivates the directional expectations the three probes test and spells out the supervisory-burden and coordination-capacity mechanisms that compete to explain the governance record</w:t>
      </w:r>
      <w:r>
        <w:t xml:space="preserve"> </w:t>
      </w:r>
      <w:hyperlink w:anchor="ref-7">
        <w:r>
          <w:rPr>
            <w:rStyle w:val="Hyperlink"/>
          </w:rPr>
          <w:t xml:space="preserve">[7]</w:t>
        </w:r>
      </w:hyperlink>
      <w:r>
        <w:t xml:space="preserve">[8][10].</w:t>
      </w:r>
    </w:p>
    <w:p>
      <w:pPr>
        <w:pStyle w:val="BodyText"/>
        <w:spacing w:line="480" w:lineRule="auto"/>
        <w:ind w:firstLine="720"/>
      </w:pPr>
      <w:r>
        <w:t xml:space="preserve">Chapter 3 lays down the cliometric method the three probes share: building the binary provenance treatment from primary documentation, the coding rubric and its inter-coder reliability, the object-to-stack and system-to-concept crosswalks, and the identification logic that lets provenance move while operator-level, system-level, and regime-level confounders wash out</w:t>
      </w:r>
      <w:r>
        <w:t xml:space="preserve"> </w:t>
      </w:r>
      <w:hyperlink w:anchor="ref-3">
        <w:r>
          <w:rPr>
            <w:rStyle w:val="Hyperlink"/>
          </w:rPr>
          <w:t xml:space="preserve">[3]</w:t>
        </w:r>
      </w:hyperlink>
      <w:r>
        <w:t xml:space="preserve">[5][6]. It fixes the estimand, the control sets, and the sensitivity analyses uniformly, so the three probes read as one coordinated test.</w:t>
      </w:r>
    </w:p>
    <w:p>
      <w:pPr>
        <w:pStyle w:val="BodyText"/>
        <w:spacing w:line="480" w:lineRule="auto"/>
        <w:ind w:firstLine="720"/>
      </w:pPr>
      <w:r>
        <w:t xml:space="preserve">Chapters 4, 5, and 6 run the three probes in order: the operator-panel estimate of maneuver tempo, the Cox proportional-hazards estimate of time-to-authorization, and the conjunction-maneuver-event estimate of maneuver disposition. Each reports its coefficient under progressive controls, faces down the validity threats particular to its data, and says outright what its estimate can and cannot bear, including the structural collinearities and small-sample limits that fence the tempo and licensing probes.</w:t>
      </w:r>
    </w:p>
    <w:p>
      <w:pPr>
        <w:pStyle w:val="BodyText"/>
        <w:spacing w:line="480" w:lineRule="auto"/>
        <w:ind w:firstLine="720"/>
      </w:pPr>
      <w:r>
        <w:t xml:space="preserve">Chapter 7 folds the three estimates into the dissertation’s single answer. It reads the coefficients side by side, marks where the provenance signal gathers and where it dissolves into structural confounders, and draws the governance implication for the United States civil-space enterprise and for NASA and JPL in particular. It fences the external validity of the finding to the public-reporting population it rests on</w:t>
      </w:r>
      <w:r>
        <w:t xml:space="preserve"> </w:t>
      </w:r>
      <w:hyperlink w:anchor="ref-4">
        <w:r>
          <w:rPr>
            <w:rStyle w:val="Hyperlink"/>
          </w:rPr>
          <w:t xml:space="preserve">[4]</w:t>
        </w:r>
      </w:hyperlink>
      <w:r>
        <w:t xml:space="preserve">, names the future observations that would sharpen the imprecise estimates into decisive tests, and states the policy lever the evidence actually identifies. The dissertation ends where it began, on the stakes: whether the autonomy NASA and JPL are building, and must build, is on a collision course with a governance preference no rule has yet named.</w:t>
      </w:r>
    </w:p>
    <w:bookmarkEnd w:id="66"/>
    <w:bookmarkEnd w:id="67"/>
    <w:bookmarkStart w:id="77" w:name="chapter-2.-literature-review"/>
    <w:p>
      <w:pPr>
        <w:pStyle w:val="Heading1"/>
        <w:spacing w:line="480" w:lineRule="auto"/>
      </w:pPr>
      <w:r>
        <w:t xml:space="preserve">Chapter 2. Literature Review</w:t>
      </w:r>
    </w:p>
    <w:bookmarkStart w:id="68" w:name="X22ec14a9c4e2a436395e69e99f5b8c0570c7dde"/>
    <w:p>
      <w:pPr>
        <w:pStyle w:val="Heading2"/>
        <w:spacing w:line="480" w:lineRule="auto"/>
      </w:pPr>
      <w:r>
        <w:t xml:space="preserve">2.1 Orientation and the Architecture of the Review</w:t>
      </w:r>
    </w:p>
    <w:p>
      <w:pPr>
        <w:pStyle w:val="FirstParagraph"/>
        <w:spacing w:line="480" w:lineRule="auto"/>
      </w:pPr>
      <w:r>
        <w:t xml:space="preserve">Two scholarly literatures frame this dissertation, and it lives in the seam where they fail to meet on a shared unit of observation. One is technical, concerned with autonomous on-orbit operation: engineering collision-avoidance maneuvers as constrained optimization problems, building the onboard and distributed autonomy that picks and fires them, and quantifying conjunction risk</w:t>
      </w:r>
      <w:r>
        <w:t xml:space="preserve"> </w:t>
      </w:r>
      <w:hyperlink w:anchor="ref-1">
        <w:r>
          <w:rPr>
            <w:rStyle w:val="Hyperlink"/>
          </w:rPr>
          <w:t xml:space="preserve">[1]</w:t>
        </w:r>
      </w:hyperlink>
      <w:r>
        <w:t xml:space="preserve">[2][3][5][6]. The other is institutional and economic, concerned with space governance: casting orbital crowding as a commons-type externality, designing space-traffic-management and capacity-management frameworks, and prescribing the stakeholder coordination that might internalize the externality</w:t>
      </w:r>
      <w:r>
        <w:t xml:space="preserve"> </w:t>
      </w:r>
      <w:hyperlink w:anchor="ref-7">
        <w:r>
          <w:rPr>
            <w:rStyle w:val="Hyperlink"/>
          </w:rPr>
          <w:t xml:space="preserve">[7]</w:t>
        </w:r>
      </w:hyperlink>
      <w:r>
        <w:t xml:space="preserve">[8][9][10]. One literature makes the autonomous operator. The other governs it.</w:t>
      </w:r>
    </w:p>
    <w:p>
      <w:pPr>
        <w:pStyle w:val="BodyText"/>
        <w:spacing w:line="480" w:lineRule="auto"/>
        <w:ind w:firstLine="720"/>
      </w:pPr>
      <w:r>
        <w:t xml:space="preserve">Neither asks whether the autonomy stack’s documented provenance, transparent-and-operator-reconstructable versus opaque-and-learned, changes the regulatory and operational fate of the maneuvers it yields.</w:t>
      </w:r>
    </w:p>
    <w:p>
      <w:pPr>
        <w:pStyle w:val="BodyText"/>
        <w:spacing w:line="480" w:lineRule="auto"/>
        <w:ind w:firstLine="720"/>
      </w:pPr>
      <w:r>
        <w:t xml:space="preserve">Three purposes organize the chapter. It first works through the technical literature far enough to fix what the autonomous operator is, how its decision authority slid from human controllers into software, and how that software’s provenance spreads along an auditability spectrum from model-based and rule-based reasoners through neuro-symbolic hybrids to fully learned schedulers</w:t>
      </w:r>
      <w:r>
        <w:t xml:space="preserve"> </w:t>
      </w:r>
      <w:hyperlink w:anchor="ref-3">
        <w:r>
          <w:rPr>
            <w:rStyle w:val="Hyperlink"/>
          </w:rPr>
          <w:t xml:space="preserve">[3]</w:t>
        </w:r>
      </w:hyperlink>
      <w:r>
        <w:t xml:space="preserve">[6][23][24][27]. It then works through the governance and economic literature far enough to fix how the discipline has long parked accountability with human operators and national authorities, and why that parking now sits crosswise to the technical facts of delegated autonomy</w:t>
      </w:r>
      <w:r>
        <w:t xml:space="preserve"> </w:t>
      </w:r>
      <w:hyperlink w:anchor="ref-7">
        <w:r>
          <w:rPr>
            <w:rStyle w:val="Hyperlink"/>
          </w:rPr>
          <w:t xml:space="preserve">[7]</w:t>
        </w:r>
      </w:hyperlink>
      <w:r>
        <w:t xml:space="preserve">[8][9][10][18][19]. Third, and this carries the most weight, it performs the synthesis the two literatures never perform themselves: it shows them non-communicating, marks the exact coordinate where they refuse to join, and argues the cliometric method is the right tool for the joining. It ends by naming the gap as a measurable absence rather than a rhetorical hole, which sets up the falsifiable single-coefficient contribution the dissertation goes on to estimate.</w:t>
      </w:r>
    </w:p>
    <w:p>
      <w:pPr>
        <w:pStyle w:val="BodyText"/>
        <w:spacing w:line="480" w:lineRule="auto"/>
        <w:ind w:firstLine="720"/>
      </w:pPr>
      <w:r>
        <w:t xml:space="preserve">A methodological note sits over the whole review. What separates the cliometric tradition from descriptive history and from doctrinal policy analysis is one commitment: reduce a contested causal claim to an estimand, a single parameter carrying a sign and a confidence interval, recovered from observational data under an explicit identification argument. Each literature below hands over half of what such an estimand needs. The technical side hands over a credibly coded treatment, the autonomy stack’s provenance</w:t>
      </w:r>
      <w:r>
        <w:t xml:space="preserve"> </w:t>
      </w:r>
      <w:hyperlink w:anchor="ref-3">
        <w:r>
          <w:rPr>
            <w:rStyle w:val="Hyperlink"/>
          </w:rPr>
          <w:t xml:space="preserve">[3]</w:t>
        </w:r>
      </w:hyperlink>
      <w:r>
        <w:t xml:space="preserve">[5][6]. The governance side hands over the outcome whose variation matters, the regulatory and operational disposition of the maneuver</w:t>
      </w:r>
      <w:r>
        <w:t xml:space="preserve"> </w:t>
      </w:r>
      <w:hyperlink w:anchor="ref-4">
        <w:r>
          <w:rPr>
            <w:rStyle w:val="Hyperlink"/>
          </w:rPr>
          <w:t xml:space="preserve">[4]</w:t>
        </w:r>
      </w:hyperlink>
      <w:r>
        <w:t xml:space="preserve">[7][9]. The review’s job is to show these two halves have never been bolted into one design, and that bolting them together is both doable and long overdue.</w:t>
      </w:r>
    </w:p>
    <w:bookmarkEnd w:id="68"/>
    <w:bookmarkStart w:id="69" w:name="X0a19a60ca3c9778731c01f79777c3aae82b62af"/>
    <w:p>
      <w:pPr>
        <w:pStyle w:val="Heading2"/>
        <w:spacing w:line="480" w:lineRule="auto"/>
      </w:pPr>
      <w:r>
        <w:t xml:space="preserve">2.2 The Technical Literature on the Avoidance Maneuver as an Engineering Object</w:t>
      </w:r>
    </w:p>
    <w:p>
      <w:pPr>
        <w:pStyle w:val="FirstParagraph"/>
        <w:spacing w:line="480" w:lineRule="auto"/>
      </w:pPr>
      <w:r>
        <w:t xml:space="preserve">The technical literature opens on the maneuver itself, taking it as a decision under uncertainty judged by engineering criteria and not by governance ones. Ladhad, Neelakantan, and Ahmed typify the optimization frame: they cast the collision-avoidance maneuver as a multi-objective numerical optimization solved by differential evolution, trading propellant burn, post-maneuver miss distance, and mission-state perturbation against one another across a Pareto frontier</w:t>
      </w:r>
      <w:r>
        <w:t xml:space="preserve"> </w:t>
      </w:r>
      <w:hyperlink w:anchor="ref-1">
        <w:r>
          <w:rPr>
            <w:rStyle w:val="Hyperlink"/>
          </w:rPr>
          <w:t xml:space="preserve">[1]</w:t>
        </w:r>
      </w:hyperlink>
      <w:r>
        <w:t xml:space="preserve">. Here the maneuver is just a point drawn from a feasible set by an objective function. Its merit rides on fuel cost and residual collision probability. Nothing in the analysis asks who or what made the selection, or whether the selection can be audited afterward. That omission is the signature of the optimization literature: it perfects the maneuver as an object and stays mute on its standing as a governed act.</w:t>
      </w:r>
    </w:p>
    <w:p>
      <w:pPr>
        <w:pStyle w:val="BodyText"/>
        <w:spacing w:line="480" w:lineRule="auto"/>
        <w:ind w:firstLine="720"/>
      </w:pPr>
      <w:r>
        <w:t xml:space="preserve">Quantifying the conjunction risk that such optimization presupposes is a substantial sub-literature in its own right. Frigm and Johnson meet the metric problem squarely, proposing total probability of collision as a measure fit for finite conjunction assessment and collision-risk management</w:t>
      </w:r>
      <w:r>
        <w:t xml:space="preserve"> </w:t>
      </w:r>
      <w:hyperlink w:anchor="ref-2">
        <w:r>
          <w:rPr>
            <w:rStyle w:val="Hyperlink"/>
          </w:rPr>
          <w:t xml:space="preserve">[2]</w:t>
        </w:r>
      </w:hyperlink>
      <w:r>
        <w:t xml:space="preserve">. Their work matters here not for governance content, of which it carries none, but for pinning the standard geometric and probabilistic fields, miss distance, probability of collision, relative velocity, conjunction geometry, that any downstream analysis of maneuver decisions has to carry as covariates</w:t>
      </w:r>
      <w:r>
        <w:t xml:space="preserve"> </w:t>
      </w:r>
      <w:hyperlink w:anchor="ref-2">
        <w:r>
          <w:rPr>
            <w:rStyle w:val="Hyperlink"/>
          </w:rPr>
          <w:t xml:space="preserve">[2]</w:t>
        </w:r>
      </w:hyperlink>
      <w:r>
        <w:t xml:space="preserve">. Those same fields are the controls a cliometric design must condition on to line up otherwise-identical conjunction events that differ only in the provenance of the responding autonomy. So the technical risk-metric literature quietly furnishes the right-hand side of the eventual estimating equation, written though it was with no such equation in view.</w:t>
      </w:r>
    </w:p>
    <w:p>
      <w:pPr>
        <w:pStyle w:val="BodyText"/>
        <w:spacing w:line="480" w:lineRule="auto"/>
        <w:ind w:firstLine="720"/>
      </w:pPr>
      <w:r>
        <w:t xml:space="preserve">Operational and trade reporting documents the scale on which avoidance now runs. Accounts of Starlink firing tens of thousands of collision-avoidance maneuvers inside a single half-year window, with the count climbing in what is described as exponential fashion, settle that avoidance is no longer a rare, human-deliberated event but a high-frequency operational process</w:t>
      </w:r>
      <w:r>
        <w:t xml:space="preserve"> </w:t>
      </w:r>
      <w:hyperlink w:anchor="ref-13">
        <w:r>
          <w:rPr>
            <w:rStyle w:val="Hyperlink"/>
          </w:rPr>
          <w:t xml:space="preserve">[13]</w:t>
        </w:r>
      </w:hyperlink>
      <w:r>
        <w:t xml:space="preserve">[14]. The European Space Agency’s own account of automating collision avoidance drives the point home: the human-in-the-loop model is being retired on purpose, because the event rate has outstripped human supervisory capacity</w:t>
      </w:r>
      <w:r>
        <w:t xml:space="preserve"> </w:t>
      </w:r>
      <w:hyperlink w:anchor="ref-15">
        <w:r>
          <w:rPr>
            <w:rStyle w:val="Hyperlink"/>
          </w:rPr>
          <w:t xml:space="preserve">[15]</w:t>
        </w:r>
      </w:hyperlink>
      <w:r>
        <w:t xml:space="preserve">. NASA’s records of station maneuvers to dodge orbital debris, and of long-running Earth-observation platforms working conjunction across their lifetimes, show the shift reaching across crewed and uncrewed, commercial and civil regimes alike</w:t>
      </w:r>
      <w:r>
        <w:t xml:space="preserve"> </w:t>
      </w:r>
      <w:hyperlink w:anchor="ref-16">
        <w:r>
          <w:rPr>
            <w:rStyle w:val="Hyperlink"/>
          </w:rPr>
          <w:t xml:space="preserve">[16]</w:t>
        </w:r>
      </w:hyperlink>
      <w:r>
        <w:t xml:space="preserve">[17]. The implication leaves little room. Avoidance has passed a volume threshold where handing it to software is not a research novelty but the standing operational reality.</w:t>
      </w:r>
    </w:p>
    <w:bookmarkEnd w:id="69"/>
    <w:bookmarkStart w:id="70" w:name="X436187ccee111fec0bdb140e214acb8a2f4f2e4"/>
    <w:p>
      <w:pPr>
        <w:pStyle w:val="Heading2"/>
        <w:spacing w:line="480" w:lineRule="auto"/>
      </w:pPr>
      <w:r>
        <w:t xml:space="preserve">2.3 The Technical Literature on Autonomy and Its Provenance</w:t>
      </w:r>
    </w:p>
    <w:p>
      <w:pPr>
        <w:pStyle w:val="FirstParagraph"/>
        <w:spacing w:line="480" w:lineRule="auto"/>
      </w:pPr>
      <w:r>
        <w:t xml:space="preserve">Where the optimization literature makes the maneuver its object, a second technical literature makes the maneuver-producing autonomy its object, and this is where the dissertation’s treatment variable acquires its documentary footing. Internally this literature varies along precisely the dimension the study turns into its treatment: how transparent and auditable the decision logic is.</w:t>
      </w:r>
    </w:p>
    <w:p>
      <w:pPr>
        <w:pStyle w:val="BodyText"/>
        <w:spacing w:line="480" w:lineRule="auto"/>
        <w:ind w:firstLine="720"/>
      </w:pPr>
      <w:r>
        <w:t xml:space="preserve">The transparent, auditable end belongs to the model-based and rule-based tradition. Stottler and colleagues lay out an onboard, autonomous, hybrid spacecraft subsystem for fault and anomaly detection, diagnosis, and recovery whose reasoning is explicitly model-based, letting an operator reconstruct the rationale for an autonomous action after the fact</w:t>
      </w:r>
      <w:r>
        <w:t xml:space="preserve"> </w:t>
      </w:r>
      <w:hyperlink w:anchor="ref-3">
        <w:r>
          <w:rPr>
            <w:rStyle w:val="Hyperlink"/>
          </w:rPr>
          <w:t xml:space="preserve">[3]</w:t>
        </w:r>
      </w:hyperlink>
      <w:r>
        <w:t xml:space="preserve">. Carrying that work forward into autonomous root-cause determination and recovery keeps the property intact: decisions trace back to an articulated model of the spacecraft, and the chain from observation to action stays, in principle, fully auditable</w:t>
      </w:r>
      <w:r>
        <w:t xml:space="preserve"> </w:t>
      </w:r>
      <w:hyperlink w:anchor="ref-24">
        <w:r>
          <w:rPr>
            <w:rStyle w:val="Hyperlink"/>
          </w:rPr>
          <w:t xml:space="preserve">[24]</w:t>
        </w:r>
      </w:hyperlink>
      <w:r>
        <w:t xml:space="preserve">. That auditability is deliberate, the design intent of the model-based school, and it stands as the canonical case of what this dissertation codes as transparent provenance.</w:t>
      </w:r>
    </w:p>
    <w:p>
      <w:pPr>
        <w:pStyle w:val="BodyText"/>
        <w:spacing w:line="480" w:lineRule="auto"/>
        <w:ind w:firstLine="720"/>
      </w:pPr>
      <w:r>
        <w:t xml:space="preserve">The opaque, learned end belongs to the reinforcement-learning tradition. Huterer Prats, Schaub, and Wheeler build a reinforcement-learning scheduler for space-to-space surveillance, training an autonomous policy to schedule imaging of resident space objects</w:t>
      </w:r>
      <w:r>
        <w:t xml:space="preserve"> </w:t>
      </w:r>
      <w:hyperlink w:anchor="ref-6">
        <w:r>
          <w:rPr>
            <w:rStyle w:val="Hyperlink"/>
          </w:rPr>
          <w:t xml:space="preserve">[6]</w:t>
        </w:r>
      </w:hyperlink>
      <w:r>
        <w:t xml:space="preserve">. A policy like this stores its decision logic in the learned weights of a function approximator. It may perform well, and still, reconstructing why it made a given scheduling call is not generally available to an operator the way a model-based reasoner’s call is</w:t>
      </w:r>
      <w:r>
        <w:t xml:space="preserve"> </w:t>
      </w:r>
      <w:hyperlink w:anchor="ref-6">
        <w:r>
          <w:rPr>
            <w:rStyle w:val="Hyperlink"/>
          </w:rPr>
          <w:t xml:space="preserve">[6]</w:t>
        </w:r>
      </w:hyperlink>
      <w:r>
        <w:t xml:space="preserve">. Supervised-learning work sits nearby: Fu and Soldini frame autonomous orbital maintenance through a supervised-learning-based target-point approach, learning the state-to-action mapping from data rather than deriving it from an articulated model</w:t>
      </w:r>
      <w:r>
        <w:t xml:space="preserve"> </w:t>
      </w:r>
      <w:hyperlink w:anchor="ref-33">
        <w:r>
          <w:rPr>
            <w:rStyle w:val="Hyperlink"/>
          </w:rPr>
          <w:t xml:space="preserve">[33]</w:t>
        </w:r>
      </w:hyperlink>
      <w:r>
        <w:t xml:space="preserve">. These learned systems are the canonical case of what this dissertation codes as opaque provenance, and their contrast with the model-based school is a difference not only of degree but of the kind of account available for any single decision.</w:t>
      </w:r>
    </w:p>
    <w:p>
      <w:pPr>
        <w:pStyle w:val="BodyText"/>
        <w:spacing w:line="480" w:lineRule="auto"/>
        <w:ind w:firstLine="720"/>
      </w:pPr>
      <w:r>
        <w:t xml:space="preserve">An intermediate literature holds the middle and, by resisting binary classification, usefully strains the coding rubric. Grosvenor and colleagues propose hierarchical neuro-symbolic artificial intelligence for autonomous spacecraft maneuvering and anomaly detection, fusing learned components with symbolic structure on purpose so as to win back some of the auditability pure learning throws away</w:t>
      </w:r>
      <w:r>
        <w:t xml:space="preserve"> </w:t>
      </w:r>
      <w:hyperlink w:anchor="ref-27">
        <w:r>
          <w:rPr>
            <w:rStyle w:val="Hyperlink"/>
          </w:rPr>
          <w:t xml:space="preserve">[27]</w:t>
        </w:r>
      </w:hyperlink>
      <w:r>
        <w:t xml:space="preserve">. Lagona and colleagues develop autonomous trajectory optimization for intelligent satellite systems inside the space-traffic-management frame, planting the autonomy question in the governance context while keeping the contribution technical</w:t>
      </w:r>
      <w:r>
        <w:t xml:space="preserve"> </w:t>
      </w:r>
      <w:hyperlink w:anchor="ref-31">
        <w:r>
          <w:rPr>
            <w:rStyle w:val="Hyperlink"/>
          </w:rPr>
          <w:t xml:space="preserve">[31]</w:t>
        </w:r>
      </w:hyperlink>
      <w:r>
        <w:t xml:space="preserve">. Wander and colleagues set out an autonomy and operational concept for spacecraft self-removal, status detection and removal triggering included, where the autonomous decision carries direct orbital consequences</w:t>
      </w:r>
      <w:r>
        <w:t xml:space="preserve"> </w:t>
      </w:r>
      <w:hyperlink w:anchor="ref-32">
        <w:r>
          <w:rPr>
            <w:rStyle w:val="Hyperlink"/>
          </w:rPr>
          <w:t xml:space="preserve">[32]</w:t>
        </w:r>
      </w:hyperlink>
      <w:r>
        <w:t xml:space="preserve">. Turan, Speretta, and Gill survey autonomous navigation for deep-space small satellites, cataloguing the advances that make onboard decision-making workable far from human supervision</w:t>
      </w:r>
      <w:r>
        <w:t xml:space="preserve"> </w:t>
      </w:r>
      <w:hyperlink w:anchor="ref-34">
        <w:r>
          <w:rPr>
            <w:rStyle w:val="Hyperlink"/>
          </w:rPr>
          <w:t xml:space="preserve">[34]</w:t>
        </w:r>
      </w:hyperlink>
      <w:r>
        <w:t xml:space="preserve">. This middle band earns its methodological keep. It proves provenance is a spectrum, that a binary coding flattens real variation, and that any credible design has to report how sensitive its estimates are to where the binary cut lands.</w:t>
      </w:r>
    </w:p>
    <w:p>
      <w:pPr>
        <w:pStyle w:val="BodyText"/>
        <w:spacing w:line="480" w:lineRule="auto"/>
        <w:ind w:firstLine="720"/>
      </w:pPr>
      <w:r>
        <w:t xml:space="preserve">Distributed autonomy at mission scale supplies the literature’s weightiest recent case. Hunter and colleagues document NASA’s Starling mission and its space-situational-awareness implications, showing distributed-spacecraft autonomy in which maneuver-relevant authority runs across a coordinated set of vehicles instead of being commanded from the ground per event</w:t>
      </w:r>
      <w:r>
        <w:t xml:space="preserve"> </w:t>
      </w:r>
      <w:hyperlink w:anchor="ref-5">
        <w:r>
          <w:rPr>
            <w:rStyle w:val="Hyperlink"/>
          </w:rPr>
          <w:t xml:space="preserve">[5]</w:t>
        </w:r>
      </w:hyperlink>
      <w:r>
        <w:t xml:space="preserve">[26]. Jabbarpour and colleagues survey agent-based approaches to distributed space systems and mission management, cataloguing the methodologies, current practice, and open challenges of handing mission decisions to coordinated software agents</w:t>
      </w:r>
      <w:r>
        <w:t xml:space="preserve"> </w:t>
      </w:r>
      <w:hyperlink w:anchor="ref-30">
        <w:r>
          <w:rPr>
            <w:rStyle w:val="Hyperlink"/>
          </w:rPr>
          <w:t xml:space="preserve">[30]</w:t>
        </w:r>
      </w:hyperlink>
      <w:r>
        <w:t xml:space="preserve">. Earlier autonomy-testbed work by Gregson, Seto, and Kim on satellite debris avoidance shows the avoidance decision specifically has been a target of autonomous experiment for the better part of a decade</w:t>
      </w:r>
      <w:r>
        <w:t xml:space="preserve"> </w:t>
      </w:r>
      <w:hyperlink w:anchor="ref-23">
        <w:r>
          <w:rPr>
            <w:rStyle w:val="Hyperlink"/>
          </w:rPr>
          <w:t xml:space="preserve">[23]</w:t>
        </w:r>
      </w:hyperlink>
      <w:r>
        <w:t xml:space="preserve">. Read together, this strand establishes that maneuver authority, the very act governance calls the operator’s accountable decision, has migrated into distributed and onboard software whose provenance varies systematically across missions</w:t>
      </w:r>
      <w:r>
        <w:t xml:space="preserve"> </w:t>
      </w:r>
      <w:hyperlink w:anchor="ref-5">
        <w:r>
          <w:rPr>
            <w:rStyle w:val="Hyperlink"/>
          </w:rPr>
          <w:t xml:space="preserve">[5]</w:t>
        </w:r>
      </w:hyperlink>
      <w:r>
        <w:t xml:space="preserve">[23][30]. That migration, and the provenance heterogeneity riding on it, is what makes the study’s treatment variable both real and codable from primary documentation.</w:t>
      </w:r>
    </w:p>
    <w:bookmarkEnd w:id="70"/>
    <w:bookmarkStart w:id="71" w:name="Xda8ccf68f6217a60e4ed737da6303af5b8051a7"/>
    <w:p>
      <w:pPr>
        <w:pStyle w:val="Heading2"/>
        <w:spacing w:line="480" w:lineRule="auto"/>
      </w:pPr>
      <w:r>
        <w:t xml:space="preserve">2.4 The Confidence, Trust, and Governance-Adjacent Technical Literature</w:t>
      </w:r>
    </w:p>
    <w:p>
      <w:pPr>
        <w:pStyle w:val="FirstParagraph"/>
        <w:spacing w:line="480" w:lineRule="auto"/>
      </w:pPr>
      <w:r>
        <w:t xml:space="preserve">A further technical strand straddles the boundary between engineering and governance, taking up the human and institutional acceptance of autonomous space systems without yet measuring regulatory outcomes. Gorman, Voshell, and Sliva build an assessment for operator confidence in automated space-situational-awareness and satellite-control systems, granting that deploying autonomy is gated not only by technical performance but by whether human operators, and implicitly the institutions behind them, will trust the autonomous act</w:t>
      </w:r>
      <w:r>
        <w:t xml:space="preserve"> </w:t>
      </w:r>
      <w:hyperlink w:anchor="ref-25">
        <w:r>
          <w:rPr>
            <w:rStyle w:val="Hyperlink"/>
          </w:rPr>
          <w:t xml:space="preserve">[25]</w:t>
        </w:r>
      </w:hyperlink>
      <w:r>
        <w:t xml:space="preserve">. This is the technical literature’s nearest approach to the present question, since it turns on the conditions under which an autonomous decision wins acceptance. And it halts before measuring whether acceptance tracks the documented provenance of the autonomy, and it ties operator confidence to no regulatory or screening outcome</w:t>
      </w:r>
      <w:r>
        <w:t xml:space="preserve"> </w:t>
      </w:r>
      <w:hyperlink w:anchor="ref-25">
        <w:r>
          <w:rPr>
            <w:rStyle w:val="Hyperlink"/>
          </w:rPr>
          <w:t xml:space="preserve">[25]</w:t>
        </w:r>
      </w:hyperlink>
      <w:r>
        <w:t xml:space="preserve">.</w:t>
      </w:r>
    </w:p>
    <w:p>
      <w:pPr>
        <w:pStyle w:val="BodyText"/>
        <w:spacing w:line="480" w:lineRule="auto"/>
        <w:ind w:firstLine="720"/>
      </w:pPr>
      <w:r>
        <w:t xml:space="preserve">Tricco and colleagues push the protection of artificial-intelligence-based space systems from a data-driven governance angle, naming the governance of AI-enabled space systems as a problem and starting to spell out what data-driven governance of such systems might demand</w:t>
      </w:r>
      <w:r>
        <w:t xml:space="preserve"> </w:t>
      </w:r>
      <w:hyperlink w:anchor="ref-28">
        <w:r>
          <w:rPr>
            <w:rStyle w:val="Hyperlink"/>
          </w:rPr>
          <w:t xml:space="preserve">[28]</w:t>
        </w:r>
      </w:hyperlink>
      <w:r>
        <w:t xml:space="preserve">. That signpost matters: it shows the field beginning to treat the governance of the autonomous decision layer as a distinct object. And the contribution stays a perspective and a framework, not a measured relationship. It estimates no change in the disposition of any concrete governed act, and it assembles no maneuver-level dataset on which such an estimate could stand</w:t>
      </w:r>
      <w:r>
        <w:t xml:space="preserve"> </w:t>
      </w:r>
      <w:hyperlink w:anchor="ref-28">
        <w:r>
          <w:rPr>
            <w:rStyle w:val="Hyperlink"/>
          </w:rPr>
          <w:t xml:space="preserve">[28]</w:t>
        </w:r>
      </w:hyperlink>
      <w:r>
        <w:t xml:space="preserve">. The system-of-systems and policy co-design work of Jain and Borowitz on future space-traffic-management autonomy runs the same forward-looking course: it argues for co-designing autonomy and policy, granting that the two have grown up apart, while framing the problem ahead rather than recovering a live relationship from the historical record</w:t>
      </w:r>
      <w:r>
        <w:t xml:space="preserve"> </w:t>
      </w:r>
      <w:hyperlink w:anchor="ref-21">
        <w:r>
          <w:rPr>
            <w:rStyle w:val="Hyperlink"/>
          </w:rPr>
          <w:t xml:space="preserve">[21]</w:t>
        </w:r>
      </w:hyperlink>
      <w:r>
        <w:t xml:space="preserve">. These three sit closest to the dissertation’s question, and their shared shortfall, no measured coefficient linking provenance to governed outcome, is exactly what the dissertation is built to supply.</w:t>
      </w:r>
    </w:p>
    <w:bookmarkEnd w:id="71"/>
    <w:bookmarkStart w:id="72" w:name="X88720c9eee6fc0c625c855d74c1722f12b69d7c"/>
    <w:p>
      <w:pPr>
        <w:pStyle w:val="Heading2"/>
        <w:spacing w:line="480" w:lineRule="auto"/>
      </w:pPr>
      <w:r>
        <w:t xml:space="preserve">2.5 The Institutional and Economic Literature on Space Governance</w:t>
      </w:r>
    </w:p>
    <w:p>
      <w:pPr>
        <w:pStyle w:val="FirstParagraph"/>
        <w:spacing w:line="480" w:lineRule="auto"/>
      </w:pPr>
      <w:r>
        <w:t xml:space="preserve">Governance scholarship comes at on-orbit operation from the far side. It starts not with the maneuver but with the collective problem uncoordinated maneuvering breeds, and it puts the fix in institutions, incentives, and the human and national actors those institutions address. Its founding economic statement is Weinzierl’s account of space as the final economic frontier, which reads orbital crowding and debris as negative externalities and the orbital environment as a commons open to a tragedy-of-the-commons dynamic where governance traction is missing</w:t>
      </w:r>
      <w:r>
        <w:t xml:space="preserve"> </w:t>
      </w:r>
      <w:hyperlink w:anchor="ref-8">
        <w:r>
          <w:rPr>
            <w:rStyle w:val="Hyperlink"/>
          </w:rPr>
          <w:t xml:space="preserve">[8]</w:t>
        </w:r>
      </w:hyperlink>
      <w:r>
        <w:t xml:space="preserve">. The move is to treat each operator’s maneuver and non-maneuver choices as actions whose social costs the acting operator never bears, so the aggregate lands inefficient</w:t>
      </w:r>
      <w:r>
        <w:t xml:space="preserve"> </w:t>
      </w:r>
      <w:hyperlink w:anchor="ref-8">
        <w:r>
          <w:rPr>
            <w:rStyle w:val="Hyperlink"/>
          </w:rPr>
          <w:t xml:space="preserve">[8]</w:t>
        </w:r>
      </w:hyperlink>
      <w:r>
        <w:t xml:space="preserve">. That externality framing is the governance literature’s spine, and one detail bears on the present study: the externality is drawn over operator decisions. The unit that carries the cost, and that policy aims to steer, is the operator’s accountable act.</w:t>
      </w:r>
    </w:p>
    <w:p>
      <w:pPr>
        <w:pStyle w:val="BodyText"/>
        <w:spacing w:line="480" w:lineRule="auto"/>
        <w:ind w:firstLine="720"/>
      </w:pPr>
      <w:r>
        <w:t xml:space="preserve">Space-traffic-management scholarship raises the institutional machinery on that economic base. Sánchez-Ortíz and colleagues survey outreach on space traffic management, sketching frameworks built around national authorities, operators, and stakeholders as the accountable parties to whom rules attach</w:t>
      </w:r>
      <w:r>
        <w:t xml:space="preserve"> </w:t>
      </w:r>
      <w:hyperlink w:anchor="ref-7">
        <w:r>
          <w:rPr>
            <w:rStyle w:val="Hyperlink"/>
          </w:rPr>
          <w:t xml:space="preserve">[7]</w:t>
        </w:r>
      </w:hyperlink>
      <w:r>
        <w:t xml:space="preserve">[12]. Colombo and colleagues analyze space-capacity management and its interplay with space traffic management, treating operator decisions as the unit capacity policy acts on and drawing out the tie between an orbital regime’s carrying capacity and the traffic-management instruments that ration it</w:t>
      </w:r>
      <w:r>
        <w:t xml:space="preserve"> </w:t>
      </w:r>
      <w:hyperlink w:anchor="ref-10">
        <w:r>
          <w:rPr>
            <w:rStyle w:val="Hyperlink"/>
          </w:rPr>
          <w:t xml:space="preserve">[10]</w:t>
        </w:r>
      </w:hyperlink>
      <w:r>
        <w:t xml:space="preserve">. Sorge and colleagues take up the particular strain large constellations put on traffic management, granting that the scale the operational technical literature records is a first-order governance problem</w:t>
      </w:r>
      <w:r>
        <w:t xml:space="preserve"> </w:t>
      </w:r>
      <w:hyperlink w:anchor="ref-19">
        <w:r>
          <w:rPr>
            <w:rStyle w:val="Hyperlink"/>
          </w:rPr>
          <w:t xml:space="preserve">[19]</w:t>
        </w:r>
      </w:hyperlink>
      <w:r>
        <w:t xml:space="preserve">. David and colleagues propose an incentive-based mechanism to grow multi-stakeholder collaboration for space sustainability, wiring the incentives explicitly to the behavior of human and institutional stakeholders</w:t>
      </w:r>
      <w:r>
        <w:t xml:space="preserve"> </w:t>
      </w:r>
      <w:hyperlink w:anchor="ref-9">
        <w:r>
          <w:rPr>
            <w:rStyle w:val="Hyperlink"/>
          </w:rPr>
          <w:t xml:space="preserve">[9]</w:t>
        </w:r>
      </w:hyperlink>
      <w:r>
        <w:t xml:space="preserve">. Throughout this body the accountable actor stays the operator or the national authority, and the governed object stays the operator’s decision, never the software provenance of that decision.</w:t>
      </w:r>
    </w:p>
    <w:p>
      <w:pPr>
        <w:pStyle w:val="BodyText"/>
        <w:spacing w:line="480" w:lineRule="auto"/>
        <w:ind w:firstLine="720"/>
      </w:pPr>
      <w:r>
        <w:t xml:space="preserve">Registration and data-infrastructure scholarship shores up the human-and-national framing even as it exposes the strain. Masson-Zwaan and colleagues press for better registration practices in the space-traffic-management context, noting that the institutional record of who operates what is itself unequal to the governance task</w:t>
      </w:r>
      <w:r>
        <w:t xml:space="preserve"> </w:t>
      </w:r>
      <w:hyperlink w:anchor="ref-18">
        <w:r>
          <w:rPr>
            <w:rStyle w:val="Hyperlink"/>
          </w:rPr>
          <w:t xml:space="preserve">[18]</w:t>
        </w:r>
      </w:hyperlink>
      <w:r>
        <w:t xml:space="preserve">. The space-sustainability-rating literature, with Letizia and colleagues as its exemplar, contributes the use of space-situational-awareness data to define a sustainability rating, starting to turn observational data into a governance signal</w:t>
      </w:r>
      <w:r>
        <w:t xml:space="preserve"> </w:t>
      </w:r>
      <w:hyperlink w:anchor="ref-22">
        <w:r>
          <w:rPr>
            <w:rStyle w:val="Hyperlink"/>
          </w:rPr>
          <w:t xml:space="preserve">[22]</w:t>
        </w:r>
      </w:hyperlink>
      <w:r>
        <w:t xml:space="preserve">. The public-service comparison by Borowitz and colleagues documents the actual screening services that assess conjunctions in the United States and the European Union, detailing the conjunction screenings, miss-distance and probability fields, and basic maneuver-option products those services publish against named operators and objects</w:t>
      </w:r>
      <w:r>
        <w:t xml:space="preserve"> </w:t>
      </w:r>
      <w:hyperlink w:anchor="ref-4">
        <w:r>
          <w:rPr>
            <w:rStyle w:val="Hyperlink"/>
          </w:rPr>
          <w:t xml:space="preserve">[4]</w:t>
        </w:r>
      </w:hyperlink>
      <w:r>
        <w:t xml:space="preserve">[11]. This last piece matters twice over. It is the governance literature’s clearest account of the screening apparatus, and it hands over the data infrastructure, the conjunction-geometry controls and the operator-to-object linkage, that the dissertation’s empirical design leans on</w:t>
      </w:r>
      <w:r>
        <w:t xml:space="preserve"> </w:t>
      </w:r>
      <w:hyperlink w:anchor="ref-4">
        <w:r>
          <w:rPr>
            <w:rStyle w:val="Hyperlink"/>
          </w:rPr>
          <w:t xml:space="preserve">[4]</w:t>
        </w:r>
      </w:hyperlink>
      <w:r>
        <w:t xml:space="preserve">. And even here, at the closest meeting of governance and observable data, the analysis stops at the service and the operator and never reaches the provenance of the autonomy that authored the screened maneuver.</w:t>
      </w:r>
    </w:p>
    <w:bookmarkEnd w:id="72"/>
    <w:bookmarkStart w:id="73" w:name="X4e5cddcd8d9bedbfa0c3a7b82e1f44d2fe0ae97"/>
    <w:p>
      <w:pPr>
        <w:pStyle w:val="Heading2"/>
        <w:spacing w:line="480" w:lineRule="auto"/>
      </w:pPr>
      <w:r>
        <w:t xml:space="preserve">2.6 The Adjacent Autonomy-and-Mission Literature</w:t>
      </w:r>
    </w:p>
    <w:p>
      <w:pPr>
        <w:pStyle w:val="FirstParagraph"/>
        <w:spacing w:line="480" w:lineRule="auto"/>
      </w:pPr>
      <w:r>
        <w:t xml:space="preserve">A small additional body maps the breadth of autonomous mission concepts now in development, confirming that delegated autonomy runs well past collision avoidance and is becoming the default operational posture across mission types. Kolvenbach and colleagues sketch a mission concept for a small-scale legged robot to explore the lunar subsurface, a setting where autonomy is compulsory because human supervision is out of reach</w:t>
      </w:r>
      <w:r>
        <w:t xml:space="preserve"> </w:t>
      </w:r>
      <w:hyperlink w:anchor="ref-29">
        <w:r>
          <w:rPr>
            <w:rStyle w:val="Hyperlink"/>
          </w:rPr>
          <w:t xml:space="preserve">[29]</w:t>
        </w:r>
      </w:hyperlink>
      <w:r>
        <w:t xml:space="preserve">. Far as this concept sits from the on-orbit avoidance setting that anchors the dissertation, it evidences the same underlying trend: as missions travel beyond the reach of timely human command, the autonomous decision becomes the only decision, and governing and auditing that decision grows correspondingly urgent. The medical-emergency scoping review by Dias Alves, Peyroteo, and Lapão, though it concerns human spaceflight rather than autonomous operation, likewise shows the literature starting to systematize the conditions under which on-orbit decisions must be made without the institutional scaffolding terrestrial contexts take for granted</w:t>
      </w:r>
      <w:r>
        <w:t xml:space="preserve"> </w:t>
      </w:r>
      <w:hyperlink w:anchor="ref-35">
        <w:r>
          <w:rPr>
            <w:rStyle w:val="Hyperlink"/>
          </w:rPr>
          <w:t xml:space="preserve">[35]</w:t>
        </w:r>
      </w:hyperlink>
      <w:r>
        <w:t xml:space="preserve">. These sit off to the side of the estimand, and they serve as boundary markers: they trace the wide frontier along which autonomous decision authority is spreading, and they make plain that governing provenance is a problem reaching well past the specific maneuver record analyzed here.</w:t>
      </w:r>
    </w:p>
    <w:bookmarkEnd w:id="73"/>
    <w:bookmarkStart w:id="74" w:name="X0c1c4e6ea2bd3bc59de690468772f6ea0dd41bd"/>
    <w:p>
      <w:pPr>
        <w:pStyle w:val="Heading2"/>
        <w:spacing w:line="480" w:lineRule="auto"/>
      </w:pPr>
      <w:r>
        <w:t xml:space="preserve">2.7 Synthesis: Two Non-Communicating Literatures</w:t>
      </w:r>
    </w:p>
    <w:p>
      <w:pPr>
        <w:pStyle w:val="FirstParagraph"/>
        <w:spacing w:line="480" w:lineRule="auto"/>
      </w:pPr>
      <w:r>
        <w:t xml:space="preserve">The two literatures reviewed above part ways in more than topic. They are non-communicating in the strict sense that neither conditions on the other’s central variable.</w:t>
      </w:r>
    </w:p>
    <w:p>
      <w:pPr>
        <w:pStyle w:val="BodyText"/>
        <w:spacing w:line="480" w:lineRule="auto"/>
        <w:ind w:firstLine="720"/>
      </w:pPr>
      <w:r>
        <w:t xml:space="preserve">Technical work owns the treatment and misses the outcome. It builds and documents autonomy whose provenance runs from the auditable model-based reasoners of Stottler and colleagues</w:t>
      </w:r>
      <w:r>
        <w:t xml:space="preserve"> </w:t>
      </w:r>
      <w:hyperlink w:anchor="ref-3">
        <w:r>
          <w:rPr>
            <w:rStyle w:val="Hyperlink"/>
          </w:rPr>
          <w:t xml:space="preserve">[3]</w:t>
        </w:r>
      </w:hyperlink>
      <w:r>
        <w:t xml:space="preserve">[24], through the neuro-symbolic hybrids of Grosvenor and colleagues</w:t>
      </w:r>
      <w:r>
        <w:t xml:space="preserve"> </w:t>
      </w:r>
      <w:hyperlink w:anchor="ref-27">
        <w:r>
          <w:rPr>
            <w:rStyle w:val="Hyperlink"/>
          </w:rPr>
          <w:t xml:space="preserve">[27]</w:t>
        </w:r>
      </w:hyperlink>
      <w:r>
        <w:t xml:space="preserve">, to the learned schedulers of Huterer Prats and colleagues</w:t>
      </w:r>
      <w:r>
        <w:t xml:space="preserve"> </w:t>
      </w:r>
      <w:hyperlink w:anchor="ref-6">
        <w:r>
          <w:rPr>
            <w:rStyle w:val="Hyperlink"/>
          </w:rPr>
          <w:t xml:space="preserve">[6]</w:t>
        </w:r>
      </w:hyperlink>
      <w:r>
        <w:t xml:space="preserve"> </w:t>
      </w:r>
      <w:r>
        <w:t xml:space="preserve">and the supervised-learning maintainers of Fu and Soldini</w:t>
      </w:r>
      <w:r>
        <w:t xml:space="preserve"> </w:t>
      </w:r>
      <w:hyperlink w:anchor="ref-33">
        <w:r>
          <w:rPr>
            <w:rStyle w:val="Hyperlink"/>
          </w:rPr>
          <w:t xml:space="preserve">[33]</w:t>
        </w:r>
      </w:hyperlink>
      <w:r>
        <w:t xml:space="preserve">, and it plants that variation at mission scale in distributed-autonomy programs like Starling</w:t>
      </w:r>
      <w:r>
        <w:t xml:space="preserve"> </w:t>
      </w:r>
      <w:hyperlink w:anchor="ref-5">
        <w:r>
          <w:rPr>
            <w:rStyle w:val="Hyperlink"/>
          </w:rPr>
          <w:t xml:space="preserve">[5]</w:t>
        </w:r>
      </w:hyperlink>
      <w:r>
        <w:t xml:space="preserve">[26]. Yet it books its results in the currency of engineering performance, fuel, miss distance, scheduling efficiency, fault coverage, and says nothing about whether the maneuvers its autonomy produces get treated differently by the institutions that screen, license, and supervise on-orbit activity</w:t>
      </w:r>
      <w:r>
        <w:t xml:space="preserve"> </w:t>
      </w:r>
      <w:hyperlink w:anchor="ref-1">
        <w:r>
          <w:rPr>
            <w:rStyle w:val="Hyperlink"/>
          </w:rPr>
          <w:t xml:space="preserve">[1]</w:t>
        </w:r>
      </w:hyperlink>
      <w:r>
        <w:t xml:space="preserve">[6][33]. Provenance varies here, and is documented here.</w:t>
      </w:r>
    </w:p>
    <w:p>
      <w:pPr>
        <w:pStyle w:val="BodyText"/>
        <w:spacing w:line="480" w:lineRule="auto"/>
        <w:ind w:firstLine="720"/>
      </w:pPr>
      <w:r>
        <w:t xml:space="preserve">Its governance consequences go unmeasured, because governance never enters the frame.</w:t>
      </w:r>
    </w:p>
    <w:p>
      <w:pPr>
        <w:pStyle w:val="BodyText"/>
        <w:spacing w:line="480" w:lineRule="auto"/>
        <w:ind w:firstLine="720"/>
      </w:pPr>
      <w:r>
        <w:t xml:space="preserve">Governance work owns the outcome and misses the treatment. It dissects, in fine grain, the institutions and incentives through which maneuver decisions are screened and disciplined: Weinzierl’s externality logic</w:t>
      </w:r>
      <w:r>
        <w:t xml:space="preserve"> </w:t>
      </w:r>
      <w:hyperlink w:anchor="ref-8">
        <w:r>
          <w:rPr>
            <w:rStyle w:val="Hyperlink"/>
          </w:rPr>
          <w:t xml:space="preserve">[8]</w:t>
        </w:r>
      </w:hyperlink>
      <w:r>
        <w:t xml:space="preserve">, the traffic-management frameworks of Sánchez-Ortíz and colleagues and of Colombo and colleagues</w:t>
      </w:r>
      <w:r>
        <w:t xml:space="preserve"> </w:t>
      </w:r>
      <w:hyperlink w:anchor="ref-7">
        <w:r>
          <w:rPr>
            <w:rStyle w:val="Hyperlink"/>
          </w:rPr>
          <w:t xml:space="preserve">[7]</w:t>
        </w:r>
      </w:hyperlink>
      <w:r>
        <w:t xml:space="preserve">[10], the constellation-scale strain marked by Sorge and colleagues</w:t>
      </w:r>
      <w:r>
        <w:t xml:space="preserve"> </w:t>
      </w:r>
      <w:hyperlink w:anchor="ref-19">
        <w:r>
          <w:rPr>
            <w:rStyle w:val="Hyperlink"/>
          </w:rPr>
          <w:t xml:space="preserve">[19]</w:t>
        </w:r>
      </w:hyperlink>
      <w:r>
        <w:t xml:space="preserve">, David and colleagues’ incentive mechanisms</w:t>
      </w:r>
      <w:r>
        <w:t xml:space="preserve"> </w:t>
      </w:r>
      <w:hyperlink w:anchor="ref-9">
        <w:r>
          <w:rPr>
            <w:rStyle w:val="Hyperlink"/>
          </w:rPr>
          <w:t xml:space="preserve">[9]</w:t>
        </w:r>
      </w:hyperlink>
      <w:r>
        <w:t xml:space="preserve">, and the concrete screening services compared by Borowitz and colleagues</w:t>
      </w:r>
      <w:r>
        <w:t xml:space="preserve"> </w:t>
      </w:r>
      <w:hyperlink w:anchor="ref-4">
        <w:r>
          <w:rPr>
            <w:rStyle w:val="Hyperlink"/>
          </w:rPr>
          <w:t xml:space="preserve">[4]</w:t>
        </w:r>
      </w:hyperlink>
      <w:r>
        <w:t xml:space="preserve">. Yet it fastens accountability to the operator and the national authority as human and institutional actors, and treats the maneuver as the operator’s act without once asking whether the provenance of the authoring autonomy shifts its institutional fate</w:t>
      </w:r>
      <w:r>
        <w:t xml:space="preserve"> </w:t>
      </w:r>
      <w:hyperlink w:anchor="ref-4">
        <w:r>
          <w:rPr>
            <w:rStyle w:val="Hyperlink"/>
          </w:rPr>
          <w:t xml:space="preserve">[4]</w:t>
        </w:r>
      </w:hyperlink>
      <w:r>
        <w:t xml:space="preserve">[7][9][10]. The outcome varies here, and is theorized here, and the autonomy provenance that might drive it goes uncoded, because the software decision layer never enters the frame.</w:t>
      </w:r>
    </w:p>
    <w:p>
      <w:pPr>
        <w:pStyle w:val="BodyText"/>
        <w:spacing w:line="480" w:lineRule="auto"/>
        <w:ind w:firstLine="720"/>
      </w:pPr>
      <w:r>
        <w:t xml:space="preserve">The two governance-adjacent technical pieces that come nearest to bridging the divide confirm, by falling short, that no bridge stands. Jain and Borowitz call outright for co-designing autonomy and policy, which takes for granted that the two were designed apart</w:t>
      </w:r>
      <w:r>
        <w:t xml:space="preserve"> </w:t>
      </w:r>
      <w:hyperlink w:anchor="ref-21">
        <w:r>
          <w:rPr>
            <w:rStyle w:val="Hyperlink"/>
          </w:rPr>
          <w:t xml:space="preserve">[21]</w:t>
        </w:r>
      </w:hyperlink>
      <w:r>
        <w:t xml:space="preserve">. Tricco and colleagues name the data-driven governance of AI-based space systems as an open problem</w:t>
      </w:r>
      <w:r>
        <w:t xml:space="preserve"> </w:t>
      </w:r>
      <w:hyperlink w:anchor="ref-28">
        <w:r>
          <w:rPr>
            <w:rStyle w:val="Hyperlink"/>
          </w:rPr>
          <w:t xml:space="preserve">[28]</w:t>
        </w:r>
      </w:hyperlink>
      <w:r>
        <w:t xml:space="preserve">. Gorman, Voshell, and Sliva gauge operator confidence in automated systems and never tie it to a regulatory outcome</w:t>
      </w:r>
      <w:r>
        <w:t xml:space="preserve"> </w:t>
      </w:r>
      <w:hyperlink w:anchor="ref-25">
        <w:r>
          <w:rPr>
            <w:rStyle w:val="Hyperlink"/>
          </w:rPr>
          <w:t xml:space="preserve">[25]</w:t>
        </w:r>
      </w:hyperlink>
      <w:r>
        <w:t xml:space="preserve">. Each stretches across the divide with one hand while the other stays anchored on its own bank. None assembles a single dataset where provenance and governed outcome show up together at the level of the individual maneuver. The literature has named the seam and left it unstitched.</w:t>
      </w:r>
    </w:p>
    <w:bookmarkEnd w:id="74"/>
    <w:bookmarkStart w:id="75" w:name="the-gap-stated-as-a-measurable-absence"/>
    <w:p>
      <w:pPr>
        <w:pStyle w:val="Heading2"/>
        <w:spacing w:line="480" w:lineRule="auto"/>
      </w:pPr>
      <w:r>
        <w:t xml:space="preserve">2.8 The Gap, Stated as a Measurable Absence</w:t>
      </w:r>
    </w:p>
    <w:p>
      <w:pPr>
        <w:pStyle w:val="FirstParagraph"/>
        <w:spacing w:line="480" w:lineRule="auto"/>
      </w:pPr>
      <w:r>
        <w:t xml:space="preserve">Unusual precision is possible in stating the gap, because it is no vague under-theorization but a specific empirical absence. Not one retrieved source measures whether the documented provenance of an autonomy stack shifts the regulatory or operational disposition of the maneuvers that stack generates. Technical work has the provenance and lacks the outcome</w:t>
      </w:r>
      <w:r>
        <w:t xml:space="preserve"> </w:t>
      </w:r>
      <w:hyperlink w:anchor="ref-3">
        <w:r>
          <w:rPr>
            <w:rStyle w:val="Hyperlink"/>
          </w:rPr>
          <w:t xml:space="preserve">[3]</w:t>
        </w:r>
      </w:hyperlink>
      <w:r>
        <w:t xml:space="preserve">[5][6]. Governance work has the outcome and lacks the provenance</w:t>
      </w:r>
      <w:r>
        <w:t xml:space="preserve"> </w:t>
      </w:r>
      <w:hyperlink w:anchor="ref-4">
        <w:r>
          <w:rPr>
            <w:rStyle w:val="Hyperlink"/>
          </w:rPr>
          <w:t xml:space="preserve">[4]</w:t>
        </w:r>
      </w:hyperlink>
      <w:r>
        <w:t xml:space="preserve">[7][9][10]. Governance-adjacent technical work has sensed the two belong together and has not joined them on a shared unit of observation</w:t>
      </w:r>
      <w:r>
        <w:t xml:space="preserve"> </w:t>
      </w:r>
      <w:hyperlink w:anchor="ref-21">
        <w:r>
          <w:rPr>
            <w:rStyle w:val="Hyperlink"/>
          </w:rPr>
          <w:t xml:space="preserve">[21]</w:t>
        </w:r>
      </w:hyperlink>
      <w:r>
        <w:t xml:space="preserve">[25][28]. What results is a governance regime that may already be sorting otherwise-identical maneuvers by a variable it has never formally named, the sorting therefore undocumented and unmeasured.</w:t>
      </w:r>
    </w:p>
    <w:p>
      <w:pPr>
        <w:pStyle w:val="BodyText"/>
        <w:spacing w:line="480" w:lineRule="auto"/>
        <w:ind w:firstLine="720"/>
      </w:pPr>
      <w:r>
        <w:t xml:space="preserve">That framing is what opens the gap to the cliometric method rather than to more conceptual elaboration. Between them, the two literatures have already produced the parts of a credible design. Technical work supplies a treatment hand-codable from primary mission and autonomy documentation against a transparent rubric, model-based or rule-based and operator-reconstructable versus learned or black-box, with the neuro-symbolic and supervised-learning intermediates standing as the robustness cases that test the coding</w:t>
      </w:r>
      <w:r>
        <w:t xml:space="preserve"> </w:t>
      </w:r>
      <w:hyperlink w:anchor="ref-3">
        <w:r>
          <w:rPr>
            <w:rStyle w:val="Hyperlink"/>
          </w:rPr>
          <w:t xml:space="preserve">[3]</w:t>
        </w:r>
      </w:hyperlink>
      <w:r>
        <w:t xml:space="preserve">[6][27][33]. Governance and data-infrastructure work supplies the outcome and the controls, the conjunction screenings, miss-distance and probability fields, and operator-to-object linkages the public space-situational-awareness services publish, furnishing both the geometry covariates and the operator fixed-effects structure</w:t>
      </w:r>
      <w:r>
        <w:t xml:space="preserve"> </w:t>
      </w:r>
      <w:hyperlink w:anchor="ref-2">
        <w:r>
          <w:rPr>
            <w:rStyle w:val="Hyperlink"/>
          </w:rPr>
          <w:t xml:space="preserve">[2]</w:t>
        </w:r>
      </w:hyperlink>
      <w:r>
        <w:t xml:space="preserve">[4]. The migration of maneuver authority into distributed and onboard autonomy, documented across missions, supplies the staggered, within-operator variation in provenance on which identification can rest</w:t>
      </w:r>
      <w:r>
        <w:t xml:space="preserve"> </w:t>
      </w:r>
      <w:hyperlink w:anchor="ref-5">
        <w:r>
          <w:rPr>
            <w:rStyle w:val="Hyperlink"/>
          </w:rPr>
          <w:t xml:space="preserve">[5]</w:t>
        </w:r>
      </w:hyperlink>
      <w:r>
        <w:t xml:space="preserve">[6][23][30]. Each half of the design already lives in one literature. Neither literature has ever assembled both halves at once.</w:t>
      </w:r>
    </w:p>
    <w:p>
      <w:pPr>
        <w:pStyle w:val="BodyText"/>
        <w:spacing w:line="480" w:lineRule="auto"/>
        <w:ind w:firstLine="720"/>
      </w:pPr>
      <w:r>
        <w:t xml:space="preserve">So the cliometric contribution is not to unearth a new fact about autonomy or governance taken alone. It is to recover the single coefficient sitting at their intersection that neither body has tried to estimate. By making the conjunction-maneuver event the unit, coding autonomy provenance as the treatment from the technical record, and measuring documented, screenable maneuver disposition as the outcome from the governance record, the design turns a governance intuition that has floated in qualitative form</w:t>
      </w:r>
      <w:r>
        <w:t xml:space="preserve"> </w:t>
      </w:r>
      <w:hyperlink w:anchor="ref-21">
        <w:r>
          <w:rPr>
            <w:rStyle w:val="Hyperlink"/>
          </w:rPr>
          <w:t xml:space="preserve">[21]</w:t>
        </w:r>
      </w:hyperlink>
      <w:r>
        <w:t xml:space="preserve">[28] into a falsifiable estimand with a sign and a confidence interval. A precisely estimated null would itself be a finding, showing governance outcomes to be provenance-blind and the policy concern, intuitive as it is, empirically misplaced. A precisely estimated non-null would show the institutions of on-orbit governance already conditioning on autonomy provenance while denying they do. Either result moves the field, and both come within reach only by joining the two literatures this chapter has shown to be, for now, wholly apart.</w:t>
      </w:r>
    </w:p>
    <w:bookmarkEnd w:id="75"/>
    <w:bookmarkStart w:id="76" w:name="summary"/>
    <w:p>
      <w:pPr>
        <w:pStyle w:val="Heading2"/>
        <w:spacing w:line="480" w:lineRule="auto"/>
      </w:pPr>
      <w:r>
        <w:t xml:space="preserve">2.9 Summary</w:t>
      </w:r>
    </w:p>
    <w:p>
      <w:pPr>
        <w:pStyle w:val="FirstParagraph"/>
        <w:spacing w:line="480" w:lineRule="auto"/>
      </w:pPr>
      <w:r>
        <w:t xml:space="preserve">This chapter has worked through two mature but non-communicating bodies of scholarship. Technical work builds the autonomous operator and documents the provenance spread of its decision logic, from auditable model-based reasoners</w:t>
      </w:r>
      <w:r>
        <w:t xml:space="preserve"> </w:t>
      </w:r>
      <w:hyperlink w:anchor="ref-3">
        <w:r>
          <w:rPr>
            <w:rStyle w:val="Hyperlink"/>
          </w:rPr>
          <w:t xml:space="preserve">[3]</w:t>
        </w:r>
      </w:hyperlink>
      <w:r>
        <w:t xml:space="preserve">[24] through neuro-symbolic hybrids</w:t>
      </w:r>
      <w:r>
        <w:t xml:space="preserve"> </w:t>
      </w:r>
      <w:hyperlink w:anchor="ref-27">
        <w:r>
          <w:rPr>
            <w:rStyle w:val="Hyperlink"/>
          </w:rPr>
          <w:t xml:space="preserve">[27]</w:t>
        </w:r>
      </w:hyperlink>
      <w:r>
        <w:t xml:space="preserve"> </w:t>
      </w:r>
      <w:r>
        <w:t xml:space="preserve">to opaque learned schedulers</w:t>
      </w:r>
      <w:r>
        <w:t xml:space="preserve"> </w:t>
      </w:r>
      <w:hyperlink w:anchor="ref-6">
        <w:r>
          <w:rPr>
            <w:rStyle w:val="Hyperlink"/>
          </w:rPr>
          <w:t xml:space="preserve">[6]</w:t>
        </w:r>
      </w:hyperlink>
      <w:r>
        <w:t xml:space="preserve">[33], planting that spread at mission scale through distributed autonomy</w:t>
      </w:r>
      <w:r>
        <w:t xml:space="preserve"> </w:t>
      </w:r>
      <w:hyperlink w:anchor="ref-5">
        <w:r>
          <w:rPr>
            <w:rStyle w:val="Hyperlink"/>
          </w:rPr>
          <w:t xml:space="preserve">[5]</w:t>
        </w:r>
      </w:hyperlink>
      <w:r>
        <w:t xml:space="preserve">[26][30], while booking its results only in engineering currency and never in governance terms</w:t>
      </w:r>
      <w:r>
        <w:t xml:space="preserve"> </w:t>
      </w:r>
      <w:hyperlink w:anchor="ref-1">
        <w:r>
          <w:rPr>
            <w:rStyle w:val="Hyperlink"/>
          </w:rPr>
          <w:t xml:space="preserve">[1]</w:t>
        </w:r>
      </w:hyperlink>
      <w:r>
        <w:t xml:space="preserve">[2]. Institutional and economic work governs the operator, lodging accountability with human operators and national authorities, framing orbital crowding as a commons externality</w:t>
      </w:r>
      <w:r>
        <w:t xml:space="preserve"> </w:t>
      </w:r>
      <w:hyperlink w:anchor="ref-8">
        <w:r>
          <w:rPr>
            <w:rStyle w:val="Hyperlink"/>
          </w:rPr>
          <w:t xml:space="preserve">[8]</w:t>
        </w:r>
      </w:hyperlink>
      <w:r>
        <w:t xml:space="preserve">, and building traffic-management and capacity frameworks and screening services around the operator’s act</w:t>
      </w:r>
      <w:r>
        <w:t xml:space="preserve"> </w:t>
      </w:r>
      <w:hyperlink w:anchor="ref-4">
        <w:r>
          <w:rPr>
            <w:rStyle w:val="Hyperlink"/>
          </w:rPr>
          <w:t xml:space="preserve">[4]</w:t>
        </w:r>
      </w:hyperlink>
      <w:r>
        <w:t xml:space="preserve">[7][9][10][19], while never coding the provenance of the authoring autonomy. The handful of governance-adjacent technical pieces that sense the seam call for co-design or name the governance of AI-based systems an open problem</w:t>
      </w:r>
      <w:r>
        <w:t xml:space="preserve"> </w:t>
      </w:r>
      <w:hyperlink w:anchor="ref-21">
        <w:r>
          <w:rPr>
            <w:rStyle w:val="Hyperlink"/>
          </w:rPr>
          <w:t xml:space="preserve">[21]</w:t>
        </w:r>
      </w:hyperlink>
      <w:r>
        <w:t xml:space="preserve">[28], or gauge operator confidence without tying it to a regulatory outcome</w:t>
      </w:r>
      <w:r>
        <w:t xml:space="preserve"> </w:t>
      </w:r>
      <w:hyperlink w:anchor="ref-25">
        <w:r>
          <w:rPr>
            <w:rStyle w:val="Hyperlink"/>
          </w:rPr>
          <w:t xml:space="preserve">[25]</w:t>
        </w:r>
      </w:hyperlink>
      <w:r>
        <w:t xml:space="preserve">, and none assembles provenance and governed outcome at the level of the individual maneuver. So the gap is a precise empirical absence, not a conceptual haze, and it is just the sort of absence the cliometric method, disciplined to reduce a contested claim to one estimated coefficient, is made to fill. The chapters ahead build that estimand, fix its identification, and recover its value from the public maneuver-and-conjunction record.</w:t>
      </w:r>
    </w:p>
    <w:bookmarkEnd w:id="76"/>
    <w:bookmarkEnd w:id="77"/>
    <w:bookmarkStart w:id="84" w:name="Xcfcc00a3ded59aed0c781c16bfc121f2a509603"/>
    <w:p>
      <w:pPr>
        <w:pStyle w:val="Heading1"/>
        <w:spacing w:line="480" w:lineRule="auto"/>
      </w:pPr>
      <w:r>
        <w:t xml:space="preserve">Chapter 3. Theoretical Framework and Hypotheses</w:t>
      </w:r>
    </w:p>
    <w:bookmarkStart w:id="78" w:name="purpose-and-scope-of-the-chapter"/>
    <w:p>
      <w:pPr>
        <w:pStyle w:val="Heading2"/>
        <w:spacing w:line="480" w:lineRule="auto"/>
      </w:pPr>
      <w:r>
        <w:t xml:space="preserve">3.1 Purpose and scope of the chapter</w:t>
      </w:r>
    </w:p>
    <w:p>
      <w:pPr>
        <w:pStyle w:val="FirstParagraph"/>
        <w:spacing w:line="480" w:lineRule="auto"/>
      </w:pPr>
      <w:r>
        <w:t xml:space="preserve">The two chapters before this fixed a single empirical problem and set it in the gap between two literatures that do not talk. Technical work builds and tunes the autonomy that now decides and fires the collision-avoidance maneuver, from auditable model-based reasoners</w:t>
      </w:r>
      <w:r>
        <w:t xml:space="preserve"> </w:t>
      </w:r>
      <w:hyperlink w:anchor="ref-3">
        <w:r>
          <w:rPr>
            <w:rStyle w:val="Hyperlink"/>
          </w:rPr>
          <w:t xml:space="preserve">[3]</w:t>
        </w:r>
      </w:hyperlink>
      <w:r>
        <w:t xml:space="preserve"> </w:t>
      </w:r>
      <w:r>
        <w:t xml:space="preserve">through mission-level distributed autonomy</w:t>
      </w:r>
      <w:r>
        <w:t xml:space="preserve"> </w:t>
      </w:r>
      <w:hyperlink w:anchor="ref-5">
        <w:r>
          <w:rPr>
            <w:rStyle w:val="Hyperlink"/>
          </w:rPr>
          <w:t xml:space="preserve">[5]</w:t>
        </w:r>
      </w:hyperlink>
      <w:r>
        <w:t xml:space="preserve"> </w:t>
      </w:r>
      <w:r>
        <w:t xml:space="preserve">to learned reinforcement-learning schedulers</w:t>
      </w:r>
      <w:r>
        <w:t xml:space="preserve"> </w:t>
      </w:r>
      <w:hyperlink w:anchor="ref-6">
        <w:r>
          <w:rPr>
            <w:rStyle w:val="Hyperlink"/>
          </w:rPr>
          <w:t xml:space="preserve">[6]</w:t>
        </w:r>
      </w:hyperlink>
      <w:r>
        <w:t xml:space="preserve">, and stays silent on what becomes of those maneuvers in the regulatory and operational record</w:t>
      </w:r>
      <w:r>
        <w:t xml:space="preserve"> </w:t>
      </w:r>
      <w:hyperlink w:anchor="ref-1">
        <w:r>
          <w:rPr>
            <w:rStyle w:val="Hyperlink"/>
          </w:rPr>
          <w:t xml:space="preserve">[1]</w:t>
        </w:r>
      </w:hyperlink>
      <w:r>
        <w:t xml:space="preserve">[2]. Institutional and economic work reads orbital crowding as a negative externality short of the governance traction it needs</w:t>
      </w:r>
      <w:r>
        <w:t xml:space="preserve"> </w:t>
      </w:r>
      <w:hyperlink w:anchor="ref-8">
        <w:r>
          <w:rPr>
            <w:rStyle w:val="Hyperlink"/>
          </w:rPr>
          <w:t xml:space="preserve">[8]</w:t>
        </w:r>
      </w:hyperlink>
      <w:r>
        <w:t xml:space="preserve"> </w:t>
      </w:r>
      <w:r>
        <w:t xml:space="preserve">and builds space-traffic-management and capacity frameworks around human operators and national authorities as the accountable actors</w:t>
      </w:r>
      <w:r>
        <w:t xml:space="preserve"> </w:t>
      </w:r>
      <w:hyperlink w:anchor="ref-7">
        <w:r>
          <w:rPr>
            <w:rStyle w:val="Hyperlink"/>
          </w:rPr>
          <w:t xml:space="preserve">[7]</w:t>
        </w:r>
      </w:hyperlink>
      <w:r>
        <w:t xml:space="preserve">[9][10], and stays silent on the software provenance of the act it governs. This chapter does the theoretical labor of joining those bodies on one unit and turning the resulting intuition into a falsifiable proposition.</w:t>
      </w:r>
    </w:p>
    <w:p>
      <w:pPr>
        <w:pStyle w:val="BodyText"/>
        <w:spacing w:line="480" w:lineRule="auto"/>
        <w:ind w:firstLine="720"/>
      </w:pPr>
      <w:r>
        <w:t xml:space="preserve">Five steps carry the argument. Section 3.2 fixes the governance object and defines autonomy provenance as the central construct. Section 3.3 develops the causal mechanism that would, if real, wire provenance to governance outcomes, and it does so carefully enough that the mechanism’s failure modes show up in advance. Section 3.4 draws out the observable implications across the two channels the dissertation can measure, operational maneuver tempo and regulatory time-to-authorization. Section 3.5 states the formal null and alternative, H0 and H1, and defines the estimand that carries the whole contribution. Section 3.6 names the rival accounts the empirical chapters must beat before any provenance coefficient earns belief, and explains why each rival is theoretically prior to the provenance claim rather than a nuisance riding alongside it.</w:t>
      </w:r>
    </w:p>
    <w:bookmarkEnd w:id="78"/>
    <w:bookmarkStart w:id="79" w:name="Xf59f2f98a150fab528ba5fe312a8f36471a4bfa"/>
    <w:p>
      <w:pPr>
        <w:pStyle w:val="Heading2"/>
        <w:spacing w:line="480" w:lineRule="auto"/>
      </w:pPr>
      <w:r>
        <w:t xml:space="preserve">3.2 The governance object and the provenance construct</w:t>
      </w:r>
    </w:p>
    <w:p>
      <w:pPr>
        <w:pStyle w:val="FirstParagraph"/>
        <w:spacing w:line="480" w:lineRule="auto"/>
      </w:pPr>
      <w:r>
        <w:t xml:space="preserve">On-orbit operation’s accountable act has moved. Through most of the operational era the licensed operator wrote each collision-avoidance maneuver on a human timescale, choosing among basic avoidance options once a controller had read a conjunction screening</w:t>
      </w:r>
      <w:r>
        <w:t xml:space="preserve"> </w:t>
      </w:r>
      <w:hyperlink w:anchor="ref-4">
        <w:r>
          <w:rPr>
            <w:rStyle w:val="Hyperlink"/>
          </w:rPr>
          <w:t xml:space="preserve">[4]</w:t>
        </w:r>
      </w:hyperlink>
      <w:r>
        <w:t xml:space="preserve">. Governance institutions leaned on one premise: an identifiable human agent authored the maneuver, could explain it, and could be held to account for it.</w:t>
      </w:r>
    </w:p>
    <w:p>
      <w:pPr>
        <w:pStyle w:val="BodyText"/>
        <w:spacing w:line="480" w:lineRule="auto"/>
        <w:ind w:firstLine="720"/>
      </w:pPr>
      <w:r>
        <w:t xml:space="preserve">That premise is coming apart. Onboard and distributed autonomy now runs the avoidance function outright</w:t>
      </w:r>
      <w:r>
        <w:t xml:space="preserve"> </w:t>
      </w:r>
      <w:hyperlink w:anchor="ref-5">
        <w:r>
          <w:rPr>
            <w:rStyle w:val="Hyperlink"/>
          </w:rPr>
          <w:t xml:space="preserve">[5]</w:t>
        </w:r>
      </w:hyperlink>
      <w:r>
        <w:t xml:space="preserve">, learned schedulers now take over the surrounding tasking</w:t>
      </w:r>
      <w:r>
        <w:t xml:space="preserve"> </w:t>
      </w:r>
      <w:hyperlink w:anchor="ref-6">
        <w:r>
          <w:rPr>
            <w:rStyle w:val="Hyperlink"/>
          </w:rPr>
          <w:t xml:space="preserve">[6]</w:t>
        </w:r>
      </w:hyperlink>
      <w:r>
        <w:t xml:space="preserve">, and the supervisory record leans ever more on software whose decision logic the operator never wrote and, in the learned case, cannot fully replay event by event. So what governance must supervise now is not the spacecraft bus but the software decision layer, which is why this study belongs in the information-technology-infrastructure category and not in spacecraft engineering.</w:t>
      </w:r>
    </w:p>
    <w:p>
      <w:pPr>
        <w:pStyle w:val="BodyText"/>
        <w:spacing w:line="480" w:lineRule="auto"/>
        <w:ind w:firstLine="720"/>
      </w:pPr>
      <w:r>
        <w:t xml:space="preserve">Inside that object the chapter picks out one property and calls it autonomy provenance. Provenance is the documented origin and auditability of the decision logic that picks and fires a maneuver. At its theoretical core it is treated as binary, transparent versus opaque, with the underlying property acknowledged as continuous. Transparent provenance means decision logic that is model-based or rule-based and operator-reconstructable, so the operator can answer, after the fact and from the system’s own records, why a given maneuver happened</w:t>
      </w:r>
      <w:r>
        <w:t xml:space="preserve"> </w:t>
      </w:r>
      <w:hyperlink w:anchor="ref-3">
        <w:r>
          <w:rPr>
            <w:rStyle w:val="Hyperlink"/>
          </w:rPr>
          <w:t xml:space="preserve">[3]</w:t>
        </w:r>
      </w:hyperlink>
      <w:r>
        <w:t xml:space="preserve">. Opaque provenance means decision logic that is learned or otherwise black-box, so the operator can watch the maneuver and cannot rebuild from first principles the reasoning that produced it</w:t>
      </w:r>
      <w:r>
        <w:t xml:space="preserve"> </w:t>
      </w:r>
      <w:hyperlink w:anchor="ref-6">
        <w:r>
          <w:rPr>
            <w:rStyle w:val="Hyperlink"/>
          </w:rPr>
          <w:t xml:space="preserve">[6]</w:t>
        </w:r>
      </w:hyperlink>
      <w:r>
        <w:t xml:space="preserve">. Onboard model-based fault-and-maneuver reasoners mark the transparent pole, their hybrid architectures built for diagnosis, root-cause determination, and human-auditable recovery</w:t>
      </w:r>
      <w:r>
        <w:t xml:space="preserve"> </w:t>
      </w:r>
      <w:hyperlink w:anchor="ref-3">
        <w:r>
          <w:rPr>
            <w:rStyle w:val="Hyperlink"/>
          </w:rPr>
          <w:t xml:space="preserve">[3]</w:t>
        </w:r>
      </w:hyperlink>
      <w:r>
        <w:t xml:space="preserve">[24], as do neuro-symbolic and supervised-learning approaches that keep an inspectable symbolic or target-point layer</w:t>
      </w:r>
      <w:r>
        <w:t xml:space="preserve"> </w:t>
      </w:r>
      <w:hyperlink w:anchor="ref-27">
        <w:r>
          <w:rPr>
            <w:rStyle w:val="Hyperlink"/>
          </w:rPr>
          <w:t xml:space="preserve">[27]</w:t>
        </w:r>
      </w:hyperlink>
      <w:r>
        <w:t xml:space="preserve">[33]. Reinforcement-learning schedulers mark the opaque pole, their policies tuned against reward instead of written as rules</w:t>
      </w:r>
      <w:r>
        <w:t xml:space="preserve"> </w:t>
      </w:r>
      <w:hyperlink w:anchor="ref-6">
        <w:r>
          <w:rPr>
            <w:rStyle w:val="Hyperlink"/>
          </w:rPr>
          <w:t xml:space="preserve">[6]</w:t>
        </w:r>
      </w:hyperlink>
      <w:r>
        <w:t xml:space="preserve">, as does mission-scale distributed autonomy where maneuver authority moves into the constellation as a system rather than living in any reconstructable human-authored procedure</w:t>
      </w:r>
      <w:r>
        <w:t xml:space="preserve"> </w:t>
      </w:r>
      <w:hyperlink w:anchor="ref-5">
        <w:r>
          <w:rPr>
            <w:rStyle w:val="Hyperlink"/>
          </w:rPr>
          <w:t xml:space="preserve">[5]</w:t>
        </w:r>
      </w:hyperlink>
      <w:r>
        <w:t xml:space="preserve">[30].</w:t>
      </w:r>
    </w:p>
    <w:p>
      <w:pPr>
        <w:pStyle w:val="BodyText"/>
        <w:spacing w:line="480" w:lineRule="auto"/>
        <w:ind w:firstLine="720"/>
      </w:pPr>
      <w:r>
        <w:t xml:space="preserve">Two clarifications keep the construct honest. First, provenance is a property of the decision logic, not of the maneuver’s physical quality. A transparent stack and an opaque stack can fire kinematically identical maneuvers; what the chapter tracks is whether the act can be reconstructed afterward, not whether it was the right act.</w:t>
      </w:r>
    </w:p>
    <w:p>
      <w:pPr>
        <w:pStyle w:val="BodyText"/>
        <w:spacing w:line="480" w:lineRule="auto"/>
        <w:ind w:firstLine="720"/>
      </w:pPr>
      <w:r>
        <w:t xml:space="preserve">Second, provenance here is not the same as autonomy itself. A system can run highly autonomous and transparent, acting without human intervention while logging a reconstructable trace</w:t>
      </w:r>
      <w:r>
        <w:t xml:space="preserve"> </w:t>
      </w:r>
      <w:hyperlink w:anchor="ref-23">
        <w:r>
          <w:rPr>
            <w:rStyle w:val="Hyperlink"/>
          </w:rPr>
          <w:t xml:space="preserve">[23]</w:t>
        </w:r>
      </w:hyperlink>
      <w:r>
        <w:t xml:space="preserve">[32], or barely autonomous and opaque. The treatment is the auditability of the logic, and the empirical chapters have to guard against letting it collapse into a coarser autonomy-versus-human contrast, a hazard the chapter picks back up in Section 3.6.</w:t>
      </w:r>
    </w:p>
    <w:bookmarkEnd w:id="79"/>
    <w:bookmarkStart w:id="80" w:name="the-causal-mechanism"/>
    <w:p>
      <w:pPr>
        <w:pStyle w:val="Heading2"/>
        <w:spacing w:line="480" w:lineRule="auto"/>
      </w:pPr>
      <w:r>
        <w:t xml:space="preserve">3.3 The causal mechanism</w:t>
      </w:r>
    </w:p>
    <w:p>
      <w:pPr>
        <w:pStyle w:val="FirstParagraph"/>
        <w:spacing w:line="480" w:lineRule="auto"/>
      </w:pPr>
      <w:r>
        <w:t xml:space="preserve">The bridging proposition holds that provenance and governance outcomes connect through the cost auditability imposes on, or lifts from, the parties who must account for a maneuver. Two limbs make up the mechanism, one operational and one regulatory, and both run on a shared logic of supervisory burden.</w:t>
      </w:r>
    </w:p>
    <w:p>
      <w:pPr>
        <w:pStyle w:val="BodyText"/>
        <w:spacing w:line="480" w:lineRule="auto"/>
        <w:ind w:firstLine="720"/>
      </w:pPr>
      <w:r>
        <w:t xml:space="preserve">Take the operational limb first. An operator running an opaque onboard system can maneuver at a machine threshold on a machine timescale. Each such maneuver runs nearly free. No human rebuilds or pre-clears the call; the system fires the moment its policy crosses its internal threshold</w:t>
      </w:r>
      <w:r>
        <w:t xml:space="preserve"> </w:t>
      </w:r>
      <w:hyperlink w:anchor="ref-5">
        <w:r>
          <w:rPr>
            <w:rStyle w:val="Hyperlink"/>
          </w:rPr>
          <w:t xml:space="preserve">[5]</w:t>
        </w:r>
      </w:hyperlink>
      <w:r>
        <w:t xml:space="preserve">[6]. An operator running a transparent, ground-commanded process maneuvers only after a human assessment clears the event, which is slower, scarcer, and capped by controller attention</w:t>
      </w:r>
      <w:r>
        <w:t xml:space="preserve"> </w:t>
      </w:r>
      <w:hyperlink w:anchor="ref-4">
        <w:r>
          <w:rPr>
            <w:rStyle w:val="Hyperlink"/>
          </w:rPr>
          <w:t xml:space="preserve">[4]</w:t>
        </w:r>
      </w:hyperlink>
      <w:r>
        <w:t xml:space="preserve">. So the mechanism predicts that, with the conjunction environment fixed, opaque provenance should ride with a higher documented maneuver tempo, since the marginal cost of one more maneuver sits near zero for the opaque operator and strictly above zero for the transparent one. The behavioral wedge is not recklessness.</w:t>
      </w:r>
    </w:p>
    <w:p>
      <w:pPr>
        <w:pStyle w:val="BodyText"/>
        <w:spacing w:line="480" w:lineRule="auto"/>
        <w:ind w:firstLine="720"/>
      </w:pPr>
      <w:r>
        <w:t xml:space="preserve">It is the removal of the human-review bottleneck that transparent provenance keeps by design.</w:t>
      </w:r>
    </w:p>
    <w:p>
      <w:pPr>
        <w:pStyle w:val="BodyText"/>
        <w:spacing w:line="480" w:lineRule="auto"/>
        <w:ind w:firstLine="720"/>
      </w:pPr>
      <w:r>
        <w:t xml:space="preserve">Now the regulatory limb. A regulator reasons more easily about a human-supervised concept than an autonomous one. An autonomous concept at mega-constellation scale rules out per-event human review by construction, and a learned concept additionally rules out logic-level reconstruction</w:t>
      </w:r>
      <w:r>
        <w:t xml:space="preserve"> </w:t>
      </w:r>
      <w:hyperlink w:anchor="ref-3">
        <w:r>
          <w:rPr>
            <w:rStyle w:val="Hyperlink"/>
          </w:rPr>
          <w:t xml:space="preserve">[3]</w:t>
        </w:r>
      </w:hyperlink>
      <w:r>
        <w:t xml:space="preserve">[6]. Suppose the regulator takes on the burden of supervising an object it cannot fully audit. Then autonomy-intensive, opaque-provenance systems should clear slower, because the regulator either asks for more before granting or lingers longer over an object whose behavior it cannot forecast. In survival terms the mechanism predicts a lower hazard of authorization at any given elapsed time for opaque-provenance systems. Both limbs run the same supervisory-burden logic: opacity strips the human checkpoint that slows the operator’s maneuvering and, by symmetry, opacity raises the regulator’s cost of certifying the system, which should slow the regulator.</w:t>
      </w:r>
    </w:p>
    <w:p>
      <w:pPr>
        <w:pStyle w:val="BodyText"/>
        <w:spacing w:line="480" w:lineRule="auto"/>
        <w:ind w:firstLine="720"/>
      </w:pPr>
      <w:r>
        <w:t xml:space="preserve">Symmetry and falsifiability make the mechanism attractive, and it carries three structural weaknesses the chapter names outright, because they shape the empirical design. First, the history of the technology may confound opacity with scale. The only operators who pioneered opaque onboard avoidance at scale are exactly the operators who pioneered the thousand-satellite constellation, so the variable the mechanism credits to provenance may, in the available record, be carried by fleet size</w:t>
      </w:r>
      <w:r>
        <w:t xml:space="preserve"> </w:t>
      </w:r>
      <w:hyperlink w:anchor="ref-5">
        <w:r>
          <w:rPr>
            <w:rStyle w:val="Hyperlink"/>
          </w:rPr>
          <w:t xml:space="preserve">[5]</w:t>
        </w:r>
      </w:hyperlink>
      <w:r>
        <w:t xml:space="preserve">[6]. Second, the regulatory limb runs against a coordination account in which the licensing clock is set not by the technology inside any one system but by the procedural architecture around it, specifically the competitive processing rounds whose collective cut-off dates tie every applicant to a shared coordination step</w:t>
      </w:r>
      <w:r>
        <w:t xml:space="preserve"> </w:t>
      </w:r>
      <w:hyperlink w:anchor="ref-2">
        <w:r>
          <w:rPr>
            <w:rStyle w:val="Hyperlink"/>
          </w:rPr>
          <w:t xml:space="preserve">[2]</w:t>
        </w:r>
      </w:hyperlink>
      <w:r>
        <w:t xml:space="preserve">[7][19]. Third, the operational limb’s outcome, maneuver tempo, is partly a function of orbital regime, because lower and denser orbits throw off more conjunctions and thus more maneuvers no matter who or what commands them</w:t>
      </w:r>
      <w:r>
        <w:t xml:space="preserve"> </w:t>
      </w:r>
      <w:hyperlink w:anchor="ref-2">
        <w:r>
          <w:rPr>
            <w:rStyle w:val="Hyperlink"/>
          </w:rPr>
          <w:t xml:space="preserve">[2]</w:t>
        </w:r>
      </w:hyperlink>
      <w:r>
        <w:t xml:space="preserve">[4]. Each weakness is a spot where a structural variable can put on the provenance label, and the chapter’s hypotheses are built precisely to force the data to choose between the label and the structure.</w:t>
      </w:r>
    </w:p>
    <w:bookmarkEnd w:id="80"/>
    <w:bookmarkStart w:id="81" w:name="X9599a2c35f82219f901ade1194ffffc5d92007a"/>
    <w:p>
      <w:pPr>
        <w:pStyle w:val="Heading2"/>
        <w:spacing w:line="480" w:lineRule="auto"/>
      </w:pPr>
      <w:r>
        <w:t xml:space="preserve">3.4 From mechanism to observable implications</w:t>
      </w:r>
    </w:p>
    <w:p>
      <w:pPr>
        <w:pStyle w:val="FirstParagraph"/>
        <w:spacing w:line="480" w:lineRule="auto"/>
      </w:pPr>
      <w:r>
        <w:t xml:space="preserve">The mechanism is not directly observable; its implications are. The dissertation operationalizes it through two distinct governance outcomes, each readable from public records, each matched to one limb.</w:t>
      </w:r>
    </w:p>
    <w:p>
      <w:pPr>
        <w:pStyle w:val="BodyText"/>
        <w:spacing w:line="480" w:lineRule="auto"/>
        <w:ind w:firstLine="720"/>
      </w:pPr>
      <w:r>
        <w:t xml:space="preserve">Take the operational implication, a maneuver tempo. If the operational limb holds, then with fleet size and orbital regime fixed, transparent-provenance operators should log fewer documented collision-avoidance maneuvers per satellite-year than opaque-provenance ones. Maneuver tempo is the quantity governance calls the accountable act, and it is observable because operators and services publish maneuver counts, fleet sizes, and rough altitudes that assemble into an operator-period panel</w:t>
      </w:r>
      <w:r>
        <w:t xml:space="preserve"> </w:t>
      </w:r>
      <w:hyperlink w:anchor="ref-4">
        <w:r>
          <w:rPr>
            <w:rStyle w:val="Hyperlink"/>
          </w:rPr>
          <w:t xml:space="preserve">[4]</w:t>
        </w:r>
      </w:hyperlink>
      <w:r>
        <w:t xml:space="preserve">. The conditioning is not optional. The raw contrast between an opaque operator firing at machine tempo and a transparent one firing at human tempo is exactly what the mechanism predicts, and it is also exactly what a pure scale effect would throw off, which is why the test has to be the conditional contrast rather than the raw one.</w:t>
      </w:r>
    </w:p>
    <w:p>
      <w:pPr>
        <w:pStyle w:val="BodyText"/>
        <w:spacing w:line="480" w:lineRule="auto"/>
        <w:ind w:firstLine="720"/>
      </w:pPr>
      <w:r>
        <w:t xml:space="preserve">Now the regulatory implication, a time-to-authorization. If the regulatory limb holds, then with system size and procedural position fixed, autonomy-intensive, opaque-provenance systems should meet a lower hazard of authorization, a longer stretch between filing and grant. The interval is observable because filing and grant dates trace to named regulatory documents, and the censoring of still-pending systems is itself informative and has to be modeled rather than tossed</w:t>
      </w:r>
      <w:r>
        <w:t xml:space="preserve"> </w:t>
      </w:r>
      <w:hyperlink w:anchor="ref-2">
        <w:r>
          <w:rPr>
            <w:rStyle w:val="Hyperlink"/>
          </w:rPr>
          <w:t xml:space="preserve">[2]</w:t>
        </w:r>
      </w:hyperlink>
      <w:r>
        <w:t xml:space="preserve">[9][20]. Here too the conditioning is the whole game. A longer interval for opaque systems fits the supervisory-burden mechanism, and it fits the coordination account just as well if opaque systems disproportionately file into competitive rounds, so the test has to peel the provenance channel off the procedural one.</w:t>
      </w:r>
    </w:p>
    <w:p>
      <w:pPr>
        <w:pStyle w:val="BodyText"/>
        <w:spacing w:line="480" w:lineRule="auto"/>
        <w:ind w:firstLine="720"/>
      </w:pPr>
      <w:r>
        <w:t xml:space="preserve">The two implications are picked to complement, not to double up. Maneuver tempo reads operator behavior under autonomy; time-to-authorization reads regulator behavior toward it. So the dissertation’s single construct, provenance, gets two independent shots at leaving a measurable trace in two different institutional records. A real mechanism should, in principle, surface in at least one channel. A provenance signal that dies in both once structural confounders come in fences the theory far more tightly than a test in either channel alone. This is the logic of triangulating one construct across two estimands, and it is what lets the dissertation reach a disciplined conclusion even when each single coefficient is imprecise.</w:t>
      </w:r>
    </w:p>
    <w:bookmarkEnd w:id="81"/>
    <w:bookmarkStart w:id="82" w:name="formal-hypotheses-and-the-estimand"/>
    <w:p>
      <w:pPr>
        <w:pStyle w:val="Heading2"/>
        <w:spacing w:line="480" w:lineRule="auto"/>
      </w:pPr>
      <w:r>
        <w:t xml:space="preserve">3.5 Formal hypotheses and the estimand</w:t>
      </w:r>
    </w:p>
    <w:p>
      <w:pPr>
        <w:pStyle w:val="FirstParagraph"/>
        <w:spacing w:line="480" w:lineRule="auto"/>
      </w:pPr>
      <w:r>
        <w:t xml:space="preserve">One hypothesis, one construct, two channels. It is stated at the construct level, and each empirical chapter casts it in the fitting estimator. Provenance is carried by a binary treatment indicator, transparent versus opaque, coded from primary mission and regulatory documentation against a transparent rubric and released with inter-coder reliability statistics so the treatment is auditable end to end</w:t>
      </w:r>
      <w:r>
        <w:t xml:space="preserve"> </w:t>
      </w:r>
      <w:hyperlink w:anchor="ref-3">
        <w:r>
          <w:rPr>
            <w:rStyle w:val="Hyperlink"/>
          </w:rPr>
          <w:t xml:space="preserve">[3]</w:t>
        </w:r>
      </w:hyperlink>
      <w:r>
        <w:t xml:space="preserve">[5][6].</w:t>
      </w:r>
    </w:p>
    <w:p>
      <w:pPr>
        <w:pStyle w:val="BodyText"/>
        <w:spacing w:line="480" w:lineRule="auto"/>
        <w:ind w:firstLine="720"/>
      </w:pPr>
      <w:r>
        <w:rPr>
          <w:b/>
          <w:bCs/>
        </w:rPr>
        <w:t xml:space="preserve">H0 (null).</w:t>
      </w:r>
      <w:r>
        <w:t xml:space="preserve"> </w:t>
      </w:r>
      <w:r>
        <w:t xml:space="preserve">With the relevant structural controls in place, autonomy provenance bears no association with the governance outcome. In the operational channel the controls are constellation scale and orbital regime, the outcome is the documented collision-avoidance maneuver rate per satellite-year, and the provenance coefficient is statistically indistinguishable from zero. In the regulatory channel the controls are system size and competitive-processing-round status, the outcome is the hazard of authorization, and the provenance coefficient is statistically indistinguishable from zero with a hazard ratio indistinguishable from one. Under H0, any apparent tie between opaque autonomy and either a faster maneuver tempo or a different licensing timeline is an artifact of the correlated structural variables and not of provenance itself.</w:t>
      </w:r>
    </w:p>
    <w:p>
      <w:pPr>
        <w:pStyle w:val="BodyText"/>
        <w:spacing w:line="480" w:lineRule="auto"/>
        <w:ind w:firstLine="720"/>
      </w:pPr>
      <w:r>
        <w:rPr>
          <w:b/>
          <w:bCs/>
        </w:rPr>
        <w:t xml:space="preserve">H1 (alternative).</w:t>
      </w:r>
      <w:r>
        <w:t xml:space="preserve"> </w:t>
      </w:r>
      <w:r>
        <w:t xml:space="preserve">With those same structural controls in place, autonomy provenance bears a non-zero, sign-stable association with the governance outcome. In the operational channel transparent provenance rides with a lower documented maneuver rate per satellite-year than opaque provenance, so the provenance coefficient is negative and statistically distinguishable from zero. In the regulatory channel opaque, autonomy-intensive provenance rides with a lower hazard of authorization, so the provenance coefficient is negative and the hazard ratio sits below one. Under H1, governance is already discriminating on a variable it has never formally named, and the discrimination is undocumented and unmeasured.</w:t>
      </w:r>
    </w:p>
    <w:p>
      <w:pPr>
        <w:pStyle w:val="BodyText"/>
        <w:spacing w:line="480" w:lineRule="auto"/>
        <w:ind w:firstLine="720"/>
      </w:pPr>
      <w:r>
        <w:t xml:space="preserve">The estimand that carries the contribution is the conditional provenance coefficient, recovered under a saturated control set, with the contrast between the raw and the conditional estimate taken as the object of inference. This is the standard cliometric move for peeling a structural driver off a label that rides with it. The claim is falsifiable both ways. A precisely estimated null provenance coefficient refutes H1 and publishes on its own, because it moves the governance concern off the software label and onto the structural driver and shows that a policy aimed at the autonomy stack would, in the available record, mostly be hitting fleet size or procedural position. A sign-stable non-zero coefficient that survives the controls backs H1 and shows provenance to be an operative governance variable. One coefficient, one sign, one confidence interval, in each channel, carries the contribution; the dissertation promises no more, and the discipline of promising exactly that is itself part of the method.</w:t>
      </w:r>
    </w:p>
    <w:p>
      <w:pPr>
        <w:pStyle w:val="BodyText"/>
        <w:spacing w:line="480" w:lineRule="auto"/>
        <w:ind w:firstLine="720"/>
      </w:pPr>
      <w:r>
        <w:t xml:space="preserve">It is worth stating outright what a conditional null does and does not establish, because the empirical chapters do in fact recover conditional nulls in both channels, and the framework has to expect that outcome rather than flinch from it. A conditional null does not establish that provenance is irrelevant to space governance at large. It establishes that, in the public record now available, provenance cannot be pulled apart from the structural variable with which it is confounded by construction, constellation scale in the operational channel and procedural position in the regulatory one. The mechanism may be real and merely unidentified for want of variation that snaps the provenance-structure tie; the decisive future observation is a large constellation that adopts transparent, human-reviewable avoidance, or a small operator that adopts opaque onboard autonomy</w:t>
      </w:r>
      <w:r>
        <w:t xml:space="preserve"> </w:t>
      </w:r>
      <w:hyperlink w:anchor="ref-5">
        <w:r>
          <w:rPr>
            <w:rStyle w:val="Hyperlink"/>
          </w:rPr>
          <w:t xml:space="preserve">[5]</w:t>
        </w:r>
      </w:hyperlink>
      <w:r>
        <w:t xml:space="preserve">[6]. So the theory is framed to make the null informative: it disciplines the policy conversation by naming the structural variable the provenance label has stood in for, and it specifies exactly the variation that would, once it shows up, identify the provenance coefficient on something beyond a single pioneering operator.</w:t>
      </w:r>
    </w:p>
    <w:bookmarkEnd w:id="82"/>
    <w:bookmarkStart w:id="83" w:name="rival-accounts-the-framework-must-defeat"/>
    <w:p>
      <w:pPr>
        <w:pStyle w:val="Heading2"/>
        <w:spacing w:line="480" w:lineRule="auto"/>
      </w:pPr>
      <w:r>
        <w:t xml:space="preserve">3.6 Rival accounts the framework must defeat</w:t>
      </w:r>
    </w:p>
    <w:p>
      <w:pPr>
        <w:pStyle w:val="FirstParagraph"/>
        <w:spacing w:line="480" w:lineRule="auto"/>
      </w:pPr>
      <w:r>
        <w:t xml:space="preserve">A provenance coefficient earns belief only after the theoretically prior structural accounts have been let in and shown not to soak it up. The framework names three rivals and takes each as a hypothesis in its own right rather than a statistical nuisance, because each floats a complete, plausible explanation of the same outcome.</w:t>
      </w:r>
    </w:p>
    <w:p>
      <w:pPr>
        <w:pStyle w:val="BodyText"/>
        <w:spacing w:line="480" w:lineRule="auto"/>
        <w:ind w:firstLine="720"/>
      </w:pPr>
      <w:r>
        <w:t xml:space="preserve">First comes the scale account. In the operational channel the provenance indicator and the logarithm of fleet size sit nearly collinear in the available record, because the operator running opaque onboard avoidance at scale is the same operator running the only fleet in the thousands. The scale account holds that maneuver tempo is driven by the count of satellites exposed to conjunctions, not by the auditability of the logic that resolves them, so what shows up as a provenance effect is a scale effect in provenance costume</w:t>
      </w:r>
      <w:r>
        <w:t xml:space="preserve"> </w:t>
      </w:r>
      <w:hyperlink w:anchor="ref-5">
        <w:r>
          <w:rPr>
            <w:rStyle w:val="Hyperlink"/>
          </w:rPr>
          <w:t xml:space="preserve">[5]</w:t>
        </w:r>
      </w:hyperlink>
      <w:r>
        <w:t xml:space="preserve">[6]. The framework grants this rival is theoretically prior: scale mechanically drives conjunction exposure, and provenance earns credit only for whatever moves the tempo after scale is differenced out. Operator and regime fixed effects and explicit scale controls are the tools the framework uses to force the data to choose between the two.</w:t>
      </w:r>
    </w:p>
    <w:p>
      <w:pPr>
        <w:pStyle w:val="BodyText"/>
        <w:spacing w:line="480" w:lineRule="auto"/>
        <w:ind w:firstLine="720"/>
      </w:pPr>
      <w:r>
        <w:t xml:space="preserve">Next comes the coordination account. In the regulatory channel the binding constraint on the licensing clock may be the competitive-processing-round architecture, where a collective cut-off date ties every applicant in a round to the slowest shared coordination step</w:t>
      </w:r>
      <w:r>
        <w:t xml:space="preserve"> </w:t>
      </w:r>
      <w:hyperlink w:anchor="ref-2">
        <w:r>
          <w:rPr>
            <w:rStyle w:val="Hyperlink"/>
          </w:rPr>
          <w:t xml:space="preserve">[2]</w:t>
        </w:r>
      </w:hyperlink>
      <w:r>
        <w:t xml:space="preserve">[7][19]. The coordination account holds that procedural position, not the technology inside any one system, governs time-to-grant, and that the policy-relevant scarcity in orbit is coordination capacity rather than any operator’s autonomy stack</w:t>
      </w:r>
      <w:r>
        <w:t xml:space="preserve"> </w:t>
      </w:r>
      <w:hyperlink w:anchor="ref-8">
        <w:r>
          <w:rPr>
            <w:rStyle w:val="Hyperlink"/>
          </w:rPr>
          <w:t xml:space="preserve">[8]</w:t>
        </w:r>
      </w:hyperlink>
      <w:r>
        <w:t xml:space="preserve">[10]. This rival is theoretically prior because the processing-round mechanism is an institutional fact acting on every applicant regardless of provenance, and a provenance hazard ratio earns credit only for what survives the entry of procedural position.</w:t>
      </w:r>
    </w:p>
    <w:p>
      <w:pPr>
        <w:pStyle w:val="BodyText"/>
        <w:spacing w:line="480" w:lineRule="auto"/>
        <w:ind w:firstLine="720"/>
      </w:pPr>
      <w:r>
        <w:t xml:space="preserve">Third comes the regime-density account. In the operational channel, lower and denser orbits throw off more conjunctions and thus more maneuvers, so altitude rather than provenance may be the conditioning variable that moves the maneuver rate once scale is held fixed</w:t>
      </w:r>
      <w:r>
        <w:t xml:space="preserve"> </w:t>
      </w:r>
      <w:hyperlink w:anchor="ref-2">
        <w:r>
          <w:rPr>
            <w:rStyle w:val="Hyperlink"/>
          </w:rPr>
          <w:t xml:space="preserve">[2]</w:t>
        </w:r>
      </w:hyperlink>
      <w:r>
        <w:t xml:space="preserve">[4]. This account is theoretically prior because the physical density of resident space objects is exogenous to the operator’s choice of autonomy stack, so the framework admits altitude as a regime proxy and treats any residual provenance signal as conditional on it.</w:t>
      </w:r>
    </w:p>
    <w:p>
      <w:pPr>
        <w:pStyle w:val="BodyText"/>
        <w:spacing w:line="480" w:lineRule="auto"/>
        <w:ind w:firstLine="720"/>
      </w:pPr>
      <w:r>
        <w:t xml:space="preserve">Toward all three rivals the framework runs the same, deliberately ascetic strategy. It does not try to wave the rivals off by assertion or bury them in an elaborate model. It lets each in as a control, reports the provenance coefficient under progressive control sets along a fixed-effects saturation path, takes the saturated within-operator estimate as primary, and fences residual confounding with coefficient-stability sensitivity analysis. Should the provenance coefficient survive the rivals, H1 is backed and the survival is the evidence. Should it collapse once a rival comes in, H0 is not refuted, and the collapse is itself the finding, because it names the structural variable the provenance concern has quietly been tracking. Either way the framework turns a governance intuition about machine decision-making into a measured coefficient whose behavior under controls is the entire contribution, and it does so while honoring the priority of the structural accounts over the provenance label they so nearly resemble.</w:t>
      </w:r>
    </w:p>
    <w:bookmarkEnd w:id="83"/>
    <w:bookmarkEnd w:id="84"/>
    <w:bookmarkStart w:id="101" w:name="chapter-4.-data-and-measurement"/>
    <w:p>
      <w:pPr>
        <w:pStyle w:val="Heading1"/>
        <w:spacing w:line="480" w:lineRule="auto"/>
      </w:pPr>
      <w:r>
        <w:t xml:space="preserve">Chapter 4. Data and Measurement</w:t>
      </w:r>
    </w:p>
    <w:bookmarkStart w:id="85" w:name="purpose-and-scope-of-the-chapter-1"/>
    <w:p>
      <w:pPr>
        <w:pStyle w:val="Heading2"/>
        <w:spacing w:line="480" w:lineRule="auto"/>
      </w:pPr>
      <w:r>
        <w:t xml:space="preserve">4.1 Purpose and Scope of the Chapter</w:t>
      </w:r>
    </w:p>
    <w:p>
      <w:pPr>
        <w:pStyle w:val="FirstParagraph"/>
        <w:spacing w:line="480" w:lineRule="auto"/>
      </w:pPr>
      <w:r>
        <w:t xml:space="preserve">This chapter fixes the empirical material the dissertation stands on. It documents the two datasets built for the two component studies, their authoritative sources, the unit of analysis in each, and how every variable is constructed from primary records. One commitment runs through it all: each datum traces to a named document. The dissertation asks whether an autonomy stack’s documented provenance shifts the regulatory and operational disposition of the maneuvers it produces, and a claim like that is worth only as much as the record behind it. So I treat measurement as the load-bearing methodological contribution and not as a warm-up to estimation. Wherever a value is interpolated or illustrative rather than separately published, the chapter says so and quantifies the share, because the honesty of the eventual coefficient rides on the honesty of the cells beneath it.</w:t>
      </w:r>
    </w:p>
    <w:p>
      <w:pPr>
        <w:pStyle w:val="BodyText"/>
        <w:spacing w:line="480" w:lineRule="auto"/>
        <w:ind w:firstLine="720"/>
      </w:pPr>
      <w:r>
        <w:t xml:space="preserve">Both studies share one conceptual treatment, autonomy provenance, and run it on different units against different outcomes. The first, an operator-period panel, makes the documented collision-avoidance maneuver the behavioral act and asks whether provenance moves the rate at which it occurs. The second, a survival analysis of licensing intervals, makes the satellite-system authorization request the regulated object and asks whether provenance moves the time the regulator takes to grant it. Sharing the treatment lets the two datasets speak to one hypothesis from two institutional vantage points, operational and administrative, while their separate units and sources keep any single measurement artifact from carrying both results. The chapter handles each dataset in turn, then turns to the measurement properties they share.</w:t>
      </w:r>
    </w:p>
    <w:bookmarkEnd w:id="85"/>
    <w:bookmarkStart w:id="86" w:name="Xb50affd4ffe5c7ce2d22bfb9dabf320f5bcea00"/>
    <w:p>
      <w:pPr>
        <w:pStyle w:val="Heading2"/>
        <w:spacing w:line="480" w:lineRule="auto"/>
      </w:pPr>
      <w:r>
        <w:t xml:space="preserve">4.2 The Operational Construct and Its Two Datasets</w:t>
      </w:r>
    </w:p>
    <w:p>
      <w:pPr>
        <w:pStyle w:val="FirstParagraph"/>
        <w:spacing w:line="480" w:lineRule="auto"/>
      </w:pPr>
      <w:r>
        <w:t xml:space="preserve">What the dissertation governs is the software decision layer, not the spacecraft bus around it. Collision avoidance is the accountable act.</w:t>
      </w:r>
    </w:p>
    <w:p>
      <w:pPr>
        <w:pStyle w:val="BodyText"/>
        <w:spacing w:line="480" w:lineRule="auto"/>
        <w:ind w:firstLine="720"/>
      </w:pPr>
      <w:r>
        <w:t xml:space="preserve">Regulators long treated it as the operator’s own, and it is now the function most likely to run on software whose logic the operator never wrote</w:t>
      </w:r>
      <w:r>
        <w:t xml:space="preserve"> </w:t>
      </w:r>
      <w:hyperlink w:anchor="ref-1">
        <w:r>
          <w:rPr>
            <w:rStyle w:val="Hyperlink"/>
          </w:rPr>
          <w:t xml:space="preserve">[1]</w:t>
        </w:r>
      </w:hyperlink>
      <w:r>
        <w:t xml:space="preserve">[5]. Conjunction-assessment scholarship establishes the avoidance maneuver as a formally optimized engineering object traded against mission cost under uncertainty</w:t>
      </w:r>
      <w:r>
        <w:t xml:space="preserve"> </w:t>
      </w:r>
      <w:hyperlink w:anchor="ref-1">
        <w:r>
          <w:rPr>
            <w:rStyle w:val="Hyperlink"/>
          </w:rPr>
          <w:t xml:space="preserve">[1]</w:t>
        </w:r>
      </w:hyperlink>
      <w:r>
        <w:t xml:space="preserve">[2], and autonomy scholarship establishes that authority for that maneuver is migrating into onboard and distributed systems, from auditable model-based reasoners</w:t>
      </w:r>
      <w:r>
        <w:t xml:space="preserve"> </w:t>
      </w:r>
      <w:hyperlink w:anchor="ref-3">
        <w:r>
          <w:rPr>
            <w:rStyle w:val="Hyperlink"/>
          </w:rPr>
          <w:t xml:space="preserve">[3]</w:t>
        </w:r>
      </w:hyperlink>
      <w:r>
        <w:t xml:space="preserve"> </w:t>
      </w:r>
      <w:r>
        <w:t xml:space="preserve">through learned schedulers</w:t>
      </w:r>
      <w:r>
        <w:t xml:space="preserve"> </w:t>
      </w:r>
      <w:hyperlink w:anchor="ref-6">
        <w:r>
          <w:rPr>
            <w:rStyle w:val="Hyperlink"/>
          </w:rPr>
          <w:t xml:space="preserve">[6]</w:t>
        </w:r>
      </w:hyperlink>
      <w:r>
        <w:t xml:space="preserve"> </w:t>
      </w:r>
      <w:r>
        <w:t xml:space="preserve">to mission-level distributed autonomy on NASA’s Starling</w:t>
      </w:r>
      <w:r>
        <w:t xml:space="preserve"> </w:t>
      </w:r>
      <w:hyperlink w:anchor="ref-5">
        <w:r>
          <w:rPr>
            <w:rStyle w:val="Hyperlink"/>
          </w:rPr>
          <w:t xml:space="preserve">[5]</w:t>
        </w:r>
      </w:hyperlink>
      <w:r>
        <w:t xml:space="preserve">. The measurement task is to turn this migration into data: pin a provenance label to named space objects and operators, and pin an outcome, behavioral in the first study and administrative in the second, to those same named entities.</w:t>
      </w:r>
    </w:p>
    <w:p>
      <w:pPr>
        <w:pStyle w:val="BodyText"/>
        <w:spacing w:line="480" w:lineRule="auto"/>
        <w:ind w:firstLine="720"/>
      </w:pPr>
      <w:r>
        <w:t xml:space="preserve">Both datasets are hand-built from public primary sources and carry per-row citations in their data files, so the treatment coding and the outcome measurement stay auditable end to end. Neither is a convenience pull from a single repository. Each is a deliberate assembly across operator filings, agency records, and the technical literature, put together so provenance can vary while the entities it attaches to stay documented.</w:t>
      </w:r>
    </w:p>
    <w:bookmarkEnd w:id="86"/>
    <w:bookmarkStart w:id="92" w:name="Xc084cb7bbf21664a404316bf7fdd28d7685f818"/>
    <w:p>
      <w:pPr>
        <w:pStyle w:val="Heading2"/>
        <w:spacing w:line="480" w:lineRule="auto"/>
      </w:pPr>
      <w:r>
        <w:t xml:space="preserve">4.3 Dataset One: The Operator-Period Maneuver Panel</w:t>
      </w:r>
    </w:p>
    <w:bookmarkStart w:id="87" w:name="unit-of-analysis"/>
    <w:p>
      <w:pPr>
        <w:pStyle w:val="Heading3"/>
        <w:spacing w:line="480" w:lineRule="auto"/>
      </w:pPr>
      <w:r>
        <w:t xml:space="preserve">4.3.1 Unit of Analysis</w:t>
      </w:r>
    </w:p>
    <w:p>
      <w:pPr>
        <w:pStyle w:val="FirstParagraph"/>
        <w:spacing w:line="480" w:lineRule="auto"/>
      </w:pPr>
      <w:r>
        <w:t xml:space="preserve">The first study observes the operator-period: one operator watched over a defined reporting window, one row per operator-window. Twenty-two such observations make up the panel. The operator-period is the right unit because the behavioral quantity of interest, the collision-avoidance maneuver rate, gets reported by operators at the fleet level over a window rather than at the level of an individual conjunction event, and because autonomy provenance is an operator-level property of the avoidance system rather than an attribute of any single maneuver. Aggregating to the operator-period also lines up with the granularity at which the authoritative sources publish maneuver counts, so the unit follows the record instead of forcing it into a finer cell than it can hold.</w:t>
      </w:r>
    </w:p>
    <w:bookmarkEnd w:id="87"/>
    <w:bookmarkStart w:id="88" w:name="Xab6186afdef925d04f440ad9348daea9894ced2"/>
    <w:p>
      <w:pPr>
        <w:pStyle w:val="Heading3"/>
        <w:spacing w:line="480" w:lineRule="auto"/>
      </w:pPr>
      <w:r>
        <w:t xml:space="preserve">4.3.2 Dependent Variable: Documented Maneuver Rate</w:t>
      </w:r>
    </w:p>
    <w:p>
      <w:pPr>
        <w:pStyle w:val="FirstParagraph"/>
        <w:spacing w:line="480" w:lineRule="auto"/>
      </w:pPr>
      <w:r>
        <w:t xml:space="preserve">The dependent variable is the documented collision-avoidance maneuver rate per satellite per year, built from primary records as the reported maneuver count for the window over the operational fleet size, annualized to a twelve-month basis. Its numerator is the count of avoidance maneuvers an operator documents for the window. Its denominator is the operational satellite count those maneuvers spread across.</w:t>
      </w:r>
    </w:p>
    <w:p>
      <w:pPr>
        <w:pStyle w:val="BodyText"/>
        <w:spacing w:line="480" w:lineRule="auto"/>
        <w:ind w:firstLine="720"/>
      </w:pPr>
      <w:r>
        <w:t xml:space="preserve">The annualization rescales semiannual or cumulative windows onto a common yearly footing, so operators reporting on different cadences line up. This per-satellite, per-year normalization is what lets a thousand-satellite constellation’s semiannual count and a three-satellite mission’s multi-year cumulative total meet on a single axis.</w:t>
      </w:r>
    </w:p>
    <w:p>
      <w:pPr>
        <w:pStyle w:val="BodyText"/>
        <w:spacing w:line="480" w:lineRule="auto"/>
        <w:ind w:firstLine="720"/>
      </w:pPr>
      <w:r>
        <w:t xml:space="preserve">The opaque-provenance observations feed the high end of the maneuver-rate distribution: the eight successive SpaceX Starlink semiannual reporting windows from the first half of 2021 through the second half of 2024. They come from SpaceX’s Federal Communications Commission semiannual filings as carried in the trade and technical press, specifically the American Institute of Aeronautics and Astronautics summary of the exponential growth in Starlink avoidance maneuvers</w:t>
      </w:r>
      <w:r>
        <w:t xml:space="preserve"> </w:t>
      </w:r>
      <w:hyperlink w:anchor="ref-14">
        <w:r>
          <w:rPr>
            <w:rStyle w:val="Hyperlink"/>
          </w:rPr>
          <w:t xml:space="preserve">[14]</w:t>
        </w:r>
      </w:hyperlink>
      <w:r>
        <w:t xml:space="preserve"> </w:t>
      </w:r>
      <w:r>
        <w:t xml:space="preserve">and the successive Space.com reports of the semiannual counts</w:t>
      </w:r>
      <w:r>
        <w:t xml:space="preserve"> </w:t>
      </w:r>
      <w:hyperlink w:anchor="ref-13">
        <w:r>
          <w:rPr>
            <w:rStyle w:val="Hyperlink"/>
          </w:rPr>
          <w:t xml:space="preserve">[13]</w:t>
        </w:r>
      </w:hyperlink>
      <w:r>
        <w:t xml:space="preserve">. Across these windows the documented maneuver count climbs from 2,219 to 144,404 as the fleet grows, the canonical public case of onboard autonomous avoidance running at constellation scale</w:t>
      </w:r>
      <w:r>
        <w:t xml:space="preserve"> </w:t>
      </w:r>
      <w:hyperlink w:anchor="ref-5">
        <w:r>
          <w:rPr>
            <w:rStyle w:val="Hyperlink"/>
          </w:rPr>
          <w:t xml:space="preserve">[5]</w:t>
        </w:r>
      </w:hyperlink>
      <w:r>
        <w:t xml:space="preserve">[6]. Each window is one operator-period row, the published count as numerator and the matching operational fleet size as denominator.</w:t>
      </w:r>
    </w:p>
    <w:p>
      <w:pPr>
        <w:pStyle w:val="BodyText"/>
        <w:spacing w:line="480" w:lineRule="auto"/>
        <w:ind w:firstLine="720"/>
      </w:pPr>
      <w:r>
        <w:t xml:space="preserve">The transparent-provenance observations feed the low end, ground-commanded and human-reviewed. They take in the European Space Agency operational fleet and individual Copernicus Sentinel spacecraft supported by the ESA Space Debris Office, drawn from ESA Space Safety documentation on collision avoidance</w:t>
      </w:r>
      <w:r>
        <w:t xml:space="preserve"> </w:t>
      </w:r>
      <w:hyperlink w:anchor="ref-15">
        <w:r>
          <w:rPr>
            <w:rStyle w:val="Hyperlink"/>
          </w:rPr>
          <w:t xml:space="preserve">[15]</w:t>
        </w:r>
      </w:hyperlink>
      <w:r>
        <w:t xml:space="preserve">; the NASA Earth Observing System missions Aqua, Aura, and Terra with their cumulative debris-avoidance-maneuver totals reported through the NASA Conjunction Assessment Risk Analysis program and the NASA Technical Reports Server record of the Aqua and Aura experience</w:t>
      </w:r>
      <w:r>
        <w:t xml:space="preserve"> </w:t>
      </w:r>
      <w:hyperlink w:anchor="ref-16">
        <w:r>
          <w:rPr>
            <w:rStyle w:val="Hyperlink"/>
          </w:rPr>
          <w:t xml:space="preserve">[16]</w:t>
        </w:r>
      </w:hyperlink>
      <w:r>
        <w:t xml:space="preserve">; the International Space Station debris-avoidance record from the NASA Space Station blog</w:t>
      </w:r>
      <w:r>
        <w:t xml:space="preserve"> </w:t>
      </w:r>
      <w:hyperlink w:anchor="ref-17">
        <w:r>
          <w:rPr>
            <w:rStyle w:val="Hyperlink"/>
          </w:rPr>
          <w:t xml:space="preserve">[17]</w:t>
        </w:r>
      </w:hyperlink>
      <w:r>
        <w:t xml:space="preserve">; and the higher-altitude commercial operators OneWeb and Iridium, whose published practice is operator-commanded avoidance</w:t>
      </w:r>
      <w:r>
        <w:t xml:space="preserve"> </w:t>
      </w:r>
      <w:hyperlink w:anchor="ref-4">
        <w:r>
          <w:rPr>
            <w:rStyle w:val="Hyperlink"/>
          </w:rPr>
          <w:t xml:space="preserve">[4]</w:t>
        </w:r>
      </w:hyperlink>
      <w:r>
        <w:t xml:space="preserve">. For each, the maneuver count comes from the cited agency or operator record and the fleet size from the same documentation, keeping the rule that numerator and denominator share a source wherever the source gives both.</w:t>
      </w:r>
    </w:p>
    <w:bookmarkEnd w:id="88"/>
    <w:bookmarkStart w:id="89" w:name="Xb5ba8e53c5489624c27c88edd5746b317536e99"/>
    <w:p>
      <w:pPr>
        <w:pStyle w:val="Heading3"/>
        <w:spacing w:line="480" w:lineRule="auto"/>
      </w:pPr>
      <w:r>
        <w:t xml:space="preserve">4.3.3 Treatment Variable: Binary Provenance Code</w:t>
      </w:r>
    </w:p>
    <w:p>
      <w:pPr>
        <w:pStyle w:val="FirstParagraph"/>
        <w:spacing w:line="480" w:lineRule="auto"/>
      </w:pPr>
      <w:r>
        <w:t xml:space="preserve">The treatment is a binary provenance indicator, set to one for ground-commanded, operator-reconstructable avoidance and zero for onboard autonomous or learned avoidance. Its value comes from operator documentation, not from behavior. That separation is essential, since the maneuver rate is the outcome and must not seep into the treatment. The decisive documentary anchor is the well-documented April 2021 episode in which OneWeb asked for a manual maneuver and asked SpaceX to switch off its autonomous avoidance software. That one episode nails both operators’ provenance to the public record: it marks SpaceX’s avoidance as autonomous onboard software, coded zero, and OneWeb’s as operator-commanded, coded one. The remaining transparent-provenance operators are coded from their published avoidance concepts, the ESA, NASA, and ISS records that describe ground-commanded, human-reviewed maneuver decisions</w:t>
      </w:r>
      <w:r>
        <w:t xml:space="preserve"> </w:t>
      </w:r>
      <w:hyperlink w:anchor="ref-4">
        <w:r>
          <w:rPr>
            <w:rStyle w:val="Hyperlink"/>
          </w:rPr>
          <w:t xml:space="preserve">[4]</w:t>
        </w:r>
      </w:hyperlink>
      <w:r>
        <w:t xml:space="preserve">[15][16][17]. Treating the autonomous and the ground-commanded cases as genuinely separate provenance classes leans conceptually on the autonomy literature describing onboard and distributed decision authority</w:t>
      </w:r>
      <w:r>
        <w:t xml:space="preserve"> </w:t>
      </w:r>
      <w:hyperlink w:anchor="ref-3">
        <w:r>
          <w:rPr>
            <w:rStyle w:val="Hyperlink"/>
          </w:rPr>
          <w:t xml:space="preserve">[3]</w:t>
        </w:r>
      </w:hyperlink>
      <w:r>
        <w:t xml:space="preserve">[5][6].</w:t>
      </w:r>
    </w:p>
    <w:bookmarkEnd w:id="89"/>
    <w:bookmarkStart w:id="90" w:name="control-variables"/>
    <w:p>
      <w:pPr>
        <w:pStyle w:val="Heading3"/>
        <w:spacing w:line="480" w:lineRule="auto"/>
      </w:pPr>
      <w:r>
        <w:t xml:space="preserve">4.3.4 Control Variables</w:t>
      </w:r>
    </w:p>
    <w:p>
      <w:pPr>
        <w:pStyle w:val="FirstParagraph"/>
        <w:spacing w:line="480" w:lineRule="auto"/>
      </w:pPr>
      <w:r>
        <w:t xml:space="preserve">Two controls enter the specification, each built to catch a confounder both governance and engineering expect to move the maneuver rate independently of provenance. The first is the natural logarithm of operational fleet size, taken in logs because the sample’s fleet sizes span several orders of magnitude, from single-digit science missions to constellations in the thousands, and because an added satellite’s marginal effect on the rate should run multiplicative rather than additive. The second is approximate mean operating altitude in kilometers, entered as a stand-in for orbital-regime debris density. Altitude is the regime variable the conjunction-metrics literature would expect to drive maneuver frequency, since lower and more congested orbits throw more close approaches per satellite-year</w:t>
      </w:r>
      <w:r>
        <w:t xml:space="preserve"> </w:t>
      </w:r>
      <w:hyperlink w:anchor="ref-2">
        <w:r>
          <w:rPr>
            <w:rStyle w:val="Hyperlink"/>
          </w:rPr>
          <w:t xml:space="preserve">[2]</w:t>
        </w:r>
      </w:hyperlink>
      <w:r>
        <w:t xml:space="preserve">[4]. Both controls are read from the same operator and mission documentation that gives the rate, so they carry the same provenance discipline as the dependent variable.</w:t>
      </w:r>
    </w:p>
    <w:bookmarkEnd w:id="90"/>
    <w:bookmarkStart w:id="91" w:name="documented-limitations-of-the-panel"/>
    <w:p>
      <w:pPr>
        <w:pStyle w:val="Heading3"/>
        <w:spacing w:line="480" w:lineRule="auto"/>
      </w:pPr>
      <w:r>
        <w:t xml:space="preserve">4.3.5 Documented Limitations of the Panel</w:t>
      </w:r>
    </w:p>
    <w:p>
      <w:pPr>
        <w:pStyle w:val="FirstParagraph"/>
        <w:spacing w:line="480" w:lineRule="auto"/>
      </w:pPr>
      <w:r>
        <w:t xml:space="preserve">Three of the twenty-two cells carry an illustrative maneuver count or an interpolated fleet figure where the exact period value went unpublished on its own. Those cells are flagged in the source column of the data file and run to fewer than fifteen percent of the sample. No interpolated cell drives the treatment coding, since provenance is set from concept documentation rather than from counts. The flagging stays rather than being smoothed over, because the dissertation’s credibility rests on the reader seeing exactly which cells are exact and which are approximate. One further structural feature of the panel, taken up at length in the companion analysis, is that in the public record the only operator running opaque onboard avoidance at constellation scale is also the only operator with a fleet in the thousands, so provenance and log fleet size come out nearly collinear by construction. This is a property of the available data, not of the coding, and the chapter logs it here as a measurement fact so the eventual estimates get read in its light.</w:t>
      </w:r>
    </w:p>
    <w:bookmarkEnd w:id="91"/>
    <w:bookmarkEnd w:id="92"/>
    <w:bookmarkStart w:id="98" w:name="X44c5216028c629da2bb0664735c993358cadaa5"/>
    <w:p>
      <w:pPr>
        <w:pStyle w:val="Heading2"/>
        <w:spacing w:line="480" w:lineRule="auto"/>
      </w:pPr>
      <w:r>
        <w:t xml:space="preserve">4.4 Dataset Two: The FCC Authorization Survival Record</w:t>
      </w:r>
    </w:p>
    <w:bookmarkStart w:id="93" w:name="unit-of-analysis-1"/>
    <w:p>
      <w:pPr>
        <w:pStyle w:val="Heading3"/>
        <w:spacing w:line="480" w:lineRule="auto"/>
      </w:pPr>
      <w:r>
        <w:t xml:space="preserve">4.4.1 Unit of Analysis</w:t>
      </w:r>
    </w:p>
    <w:p>
      <w:pPr>
        <w:pStyle w:val="FirstParagraph"/>
        <w:spacing w:line="480" w:lineRule="auto"/>
      </w:pPr>
      <w:r>
        <w:t xml:space="preserve">The second study observes the satellite-system authorization request filed with the Federal Communications Commission for a non-geostationary orbit system or a supplemental-coverage-from-space system. Twenty-four such requests make up the dataset. The authorization request is the right unit because the question is administrative: how long the regulator takes to grant a system, the system being the object the regulator acts on. The licensing interval is one of the few governance quantities that is at once consequential and cleanly observable, since it sets when capital can deploy, when spectrum priority attaches, and when a planned constellation turns into a real fixture of the orbital environment. Each request is watched from filing to either grant or the observation cutoff, which makes the unit a duration-bearing object suited to survival analysis.</w:t>
      </w:r>
    </w:p>
    <w:bookmarkEnd w:id="93"/>
    <w:bookmarkStart w:id="94" w:name="survival-time-and-censoring"/>
    <w:p>
      <w:pPr>
        <w:pStyle w:val="Heading3"/>
        <w:spacing w:line="480" w:lineRule="auto"/>
      </w:pPr>
      <w:r>
        <w:t xml:space="preserve">4.4.2 Survival Time and Censoring</w:t>
      </w:r>
    </w:p>
    <w:p>
      <w:pPr>
        <w:pStyle w:val="FirstParagraph"/>
        <w:spacing w:line="480" w:lineRule="auto"/>
      </w:pPr>
      <w:r>
        <w:t xml:space="preserve">The survival time,</w:t>
      </w:r>
      <w:r>
        <w:t xml:space="preserve"> </w:t>
      </w:r>
      <w:r>
        <w:rPr>
          <w:rStyle w:val="VerbatimChar"/>
        </w:rPr>
        <w:t xml:space="preserve">duration_months</w:t>
      </w:r>
      <w:r>
        <w:t xml:space="preserve">, is the interval in months from the application or petition filing date to the grant or market-access date. It is built from documented FCC orders, public notices, International Bureau Filing System file records, and confirming trade-press coverage, each row tracing its filing and grant dates to a named FCC document or operator record. The sample runs across filings from 2010 through 2024 and grants from 2012 through 2026. Seventeen of the twenty-four systems had been granted by the observation cutoff of June 1, 2026, and enter the analysis as events, each contributing a completed duration. The other seven, filed mostly into the 2021 second processing round and still pending at the cutoff, enter as right-censored observations measured from filing to cutoff. Treating the pending systems as censored rather than dropping them is what makes the design a survival analysis rather than a regression on completed cases, and it clears the survivorship bias that would follow from analyzing only the systems that happened to clear. The Kuiper authorization order is among the authoritative FCC records anchoring the grant-date measurement for systems in this class</w:t>
      </w:r>
      <w:r>
        <w:t xml:space="preserve"> </w:t>
      </w:r>
      <w:hyperlink w:anchor="ref-20">
        <w:r>
          <w:rPr>
            <w:rStyle w:val="Hyperlink"/>
          </w:rPr>
          <w:t xml:space="preserve">[20]</w:t>
        </w:r>
      </w:hyperlink>
      <w:r>
        <w:t xml:space="preserve">.</w:t>
      </w:r>
    </w:p>
    <w:bookmarkEnd w:id="94"/>
    <w:bookmarkStart w:id="95" w:name="X9502df5a35499e1d353ea6a0af0cfac516a6053"/>
    <w:p>
      <w:pPr>
        <w:pStyle w:val="Heading3"/>
        <w:spacing w:line="480" w:lineRule="auto"/>
      </w:pPr>
      <w:r>
        <w:t xml:space="preserve">4.4.3 Treatment Variable: Autonomy-Intensive Provenance Proxy</w:t>
      </w:r>
    </w:p>
    <w:p>
      <w:pPr>
        <w:pStyle w:val="FirstParagraph"/>
        <w:spacing w:line="480" w:lineRule="auto"/>
      </w:pPr>
      <w:r>
        <w:t xml:space="preserve">The treatment,</w:t>
      </w:r>
      <w:r>
        <w:t xml:space="preserve"> </w:t>
      </w:r>
      <w:r>
        <w:rPr>
          <w:rStyle w:val="VerbatimChar"/>
        </w:rPr>
        <w:t xml:space="preserve">autonomy_intensive</w:t>
      </w:r>
      <w:r>
        <w:t xml:space="preserve">, is a binary provenance proxy coded one when a system’s documented operating concept leans on large-scale onboard or distributed autonomous collision avoidance and tasking, and coded zero when the system runs at a scale compatible with human-supervised maneuver decisions. The coding rubric draws its line at operational scale and concept rather than at a verified audit of decision logic. Mega-constellations and direct-to-device supplemental-coverage systems whose authorized satellite counts rule out per-event human maneuver authoring are coded one; smaller mobile-satellite-service and medium-Earth-orbit systems that keep human-supervised avoidance are coded zero. Nine systems come out autonomy-intensive and fifteen do not. The rubric is anchored conceptually in the autonomy literature that separates machine-decided from human-supervised avoidance</w:t>
      </w:r>
      <w:r>
        <w:t xml:space="preserve"> </w:t>
      </w:r>
      <w:hyperlink w:anchor="ref-3">
        <w:r>
          <w:rPr>
            <w:rStyle w:val="Hyperlink"/>
          </w:rPr>
          <w:t xml:space="preserve">[3]</w:t>
        </w:r>
      </w:hyperlink>
      <w:r>
        <w:t xml:space="preserve">[5][6], and the scale-and-concept basis for the cut is deliberate: it captures the regulator-facing split between a system the Commission can expect to be human-supervised and one whose scale rules that supervision out, which is the split that matters to the supervisory-burden mechanism the study tests.</w:t>
      </w:r>
    </w:p>
    <w:p>
      <w:pPr>
        <w:pStyle w:val="BodyText"/>
        <w:spacing w:line="480" w:lineRule="auto"/>
        <w:ind w:firstLine="720"/>
      </w:pPr>
      <w:r>
        <w:t xml:space="preserve">This proxy runs coarser than the transparent-versus-opaque rubric the prospectus ultimately envisions. It captures the regulator-facing split rather than the finer auditability one, a property the chapter logs outright because reading the eventual hazard ratio depends on knowing exactly what the treatment does and does not encode. The coarseness is a deliberate fit to the administrative record, which documents operating concept and authorized scale far more reliably than it documents any one system’s internal decision logic.</w:t>
      </w:r>
    </w:p>
    <w:bookmarkEnd w:id="95"/>
    <w:bookmarkStart w:id="96" w:name="control-variables-1"/>
    <w:p>
      <w:pPr>
        <w:pStyle w:val="Heading3"/>
        <w:spacing w:line="480" w:lineRule="auto"/>
      </w:pPr>
      <w:r>
        <w:t xml:space="preserve">4.4.4 Control Variables</w:t>
      </w:r>
    </w:p>
    <w:p>
      <w:pPr>
        <w:pStyle w:val="FirstParagraph"/>
        <w:spacing w:line="480" w:lineRule="auto"/>
      </w:pPr>
      <w:r>
        <w:t xml:space="preserve">Two controls travel with the treatment. The first,</w:t>
      </w:r>
      <w:r>
        <w:t xml:space="preserve"> </w:t>
      </w:r>
      <w:r>
        <w:rPr>
          <w:rStyle w:val="VerbatimChar"/>
        </w:rPr>
        <w:t xml:space="preserve">log_satellites</w:t>
      </w:r>
      <w:r>
        <w:t xml:space="preserve">, is the natural logarithm of the authorized or requested satellite count, entered as a measure of system complexity and in logs for the same order-of-magnitude reasoning that governs the panel’s fleet-size control. The second,</w:t>
      </w:r>
      <w:r>
        <w:t xml:space="preserve"> </w:t>
      </w:r>
      <w:r>
        <w:rPr>
          <w:rStyle w:val="VerbatimChar"/>
        </w:rPr>
        <w:t xml:space="preserve">processing_round</w:t>
      </w:r>
      <w:r>
        <w:t xml:space="preserve">, is an indicator coded one when a system files into a competitive FCC non-geostationary processing round. That processing-round control is what lets the study separate the technology inside a system from the coordination architecture around it. The Commission handles most large non-geostationary applications in competitive rounds with collective cut-off dates that tie every applicant in a round to the slowest shared coordination step, a procedural feature documented in the registration-practice and large-constellation literature</w:t>
      </w:r>
      <w:r>
        <w:t xml:space="preserve"> </w:t>
      </w:r>
      <w:hyperlink w:anchor="ref-2">
        <w:r>
          <w:rPr>
            <w:rStyle w:val="Hyperlink"/>
          </w:rPr>
          <w:t xml:space="preserve">[2]</w:t>
        </w:r>
      </w:hyperlink>
      <w:r>
        <w:t xml:space="preserve">[7]. Coding processing-round position as an explicit covariate lets the analysis ask whether delay runs on autonomy provenance or on procedural position, which is the central identification question of the second study.</w:t>
      </w:r>
    </w:p>
    <w:bookmarkEnd w:id="96"/>
    <w:bookmarkStart w:id="97" w:name="X029747e54c8b5fb470ab67a67f0351d1cf0ad1f"/>
    <w:p>
      <w:pPr>
        <w:pStyle w:val="Heading3"/>
        <w:spacing w:line="480" w:lineRule="auto"/>
      </w:pPr>
      <w:r>
        <w:t xml:space="preserve">4.4.5 Documented Limitations of the Survival Record</w:t>
      </w:r>
    </w:p>
    <w:p>
      <w:pPr>
        <w:pStyle w:val="FirstParagraph"/>
        <w:spacing w:line="480" w:lineRule="auto"/>
      </w:pPr>
      <w:r>
        <w:t xml:space="preserve">Fewer than one row in seven carries an illustrative marker where an exact day-level date or a single authorized satellite count was genuinely out of reach in the public record. Those fields are flagged in the source column, and none of them touches the treatment coding, since provenance is set from documented operating concept and authorized scale rather than from the precise day of filing or grant. The sample is small and United-States-specific, twenty-four systems with seventeen events, which fences the precision of the autonomy coefficient and the external validity of any result to the United States licensing record. These are measurement facts rather than analytic choices, and the chapter logs them so the later estimates get read inside the bounds the data impose.</w:t>
      </w:r>
    </w:p>
    <w:bookmarkEnd w:id="97"/>
    <w:bookmarkEnd w:id="98"/>
    <w:bookmarkStart w:id="99" w:name="X106df2d12599d59999c2d6e50b0a45536c07e0f"/>
    <w:p>
      <w:pPr>
        <w:pStyle w:val="Heading2"/>
        <w:spacing w:line="480" w:lineRule="auto"/>
      </w:pPr>
      <w:r>
        <w:t xml:space="preserve">4.5 Authoritative Sources and the Provenance of the Provenance Coding</w:t>
      </w:r>
    </w:p>
    <w:p>
      <w:pPr>
        <w:pStyle w:val="FirstParagraph"/>
        <w:spacing w:line="480" w:lineRule="auto"/>
      </w:pPr>
      <w:r>
        <w:t xml:space="preserve">A provenance study earns credibility only when the provenance of its own coding is documented too. Three classes of authoritative source feed the two datasets. The first is operator and agency reporting: SpaceX FCC semiannual filings as carried in the AIAA and Space.com coverage</w:t>
      </w:r>
      <w:r>
        <w:t xml:space="preserve"> </w:t>
      </w:r>
      <w:hyperlink w:anchor="ref-13">
        <w:r>
          <w:rPr>
            <w:rStyle w:val="Hyperlink"/>
          </w:rPr>
          <w:t xml:space="preserve">[13]</w:t>
        </w:r>
      </w:hyperlink>
      <w:r>
        <w:t xml:space="preserve">[14], ESA Space Safety documentation</w:t>
      </w:r>
      <w:r>
        <w:t xml:space="preserve"> </w:t>
      </w:r>
      <w:hyperlink w:anchor="ref-15">
        <w:r>
          <w:rPr>
            <w:rStyle w:val="Hyperlink"/>
          </w:rPr>
          <w:t xml:space="preserve">[15]</w:t>
        </w:r>
      </w:hyperlink>
      <w:r>
        <w:t xml:space="preserve">, NASA Conjunction Assessment Risk Analysis and Technical Reports Server records</w:t>
      </w:r>
      <w:r>
        <w:t xml:space="preserve"> </w:t>
      </w:r>
      <w:hyperlink w:anchor="ref-16">
        <w:r>
          <w:rPr>
            <w:rStyle w:val="Hyperlink"/>
          </w:rPr>
          <w:t xml:space="preserve">[16]</w:t>
        </w:r>
      </w:hyperlink>
      <w:r>
        <w:t xml:space="preserve">, and the NASA Space Station debris-avoidance record</w:t>
      </w:r>
      <w:r>
        <w:t xml:space="preserve"> </w:t>
      </w:r>
      <w:hyperlink w:anchor="ref-17">
        <w:r>
          <w:rPr>
            <w:rStyle w:val="Hyperlink"/>
          </w:rPr>
          <w:t xml:space="preserve">[17]</w:t>
        </w:r>
      </w:hyperlink>
      <w:r>
        <w:t xml:space="preserve">. The second is regulatory documentation: FCC orders, public notices, International Bureau Filing System records, and the Kuiper authorization order</w:t>
      </w:r>
      <w:r>
        <w:t xml:space="preserve"> </w:t>
      </w:r>
      <w:hyperlink w:anchor="ref-20">
        <w:r>
          <w:rPr>
            <w:rStyle w:val="Hyperlink"/>
          </w:rPr>
          <w:t xml:space="preserve">[20]</w:t>
        </w:r>
      </w:hyperlink>
      <w:r>
        <w:t xml:space="preserve">, which fix the filing and grant dates and the authorized satellite counts. The third is the technical and institutional literature, which supplies the conceptual basis for the provenance classes and the controls: the conjunction-metrics and avoidance-optimization work</w:t>
      </w:r>
      <w:r>
        <w:t xml:space="preserve"> </w:t>
      </w:r>
      <w:hyperlink w:anchor="ref-1">
        <w:r>
          <w:rPr>
            <w:rStyle w:val="Hyperlink"/>
          </w:rPr>
          <w:t xml:space="preserve">[1]</w:t>
        </w:r>
      </w:hyperlink>
      <w:r>
        <w:t xml:space="preserve">[2], the autonomy descriptions spanning model-based reasoners</w:t>
      </w:r>
      <w:r>
        <w:t xml:space="preserve"> </w:t>
      </w:r>
      <w:hyperlink w:anchor="ref-3">
        <w:r>
          <w:rPr>
            <w:rStyle w:val="Hyperlink"/>
          </w:rPr>
          <w:t xml:space="preserve">[3]</w:t>
        </w:r>
      </w:hyperlink>
      <w:r>
        <w:t xml:space="preserve">, distributed mission autonomy</w:t>
      </w:r>
      <w:r>
        <w:t xml:space="preserve"> </w:t>
      </w:r>
      <w:hyperlink w:anchor="ref-5">
        <w:r>
          <w:rPr>
            <w:rStyle w:val="Hyperlink"/>
          </w:rPr>
          <w:t xml:space="preserve">[5]</w:t>
        </w:r>
      </w:hyperlink>
      <w:r>
        <w:t xml:space="preserve">, and learned schedulers</w:t>
      </w:r>
      <w:r>
        <w:t xml:space="preserve"> </w:t>
      </w:r>
      <w:hyperlink w:anchor="ref-6">
        <w:r>
          <w:rPr>
            <w:rStyle w:val="Hyperlink"/>
          </w:rPr>
          <w:t xml:space="preserve">[6]</w:t>
        </w:r>
      </w:hyperlink>
      <w:r>
        <w:t xml:space="preserve">, the comparative public-SSA-service analysis that grounds the operator linkage and the cross-service coverage caveat</w:t>
      </w:r>
      <w:r>
        <w:t xml:space="preserve"> </w:t>
      </w:r>
      <w:hyperlink w:anchor="ref-4">
        <w:r>
          <w:rPr>
            <w:rStyle w:val="Hyperlink"/>
          </w:rPr>
          <w:t xml:space="preserve">[4]</w:t>
        </w:r>
      </w:hyperlink>
      <w:r>
        <w:t xml:space="preserve">, and the space-traffic-management and registration literature that documents the processing-round and coordination architecture</w:t>
      </w:r>
      <w:r>
        <w:t xml:space="preserve"> </w:t>
      </w:r>
      <w:hyperlink w:anchor="ref-2">
        <w:r>
          <w:rPr>
            <w:rStyle w:val="Hyperlink"/>
          </w:rPr>
          <w:t xml:space="preserve">[2]</w:t>
        </w:r>
      </w:hyperlink>
      <w:r>
        <w:t xml:space="preserve">[7].</w:t>
      </w:r>
    </w:p>
    <w:p>
      <w:pPr>
        <w:pStyle w:val="BodyText"/>
        <w:spacing w:line="480" w:lineRule="auto"/>
        <w:ind w:firstLine="720"/>
      </w:pPr>
      <w:r>
        <w:t xml:space="preserve">The dissertation also sets these data against the broader autonomy-and-governance corpus, taking in system-of-systems approaches to traffic-management autonomy and policy co-design</w:t>
      </w:r>
      <w:r>
        <w:t xml:space="preserve"> </w:t>
      </w:r>
      <w:hyperlink w:anchor="ref-21">
        <w:r>
          <w:rPr>
            <w:rStyle w:val="Hyperlink"/>
          </w:rPr>
          <w:t xml:space="preserve">[21]</w:t>
        </w:r>
      </w:hyperlink>
      <w:r>
        <w:t xml:space="preserve">, satellite-debris-avoidance autonomy testbeds</w:t>
      </w:r>
      <w:r>
        <w:t xml:space="preserve"> </w:t>
      </w:r>
      <w:hyperlink w:anchor="ref-23">
        <w:r>
          <w:rPr>
            <w:rStyle w:val="Hyperlink"/>
          </w:rPr>
          <w:t xml:space="preserve">[23]</w:t>
        </w:r>
      </w:hyperlink>
      <w:r>
        <w:t xml:space="preserve">, operator-confidence assessment for automated control systems</w:t>
      </w:r>
      <w:r>
        <w:t xml:space="preserve"> </w:t>
      </w:r>
      <w:hyperlink w:anchor="ref-25">
        <w:r>
          <w:rPr>
            <w:rStyle w:val="Hyperlink"/>
          </w:rPr>
          <w:t xml:space="preserve">[25]</w:t>
        </w:r>
      </w:hyperlink>
      <w:r>
        <w:t xml:space="preserve">, and the data-driven governance perspective on protecting AI-based space systems</w:t>
      </w:r>
      <w:r>
        <w:t xml:space="preserve"> </w:t>
      </w:r>
      <w:hyperlink w:anchor="ref-28">
        <w:r>
          <w:rPr>
            <w:rStyle w:val="Hyperlink"/>
          </w:rPr>
          <w:t xml:space="preserve">[28]</w:t>
        </w:r>
      </w:hyperlink>
      <w:r>
        <w:t xml:space="preserve">. None of these supplies rows in either dataset. They establish that the provenance construct the data operationalize is the same construct the field treats as governance-relevant, which is the warrant for measuring it at all.</w:t>
      </w:r>
    </w:p>
    <w:bookmarkEnd w:id="99"/>
    <w:bookmarkStart w:id="100" w:name="X129d2eaffbe2fa30605f128bb8a25f1ab74ea2e"/>
    <w:p>
      <w:pPr>
        <w:pStyle w:val="Heading2"/>
        <w:spacing w:line="480" w:lineRule="auto"/>
      </w:pPr>
      <w:r>
        <w:t xml:space="preserve">4.6 Measurement Properties Common to Both Datasets</w:t>
      </w:r>
    </w:p>
    <w:p>
      <w:pPr>
        <w:pStyle w:val="FirstParagraph"/>
        <w:spacing w:line="480" w:lineRule="auto"/>
      </w:pPr>
      <w:r>
        <w:t xml:space="preserve">Three measurement properties hold across both datasets and bear straight on the validity of the eventual estimates. The first is treatment-outcome separation. In the panel, provenance is coded from concept documentation while the rate is measured from counts, so the treatment cannot mechanically echo the outcome; in the survival record, provenance is coded from operating concept and authorized scale while the duration is measured from filing and grant dates, again keeping the two apart. The second is the explicit handling of coverage incompleteness. Public conjunction, screening, and maneuver-count coverage runs uneven across operators and services and differs between the United States and European systems</w:t>
      </w:r>
      <w:r>
        <w:t xml:space="preserve"> </w:t>
      </w:r>
      <w:hyperlink w:anchor="ref-4">
        <w:r>
          <w:rPr>
            <w:rStyle w:val="Hyperlink"/>
          </w:rPr>
          <w:t xml:space="preserve">[4]</w:t>
        </w:r>
      </w:hyperlink>
      <w:r>
        <w:t xml:space="preserve">, so neither dataset claims to stand for all on-orbit operations; external validity is fenced to the public-reporting and public-licensing populations respectively. The third is the auditability of approximation. Both datasets flag interpolated or illustrative cells in their source columns, hold those cells below the stated thresholds, and make sure no approximated cell drives a treatment code, so a reader can reconstruct exactly how much of each dataset is exact.</w:t>
      </w:r>
    </w:p>
    <w:p>
      <w:pPr>
        <w:pStyle w:val="BodyText"/>
        <w:spacing w:line="480" w:lineRule="auto"/>
        <w:ind w:firstLine="720"/>
      </w:pPr>
      <w:r>
        <w:t xml:space="preserve">One final shared property is the deliberate minimalism of the variable set. Each dataset carries one treatment, one outcome, and two controls, matching the dissertation’s commitment to recovering a single transparent coefficient rather than an elaborate model whose identification is hard to inspect. So the measurement design runs continuous with the estimation design: a small, fully documented set of variables, each traceable to a named primary record, assembled so the one coefficient the dissertation reports can be read, defended, and replicated. The data chapters that follow build their estimators straight on these constructions, and the limitations logged here, the provenance-scale collinearity in the panel and the small-sample imprecision in the survival record, carry forward as binding interpretive constraints rather than getting rediscovered later.</w:t>
      </w:r>
    </w:p>
    <w:bookmarkEnd w:id="100"/>
    <w:bookmarkEnd w:id="101"/>
    <w:bookmarkStart w:id="116" w:name="chapter-5.-methods-and-identification"/>
    <w:p>
      <w:pPr>
        <w:pStyle w:val="Heading1"/>
        <w:spacing w:line="480" w:lineRule="auto"/>
      </w:pPr>
      <w:r>
        <w:t xml:space="preserve">Chapter 5. Methods and Identification</w:t>
      </w:r>
    </w:p>
    <w:p>
      <w:pPr>
        <w:pStyle w:val="FirstParagraph"/>
        <w:spacing w:line="480" w:lineRule="auto"/>
      </w:pPr>
      <w:r>
        <w:t xml:space="preserve">This chapter lays out the empirical machinery of the dissertation. It fixes the estimators that recover the provenance coefficient in each of the three studies that make up the body of the work, spells out the identification strategy tying those estimators to the causal quantity the prospectus names, and lists the threats to validity together with the explicit means that bound each. One commitment governs, carried over from the prospectus and honored in both completed companion studies: minimalism. Each study recovers one transparent coefficient on a binary autonomy-provenance treatment, reports it under a disciplined control path, and takes the movement of that coefficient as the object of inference rather than the build-out of a high-dimensional model. The chapter is arranged so a reader can reconstruct exactly why a given estimator suits a given outcome, what variation identifies the treatment effect in each design, and how far each estimate can honestly be carried.</w:t>
      </w:r>
    </w:p>
    <w:bookmarkStart w:id="102" w:name="X74e02540063dd0a67bf0d90702682167f5b8a0e"/>
    <w:p>
      <w:pPr>
        <w:pStyle w:val="Heading2"/>
        <w:spacing w:line="480" w:lineRule="auto"/>
      </w:pPr>
      <w:r>
        <w:t xml:space="preserve">5.1 The estimands and the unit of observation</w:t>
      </w:r>
    </w:p>
    <w:p>
      <w:pPr>
        <w:pStyle w:val="FirstParagraph"/>
        <w:spacing w:line="480" w:lineRule="auto"/>
      </w:pPr>
      <w:r>
        <w:t xml:space="preserve">The dissertation does not fit one coefficient on one outcome. It recovers the provenance coefficient on three distinct dispositions of the on-orbit operation, each a separate accountable surface in the governance literature. The treatment holds constant across all three: a binary sort of the maneuvering or applicant system’s autonomy stack into transparent-and-operator-reconstructable versus opaque-and-machine-decided, coded from primary mission and technical documentation against a written rubric</w:t>
      </w:r>
      <w:r>
        <w:t xml:space="preserve"> </w:t>
      </w:r>
      <w:hyperlink w:anchor="ref-3">
        <w:r>
          <w:rPr>
            <w:rStyle w:val="Hyperlink"/>
          </w:rPr>
          <w:t xml:space="preserve">[3]</w:t>
        </w:r>
      </w:hyperlink>
      <w:r>
        <w:t xml:space="preserve">[5][6].</w:t>
      </w:r>
    </w:p>
    <w:p>
      <w:pPr>
        <w:pStyle w:val="BodyText"/>
        <w:spacing w:line="480" w:lineRule="auto"/>
        <w:ind w:firstLine="720"/>
      </w:pPr>
      <w:r>
        <w:t xml:space="preserve">What shifts is the outcome and, with it, the fitting estimator and unit of observation.</w:t>
      </w:r>
    </w:p>
    <w:p>
      <w:pPr>
        <w:pStyle w:val="BodyText"/>
        <w:spacing w:line="480" w:lineRule="auto"/>
        <w:ind w:firstLine="720"/>
      </w:pPr>
      <w:r>
        <w:t xml:space="preserve">The first outcome is operational tempo. Its unit is the operator-period, and its estimand is the conditional difference in the documented collision-avoidance maneuver rate per satellite-year that goes with transparent versus opaque provenance, holding constellation scale and orbital altitude fixed. The second outcome is regulatory speed. Its unit is the satellite-system authorization request, and its estimand is the multiplicative change in the instantaneous hazard of authorization that goes with autonomy-intensive provenance, holding system complexity and procedural position fixed. The third outcome, which the prospectus names as the ultimate object and which this chapter treats as the design the dissertation builds toward, is maneuver disposition at the conjunction-event level: the conditional probability that an avoidance maneuver ends up executed and documented as a screenable, reconstructable event</w:t>
      </w:r>
      <w:r>
        <w:t xml:space="preserve"> </w:t>
      </w:r>
      <w:hyperlink w:anchor="ref-4">
        <w:r>
          <w:rPr>
            <w:rStyle w:val="Hyperlink"/>
          </w:rPr>
          <w:t xml:space="preserve">[4]</w:t>
        </w:r>
      </w:hyperlink>
      <w:r>
        <w:t xml:space="preserve">. The three estimands run deliberately heterogeneous in their units, because the accountable act they interrogate shows up in the public record at three different granularities, and one pooled regression would jam incompatible observations into a common frame and blur exactly the distinctions the study exists to draw.</w:t>
      </w:r>
    </w:p>
    <w:bookmarkEnd w:id="102"/>
    <w:bookmarkStart w:id="106" w:name="the-estimators"/>
    <w:p>
      <w:pPr>
        <w:pStyle w:val="Heading2"/>
        <w:spacing w:line="480" w:lineRule="auto"/>
      </w:pPr>
      <w:r>
        <w:t xml:space="preserve">5.2 The estimators</w:t>
      </w:r>
    </w:p>
    <w:bookmarkStart w:id="103" w:name="operator-panel-ordinary-least-squares"/>
    <w:p>
      <w:pPr>
        <w:pStyle w:val="Heading3"/>
        <w:spacing w:line="480" w:lineRule="auto"/>
      </w:pPr>
      <w:r>
        <w:t xml:space="preserve">5.2.1 Operator-panel ordinary least squares</w:t>
      </w:r>
    </w:p>
    <w:p>
      <w:pPr>
        <w:pStyle w:val="FirstParagraph"/>
        <w:spacing w:line="480" w:lineRule="auto"/>
      </w:pPr>
      <w:r>
        <w:t xml:space="preserve">For the maneuver-tempo outcome the estimator is ordinary least squares with heteroskedasticity-robust standard errors, fitted to a hand-built operator-period panel. The per-satellite maneuver rate goes on the left, regressed on the provenance indicator and two confounders both the engineering and the institutional literatures expect to matter, the natural logarithm of operational fleet size and approximate mean operating altitude as a stand-in for orbital-regime debris density</w:t>
      </w:r>
      <w:r>
        <w:t xml:space="preserve"> </w:t>
      </w:r>
      <w:hyperlink w:anchor="ref-2">
        <w:r>
          <w:rPr>
            <w:rStyle w:val="Hyperlink"/>
          </w:rPr>
          <w:t xml:space="preserve">[2]</w:t>
        </w:r>
      </w:hyperlink>
      <w:r>
        <w:t xml:space="preserve">[4]. The specification appears in three forms, so the reader watches the coefficient behave rather than receiving one terminal number: the bivariate provenance estimate, the fully controlled estimate, and the correlation structure that ties them. The inferential target is the contrast between the raw and conditional provenance estimates, not either one alone. This is the standard cliometric move for peeling a structural driver off a label that rides with it, and in the completed study it is exactly this contrast that carries the result. Picking a linear-probability-adjacent rate model over a more elaborate count specification is deliberate: with a small operator-period panel the marginal interpretability of a transparent linear coefficient beats the efficiency a count model might buy, and the linear form makes the collinearity between provenance and scale legible instead of hiding it inside a link function.</w:t>
      </w:r>
    </w:p>
    <w:bookmarkEnd w:id="103"/>
    <w:bookmarkStart w:id="104" w:name="X3992223f30372d4c59044dfb65b909481919694"/>
    <w:p>
      <w:pPr>
        <w:pStyle w:val="Heading3"/>
        <w:spacing w:line="480" w:lineRule="auto"/>
      </w:pPr>
      <w:r>
        <w:t xml:space="preserve">5.2.2 Cox proportional-hazards survival estimation</w:t>
      </w:r>
    </w:p>
    <w:p>
      <w:pPr>
        <w:pStyle w:val="FirstParagraph"/>
        <w:spacing w:line="480" w:lineRule="auto"/>
      </w:pPr>
      <w:r>
        <w:t xml:space="preserve">For the regulatory-speed outcome the estimator is a Cox proportional-hazards model fitted by partial-likelihood maximization with Wald standard errors. The hazard of authorization at elapsed time t runs on autonomy provenance and the two controls, log authorized satellite count and a competitive-processing-round indicator, through a multiplicative semiparametric specification. Three properties of the Cox form commend it here. It takes right-censoring directly, so systems still pending at the observation cutoff contribute the information that they had not been granted by a known elapsed time rather than getting dropped, which clears the survivorship bias that would follow from analyzing only completed cases. It leaves the baseline hazard unspecified, so the estimate does not hang on assuming a shape for how authorization probability evolves across the months of review. And it reports each covariate as a hazard ratio, the multiplicative change in the instantaneous probability of authorization, the natural quantity for a question about whether a system trait speeds or slows the regulator. The treatment coefficient is the one on the autonomy-intensive indicator; a hazard ratio below one backs the supervisory-burden hypothesis, a ratio indistinguishable from one backs the null, and a ratio above one runs against the motivating intuition.</w:t>
      </w:r>
    </w:p>
    <w:bookmarkEnd w:id="104"/>
    <w:bookmarkStart w:id="105" w:name="the-conjunction-event-disposition-model"/>
    <w:p>
      <w:pPr>
        <w:pStyle w:val="Heading3"/>
        <w:spacing w:line="480" w:lineRule="auto"/>
      </w:pPr>
      <w:r>
        <w:t xml:space="preserve">5.2.3 The conjunction-event disposition model</w:t>
      </w:r>
    </w:p>
    <w:p>
      <w:pPr>
        <w:pStyle w:val="FirstParagraph"/>
        <w:spacing w:line="480" w:lineRule="auto"/>
      </w:pPr>
      <w:r>
        <w:t xml:space="preserve">For the maneuver-disposition outcome the estimator is a panel linear-probability and logistic specification at the conjunction-maneuver event level, carrying operator and orbital-regime fixed effects and conjunction-geometry controls, namely miss distance, probability of collision, relative velocity, and regime, drawn from standard conjunction metrics</w:t>
      </w:r>
      <w:r>
        <w:t xml:space="preserve"> </w:t>
      </w:r>
      <w:hyperlink w:anchor="ref-2">
        <w:r>
          <w:rPr>
            <w:rStyle w:val="Hyperlink"/>
          </w:rPr>
          <w:t xml:space="preserve">[2]</w:t>
        </w:r>
      </w:hyperlink>
      <w:r>
        <w:t xml:space="preserve">[4]. Both the linear-probability and the logistic forms appear, because each answers a different complaint. The linear-probability form keeps the fixed-effects interpretation clean and sidesteps the incidental-parameters distortion conditional logit can introduce under many small operator groups. The logistic form guards against out-of-range fitted probabilities and lets the reader check that the sign and significance of the provenance coefficient are not tricks of functional form. The saturated within-operator estimate stands as primary.</w:t>
      </w:r>
    </w:p>
    <w:p>
      <w:pPr>
        <w:pStyle w:val="BodyText"/>
        <w:spacing w:line="480" w:lineRule="auto"/>
        <w:ind w:firstLine="720"/>
      </w:pPr>
      <w:r>
        <w:t xml:space="preserve">This event-level design is the most demanding of the three, since it needs the conjunction record and the maneuver-outcome record joined on the same named space objects, and the chapter says outright that the estimator is only as credible as that crosswalk.</w:t>
      </w:r>
    </w:p>
    <w:bookmarkEnd w:id="105"/>
    <w:bookmarkEnd w:id="106"/>
    <w:bookmarkStart w:id="107" w:name="the-identification-strategy"/>
    <w:p>
      <w:pPr>
        <w:pStyle w:val="Heading2"/>
        <w:spacing w:line="480" w:lineRule="auto"/>
      </w:pPr>
      <w:r>
        <w:t xml:space="preserve">5.3 The identification strategy</w:t>
      </w:r>
    </w:p>
    <w:p>
      <w:pPr>
        <w:pStyle w:val="FirstParagraph"/>
        <w:spacing w:line="480" w:lineRule="auto"/>
      </w:pPr>
      <w:r>
        <w:t xml:space="preserve">Identification varies by study because the source of exogenous-enough variation varies by outcome, and one logic runs through all three: the provenance coefficient is identified only insofar as provenance still varies after the confounders the design can name are differenced or conditioned out.</w:t>
      </w:r>
    </w:p>
    <w:p>
      <w:pPr>
        <w:pStyle w:val="BodyText"/>
        <w:spacing w:line="480" w:lineRule="auto"/>
        <w:ind w:firstLine="720"/>
      </w:pPr>
      <w:r>
        <w:t xml:space="preserve">In the operator-panel design, identification rides on within-sample variation in autonomy provenance across operators once fleet size and altitude are let in. The completed study is candid that this identification is, in the public record now available, incomplete. The provenance indicator and log fleet size correlate at a magnitude near unity, because the only operator running opaque onboard avoidance at scale is also the only operator with a fleet in the thousands. Provenance and scale are, in this sample, nearly the same variable. The honest upshot is a conditional null on provenance under an acknowledged collinearity: once scale comes in, it soaks up the explanatory work the provenance label did alone. So the identification claim the study can defend is narrow and exact. The apparent provenance effect on maneuver tempo is, in this sample, a scale effect in a provenance costume, and the design identifies that confound rather than a clean provenance treatment effect. The decisive identifying variation, a large constellation that adopts transparent avoidance or a small operator that adopts opaque onboard autonomy, does not yet exist in the documented record and is named as the condition under which the coefficient turns identifiable on something beyond a single operator.</w:t>
      </w:r>
    </w:p>
    <w:p>
      <w:pPr>
        <w:pStyle w:val="BodyText"/>
        <w:spacing w:line="480" w:lineRule="auto"/>
        <w:ind w:firstLine="720"/>
      </w:pPr>
      <w:r>
        <w:t xml:space="preserve">In the survival design, identification rides on conditioning the authorization hazard on procedural position, so the autonomy coefficient reflects technology rather than the coordination architecture around it. Here the identifying contrast runs between autonomy-intensive and human-supervised systems within and across competitive processing rounds</w:t>
      </w:r>
      <w:r>
        <w:t xml:space="preserve"> </w:t>
      </w:r>
      <w:hyperlink w:anchor="ref-2">
        <w:r>
          <w:rPr>
            <w:rStyle w:val="Hyperlink"/>
          </w:rPr>
          <w:t xml:space="preserve">[2]</w:t>
        </w:r>
      </w:hyperlink>
      <w:r>
        <w:t xml:space="preserve">[7]. The completed study pins the binding constraint cleanly: the processing-round indicator carries a large, statistically clear negative coefficient on the hazard, while the autonomy coefficient runs imprecise and indistinguishable from zero. What that supports is that procedural position, not autonomy provenance, governs time-to-authorization in the United States licensing record once both come in. The autonomy coefficient is honestly estimated and honestly wide. The design identifies the dominance of the coordination institution, and it identifies the autonomy null only up to the width of a confidence interval that cannot rule out a moderate effect in either direction.</w:t>
      </w:r>
    </w:p>
    <w:p>
      <w:pPr>
        <w:pStyle w:val="BodyText"/>
        <w:spacing w:line="480" w:lineRule="auto"/>
        <w:ind w:firstLine="720"/>
      </w:pPr>
      <w:r>
        <w:t xml:space="preserve">In the conjunction-event design, identification rides on within-operator and within-regime variation in autonomy provenance across events, exploiting the staggered adoption of distributed and learned autonomy across missions</w:t>
      </w:r>
      <w:r>
        <w:t xml:space="preserve"> </w:t>
      </w:r>
      <w:hyperlink w:anchor="ref-5">
        <w:r>
          <w:rPr>
            <w:rStyle w:val="Hyperlink"/>
          </w:rPr>
          <w:t xml:space="preserve">[5]</w:t>
        </w:r>
      </w:hyperlink>
      <w:r>
        <w:t xml:space="preserve">[6]. Operator fixed effects difference out time-invariant operator characteristics, and regime fixed effects difference out the orbital-density confounders the conjunction-metrics literature shows drive maneuver behavior independently of who commands the maneuver</w:t>
      </w:r>
      <w:r>
        <w:t xml:space="preserve"> </w:t>
      </w:r>
      <w:hyperlink w:anchor="ref-2">
        <w:r>
          <w:rPr>
            <w:rStyle w:val="Hyperlink"/>
          </w:rPr>
          <w:t xml:space="preserve">[2]</w:t>
        </w:r>
      </w:hyperlink>
      <w:r>
        <w:t xml:space="preserve">[4]. What is left to identify the provenance coefficient is variation in provenance within an operator and within a regime, thrown off as missions adopt or retire autonomy stacks across the panel. The provenance coefficient appears under a progressive control set along a fixed-effects saturation path, with the saturated within-operator estimate taken as primary, so the reader watches the coefficient move as confounders get absorbed rather than receiving one conditioned number.</w:t>
      </w:r>
    </w:p>
    <w:bookmarkEnd w:id="107"/>
    <w:bookmarkStart w:id="114" w:name="threats-to-validity-and-their-bounds"/>
    <w:p>
      <w:pPr>
        <w:pStyle w:val="Heading2"/>
        <w:spacing w:line="480" w:lineRule="auto"/>
      </w:pPr>
      <w:r>
        <w:t xml:space="preserve">5.4 Threats to validity and their bounds</w:t>
      </w:r>
    </w:p>
    <w:p>
      <w:pPr>
        <w:pStyle w:val="FirstParagraph"/>
        <w:spacing w:line="480" w:lineRule="auto"/>
      </w:pPr>
      <w:r>
        <w:t xml:space="preserve">Credibility here rides less on the estimators than on the discipline with which the dissertation bounds what could break them. Each threat below pairs with the specific instrument that bounds it, and where a threat cannot be cleared the chapter states the residual concern instead of hiding it.</w:t>
      </w:r>
    </w:p>
    <w:bookmarkStart w:id="108" w:name="selection-into-autonomy-provenance"/>
    <w:p>
      <w:pPr>
        <w:pStyle w:val="Heading3"/>
        <w:spacing w:line="480" w:lineRule="auto"/>
      </w:pPr>
      <w:r>
        <w:t xml:space="preserve">5.4.1 Selection into autonomy provenance</w:t>
      </w:r>
    </w:p>
    <w:p>
      <w:pPr>
        <w:pStyle w:val="FirstParagraph"/>
        <w:spacing w:line="480" w:lineRule="auto"/>
      </w:pPr>
      <w:r>
        <w:t xml:space="preserve">Operators that adopt transparent autonomy may differ systematically from those that adopt opaque autonomy, so the provenance contrast could pick up operator type rather than provenance. Operator fixed effects in the event-level design soak up time-invariant operator differences, and the panel and survival designs condition on the structural variables, scale and procedural position, that most plausibly correlate with both provenance and the outcome. What is left is within-operator selection, which fixed effects cannot reach. This is bounded by coefficient-stability sensitivity analysis of the Oster type: how far the provenance coefficient moves as observed controls come in is used to bound how far unobserved selection of comparable strength would push it. The maneuver-tempo study shows why the bound matters, because there the coefficient does not merely move under controls, it collapses, and the sensitivity logic correctly reads that collapse as confounding rather than a fragile but real effect.</w:t>
      </w:r>
    </w:p>
    <w:bookmarkEnd w:id="108"/>
    <w:bookmarkStart w:id="109" w:name="X8ec314f5d60548ef6d4043bad88fe7782609eaf"/>
    <w:p>
      <w:pPr>
        <w:pStyle w:val="Heading3"/>
        <w:spacing w:line="480" w:lineRule="auto"/>
      </w:pPr>
      <w:r>
        <w:t xml:space="preserve">5.4.2 Outcome measurement and endogenous documentation</w:t>
      </w:r>
    </w:p>
    <w:p>
      <w:pPr>
        <w:pStyle w:val="FirstParagraph"/>
        <w:spacing w:line="480" w:lineRule="auto"/>
      </w:pPr>
      <w:r>
        <w:t xml:space="preserve">Maneuver documentation is itself partly a function of provenance, which is at once the mechanism of interest and a source of measurement endogeneity: a transparent stack may be likelier to throw off a reconstructable record precisely because it is transparent. The bound is to split execution from documentation as distinct outcomes and report both, so the provenance estimate is not an artifact of one coding choice that fuses whether a maneuver happened with whether it got recorded. The maneuver-rate study further flags that its tempo measure is a coarse stand-in for the disposition the dissertation ultimately cares about, and hands the separation of tempo from auditability to the conjunction-event study, which is built precisely to keep execution and screenable documentation as separate dependent quantities.</w:t>
      </w:r>
    </w:p>
    <w:bookmarkEnd w:id="109"/>
    <w:bookmarkStart w:id="110" w:name="provenance-misclassification"/>
    <w:p>
      <w:pPr>
        <w:pStyle w:val="Heading3"/>
        <w:spacing w:line="480" w:lineRule="auto"/>
      </w:pPr>
      <w:r>
        <w:t xml:space="preserve">5.4.3 Provenance misclassification</w:t>
      </w:r>
    </w:p>
    <w:p>
      <w:pPr>
        <w:pStyle w:val="FirstParagraph"/>
        <w:spacing w:line="480" w:lineRule="auto"/>
      </w:pPr>
      <w:r>
        <w:t xml:space="preserve">Binary coding squeezes a spectrum of auditability into two cells, and a system near the boundary could get miscoded so as to bias the treatment contrast. Three instruments bound this. Inter-coder reliability statistics are reported, so the rate of disagreement on the binary code is observable. An ordinal provenance scale is tested as a robustness check, so the result is shown not to hang on the dichotomization. And the sign of the coefficient is examined for stability across coding schemes. The companion studies set up documentary anchors that make the binary code defensible at its hardest cases, most concretely the April 2021 episode in which one operator asked for a manual maneuver and asked another to switch off its autonomous avoidance software, which nails both operators’ provenance to the public record rather than to the coder’s judgment.</w:t>
      </w:r>
    </w:p>
    <w:bookmarkEnd w:id="110"/>
    <w:bookmarkStart w:id="111" w:name="the-provenance-scale-confound"/>
    <w:p>
      <w:pPr>
        <w:pStyle w:val="Heading3"/>
        <w:spacing w:line="480" w:lineRule="auto"/>
      </w:pPr>
      <w:r>
        <w:t xml:space="preserve">5.4.4 The provenance-scale confound</w:t>
      </w:r>
    </w:p>
    <w:p>
      <w:pPr>
        <w:pStyle w:val="FirstParagraph"/>
        <w:spacing w:line="480" w:lineRule="auto"/>
      </w:pPr>
      <w:r>
        <w:t xml:space="preserve">The most consequential threat the dissertation has met so far is not misclassification but structural collinearity between provenance and constellation scale. In the documented maneuver record the operator that pioneered opaque onboard avoidance is the same operator that pioneered the thousand-satellite constellation, so the two variables are confounded by construction rather than by chance. This is bounded honestly rather than mechanically. The study reports the confound as the finding, shows the near-unity correlation outright, and refuses to badge a scale effect as a provenance effect. The forward bound is identification by new variation: as learned avoidance spreads to smaller fleets and large constellations get pressed toward auditable processes</w:t>
      </w:r>
      <w:r>
        <w:t xml:space="preserve"> </w:t>
      </w:r>
      <w:hyperlink w:anchor="ref-5">
        <w:r>
          <w:rPr>
            <w:rStyle w:val="Hyperlink"/>
          </w:rPr>
          <w:t xml:space="preserve">[5]</w:t>
        </w:r>
      </w:hyperlink>
      <w:r>
        <w:t xml:space="preserve">[6], the provenance-scale tie breaks and the coefficient turns recoverable on more than one operator. The chapter takes this not as a deferred excuse but as a precise spec of the data the decisive test requires.</w:t>
      </w:r>
    </w:p>
    <w:bookmarkEnd w:id="111"/>
    <w:bookmarkStart w:id="112" w:name="coverage-survivorship-and-small-samples"/>
    <w:p>
      <w:pPr>
        <w:pStyle w:val="Heading3"/>
        <w:spacing w:line="480" w:lineRule="auto"/>
      </w:pPr>
      <w:r>
        <w:t xml:space="preserve">5.4.5 Coverage, survivorship, and small samples</w:t>
      </w:r>
    </w:p>
    <w:p>
      <w:pPr>
        <w:pStyle w:val="FirstParagraph"/>
        <w:spacing w:line="480" w:lineRule="auto"/>
      </w:pPr>
      <w:r>
        <w:t xml:space="preserve">Public conjunction, screening, and licensing coverage is incomplete and differs across services and jurisdictions, which can bias the sample toward well-tracked regimes and toward systems that happened to clear</w:t>
      </w:r>
      <w:r>
        <w:t xml:space="preserve"> </w:t>
      </w:r>
      <w:hyperlink w:anchor="ref-4">
        <w:r>
          <w:rPr>
            <w:rStyle w:val="Hyperlink"/>
          </w:rPr>
          <w:t xml:space="preserve">[4]</w:t>
        </w:r>
      </w:hyperlink>
      <w:r>
        <w:t xml:space="preserve">. The event-level design bounds this by holding the primary sample to regimes with comparable screening coverage and treating cross-service differences as a robustness stratum rather than pooling them naively. The survival design bounds survivorship directly by taking pending systems as right-censored rather than dropping them, so the systems that had not yet cleared still add their elapsed time. The recurring small-sample concern, sharpest in the twenty-four-system survival panel where the autonomy coefficient runs imprecise, is bounded by reporting the full confidence interval and refusing to claim more than the interval supports: the analysis can say no provenance effect emerges once procedural structure is controlled, and it cannot rule out a moderate effect, and it says exactly that.</w:t>
      </w:r>
    </w:p>
    <w:bookmarkEnd w:id="112"/>
    <w:bookmarkStart w:id="113" w:name="external-validity"/>
    <w:p>
      <w:pPr>
        <w:pStyle w:val="Heading3"/>
        <w:spacing w:line="480" w:lineRule="auto"/>
      </w:pPr>
      <w:r>
        <w:t xml:space="preserve">5.4.6 External validity</w:t>
      </w:r>
    </w:p>
    <w:p>
      <w:pPr>
        <w:pStyle w:val="FirstParagraph"/>
        <w:spacing w:line="480" w:lineRule="auto"/>
      </w:pPr>
      <w:r>
        <w:t xml:space="preserve">No estimate in the dissertation is claimed for all on-orbit operations. Each is fenced explicitly to its observable population: the public-screening population for the maneuver-disposition and tempo outcomes, and the United States NGSO and supplemental-coverage licensing record for the authorization-speed outcome. Where a mechanism is jurisdiction-specific, as the processing-round result is, the chapter says the result may not carry to licensing architectures built differently. So the bound on external validity is a statement of scope rather than a correction, and it is enforced uniformly so no single coefficient gets to speak for a population it never sampled.</w:t>
      </w:r>
    </w:p>
    <w:bookmarkEnd w:id="113"/>
    <w:bookmarkEnd w:id="114"/>
    <w:bookmarkStart w:id="115" w:name="summary-1"/>
    <w:p>
      <w:pPr>
        <w:pStyle w:val="Heading2"/>
        <w:spacing w:line="480" w:lineRule="auto"/>
      </w:pPr>
      <w:r>
        <w:t xml:space="preserve">5.5 Summary</w:t>
      </w:r>
    </w:p>
    <w:p>
      <w:pPr>
        <w:pStyle w:val="FirstParagraph"/>
        <w:spacing w:line="480" w:lineRule="auto"/>
      </w:pPr>
      <w:r>
        <w:t xml:space="preserve">The methods here are picked to make one binary treatment legible across three accountable surfaces. Ordinary least squares on an operator-period panel recovers the provenance coefficient on maneuver tempo and shows it confounded with scale; Cox proportional-hazards estimation on a censored authorization sample recovers the provenance coefficient on regulatory speed and shows procedural position, not provenance, as the binding constraint; and the conjunction-event fixed-effects model is the design through which the prospectus’s ultimate disposition outcome, screenable and reconstructable maneuver documentation, is to be identified on within-operator and within-regime variation</w:t>
      </w:r>
      <w:r>
        <w:t xml:space="preserve"> </w:t>
      </w:r>
      <w:hyperlink w:anchor="ref-2">
        <w:r>
          <w:rPr>
            <w:rStyle w:val="Hyperlink"/>
          </w:rPr>
          <w:t xml:space="preserve">[2]</w:t>
        </w:r>
      </w:hyperlink>
      <w:r>
        <w:t xml:space="preserve">[4][5][6]. Identification in each case is fenced by what the public record now permits, and the threats to validity pair one-to-one with the instruments that bound them, from coefficient-stability sensitivity analysis through right-censoring to scope-restricted external-validity claims. The through-line is that the dissertation says where its coefficients are identified and where they are merely estimated, and treats the boundary between the two as a result in its own right.</w:t>
      </w:r>
    </w:p>
    <w:bookmarkEnd w:id="115"/>
    <w:bookmarkEnd w:id="116"/>
    <w:bookmarkStart w:id="131" w:name="chapter-6.-results"/>
    <w:p>
      <w:pPr>
        <w:pStyle w:val="Heading1"/>
        <w:spacing w:line="480" w:lineRule="auto"/>
      </w:pPr>
      <w:r>
        <w:t xml:space="preserve">Chapter 6. Results</w:t>
      </w:r>
    </w:p>
    <w:bookmarkStart w:id="117" w:name="overview"/>
    <w:p>
      <w:pPr>
        <w:pStyle w:val="Heading2"/>
        <w:spacing w:line="480" w:lineRule="auto"/>
      </w:pPr>
      <w:r>
        <w:t xml:space="preserve">6.1 Overview</w:t>
      </w:r>
    </w:p>
    <w:p>
      <w:pPr>
        <w:pStyle w:val="FirstParagraph"/>
        <w:spacing w:line="480" w:lineRule="auto"/>
      </w:pPr>
      <w:r>
        <w:t xml:space="preserve">This chapter reports the empirical findings of the two estimations that together carry the dissertation’s falsifiable contribution. Each pins down a single provenance coefficient and asks whether an autonomy stack’s documented provenance moves a governance-relevant quantity once the structural variables riding alongside provenance are held fixed. Study One regresses the documented collision-avoidance maneuver rate on a binary provenance treatment in an operator-period panel of twenty-two observations, fitted by ordinary least squares with heteroskedasticity-robust standard errors. Study Two fits a Cox proportional-hazards model of time-to-authorization for twenty-four United States non-geostationary and supplemental-coverage satellite-system filings, seventeen of them granted by the observation cutoff and seven entering as right-censored observations.</w:t>
      </w:r>
    </w:p>
    <w:p>
      <w:pPr>
        <w:pStyle w:val="BodyText"/>
        <w:spacing w:line="480" w:lineRule="auto"/>
        <w:ind w:firstLine="720"/>
      </w:pPr>
      <w:r>
        <w:t xml:space="preserve">The two studies land on a result more disciplined than the directional hypotheses that set them going. In both, the raw or expected provenance signal fails to outlive conditioning. In Study One the provenance effect collapses because provenance and constellation scale are confounded by construction in the public record. In Study Two the provenance coefficient never reaches conventional significance, and what governs the licensing clock is procedural position rather than the autonomy inside the system. The chapter reports the exact coefficients, standard errors, p-values, and fit statistics from the estimator outputs and reads what each means for the governance question the dissertation poses. Appendix A reproduces the numerical tables, the regression formulas, and the supporting charts; this chapter narrates the estimates rather than reprinting them.</w:t>
      </w:r>
    </w:p>
    <w:bookmarkEnd w:id="117"/>
    <w:bookmarkStart w:id="123" w:name="Xe9c30b885cb56e1cd9debb5364a9e2487f8447c"/>
    <w:p>
      <w:pPr>
        <w:pStyle w:val="Heading2"/>
        <w:spacing w:line="480" w:lineRule="auto"/>
      </w:pPr>
      <w:r>
        <w:t xml:space="preserve">6.2 Study One: Provenance and the Documented Maneuver Rate</w:t>
      </w:r>
    </w:p>
    <w:bookmarkStart w:id="118" w:name="model-fit-and-joint-significance"/>
    <w:p>
      <w:pPr>
        <w:pStyle w:val="Heading3"/>
        <w:spacing w:line="480" w:lineRule="auto"/>
      </w:pPr>
      <w:r>
        <w:t xml:space="preserve">6.2.1 Model fit and joint significance</w:t>
      </w:r>
    </w:p>
    <w:p>
      <w:pPr>
        <w:pStyle w:val="FirstParagraph"/>
        <w:spacing w:line="480" w:lineRule="auto"/>
      </w:pPr>
      <w:r>
        <w:t xml:space="preserve">The fully specified ordinary-least-squares model regresses the per-satellite documented maneuver rate on the transparent-provenance indicator, the natural logarithm of operational fleet size, and approximate mean operating altitude in kilometers, with heteroskedasticity-robust standard errors across twenty-two operator-period observations. Jointly, the model is informative.</w:t>
      </w:r>
    </w:p>
    <w:p>
      <w:pPr>
        <w:pStyle w:val="BodyText"/>
        <w:spacing w:line="480" w:lineRule="auto"/>
        <w:ind w:firstLine="720"/>
      </w:pPr>
      <w:r>
        <w:t xml:space="preserve">It returns an R-squared of 0.391, so the three regressors together account for just under forty percent of the observed variation in maneuver rate across the operator-period cells. The adjusted R-squared, which docks the model for the three degrees of freedom it consumes, is 0.290, so the explanatory share stays substantial after that correction and is no artifact of overfitting a small sample with many parameters. The model F-statistic is 3.542 with an associated p-value of 0.036, clearing the conventional five-percent threshold for joint significance. So the regressors taken as a whole carry real signal about the maneuver rate; which regressor carries it is what the rest of the analysis answers.</w:t>
      </w:r>
    </w:p>
    <w:p>
      <w:pPr>
        <w:pStyle w:val="BodyText"/>
        <w:spacing w:line="480" w:lineRule="auto"/>
        <w:ind w:firstLine="720"/>
      </w:pPr>
      <w:r>
        <w:t xml:space="preserve">The intercept comes in at 8.3197 with a robust standard error of 5.0259 and a p-value of 0.098. It is the model’s predicted maneuver rate for the reference cell, an opaque-provenance operator at zero log fleet size and zero altitude, a point outside the support of the data and so not directly readable as a real operator; its imprecision, with a p-value short of the five-percent mark, tracks the fact that it is an extrapolated anchor and not a substantive estimand. The model’s substantive content sits in the slope coefficients and in the contrast between the conditional and unconditional provenance estimates.</w:t>
      </w:r>
    </w:p>
    <w:bookmarkEnd w:id="118"/>
    <w:bookmarkStart w:id="119" w:name="X431710e037b3357ed1d91b44c45c71bb2712dd3"/>
    <w:p>
      <w:pPr>
        <w:pStyle w:val="Heading3"/>
        <w:spacing w:line="480" w:lineRule="auto"/>
      </w:pPr>
      <w:r>
        <w:t xml:space="preserve">6.2.2 The provenance coefficient under controls</w:t>
      </w:r>
    </w:p>
    <w:p>
      <w:pPr>
        <w:pStyle w:val="FirstParagraph"/>
        <w:spacing w:line="480" w:lineRule="auto"/>
      </w:pPr>
      <w:r>
        <w:t xml:space="preserve">Study One’s central result is how the provenance coefficient behaves as the confounders come into the specification. In the fully specified model the coefficient on the transparent-provenance indicator is 0.8147, with a robust standard error of 7.5591 and a p-value of 0.914. That estimate is indistinguishable from zero, and by a wide margin. Its standard error runs more than nine times the point estimate, so the data pin essentially no bound on the sign or magnitude of any conditional provenance effect: the coefficient is not merely insignificant, it is uninformative once the controls come in. The point estimate is also positive, the reverse of the negative sign the supervisory-burden intuition of H1 predicted, and the imprecision runs so severe that the positive sign should carry no weight as evidence of a reversed effect. The honest reading is that, conditional on fleet size and altitude, the provenance label bears no detectable association with the documented maneuver rate.</w:t>
      </w:r>
    </w:p>
    <w:p>
      <w:pPr>
        <w:pStyle w:val="BodyText"/>
        <w:spacing w:line="480" w:lineRule="auto"/>
        <w:ind w:firstLine="720"/>
      </w:pPr>
      <w:r>
        <w:t xml:space="preserve">This conditional null is neither weak nor ambiguous once it is set against its unconditional counterpart, the contrast the design was built to draw. In a bivariate regression of the maneuver rate on the provenance indicator alone, the paper’s prose records that transparent provenance goes with 10.85 fewer documented maneuvers per satellite-year, an estimate significant at p equal to 0.012, and the raw group means bear it out: transparent-provenance operators average 1.78 maneuvers per satellite-year against 12.63 for the opaque-provenance Starlink windows. Taken alone, that bivariate gap is large, clean, and seemingly confirmatory of H1. What the controlled specification adds is the demonstration that the gap does not outlive them. The provenance coefficient travels from a significant negative of roughly eleven maneuvers per satellite-year, standing alone, to a wholly insignificant 0.8147 once fleet size and altitude are present. The collapse of the coefficient, not its final value, is the result.</w:t>
      </w:r>
    </w:p>
    <w:p>
      <w:pPr>
        <w:pStyle w:val="BodyText"/>
        <w:spacing w:line="480" w:lineRule="auto"/>
        <w:ind w:firstLine="720"/>
      </w:pPr>
      <w:r>
        <w:t xml:space="preserve">That collapse, and what drives it, is the analytical heart of Study One.</w:t>
      </w:r>
    </w:p>
    <w:bookmarkEnd w:id="119"/>
    <w:bookmarkStart w:id="120" w:name="X4e34294a611a3e15126f8e38a2c22b7c65e98dd"/>
    <w:p>
      <w:pPr>
        <w:pStyle w:val="Heading3"/>
        <w:spacing w:line="480" w:lineRule="auto"/>
      </w:pPr>
      <w:r>
        <w:t xml:space="preserve">6.2.3 The mechanism of the collapse: collinearity between provenance and scale</w:t>
      </w:r>
    </w:p>
    <w:p>
      <w:pPr>
        <w:pStyle w:val="FirstParagraph"/>
        <w:spacing w:line="480" w:lineRule="auto"/>
      </w:pPr>
      <w:r>
        <w:t xml:space="preserve">Why does the coefficient collapse? The answer sits in the correlation structure of the regressors. The transparent-provenance indicator and log fleet size correlate at -0.915, a near-perfect negative association. This is no statistical coincidence but a feature of the documented record: in the assembled panel the only operator running opaque onboard autonomous avoidance at scale is also the only operator with a fleet numbering in the thousands. Provenance and scale are, in this sample, very nearly the same variable read two different ways. Collinear to that degree, the estimator cannot split the shared explanatory variation between them, and it registers that inability as inflated standard errors on both. The provenance coefficient’s robust standard error of 7.5591 is the direct numerical fingerprint of that collinearity. Once log fleet size enters the specification, it soaks up the explanatory work the provenance label did alone in the bivariate model, and the provenance coefficient is left with nothing to identify it.</w:t>
      </w:r>
    </w:p>
    <w:p>
      <w:pPr>
        <w:pStyle w:val="BodyText"/>
        <w:spacing w:line="480" w:lineRule="auto"/>
        <w:ind w:firstLine="720"/>
      </w:pPr>
      <w:r>
        <w:t xml:space="preserve">The coefficient on log fleet size is itself telling about the same confounding. It enters at 1.4492, with a standard error of 1.1696 and a p-value of 0.215. The point estimate is positive, in the direction both governance and engineering expectations predict, since larger constellations mechanically throw off more conjunction events and thus more avoidance maneuvers per satellite-year as own-fleet and catalogued-object density climbs. And it too runs imprecise and clears no significance, for the same reason the provenance coefficient does not: the two variables compete over the same variation and neither claims it cleanly. The upshot is a pair of coefficients, provenance and scale, pointing in plausible directions yet individually unidentified, while the model as a whole stays jointly significant because the variation they jointly explain is real. This is the textbook fingerprint of multicollinearity, and the analysis takes it not as a defect to patch but as the substantive finding: the public record cannot separate the provenance of the autonomy stack from the scale of the constellation it governs.</w:t>
      </w:r>
    </w:p>
    <w:bookmarkEnd w:id="120"/>
    <w:bookmarkStart w:id="121" w:name="Xc2735bc7fb77f3a41cb72f5930794183203ae0e"/>
    <w:p>
      <w:pPr>
        <w:pStyle w:val="Heading3"/>
        <w:spacing w:line="480" w:lineRule="auto"/>
      </w:pPr>
      <w:r>
        <w:t xml:space="preserve">6.2.4 Altitude as the one independently identified driver</w:t>
      </w:r>
    </w:p>
    <w:p>
      <w:pPr>
        <w:pStyle w:val="FirstParagraph"/>
        <w:spacing w:line="480" w:lineRule="auto"/>
      </w:pPr>
      <w:r>
        <w:t xml:space="preserve">One regressor carries an independent and reasonably precise signal. Mean operating altitude enters at -0.0135 per kilometer, with a standard error of 0.0073 and a p-value of 0.062. The coefficient is negative, so operators in lower orbits show a higher documented maneuver rate, and the magnitude puts each additional kilometer of mean altitude at a reduction of roughly 0.0135 maneuvers per satellite-year, so a difference of several hundred kilometers in operating regime works out to a substantively meaningful difference in maneuver tempo. The p-value of 0.062 lands just outside the strict five-percent threshold and well inside the ten-percent band. What matters most is that the altitude coefficient stays clear of the provenance-scale collinearity that disables the other two slopes. Altitude varies across operators without lining up collinearly with the provenance label, so the estimator can identify its partial effect even in this small sample.</w:t>
      </w:r>
    </w:p>
    <w:p>
      <w:pPr>
        <w:pStyle w:val="BodyText"/>
        <w:spacing w:line="480" w:lineRule="auto"/>
        <w:ind w:firstLine="720"/>
      </w:pPr>
      <w:r>
        <w:t xml:space="preserve">The altitude finding squares with the regime-density mechanism the conjunction-metrics literature would predict: lower, more congested orbits present more conjunction geometry and thus drive more avoidance activity no matter who or what commands the maneuver</w:t>
      </w:r>
      <w:r>
        <w:t xml:space="preserve"> </w:t>
      </w:r>
      <w:hyperlink w:anchor="ref-2">
        <w:r>
          <w:rPr>
            <w:rStyle w:val="Hyperlink"/>
          </w:rPr>
          <w:t xml:space="preserve">[2]</w:t>
        </w:r>
      </w:hyperlink>
      <w:r>
        <w:t xml:space="preserve">[4]. Within Study One, altitude rather than the provenance label is the conditioning variable that moves the maneuver rate once scale is held fixed. That displacement is the point of the result. The variable the prospectus fretted over, autonomy provenance, is not the variable that independently predicts maneuver tempo in the data available today; orbital regime is.</w:t>
      </w:r>
    </w:p>
    <w:bookmarkEnd w:id="121"/>
    <w:bookmarkStart w:id="122" w:name="interpretation-of-study-one"/>
    <w:p>
      <w:pPr>
        <w:pStyle w:val="Heading3"/>
        <w:spacing w:line="480" w:lineRule="auto"/>
      </w:pPr>
      <w:r>
        <w:t xml:space="preserve">6.2.5 Interpretation of Study One</w:t>
      </w:r>
    </w:p>
    <w:p>
      <w:pPr>
        <w:pStyle w:val="FirstParagraph"/>
        <w:spacing w:line="480" w:lineRule="auto"/>
      </w:pPr>
      <w:r>
        <w:t xml:space="preserve">Study One returns a conditional null on provenance under a transparent, acknowledged collinearity. The estimate cannot reject the hypothesis that, holding scale and altitude fixed, autonomy provenance has no effect on the documented maneuver rate, because the data cannot tell provenance and scale apart. The substantive reading is that the governance concern, at least as pointed at maneuver tempo, has been aimed at the wrong noun. The raw correlation between opaque autonomy and a high maneuver rate is real and large, caught in the 10.85-maneuver bivariate gap and the 1.78-versus-12.63 group means, and it goes unidentified as a provenance effect once constellation scale enters, because the operator that pioneered opaque onboard avoidance is also the operator that pioneered the thousand-satellite constellation. A regulator who tied policy to autonomy provenance, hoping to catch the behavioral difference the bivariate gap shows, would in this sample mostly be tying it to fleet size. The policy-relevant variable that does move the maneuver rate independently is orbital regime, the altitude coefficient of -0.0135 per kilometer at p equal to 0.062.</w:t>
      </w:r>
    </w:p>
    <w:p>
      <w:pPr>
        <w:pStyle w:val="BodyText"/>
        <w:spacing w:line="480" w:lineRule="auto"/>
        <w:ind w:firstLine="720"/>
      </w:pPr>
      <w:r>
        <w:t xml:space="preserve">This is a finding rather than a failure of design, and the distinction matters for how the result reads. The confounding is structural rather than incidental, so more observations of the same kind would not clear it; the remedy is variation that breaks the provenance-scale tie, a large constellation that adopts transparent human-reviewable avoidance or a small operator that adopts opaque onboard autonomy</w:t>
      </w:r>
      <w:r>
        <w:t xml:space="preserve"> </w:t>
      </w:r>
      <w:hyperlink w:anchor="ref-5">
        <w:r>
          <w:rPr>
            <w:rStyle w:val="Hyperlink"/>
          </w:rPr>
          <w:t xml:space="preserve">[5]</w:t>
        </w:r>
      </w:hyperlink>
      <w:r>
        <w:t xml:space="preserve">[6]. Until that variation shows up in the public record, the disciplined conclusion is the one the model supports: in the data available today, what looks like a provenance effect on the maneuver rate is, conditionally, a scale effect in a provenance costume.</w:t>
      </w:r>
    </w:p>
    <w:bookmarkEnd w:id="122"/>
    <w:bookmarkEnd w:id="123"/>
    <w:bookmarkStart w:id="129" w:name="X4f0a8a2d451a9989f0d3a0066a1ed50bec310c5"/>
    <w:p>
      <w:pPr>
        <w:pStyle w:val="Heading2"/>
        <w:spacing w:line="480" w:lineRule="auto"/>
      </w:pPr>
      <w:r>
        <w:t xml:space="preserve">6.3 Study Two: Provenance and Time-to-Authorization</w:t>
      </w:r>
    </w:p>
    <w:bookmarkStart w:id="124" w:name="sample-events-and-estimator"/>
    <w:p>
      <w:pPr>
        <w:pStyle w:val="Heading3"/>
        <w:spacing w:line="480" w:lineRule="auto"/>
      </w:pPr>
      <w:r>
        <w:t xml:space="preserve">6.3.1 Sample, events, and estimator</w:t>
      </w:r>
    </w:p>
    <w:p>
      <w:pPr>
        <w:pStyle w:val="FirstParagraph"/>
        <w:spacing w:line="480" w:lineRule="auto"/>
      </w:pPr>
      <w:r>
        <w:t xml:space="preserve">Study Two fits a Cox proportional-hazards model on a hand-assembled record of twenty-four United States non-geostationary and supplemental-coverage satellite-system authorization requests. The survival time is the interval in months from application or petition filing to grant or market-access date. Seventeen of the twenty-four systems had been granted by the 2026-06-01 observation cutoff and enter as events; the other seven, filed largely into the 2021 second processing round and still pending at the cutoff, enter as right-censored observations measured from filing to cutoff. The censoring is the methodological core of the design: taking pending systems as right-censored rather than dropping them lets each carry the genuine information that it had not been granted by a known elapsed time, which clears the bias that would follow from analyzing only the systems that happened to clear. The model is fitted by partial-likelihood maximization with Wald standard errors, leaves the baseline hazard unspecified, and reports each covariate as a multiplicative effect on the instantaneous hazard of authorization. With twenty-four systems and seventeen events, the sample runs small for a survival analysis, which conditions the reading of every coefficient that follows.</w:t>
      </w:r>
    </w:p>
    <w:bookmarkEnd w:id="124"/>
    <w:bookmarkStart w:id="125" w:name="the-autonomy-provenance-coefficient"/>
    <w:p>
      <w:pPr>
        <w:pStyle w:val="Heading3"/>
        <w:spacing w:line="480" w:lineRule="auto"/>
      </w:pPr>
      <w:r>
        <w:t xml:space="preserve">6.3.2 The autonomy-provenance coefficient</w:t>
      </w:r>
    </w:p>
    <w:p>
      <w:pPr>
        <w:pStyle w:val="FirstParagraph"/>
        <w:spacing w:line="480" w:lineRule="auto"/>
      </w:pPr>
      <w:r>
        <w:t xml:space="preserve">The coefficient on the autonomy-intensive treatment is 0.7451, with a standard error of 0.7122. The Wald z-statistic those values imply is approximately 1.05, and the associated p-value is 0.295. Exponentiating the coefficient gives a hazard ratio of approximately 2.11, with the ninety-five-percent confidence interval on the coefficient running from -0.651 to 2.141. Two features of the estimate need careful statement. First, the sign is positive, running directly against the H1 prediction that autonomy-intensive systems would meet a lower hazard of authorization, a slower clock, and a hazard ratio below one. Taken at face value the point estimate says autonomy-intensive systems clear faster, not slower, contradicting the supervisory-burden mechanism that drove the directional hypothesis. Second, and decisively, the confidence interval on the coefficient comfortably spans zero, so the positive sign cannot stand as evidence of a real reversed effect. The standard error of 0.7122 runs nearly as large as the point estimate of 0.7451, and the p-value of 0.295 sits far from any conventional significance threshold.</w:t>
      </w:r>
    </w:p>
    <w:p>
      <w:pPr>
        <w:pStyle w:val="BodyText"/>
        <w:spacing w:line="480" w:lineRule="auto"/>
        <w:ind w:firstLine="720"/>
      </w:pPr>
      <w:r>
        <w:t xml:space="preserve">The honest reading is that the data do not reject the null. Autonomy provenance bears no detectable association with the speed of authorization once the controls are present. The supervisory-burden hypothesis, which predicted a hazard ratio below one, does not surface in the licensing record, and neither is its opposite established with any confidence. The wide confidence interval means the analysis cannot rule out a moderate provenance effect in either direction; what it can say is that no such effect emerges from the record at the precision this sample affords.</w:t>
      </w:r>
    </w:p>
    <w:bookmarkEnd w:id="125"/>
    <w:bookmarkStart w:id="126" w:name="system-complexity-is-also-silent"/>
    <w:p>
      <w:pPr>
        <w:pStyle w:val="Heading3"/>
        <w:spacing w:line="480" w:lineRule="auto"/>
      </w:pPr>
      <w:r>
        <w:t xml:space="preserve">6.3.3 System complexity is also silent</w:t>
      </w:r>
    </w:p>
    <w:p>
      <w:pPr>
        <w:pStyle w:val="FirstParagraph"/>
        <w:spacing w:line="480" w:lineRule="auto"/>
      </w:pPr>
      <w:r>
        <w:t xml:space="preserve">The first control, the natural logarithm of authorized or requested satellite count entered as a measure of system complexity, behaves the same as the treatment. Its coefficient is 0.0724, with a standard error of 0.1757 and a p-value of 0.680, implying a hazard ratio of approximately 1.08. The coefficient runs small, its standard error dwarfs it, and it is statistically indistinguishable from zero. Larger systems, those with more authorized satellites, are not authorized at a detectably different rate once procedural position is held fixed. The complexity intuition, that a regulator facing a more elaborate system would take longer over it, finds no support in the duration record. Both the treatment and the complexity control run silent in this model.</w:t>
      </w:r>
    </w:p>
    <w:p>
      <w:pPr>
        <w:pStyle w:val="BodyText"/>
        <w:spacing w:line="480" w:lineRule="auto"/>
        <w:ind w:firstLine="720"/>
      </w:pPr>
      <w:r>
        <w:t xml:space="preserve">That silence throws the one significant coefficient into sharp relief.</w:t>
      </w:r>
    </w:p>
    <w:bookmarkEnd w:id="126"/>
    <w:bookmarkStart w:id="127" w:name="X7de60745c1ff7148f649c3ca9b6a0d668c44ca7"/>
    <w:p>
      <w:pPr>
        <w:pStyle w:val="Heading3"/>
        <w:spacing w:line="480" w:lineRule="auto"/>
      </w:pPr>
      <w:r>
        <w:t xml:space="preserve">6.3.4 Procedural position is where the signal concentrates</w:t>
      </w:r>
    </w:p>
    <w:p>
      <w:pPr>
        <w:pStyle w:val="FirstParagraph"/>
        <w:spacing w:line="480" w:lineRule="auto"/>
      </w:pPr>
      <w:r>
        <w:t xml:space="preserve">The variable that carries the model’s signal is procedural, not technological. Filing into a competitive FCC NGSO processing round carries a coefficient of -2.3083, with a standard error of 0.8732. The implied Wald z-statistic is approximately -2.64, and the p-value is 0.008, the only coefficient in the model to clear conventional significance and the only one to clear it decisively. It exponentiates to a hazard ratio of approximately 0.099. So the instantaneous probability of authorization for a system inside a competitive processing round runs on the order of one-tenth that of an otherwise comparable standalone filing. This is a large effect, precisely estimated relative to the others in the model, and it points unambiguously toward delay: systems bound into a competitive round clear far slower than systems filed outside one.</w:t>
      </w:r>
    </w:p>
    <w:p>
      <w:pPr>
        <w:pStyle w:val="BodyText"/>
        <w:spacing w:line="480" w:lineRule="auto"/>
        <w:ind w:firstLine="720"/>
      </w:pPr>
      <w:r>
        <w:t xml:space="preserve">The processing-round coefficient reads consistent with the coordination account the paper advances as the competing explanation to the supervisory-burden story. The Commission handles most large NGSO applications in competitive rounds with collective cut-off dates that tie every applicant in a round to the slowest shared coordination step, so what governs the licensing clock is the shared cut-off architecture rather than the technology inside any one system</w:t>
      </w:r>
      <w:r>
        <w:t xml:space="preserve"> </w:t>
      </w:r>
      <w:hyperlink w:anchor="ref-2">
        <w:r>
          <w:rPr>
            <w:rStyle w:val="Hyperlink"/>
          </w:rPr>
          <w:t xml:space="preserve">[2]</w:t>
        </w:r>
      </w:hyperlink>
      <w:r>
        <w:t xml:space="preserve">[7]. The two genuinely autonomy-intensive systems that cleared quickly, both early standalone or streamlined filings, and the slower standalone grants in the record make the same point from the case level: the autonomy distinction does not sort the durations the way procedural position does.</w:t>
      </w:r>
    </w:p>
    <w:bookmarkEnd w:id="127"/>
    <w:bookmarkStart w:id="128" w:name="interpretation-of-study-two"/>
    <w:p>
      <w:pPr>
        <w:pStyle w:val="Heading3"/>
        <w:spacing w:line="480" w:lineRule="auto"/>
      </w:pPr>
      <w:r>
        <w:t xml:space="preserve">6.3.5 Interpretation of Study Two</w:t>
      </w:r>
    </w:p>
    <w:p>
      <w:pPr>
        <w:pStyle w:val="FirstParagraph"/>
        <w:spacing w:line="480" w:lineRule="auto"/>
      </w:pPr>
      <w:r>
        <w:t xml:space="preserve">Study Two pins the binding constraint on licensing speed to the coordination institution around a system, not to the autonomy provenance inside it. The autonomy coefficient of 0.7451 at p equal to 0.295 and the complexity coefficient of 0.0724 at p equal to 0.680 both run indistinguishable from zero, while the processing-round coefficient of -2.3083 at p equal to 0.008 runs large and statistically clear. The finding reframes where governance attention belongs at the licensing stage. The prospectus worried autonomy provenance might quietly shift the regulatory treatment of on-orbit operations; on this evidence, at the licensing stage, it does not. The speed at which a system is authorized is not detectably a function of whether its avoidance logic is human-supervised or machine-decided, and it is strongly a function of whether the system sits inside a competitive processing round. The dominance of the procedural variable reads consistent with the broader literature’s claim that the binding scarcity in orbit is coordination capacity rather than any single operator’s technology</w:t>
      </w:r>
      <w:r>
        <w:t xml:space="preserve"> </w:t>
      </w:r>
      <w:hyperlink w:anchor="ref-8">
        <w:r>
          <w:rPr>
            <w:rStyle w:val="Hyperlink"/>
          </w:rPr>
          <w:t xml:space="preserve">[8]</w:t>
        </w:r>
      </w:hyperlink>
      <w:r>
        <w:t xml:space="preserve">[10].</w:t>
      </w:r>
    </w:p>
    <w:p>
      <w:pPr>
        <w:pStyle w:val="BodyText"/>
        <w:spacing w:line="480" w:lineRule="auto"/>
        <w:ind w:firstLine="720"/>
      </w:pPr>
      <w:r>
        <w:t xml:space="preserve">The null on provenance is itself a result worth logging, because it disciplines the policy conversation in a precise way. A governance reform aimed at autonomy auditability would not, on this evidence, change licensing timelines, and reforms promising faster approval by tackling software transparency would be solving a problem the licensing clock does not have. The autonomy-provenance question keeps its force for the post-event reconstruction and accountability domain the prospectus and the technical literature emphasize</w:t>
      </w:r>
      <w:r>
        <w:t xml:space="preserve"> </w:t>
      </w:r>
      <w:hyperlink w:anchor="ref-3">
        <w:r>
          <w:rPr>
            <w:rStyle w:val="Hyperlink"/>
          </w:rPr>
          <w:t xml:space="preserve">[3]</w:t>
        </w:r>
      </w:hyperlink>
      <w:r>
        <w:t xml:space="preserve">[5], and the licensing-speed channel examined here is not where it bites. The result has to respect the sample: twenty-four systems and seventeen events is a small survival sample, the autonomy coefficient runs imprecise, and the wide confidence interval from -0.651 to 2.141 on the coefficient means the analysis cannot rule out a moderate provenance effect in either direction. What it settles for the United States licensing record is the first-order question, that procedural position rather than autonomy provenance governs time-to-authorization, while leaving the provenance hazard ratio honestly estimated and honestly wide.</w:t>
      </w:r>
    </w:p>
    <w:bookmarkEnd w:id="128"/>
    <w:bookmarkEnd w:id="129"/>
    <w:bookmarkStart w:id="130" w:name="synthesis-across-the-two-studies"/>
    <w:p>
      <w:pPr>
        <w:pStyle w:val="Heading2"/>
        <w:spacing w:line="480" w:lineRule="auto"/>
      </w:pPr>
      <w:r>
        <w:t xml:space="preserve">6.4 Synthesis Across the Two Studies</w:t>
      </w:r>
    </w:p>
    <w:p>
      <w:pPr>
        <w:pStyle w:val="FirstParagraph"/>
        <w:spacing w:line="480" w:lineRule="auto"/>
      </w:pPr>
      <w:r>
        <w:t xml:space="preserve">Read together, the two estimations tell one coherent story about where the provenance signal is and is not identified, and that coherence is the chapter’s principal result. In each study the directional hypothesis the prospectus entertained, that opaque autonomy lifts the maneuver rate and that autonomy intensity slows authorization, fails to bear out once the conditioning variables come in. In Study One the provenance coefficient moves from a significant bivariate negative of roughly eleven maneuvers per satellite-year to an insignificant 0.8147 with a standard error of 7.5591 under controls, defeated by a -0.915 collinearity between provenance and scale. In Study Two the provenance coefficient is 0.7451 with a standard error of 0.7122 and a p-value of 0.295, never significant, while the procedural coefficient of -2.3083 at p equal to 0.008 soaks up the explanatory weight. Neither study recovers an identified provenance effect, and in each the variable that does carry signal is structural or procedural rather than the autonomy label itself: orbital altitude in the first, processing-round position in the second.</w:t>
      </w:r>
    </w:p>
    <w:p>
      <w:pPr>
        <w:pStyle w:val="BodyText"/>
        <w:spacing w:line="480" w:lineRule="auto"/>
        <w:ind w:firstLine="720"/>
      </w:pPr>
      <w:r>
        <w:t xml:space="preserve">This convergence is not a pair of failures but a unified empirical claim. Across two distinct governance quantities, the documented behavioral tempo of operations and the administrative speed of their licensing, autonomy provenance is confounded with or dominated by a structural driver the public record will not let the analysis untangle from it. The maneuver-rate study cannot separate provenance from constellation scale; the licensing study finds provenance silent against the coordination architecture. In both, the disciplined conclusion is that the governance worry has, on present evidence, been fastened to a label that rides with the variable actually doing the work. What each study contributes is one transparently estimated coefficient and one honest account of why that coefficient is what it is. The estimates reported here, with their exact magnitudes, standard errors, p-values, and fit statistics, are the falsifiable findings the dissertation set out to recover, and the tables, formulas, and charts behind them appear in Appendix A. Chapter 7 turns from these estimates to their implications for how governance should and should not condition on autonomy provenance, and to the future variation it would take to identify the provenance coefficient on something beyond the single confounded record available today</w:t>
      </w:r>
      <w:r>
        <w:t xml:space="preserve"> </w:t>
      </w:r>
      <w:hyperlink w:anchor="ref-5">
        <w:r>
          <w:rPr>
            <w:rStyle w:val="Hyperlink"/>
          </w:rPr>
          <w:t xml:space="preserve">[5]</w:t>
        </w:r>
      </w:hyperlink>
      <w:r>
        <w:t xml:space="preserve">[6].</w:t>
      </w:r>
    </w:p>
    <w:bookmarkEnd w:id="130"/>
    <w:bookmarkEnd w:id="131"/>
    <w:bookmarkStart w:id="137" w:name="X21322cb5e29cbf4eb576afddcad42f86ace4e0d"/>
    <w:p>
      <w:pPr>
        <w:pStyle w:val="Heading1"/>
        <w:spacing w:line="480" w:lineRule="auto"/>
      </w:pPr>
      <w:r>
        <w:t xml:space="preserve">Chapter 7. Discussion and Governance Implications</w:t>
      </w:r>
    </w:p>
    <w:bookmarkStart w:id="132" w:name="what-the-two-estimates-jointly-establish"/>
    <w:p>
      <w:pPr>
        <w:pStyle w:val="Heading2"/>
        <w:spacing w:line="480" w:lineRule="auto"/>
      </w:pPr>
      <w:r>
        <w:t xml:space="preserve">7.1 What the Two Estimates Jointly Establish</w:t>
      </w:r>
    </w:p>
    <w:p>
      <w:pPr>
        <w:pStyle w:val="FirstParagraph"/>
        <w:spacing w:line="480" w:lineRule="auto"/>
      </w:pPr>
      <w:r>
        <w:t xml:space="preserve">The dissertation set out to recover one coefficient: the association between an autonomy stack’s documented provenance and the regulatory or operational treatment of the maneuvers it produces. The prospectus put the worry plainly. Should provenance change the de facto disposition of otherwise identical maneuvers, governance is already discriminating on a variable it has never formally named, and that discrimination is undocumented and unmeasured. Two complementary studies took up the worry: an operator-panel ordinary-least-squares estimate of how provenance shapes the documented collision-avoidance tempo, and a Cox proportional-hazards estimate of how provenance shapes the time-to-authorization for United States non-geostationary systems. They come at the question from opposite ends of the operational lifecycle, one at the licensing gate and one in steady-state flight operations, and they land on a result sharper and more disciplining than the directional hypothesis that drove the work.</w:t>
      </w:r>
    </w:p>
    <w:p>
      <w:pPr>
        <w:pStyle w:val="BodyText"/>
        <w:spacing w:line="480" w:lineRule="auto"/>
        <w:ind w:firstLine="720"/>
      </w:pPr>
      <w:r>
        <w:t xml:space="preserve">The convergent finding states simply.</w:t>
      </w:r>
    </w:p>
    <w:p>
      <w:pPr>
        <w:pStyle w:val="BodyText"/>
        <w:spacing w:line="480" w:lineRule="auto"/>
        <w:ind w:firstLine="720"/>
      </w:pPr>
      <w:r>
        <w:t xml:space="preserve">Autonomy provenance, as a free-standing causal label, does not survive contact with the structural variables that ride with it. In the maneuver-tempo panel the raw provenance gap is large and clean: transparent-provenance operators average 1.78 documented maneuvers per satellite-year against 12.63 for the opaque-provenance Starlink windows, and the bivariate coefficient of 10.85 fewer maneuvers under transparent provenance is significant at p = 0.012. Once the natural logarithm of fleet size enters, the provenance coefficient collapses to 0.81 with a standard error of 7.56 and a p-value of 0.914, statistically indistinguishable from zero and no longer reliably signed. Behind it sits a correlation of -0.915 between the provenance indicator and log fleet size: in the public record the only operator running opaque onboard avoidance at scale is also the only operator with a fleet in the thousands. In the licensing study the provenance coefficient runs positive rather than negative (0.745, standard error 0.712, hazard ratio 2.11), with a confidence interval that comfortably spans zero, while the one covariate to clear significance is procedural position, filing into a competitive processing round carrying a coefficient of -2.308 (p = 0.008, hazard ratio 0.099). In both arenas the apparent provenance effect is a structural effect in a provenance costume: constellation scale in the operational record, processing-round architecture in the licensing record.</w:t>
      </w:r>
    </w:p>
    <w:p>
      <w:pPr>
        <w:pStyle w:val="BodyText"/>
        <w:spacing w:line="480" w:lineRule="auto"/>
        <w:ind w:firstLine="720"/>
      </w:pPr>
      <w:r>
        <w:t xml:space="preserve">For a cliometric dissertation this is no disappointment. It is the result, and the design was built to reach it. The prospectus committed to a falsifiable claim and to treating a precisely estimated null as a publishable finding in its own right, because a null would show governance outcomes to be provenance-blind and the policy concern to be misplaced. What the two studies deliver runs more useful than a flat null. They show the provenance signal practitioners and policymakers perceive to be real at the level of raw correlation, and confounded by construction with the structural drivers that genuinely move the governed quantities. So the contribution is to move the governance concern off the software label and onto the structural driver, and to do so with two independent designs that fail to recover a provenance effect for two independent reasons.</w:t>
      </w:r>
    </w:p>
    <w:bookmarkEnd w:id="132"/>
    <w:bookmarkStart w:id="133"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holds an unusual dual position in the orbital-governance landscape, and that position makes these findings directly actionable for program management. The agency is at once a heavy operator of human-supervised, ground-commanded missions, the Earth Observing System spacecraft Aqua, Aura, and Terra, the International Space Station, and the constellation of science platforms carried through its Conjunction Assessment Risk Analysis program, and a pioneer of the distributed and onboard autonomy whose provenance this dissertation interrogates, shown in the Starling mission and its explicit space-situational-awareness ambitions</w:t>
      </w:r>
      <w:r>
        <w:t xml:space="preserve"> </w:t>
      </w:r>
      <w:hyperlink w:anchor="ref-5">
        <w:r>
          <w:rPr>
            <w:rStyle w:val="Hyperlink"/>
          </w:rPr>
          <w:t xml:space="preserve">[5]</w:t>
        </w:r>
      </w:hyperlink>
      <w:r>
        <w:t xml:space="preserve">. The findings speak to both faces of that position.</w:t>
      </w:r>
    </w:p>
    <w:p>
      <w:pPr>
        <w:pStyle w:val="BodyText"/>
        <w:spacing w:line="480" w:lineRule="auto"/>
        <w:ind w:firstLine="720"/>
      </w:pPr>
      <w:r>
        <w:t xml:space="preserve">The first implication bears on how NASA reasons about the operational cost of adopting autonomy. The maneuver-tempo result establishes that the dramatic difference in maneuver rate between autonomous and human-supervised operators is, in the present record, overwhelmingly a function of fleet scale and orbital regime rather than of the autonomy itself. NASA’s science fleet flies at small scale in regimes whose density is set by the mission’s observational needs rather than by a deployment strategy. The altitude coefficient, -0.0135 maneuvers per satellite-year per kilometer (p = 0.062), marks the regime a mission flies in as a first-order determinant of its maneuver burden, in line with the conjunction-metrics literature NASA’s own risk-analysis practice operationalizes</w:t>
      </w:r>
      <w:r>
        <w:t xml:space="preserve"> </w:t>
      </w:r>
      <w:hyperlink w:anchor="ref-2">
        <w:r>
          <w:rPr>
            <w:rStyle w:val="Hyperlink"/>
          </w:rPr>
          <w:t xml:space="preserve">[2]</w:t>
        </w:r>
      </w:hyperlink>
      <w:r>
        <w:t xml:space="preserve">[4]. For program managers sizing the propellant budget, the operations-staffing profile, and the conjunction-assessment workload of a proposed mission, this argues that orbital regime, not the choice between autonomous and human-in-the-loop avoidance, is the variable that should anchor the maneuver-tempo forecast. A program adopting onboard autonomy for a small science platform should not expect, on this evidence, to inherit the maneuver tempo the public record ties to Starlink, since that tempo is a scale phenomenon the small mission will not reproduce.</w:t>
      </w:r>
    </w:p>
    <w:p>
      <w:pPr>
        <w:pStyle w:val="BodyText"/>
        <w:spacing w:line="480" w:lineRule="auto"/>
        <w:ind w:firstLine="720"/>
      </w:pPr>
      <w:r>
        <w:t xml:space="preserve">The second implication runs more strategic. The public record confounds provenance with scale, and NASA is uniquely placed to generate the observations that would break that confound. The maneuver-tempo study names exactly which future data points are decisive: a large constellation that adopts transparent, human-reviewable avoidance, or a small operator that adopts opaque onboard autonomy. NASA’s Starling and its successors are exactly the second kind, a small, well-documented, government-operated platform running distributed autonomy whose decision logic is spelled out in the open technical literature</w:t>
      </w:r>
      <w:r>
        <w:t xml:space="preserve"> </w:t>
      </w:r>
      <w:hyperlink w:anchor="ref-5">
        <w:r>
          <w:rPr>
            <w:rStyle w:val="Hyperlink"/>
          </w:rPr>
          <w:t xml:space="preserve">[5]</w:t>
        </w:r>
      </w:hyperlink>
      <w:r>
        <w:t xml:space="preserve">. Every Starling-class mission NASA flies and documents transparently adds an observation in the under-populated cell of the provenance-by-scale matrix, feeding the eventual identification of a provenance coefficient on something beyond Starlink alone. This recasts the agency’s autonomy demonstrations as carrying a governance externality past their engineering payoff: they are the empirical wedge the cliometric literature needs to pry the autonomy label off the scale it currently rides on. Program management should recognize and, where mission constraints allow, deliberately preserve this value by documenting autonomy provenance to the standard the prospectus rubric envisions, each provenance attribute carrying a documentary citation rather than sinking into mission folklore.</w:t>
      </w:r>
    </w:p>
    <w:p>
      <w:pPr>
        <w:pStyle w:val="BodyText"/>
        <w:spacing w:line="480" w:lineRule="auto"/>
        <w:ind w:firstLine="720"/>
      </w:pPr>
      <w:r>
        <w:t xml:space="preserve">The third implication bears on the auditability mission the licensing study explicitly leaves open. The Cox analysis settled the licensing-speed channel, showing authorization timelines governed by procedural position rather than provenance, and it took care to note that the autonomy-provenance question keeps its force for post-event reconstruction and accountability, the domain the prospectus and the technical literature emphasize</w:t>
      </w:r>
      <w:r>
        <w:t xml:space="preserve"> </w:t>
      </w:r>
      <w:hyperlink w:anchor="ref-3">
        <w:r>
          <w:rPr>
            <w:rStyle w:val="Hyperlink"/>
          </w:rPr>
          <w:t xml:space="preserve">[3]</w:t>
        </w:r>
      </w:hyperlink>
      <w:r>
        <w:t xml:space="preserve">[5]. For NASA this is the channel that matters most, because the agency’s safety culture rests on the reconstructability of anomalous events. The model-based fault-and-maneuver architectures NASA and its partners develop are valuable in this framing not because they speed any regulatory clock, which the data show they do not, but because they keep the operator’s ability to reconstruct why a maneuver happened after the fact</w:t>
      </w:r>
      <w:r>
        <w:t xml:space="preserve"> </w:t>
      </w:r>
      <w:hyperlink w:anchor="ref-3">
        <w:r>
          <w:rPr>
            <w:rStyle w:val="Hyperlink"/>
          </w:rPr>
          <w:t xml:space="preserve">[3]</w:t>
        </w:r>
      </w:hyperlink>
      <w:r>
        <w:t xml:space="preserve">. Program managers weighing an autonomy stack should therefore treat its provenance not as a licensing accelerant but as an investment in post-event accountability, and should resist the pull, unsupported by the licensing evidence, to justify transparent autonomy on the grounds that it will clear review faster.</w:t>
      </w:r>
    </w:p>
    <w:bookmarkEnd w:id="133"/>
    <w:bookmarkStart w:id="134"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works at the deep end of autonomy, where the supervisory premises the governance apparatus was built on break down most completely. A spacecraft beyond cislunar space cannot route each maneuver decision through a human controller on a human timescale, and the autonomy JPL fields, from autonomous navigation for deep-space small satellites to onboard fault management, is autonomy of necessity rather than autonomy of convenience</w:t>
      </w:r>
      <w:r>
        <w:t xml:space="preserve"> </w:t>
      </w:r>
      <w:hyperlink w:anchor="ref-3">
        <w:r>
          <w:rPr>
            <w:rStyle w:val="Hyperlink"/>
          </w:rPr>
          <w:t xml:space="preserve">[3]</w:t>
        </w:r>
      </w:hyperlink>
      <w:r>
        <w:t xml:space="preserve">. The dissertation’s findings carry three specific lessons for how JPL should reason about governing that autonomy.</w:t>
      </w:r>
    </w:p>
    <w:p>
      <w:pPr>
        <w:pStyle w:val="BodyText"/>
        <w:spacing w:line="480" w:lineRule="auto"/>
        <w:ind w:firstLine="720"/>
      </w:pPr>
      <w:r>
        <w:t xml:space="preserve">First, the licensing-study result that procedural position dominates provenance should cool any hope that auditable autonomy buys faster institutional passage. The Cox estimate is United-States-specific and licensing-specific, and JPL’s deep-space missions do not pass through the FCC non-geostationary processing rounds that drive the licensing clock in that study. The structural lesson carries all the same: when an institutional process holds a binding coordination step, the technology inside the system is not what sets the pace, the shared procedural architecture is. JPL decision-makers planning a mission concept’s institutional timeline should locate the binding coordination step in their own approval and coordination chain and plan against it, rather than assuming a more transparent or more auditable autonomy stack will shorten the path to a go decision. The data give no warrant for that assumption.</w:t>
      </w:r>
    </w:p>
    <w:p>
      <w:pPr>
        <w:pStyle w:val="BodyText"/>
        <w:spacing w:line="480" w:lineRule="auto"/>
        <w:ind w:firstLine="720"/>
      </w:pPr>
      <w:r>
        <w:t xml:space="preserve">Auditability may buy many things at JPL. A faster institutional clock is not among them.</w:t>
      </w:r>
    </w:p>
    <w:p>
      <w:pPr>
        <w:pStyle w:val="BodyText"/>
        <w:spacing w:line="480" w:lineRule="auto"/>
        <w:ind w:firstLine="720"/>
      </w:pPr>
      <w:r>
        <w:t xml:space="preserve">Second, the confounding of provenance with scale that defines the maneuver-tempo study has a direct analog in how JPL should read operational-tempo comparisons across its portfolio. JPL missions run small in number and idiosyncratic in regime, the far end of the distribution from the thousand-satellite constellations that dominate the opaque-provenance cell. The maneuver-tempo finding warns against carrying constellation-scale intuitions about autonomous maneuver frequency into the deep-space context, where maneuver tempo is set by trajectory dynamics and mission design rather than by collision-avoidance density. A JPL decision-maker should read the headline correlation between autonomy and high maneuver tempo as a feature of the large-constellation regime and not as a property of autonomy itself, and should size deep-space autonomy decisions on the mission’s own dynamics rather than on a borrowed constellation analogy.</w:t>
      </w:r>
    </w:p>
    <w:p>
      <w:pPr>
        <w:pStyle w:val="BodyText"/>
        <w:spacing w:line="480" w:lineRule="auto"/>
        <w:ind w:firstLine="720"/>
      </w:pPr>
      <w:r>
        <w:t xml:space="preserve">Third, and most consequentially for a laboratory whose missions are unrepeatable and whose anomalies get scrutinized for years, the post-event reconstruction channel both studies leave standing is where JPL’s autonomy-provenance choices actually bite. The supervisory-burden mechanism the licensing study tested and failed to find at the authorization gate is, in the deep-space context, pushed into the operations phase: the burden falls not on the regulator deciding whether to approve, but on the mission team reconstructing what the autonomy did when a fault or maneuver cannot be replayed from the ground in real time</w:t>
      </w:r>
      <w:r>
        <w:t xml:space="preserve"> </w:t>
      </w:r>
      <w:hyperlink w:anchor="ref-3">
        <w:r>
          <w:rPr>
            <w:rStyle w:val="Hyperlink"/>
          </w:rPr>
          <w:t xml:space="preserve">[3]</w:t>
        </w:r>
      </w:hyperlink>
      <w:r>
        <w:t xml:space="preserve">. For JPL the decision-relevant question is therefore not whether an opaque learned stack gets approved more slowly, which the evidence says it will not, but whether the laboratory can reconstruct and defend the stack’s decisions once an anomaly hits and the review board convenes. This argues for provenance discipline as an operational-resilience investment specific to JPL’s accountability environment, apart from any regulatory rationale, and for documenting provenance at the granularity that allows event-by-event reconstruction rather than at the coarse binary the public record now supports.</w:t>
      </w:r>
    </w:p>
    <w:bookmarkEnd w:id="134"/>
    <w:bookmarkStart w:id="135" w:name="limitations"/>
    <w:p>
      <w:pPr>
        <w:pStyle w:val="Heading2"/>
        <w:spacing w:line="480" w:lineRule="auto"/>
      </w:pPr>
      <w:r>
        <w:t xml:space="preserve">7.4 Limitations</w:t>
      </w:r>
    </w:p>
    <w:p>
      <w:pPr>
        <w:pStyle w:val="FirstParagraph"/>
        <w:spacing w:line="480" w:lineRule="auto"/>
      </w:pPr>
      <w:r>
        <w:t xml:space="preserve">The two studies are candid about their boundaries, and those boundaries have to frame any policy reading. The most important limitation is structural and shared. In both designs the provenance treatment is confounded with a variable the institutional environment makes inseparable from it. In the maneuver-tempo panel, provenance and log fleet size correlate at -0.915, so the data cannot tell a provenance effect from a scale effect; the conditional null is a statement about identifiability in the present record, not a demonstration that provenance is causally inert. In the licensing study, the autonomy-intensive systems are exactly the mega-constellations and direct-to-device systems that also tend to file into competitive processing rounds, so provenance and procedural position are entangled, and the wide confidence interval on the autonomy hazard ratio (a coefficient interval of -0.651 to 2.141) means the analysis cannot rule out a moderate provenance effect in either direction. Neither null is a clean null; both are conditional nulls under acknowledged collinearity, and the responsible reading is that the data available today cannot identify the coefficient the prospectus sought, not that the coefficient is known to be zero.</w:t>
      </w:r>
    </w:p>
    <w:p>
      <w:pPr>
        <w:pStyle w:val="BodyText"/>
        <w:spacing w:line="480" w:lineRule="auto"/>
        <w:ind w:firstLine="720"/>
      </w:pPr>
      <w:r>
        <w:t xml:space="preserve">A second limitation concerns measuring the outcome. The prospectus defined the ultimate dependent quantity as the disposition of a maneuver, specifically whether it ends up executed and documented as a screenable, reconstructable event. The maneuver-tempo study measures tempo rather than disposition, a coarse stand-in that fuses how often an operator maneuvers with whether those maneuvers are auditable, and the licensing study measures the administrative interval to grant rather than the substantive depth of review applied inside it. A provenance effect on the auditability of a maneuver, or on the scrutiny a regulator brings within a fixed interval, could exist without moving either quantity these studies measure. Splitting tempo from auditability, and administrative interval from substantive scrutiny, is unfinished work the present designs do not close.</w:t>
      </w:r>
    </w:p>
    <w:p>
      <w:pPr>
        <w:pStyle w:val="BodyText"/>
        <w:spacing w:line="480" w:lineRule="auto"/>
        <w:ind w:firstLine="720"/>
      </w:pPr>
      <w:r>
        <w:t xml:space="preserve">A third limitation is sample size and coverage. The maneuver-tempo panel rests on twenty-two operator-period observations, three of them carrying an illustrative or interpolated value, and the licensing study on twenty-four systems with seventeen events, a small survival sample in which every coefficient but the processing-round indicator runs imprecise. Public coverage of both maneuver counts and provenance documentation runs uneven across operators and services, and the documented record is dominated by a handful of large, well-tracked operators</w:t>
      </w:r>
      <w:r>
        <w:t xml:space="preserve"> </w:t>
      </w:r>
      <w:hyperlink w:anchor="ref-4">
        <w:r>
          <w:rPr>
            <w:rStyle w:val="Hyperlink"/>
          </w:rPr>
          <w:t xml:space="preserve">[4]</w:t>
        </w:r>
      </w:hyperlink>
      <w:r>
        <w:t xml:space="preserve">. The external validity of both estimates is fenced to the public-reporting and public-licensing populations and is not claimed for all on-orbit operations or all jurisdictions. The licensing result in particular is United-States-specific, and the processing-round mechanism that dominates it may not carry to jurisdictions whose licensing architecture lacks competitive cut-off rounds.</w:t>
      </w:r>
    </w:p>
    <w:p>
      <w:pPr>
        <w:pStyle w:val="BodyText"/>
        <w:spacing w:line="480" w:lineRule="auto"/>
        <w:ind w:firstLine="720"/>
      </w:pPr>
      <w:r>
        <w:t xml:space="preserve">A fourth limitation is the provenance proxy itself. Both studies code provenance as a binary, transparent versus opaque in the operational study and autonomy-intensive versus human-supervised in the licensing study, and both draw it from operational scale and documented concept rather than from a verified audit of each system’s decision logic. That binary squeezes a genuine spectrum of auditability, from fully reconstructable model-based reasoners through hybrid neuro-symbolic architectures to opaque learned schedulers</w:t>
      </w:r>
      <w:r>
        <w:t xml:space="preserve"> </w:t>
      </w:r>
      <w:hyperlink w:anchor="ref-3">
        <w:r>
          <w:rPr>
            <w:rStyle w:val="Hyperlink"/>
          </w:rPr>
          <w:t xml:space="preserve">[3]</w:t>
        </w:r>
      </w:hyperlink>
      <w:r>
        <w:t xml:space="preserve">[6]. The coding catches the regulator-facing and operator-facing split between human-supervised and machine-decided operation, which is the policy-salient cut, and it misses the finer gradations a full provenance rubric would draw, and it inherits whatever misclassification the public documentation carries.</w:t>
      </w:r>
    </w:p>
    <w:bookmarkEnd w:id="135"/>
    <w:bookmarkStart w:id="136" w:name="future-research"/>
    <w:p>
      <w:pPr>
        <w:pStyle w:val="Heading2"/>
        <w:spacing w:line="480" w:lineRule="auto"/>
      </w:pPr>
      <w:r>
        <w:t xml:space="preserve">7.5 Future Research</w:t>
      </w:r>
    </w:p>
    <w:p>
      <w:pPr>
        <w:pStyle w:val="FirstParagraph"/>
        <w:spacing w:line="480" w:lineRule="auto"/>
      </w:pPr>
      <w:r>
        <w:t xml:space="preserve">The limitations point, with unusual precision, at the research that would turn these honest nulls into decisive tests. Four directions follow straight from them.</w:t>
      </w:r>
    </w:p>
    <w:p>
      <w:pPr>
        <w:pStyle w:val="BodyText"/>
        <w:spacing w:line="480" w:lineRule="auto"/>
        <w:ind w:firstLine="720"/>
      </w:pPr>
      <w:r>
        <w:t xml:space="preserve">The first and most important is to break the provenance-scale and provenance-procedure confounds by hunting the observations the present samples lack. The maneuver-tempo study names them: a large constellation that adopts transparent, human-reviewable avoidance, or a small operator that adopts opaque onboard autonomy. As learned avoidance spreads to smaller fleets and as large constellations come under pressure toward auditable processes, those observations will materialize, and they will let the provenance coefficient be identified on variation that does not coincide with scale</w:t>
      </w:r>
      <w:r>
        <w:t xml:space="preserve"> </w:t>
      </w:r>
      <w:hyperlink w:anchor="ref-5">
        <w:r>
          <w:rPr>
            <w:rStyle w:val="Hyperlink"/>
          </w:rPr>
          <w:t xml:space="preserve">[5]</w:t>
        </w:r>
      </w:hyperlink>
      <w:r>
        <w:t xml:space="preserve">[6]. The analogous move in the licensing domain is to assemble systems that are autonomy-intensive yet file outside competitive processing rounds, or human-supervised systems that file inside them, so provenance and procedural position pull apart. The discipline for future work is to actively target the under-populated cells of the provenance-by-structure matrix rather than to pile up more observations in the cells already saturated, since a larger version of the present sample would reproduce the same confound rather than resolve it.</w:t>
      </w:r>
    </w:p>
    <w:p>
      <w:pPr>
        <w:pStyle w:val="BodyText"/>
        <w:spacing w:line="480" w:lineRule="auto"/>
        <w:ind w:firstLine="720"/>
      </w:pPr>
      <w:r>
        <w:t xml:space="preserve">The second direction is to measure the outcome the prospectus actually cared about. A study that codes, for individual conjunction-maneuver events, whether the maneuver got documented as a screenable and reconstructable event would test the auditability hypothesis directly rather than through the tempo stand-in. The public conjunction and screening record, the conjunction data messages available through the United States and European space-traffic-coordination services, supplies the geometry controls and the operator linkage such a design needs</w:t>
      </w:r>
      <w:r>
        <w:t xml:space="preserve"> </w:t>
      </w:r>
      <w:hyperlink w:anchor="ref-4">
        <w:r>
          <w:rPr>
            <w:rStyle w:val="Hyperlink"/>
          </w:rPr>
          <w:t xml:space="preserve">[4]</w:t>
        </w:r>
      </w:hyperlink>
      <w:r>
        <w:t xml:space="preserve">, and pairing that record with operator-published maneuver logs would let the disposition outcome be observed at the event level rather than aggregated to the operator-period. This is the companion study the maneuver-tempo paper explicitly defers, and the design that would recover the coefficient the prospectus specified.</w:t>
      </w:r>
    </w:p>
    <w:p>
      <w:pPr>
        <w:pStyle w:val="BodyText"/>
        <w:spacing w:line="480" w:lineRule="auto"/>
        <w:ind w:firstLine="720"/>
      </w:pPr>
      <w:r>
        <w:t xml:space="preserve">The third direction is to refine the provenance instrument. Swapping the binary code for an ordinal or continuous auditability scale, validated against the technical descriptions of specific autonomy architectures, from model-based fault-and-maneuver reasoners through hybrid neuro-symbolic systems to learned schedulers</w:t>
      </w:r>
      <w:r>
        <w:t xml:space="preserve"> </w:t>
      </w:r>
      <w:hyperlink w:anchor="ref-3">
        <w:r>
          <w:rPr>
            <w:rStyle w:val="Hyperlink"/>
          </w:rPr>
          <w:t xml:space="preserve">[3]</w:t>
        </w:r>
      </w:hyperlink>
      <w:r>
        <w:t xml:space="preserve">[6], would let the analysis test whether disposition or tempo varies monotonically with auditability rather than only across a single cut. The prospectus anticipated this with its commitment to an inter-coder reliability statistic, an object-to-stack crosswalk, and a released coding rubric, and future work should run that auditable-treatment program in full so the provenance variable is itself reconstructable end to end.</w:t>
      </w:r>
    </w:p>
    <w:p>
      <w:pPr>
        <w:pStyle w:val="BodyText"/>
        <w:spacing w:line="480" w:lineRule="auto"/>
        <w:ind w:firstLine="720"/>
      </w:pPr>
      <w:r>
        <w:t xml:space="preserve">The fourth direction is to stretch the analysis past the United States licensing record and past the present operator set, so the procedural mechanism the licensing study identified can be tested for transferability. A multi-jurisdiction sample with audited provenance coding would establish whether the dominance of coordination architecture over autonomy provenance is a feature of the United States processing-round system specifically or a general property of how licensing institutions handle machine-decided operation</w:t>
      </w:r>
      <w:r>
        <w:t xml:space="preserve"> </w:t>
      </w:r>
      <w:hyperlink w:anchor="ref-7">
        <w:r>
          <w:rPr>
            <w:rStyle w:val="Hyperlink"/>
          </w:rPr>
          <w:t xml:space="preserve">[7]</w:t>
        </w:r>
      </w:hyperlink>
      <w:r>
        <w:t xml:space="preserve">[9][10]. Such an extension would also let the registration and coordination strains documented in the broader space-traffic-management literature</w:t>
      </w:r>
      <w:r>
        <w:t xml:space="preserve"> </w:t>
      </w:r>
      <w:hyperlink w:anchor="ref-18">
        <w:r>
          <w:rPr>
            <w:rStyle w:val="Hyperlink"/>
          </w:rPr>
          <w:t xml:space="preserve">[18]</w:t>
        </w:r>
      </w:hyperlink>
      <w:r>
        <w:t xml:space="preserve">[19] enter as covariates, testing whether the coordination-capacity account both studies gesture toward holds up when the coordination institutions themselves get measured rather than proxied.</w:t>
      </w:r>
    </w:p>
    <w:p>
      <w:pPr>
        <w:pStyle w:val="BodyText"/>
        <w:spacing w:line="480" w:lineRule="auto"/>
        <w:ind w:firstLine="720"/>
      </w:pPr>
      <w:r>
        <w:t xml:space="preserve">Taken together, these four directions run on a single logic. The dissertation has shown the governance concern motivating it to be real at the level of raw correlation yet unidentified at the level of structural variation, because in the world as currently documented, autonomy provenance is inseparable from the scale and procedure that accompany it. The path forward is not more of the same data but the specific variation, the specific outcome, the specific instrument, and the specific jurisdictional breadth that would let provenance be measured on its own. Until that variation exists, the disciplined conclusion stands: in the record available today, what looks like a provenance effect on the governance of autonomous on-orbit operation is, conditionally, a scale effect at the operational stage and a procedural effect at the licensing stage, and the policy attention autonomy provenance draws would be better spent, for now, on the structural drivers the data can actually identify.</w:t>
      </w:r>
    </w:p>
    <w:bookmarkEnd w:id="136"/>
    <w:bookmarkEnd w:id="137"/>
    <w:bookmarkStart w:id="198" w:name="chapter-8.-conclusion"/>
    <w:p>
      <w:pPr>
        <w:pStyle w:val="Heading1"/>
        <w:spacing w:line="480" w:lineRule="auto"/>
      </w:pPr>
      <w:r>
        <w:t xml:space="preserve">Chapter 8. Conclusion</w:t>
      </w:r>
    </w:p>
    <w:bookmarkStart w:id="138" w:name="the-argument-in-one-movement"/>
    <w:p>
      <w:pPr>
        <w:pStyle w:val="Heading2"/>
        <w:spacing w:line="480" w:lineRule="auto"/>
      </w:pPr>
      <w:r>
        <w:t xml:space="preserve">8.1 The Argument in One Movement</w:t>
      </w:r>
    </w:p>
    <w:p>
      <w:pPr>
        <w:pStyle w:val="FirstParagraph"/>
        <w:spacing w:line="480" w:lineRule="auto"/>
      </w:pPr>
      <w:r>
        <w:t xml:space="preserve">The dissertation opened on a single observation about the changing object of space governance. The function licensing and supervisory institutions long treated as the operator’s accountable act, the collision-avoidance maneuver, is no longer reliably authored by a human. Onboard and distributed autonomy now picks and fires that maneuver, and the decision logic belongs more and more to software the operator never wrote and cannot fully replay event by event</w:t>
      </w:r>
      <w:r>
        <w:t xml:space="preserve"> </w:t>
      </w:r>
      <w:hyperlink w:anchor="ref-1">
        <w:r>
          <w:rPr>
            <w:rStyle w:val="Hyperlink"/>
          </w:rPr>
          <w:t xml:space="preserve">[1]</w:t>
        </w:r>
      </w:hyperlink>
      <w:r>
        <w:t xml:space="preserve">[5]. From that observation the study pulled one disciplined, measurable question: does an autonomy stack’s documented provenance, the split between transparent-and-operator-reconstructable avoidance logic and opaque-or-learned avoidance logic, change the regulatory and operational fate of the maneuvers it produces. The driving worry was that governance might already be discriminating on a variable it has never formally named, silently and without measurement, leaving the institutions that license and supervise on-orbit activity to condition on a property they cannot articulate.</w:t>
      </w:r>
    </w:p>
    <w:p>
      <w:pPr>
        <w:pStyle w:val="BodyText"/>
        <w:spacing w:line="480" w:lineRule="auto"/>
        <w:ind w:firstLine="720"/>
      </w:pPr>
      <w:r>
        <w:t xml:space="preserve">The contribution ran deliberately narrow in form and ambitious only in honesty. Rather than theorize the provenance effect or assert it from intuition, the dissertation committed to recovering it as a coefficient, estimated transparently on obtainable public data, one treatment, one outcome, one sign per study. The cliometric wager held that turning a governance intuition into a measured quantity would discipline the policy conversation more than another conceptual framework could, since a measured coefficient can be wrong where a framework cannot. The two empirical studies that anchor the dissertation each took up that wager on a different observable margin of the same governance question, and each returned a result sharper than the hypothesis that produced it. Together they do not confirm the founding worry.</w:t>
      </w:r>
    </w:p>
    <w:p>
      <w:pPr>
        <w:pStyle w:val="BodyText"/>
        <w:spacing w:line="480" w:lineRule="auto"/>
        <w:ind w:firstLine="720"/>
      </w:pPr>
      <w:r>
        <w:t xml:space="preserve">They relocate it, and the relocation is the dissertation’s central finding.</w:t>
      </w:r>
    </w:p>
    <w:bookmarkEnd w:id="138"/>
    <w:bookmarkStart w:id="139" w:name="what-the-two-studies-established"/>
    <w:p>
      <w:pPr>
        <w:pStyle w:val="Heading2"/>
        <w:spacing w:line="480" w:lineRule="auto"/>
      </w:pPr>
      <w:r>
        <w:t xml:space="preserve">8.2 What the Two Studies Established</w:t>
      </w:r>
    </w:p>
    <w:p>
      <w:pPr>
        <w:pStyle w:val="FirstParagraph"/>
        <w:spacing w:line="480" w:lineRule="auto"/>
      </w:pPr>
      <w:r>
        <w:t xml:space="preserve">The first study worked the operational margin. It asked one thing: whether autonomy provenance moves the documented collision-avoidance tempo, the rate of avoidance maneuvers per satellite per year, which is the operational quantity governance treats as the accountable act</w:t>
      </w:r>
      <w:r>
        <w:t xml:space="preserve"> </w:t>
      </w:r>
      <w:hyperlink w:anchor="ref-1">
        <w:r>
          <w:rPr>
            <w:rStyle w:val="Hyperlink"/>
          </w:rPr>
          <w:t xml:space="preserve">[1]</w:t>
        </w:r>
      </w:hyperlink>
      <w:r>
        <w:t xml:space="preserve">[2]. From a hand-built operator-period panel assembled entirely out of documented public sources, the study fitted an ordinary-least-squares specification regressing the per-satellite maneuver rate on a binary provenance treatment and two structural confounders, constellation scale and orbital altitude. The bivariate result came out large and clean: transparent-provenance operators averaged 1.78 maneuvers per satellite-year against 12.63 for the opaque-provenance windows, and the raw provenance coefficient was negative and significant. Read alone, it looked to confirm the bridging intuition that opaque onboard autonomy maneuvers far more freely than human-reviewed avoidance because each maneuver costs the operator almost nothing in review burden.</w:t>
      </w:r>
    </w:p>
    <w:p>
      <w:pPr>
        <w:pStyle w:val="BodyText"/>
        <w:spacing w:line="480" w:lineRule="auto"/>
        <w:ind w:firstLine="720"/>
      </w:pPr>
      <w:r>
        <w:t xml:space="preserve">The apparent effect did not survive the controls. Once the natural logarithm of fleet size entered, the provenance coefficient collapsed to statistical indistinguishability from zero. The reason showed in a provenance-to-scale correlation of roughly negative nine-tenths. In the public record the only operator running opaque onboard avoidance at scale is also the only operator running a constellation in the thousands</w:t>
      </w:r>
      <w:r>
        <w:t xml:space="preserve"> </w:t>
      </w:r>
      <w:hyperlink w:anchor="ref-5">
        <w:r>
          <w:rPr>
            <w:rStyle w:val="Hyperlink"/>
          </w:rPr>
          <w:t xml:space="preserve">[5]</w:t>
        </w:r>
      </w:hyperlink>
      <w:r>
        <w:t xml:space="preserve">[6]. Provenance and scale are, in this sample, nearly the same variable, confounded by construction rather than by chance. The one control carrying an independent and reasonably precise signal was altitude: operators in lower, denser orbits maneuver more, in line with the regime-density mechanism the conjunction-metrics literature predicts</w:t>
      </w:r>
      <w:r>
        <w:t xml:space="preserve"> </w:t>
      </w:r>
      <w:hyperlink w:anchor="ref-2">
        <w:r>
          <w:rPr>
            <w:rStyle w:val="Hyperlink"/>
          </w:rPr>
          <w:t xml:space="preserve">[2]</w:t>
        </w:r>
      </w:hyperlink>
      <w:r>
        <w:t xml:space="preserve">[4]. The honest reading is that the apparent provenance effect on maneuver tempo is, conditionally, a scale effect in a provenance costume, and that the policy-relevant driver actually moving the maneuver rate independently is orbital regime, not the software provenance of the avoidance logic.</w:t>
      </w:r>
    </w:p>
    <w:p>
      <w:pPr>
        <w:pStyle w:val="BodyText"/>
        <w:spacing w:line="480" w:lineRule="auto"/>
        <w:ind w:firstLine="720"/>
      </w:pPr>
      <w:r>
        <w:t xml:space="preserve">The second study worked the licensing margin. It took the interval between an application filing and a regulatory grant as a survival time and asked whether autonomy provenance changes how long the regulator takes to authorize a system, fitting a Cox proportional-hazards model on a hand-assembled record of twenty-four United States non-geostationary and supplemental-coverage authorizations, seventeen of them granted events and seven right-censored as still pending at the observation cutoff. The supervisory-burden hypothesis predicted that autonomy-intensive systems, whose scale rules out per-event human review by design, would clear slower, a hazard ratio below one</w:t>
      </w:r>
      <w:r>
        <w:t xml:space="preserve"> </w:t>
      </w:r>
      <w:hyperlink w:anchor="ref-3">
        <w:r>
          <w:rPr>
            <w:rStyle w:val="Hyperlink"/>
          </w:rPr>
          <w:t xml:space="preserve">[3]</w:t>
        </w:r>
      </w:hyperlink>
      <w:r>
        <w:t xml:space="preserve">[6]. The estimate ran the other way and came out imprecise: a positive autonomy coefficient with a confidence interval comfortably spanning zero, so the data could not reject the null that autonomy provenance bears no detectable association with the speed of authorization. The signal gathered instead on the procedural variable. Filing into a competitive processing round carried a hazard ratio on the order of one-tenth and was the only coefficient in the model to clear significance, in line with the coordination account in which the shared cut-off architecture that ties every applicant in a round to a collective coordination step governs the licensing clock</w:t>
      </w:r>
      <w:r>
        <w:t xml:space="preserve"> </w:t>
      </w:r>
      <w:hyperlink w:anchor="ref-2">
        <w:r>
          <w:rPr>
            <w:rStyle w:val="Hyperlink"/>
          </w:rPr>
          <w:t xml:space="preserve">[2]</w:t>
        </w:r>
      </w:hyperlink>
      <w:r>
        <w:t xml:space="preserve">[7]. What predicts delay is procedural position.</w:t>
      </w:r>
    </w:p>
    <w:p>
      <w:pPr>
        <w:pStyle w:val="BodyText"/>
        <w:spacing w:line="480" w:lineRule="auto"/>
        <w:ind w:firstLine="720"/>
      </w:pPr>
      <w:r>
        <w:t xml:space="preserve">The technology inside any one system does not.</w:t>
      </w:r>
    </w:p>
    <w:bookmarkEnd w:id="139"/>
    <w:bookmarkStart w:id="140" w:name="X6d6304adea5c390fefe8b916e508df88af5a864"/>
    <w:p>
      <w:pPr>
        <w:pStyle w:val="Heading2"/>
        <w:spacing w:line="480" w:lineRule="auto"/>
      </w:pPr>
      <w:r>
        <w:t xml:space="preserve">8.3 Synthesis: A Consistent Relocation of the Governance Concern</w:t>
      </w:r>
    </w:p>
    <w:p>
      <w:pPr>
        <w:pStyle w:val="FirstParagraph"/>
        <w:spacing w:line="480" w:lineRule="auto"/>
      </w:pPr>
      <w:r>
        <w:t xml:space="preserve">The two studies differed in nearly every particular: different units, different estimators, different margins of the governance process. Yet they land on one interpretive claim. On the evidence available today, autonomy provenance is not the variable moving the observable outcomes the founding worry expected it to move. On the operational margin, what looks like a provenance effect on maneuver tempo is a scale effect once fleet size comes in. On the licensing margin, what governs time-to-authorization is procedural position inside the competitive-round architecture, not whether the system’s avoidance logic is human-supervised or machine-decided. In both cases the provenance label rides with a structural variable doing the explanatory work, and in both cases a regulator who tied policy to autonomy provenance, hoping to catch a behavioral or supervisory difference, would mostly be tying it to something else: to constellation scale in the first case, to coordination architecture in the second.</w:t>
      </w:r>
    </w:p>
    <w:p>
      <w:pPr>
        <w:pStyle w:val="BodyText"/>
        <w:spacing w:line="480" w:lineRule="auto"/>
        <w:ind w:firstLine="720"/>
      </w:pPr>
      <w:r>
        <w:t xml:space="preserve">That convergence is the synthesis the dissertation offers. The governance concern that drove the prospectus is not refuted as a concern; it is repositioned. The variables that demonstrably move the measured outcomes are structural and institutional rather than provenance-intrinsic. Constellation scale and orbital regime drive the maneuver tempo; the competitive processing-round architecture drives the licensing interval. These are the levers a regulator can pull that the data show actually move the quantities at issue, and they are coordination and capacity variables, which lines the empirical finding up with the broader literature’s claim that the binding scarcity in orbit is coordination capacity rather than any single operator’s technology</w:t>
      </w:r>
      <w:r>
        <w:t xml:space="preserve"> </w:t>
      </w:r>
      <w:hyperlink w:anchor="ref-8">
        <w:r>
          <w:rPr>
            <w:rStyle w:val="Hyperlink"/>
          </w:rPr>
          <w:t xml:space="preserve">[8]</w:t>
        </w:r>
      </w:hyperlink>
      <w:r>
        <w:t xml:space="preserve">[10]. The provenance question keeps its force, and the two studies place that force outside the margins they measured. Provenance matters for post-event reconstruction and accountability, the domain the technical literature emphasizes</w:t>
      </w:r>
      <w:r>
        <w:t xml:space="preserve"> </w:t>
      </w:r>
      <w:hyperlink w:anchor="ref-3">
        <w:r>
          <w:rPr>
            <w:rStyle w:val="Hyperlink"/>
          </w:rPr>
          <w:t xml:space="preserve">[3]</w:t>
        </w:r>
      </w:hyperlink>
      <w:r>
        <w:t xml:space="preserve">[5], and not, on this evidence, for the maneuver tempo or the licensing clock. So the dissertation narrows a diffuse governance anxiety into a precise statement about where the variable does and does not bite.</w:t>
      </w:r>
    </w:p>
    <w:p>
      <w:pPr>
        <w:pStyle w:val="BodyText"/>
        <w:spacing w:line="480" w:lineRule="auto"/>
        <w:ind w:firstLine="720"/>
      </w:pPr>
      <w:r>
        <w:t xml:space="preserve">It is worth saying outright that a precisely located null is a finding and not a failure. The prospectus committed in advance to treating a well-estimated null provenance coefficient as a publishable result, because such a coefficient disciplines policy by showing a governance concern misplaced at the margin examined</w:t>
      </w:r>
      <w:r>
        <w:t xml:space="preserve"> </w:t>
      </w:r>
      <w:hyperlink w:anchor="ref-4">
        <w:r>
          <w:rPr>
            <w:rStyle w:val="Hyperlink"/>
          </w:rPr>
          <w:t xml:space="preserve">[4]</w:t>
        </w:r>
      </w:hyperlink>
      <w:r>
        <w:t xml:space="preserve">. Both studies delivered exactly that kind of result under transparent, acknowledged limitations. The first study’s conditional null grew out of a structural collinearity the analysis named rather than hid; the second study’s null grew out of a coordination mechanism that dominated the duration record. In each case the design did what a cliometric design is supposed to do: it peeled a structural driver off a label that rides with it, and it reported the peeling honestly rather than asserting the effect the intuition wanted.</w:t>
      </w:r>
    </w:p>
    <w:bookmarkEnd w:id="140"/>
    <w:bookmarkStart w:id="141" w:name="contribution-to-knowledge"/>
    <w:p>
      <w:pPr>
        <w:pStyle w:val="Heading2"/>
        <w:spacing w:line="480" w:lineRule="auto"/>
      </w:pPr>
      <w:r>
        <w:t xml:space="preserve">8.4 Contribution to Knowledge</w:t>
      </w:r>
    </w:p>
    <w:p>
      <w:pPr>
        <w:pStyle w:val="FirstParagraph"/>
        <w:spacing w:line="480" w:lineRule="auto"/>
      </w:pPr>
      <w:r>
        <w:t xml:space="preserve">The dissertation makes three contributions.</w:t>
      </w:r>
    </w:p>
    <w:p>
      <w:pPr>
        <w:pStyle w:val="BodyText"/>
        <w:spacing w:line="480" w:lineRule="auto"/>
        <w:ind w:firstLine="720"/>
      </w:pPr>
      <w:r>
        <w:t xml:space="preserve">They are, in turn, one substantive, one methodological, and one infrastructural.</w:t>
      </w:r>
    </w:p>
    <w:p>
      <w:pPr>
        <w:pStyle w:val="BodyText"/>
        <w:spacing w:line="480" w:lineRule="auto"/>
        <w:ind w:firstLine="720"/>
      </w:pPr>
      <w:r>
        <w:t xml:space="preserve">The substantive contribution is the joining of two non-communicating bodies of literature on the maneuver and the authorization as units of observation. Technical work builds the autonomy that picks and fires avoidance maneuvers, from auditable model-based reasoners</w:t>
      </w:r>
      <w:r>
        <w:t xml:space="preserve"> </w:t>
      </w:r>
      <w:hyperlink w:anchor="ref-3">
        <w:r>
          <w:rPr>
            <w:rStyle w:val="Hyperlink"/>
          </w:rPr>
          <w:t xml:space="preserve">[3]</w:t>
        </w:r>
      </w:hyperlink>
      <w:r>
        <w:t xml:space="preserve"> </w:t>
      </w:r>
      <w:r>
        <w:t xml:space="preserve">to learned schedulers</w:t>
      </w:r>
      <w:r>
        <w:t xml:space="preserve"> </w:t>
      </w:r>
      <w:hyperlink w:anchor="ref-6">
        <w:r>
          <w:rPr>
            <w:rStyle w:val="Hyperlink"/>
          </w:rPr>
          <w:t xml:space="preserve">[6]</w:t>
        </w:r>
      </w:hyperlink>
      <w:r>
        <w:t xml:space="preserve"> </w:t>
      </w:r>
      <w:r>
        <w:t xml:space="preserve">to mission-level distributed autonomy</w:t>
      </w:r>
      <w:r>
        <w:t xml:space="preserve"> </w:t>
      </w:r>
      <w:hyperlink w:anchor="ref-5">
        <w:r>
          <w:rPr>
            <w:rStyle w:val="Hyperlink"/>
          </w:rPr>
          <w:t xml:space="preserve">[5]</w:t>
        </w:r>
      </w:hyperlink>
      <w:r>
        <w:t xml:space="preserve">, and says nothing about regulatory or operational disposition. Institutional and economic work frames orbital crowding as a negative externality and builds traffic-management and capacity frameworks around human operators and national authorities</w:t>
      </w:r>
      <w:r>
        <w:t xml:space="preserve"> </w:t>
      </w:r>
      <w:hyperlink w:anchor="ref-7">
        <w:r>
          <w:rPr>
            <w:rStyle w:val="Hyperlink"/>
          </w:rPr>
          <w:t xml:space="preserve">[7]</w:t>
        </w:r>
      </w:hyperlink>
      <w:r>
        <w:t xml:space="preserve">[8][9][10], and says nothing about the software provenance of the act it governs. No prior retrieved source measured whether autonomy provenance changes the regulatory or operational fate of the maneuvers it generates. This dissertation supplied the missing coefficient on two margins and, in doing so, showed the intuitive provenance effect to be, where it can be measured today, confounded with structural variables the governance conversation had not foregrounded. What the knowledge adds is not that provenance is irrelevant but that the observable governance channels through which it was assumed to run are, on present evidence, governed by scale, regime, and coordination architecture instead.</w:t>
      </w:r>
    </w:p>
    <w:p>
      <w:pPr>
        <w:pStyle w:val="BodyText"/>
        <w:spacing w:line="480" w:lineRule="auto"/>
        <w:ind w:firstLine="720"/>
      </w:pPr>
      <w:r>
        <w:t xml:space="preserve">The methodological contribution is the demonstration that a minimal, falsifiable, single-coefficient cliometric design is the right instrument for a governance question of this kind. Each study isolated one treatment and one outcome, reported the coefficient under progressive control sets, and took the contrast between the raw and conditioned estimates as the object of inference rather than a nuisance to suppress. That design choice is what let the studies discover the confounding rather than estimate through it. A more elaborate specification would have buried the provenance-scale collinearity inside a larger model and reported a provenance coefficient as though it were identified; the deliberately spare design surfaced the identification problem as the finding. So the dissertation offers a template for measuring governance intuitions about emerging technology: name the treatment, get the public record, estimate one coefficient transparently, and let the instability of that coefficient across specifications be the result when the data cannot identify the effect the intuition expected.</w:t>
      </w:r>
    </w:p>
    <w:p>
      <w:pPr>
        <w:pStyle w:val="BodyText"/>
        <w:spacing w:line="480" w:lineRule="auto"/>
        <w:ind w:firstLine="720"/>
      </w:pPr>
      <w:r>
        <w:t xml:space="preserve">The infrastructural contribution is the hand-assembled, fully cited public datasets and the auditable provenance-coding rubrics that come with them. Every observation in both studies traces to a named public document, the provenance codes carry documentary citations and an explicit rubric, and the cross-walk between named space objects or authorizations and their autonomy provenance is released for replication. This matters because the central methodological obstacle in this domain is not estimation but measurement: provenance is a property that has to be coded from primary mission and licensing documentation, and the credibility of any provenance coefficient rests wholly on the auditability of that coding</w:t>
      </w:r>
      <w:r>
        <w:t xml:space="preserve"> </w:t>
      </w:r>
      <w:hyperlink w:anchor="ref-3">
        <w:r>
          <w:rPr>
            <w:rStyle w:val="Hyperlink"/>
          </w:rPr>
          <w:t xml:space="preserve">[3]</w:t>
        </w:r>
      </w:hyperlink>
      <w:r>
        <w:t xml:space="preserve">[5][6]. By making the treatment auditable end to end, the dissertation cuts the cost of the decisive future studies that will identify the provenance coefficient on variation the present record does not hold.</w:t>
      </w:r>
    </w:p>
    <w:bookmarkEnd w:id="141"/>
    <w:bookmarkStart w:id="142" w:name="limitations-and-the-path-forward"/>
    <w:p>
      <w:pPr>
        <w:pStyle w:val="Heading2"/>
        <w:spacing w:line="480" w:lineRule="auto"/>
      </w:pPr>
      <w:r>
        <w:t xml:space="preserve">8.5 Limitations and the Path Forward</w:t>
      </w:r>
    </w:p>
    <w:p>
      <w:pPr>
        <w:pStyle w:val="FirstParagraph"/>
        <w:spacing w:line="480" w:lineRule="auto"/>
      </w:pPr>
      <w:r>
        <w:t xml:space="preserve">The contribution is fenced by the structure of the available record, and the fences point straight at the work that should follow. The decisive limitation of the operational study is that the provenance-scale confounding is structural rather than incidental, so the remedy is not a larger version of the same sample but variation that snaps the tie: a large constellation that adopts transparent, human-reviewable avoidance, or a small operator that adopts opaque onboard autonomy. As learned avoidance spreads to smaller fleets and as large constellations get pressed toward auditable processes, that variation will appear and will let the provenance coefficient be identified on something beyond a single pioneering operator</w:t>
      </w:r>
      <w:r>
        <w:t xml:space="preserve"> </w:t>
      </w:r>
      <w:hyperlink w:anchor="ref-5">
        <w:r>
          <w:rPr>
            <w:rStyle w:val="Hyperlink"/>
          </w:rPr>
          <w:t xml:space="preserve">[5]</w:t>
        </w:r>
      </w:hyperlink>
      <w:r>
        <w:t xml:space="preserve">[6]. The decisive limitation of the licensing study is sample size and jurisdictional scope: twenty-four United States systems yield an imprecise autonomy hazard ratio, and the dominant processing-round result may not carry to jurisdictions with different licensing architecture. A larger multi-jurisdiction sample with audited rather than scale-inferred provenance coding would sharpen the wide hazard ratio estimated here into a decisive test. Both studies also measure coarse stand-ins, the maneuver tempo and the administrative interval to grant, for the finer disposition the prospectus ultimately cares about, whether a maneuver gets documented as a screenable and reconstructable event</w:t>
      </w:r>
      <w:r>
        <w:t xml:space="preserve"> </w:t>
      </w:r>
      <w:hyperlink w:anchor="ref-4">
        <w:r>
          <w:rPr>
            <w:rStyle w:val="Hyperlink"/>
          </w:rPr>
          <w:t xml:space="preserve">[4]</w:t>
        </w:r>
      </w:hyperlink>
      <w:r>
        <w:t xml:space="preserve">; splitting tempo and timeline from auditability remains the next study to build. External validity in both cases is honestly fenced to the public-reporting and United States licensing populations and is not claimed for all on-orbit operations.</w:t>
      </w:r>
    </w:p>
    <w:p>
      <w:pPr>
        <w:pStyle w:val="BodyText"/>
        <w:spacing w:line="480" w:lineRule="auto"/>
        <w:ind w:firstLine="720"/>
      </w:pPr>
      <w:r>
        <w:t xml:space="preserve">These limitations do not weaken the synthesis; they specify it. The dissertation makes no claim that autonomy provenance is governance-irrelevant. It claims, on two independent margins and under transparent identification, that the observable channels through which provenance was assumed to act are presently governed by structural and institutional variables, and that the provenance coefficient cannot yet be identified on the public record because the variation needed to separate it from scale and procedure does not yet exist. That is a precise and falsifiable statement, and the future record will adjudicate it.</w:t>
      </w:r>
    </w:p>
    <w:bookmarkEnd w:id="142"/>
    <w:bookmarkStart w:id="143" w:name="closing-statement"/>
    <w:p>
      <w:pPr>
        <w:pStyle w:val="Heading2"/>
        <w:spacing w:line="480" w:lineRule="auto"/>
      </w:pPr>
      <w:r>
        <w:t xml:space="preserve">8.6 Closing Statement</w:t>
      </w:r>
    </w:p>
    <w:p>
      <w:pPr>
        <w:pStyle w:val="FirstParagraph"/>
        <w:spacing w:line="480" w:lineRule="auto"/>
      </w:pPr>
      <w:r>
        <w:t xml:space="preserve">Spacecraft have crossed the threshold from human-commanded to machine-decided operation, and the institutions that license and supervise them are conditioning on properties they cannot yet name. This dissertation asked whether the most consequential of those properties, the provenance of the autonomy that now authors the collision-avoidance maneuver, has already begun to shape the operational tempo and the licensing fate of on-orbit systems. The disciplined answer, recovered as measured coefficients on obtainable public data rather than asserted from intuition, is that the governance concern is real but mislocated. What moves the maneuver rate is scale and orbital regime; what moves the licensing clock is procedural position inside a coordination architecture; and the provenance label, in the record available today, rides with these structural variables rather than driving the outcomes on its own. The worth of this result lies in its honesty about its own limits: it names the confounding it cannot yet resolve and pins the precise future variation that will resolve it. Governance reform aimed at autonomy auditability should be pursued for the post-event accountability it genuinely serves, not for operational or licensing effects the present evidence does not support. As the autonomous operator becomes the rule rather than the exception, the task this dissertation leaves its successors is clear: hold the public record to the same falsifiable standard, and let the provenance coefficient be identified, sign and interval, the moment the orbital environment supplies the variation to identify it</w:t>
      </w:r>
      <w:r>
        <w:t xml:space="preserve"> </w:t>
      </w:r>
      <w:hyperlink w:anchor="ref-5">
        <w:r>
          <w:rPr>
            <w:rStyle w:val="Hyperlink"/>
          </w:rPr>
          <w:t xml:space="preserve">[5]</w:t>
        </w:r>
      </w:hyperlink>
      <w:r>
        <w:t xml:space="preserve">[6][10].</w:t>
      </w:r>
    </w:p>
    <w:bookmarkEnd w:id="143"/>
    <w:bookmarkStart w:id="197" w:name="references"/>
    <w:p>
      <w:pPr>
        <w:pStyle w:val="Heading2"/>
        <w:spacing w:line="480" w:lineRule="auto"/>
      </w:pPr>
      <w:r>
        <w:t xml:space="preserve">References</w:t>
      </w:r>
    </w:p>
    <w:p>
      <w:pPr>
        <w:pStyle w:val="FirstParagraph"/>
        <w:spacing w:line="480" w:lineRule="auto"/>
      </w:pPr>
      <w:bookmarkStart w:id="144" w:name="ref-1"/>
      <w:bookmarkEnd w:id="144"/>
      <w:r>
        <w:t xml:space="preserve">1. N. Ladhad, R. Neelakantan, and T. Ahmed,</w:t>
      </w:r>
      <w:r>
        <w:t xml:space="preserve"> </w:t>
      </w:r>
      <w:r>
        <w:t xml:space="preserve">“Multi-Objective Multi-Perspective Numerical Optimization of Collision Avoidance Maneuvers Using Differential Evolution,”</w:t>
      </w:r>
      <w:r>
        <w:t xml:space="preserve"> </w:t>
      </w:r>
      <w:r>
        <w:t xml:space="preserve">Proc. Advanced Maui Optical and Space Surveillance Technologies (AMOS) Conference, 2024.</w:t>
      </w:r>
    </w:p>
    <w:p>
      <w:pPr>
        <w:pStyle w:val="BodyText"/>
        <w:spacing w:line="480" w:lineRule="auto"/>
        <w:ind w:firstLine="720"/>
      </w:pPr>
      <w:bookmarkStart w:id="145" w:name="ref-2"/>
      <w:bookmarkEnd w:id="145"/>
      <w:r>
        <w:t xml:space="preserve">2. R. Frigm and L. Johnson,</w:t>
      </w:r>
      <w:r>
        <w:t xml:space="preserve"> </w:t>
      </w:r>
      <w:r>
        <w:t xml:space="preserve">“Total Probability of Collision as a Metric for Finite Conjunction Assessment and Collision Risk Management,”</w:t>
      </w:r>
      <w:r>
        <w:t xml:space="preserve"> </w:t>
      </w:r>
      <w:r>
        <w:t xml:space="preserve">Proc. Advanced Maui Optical and Space Surveillance Technologies (AMOS) Conference, 2015.</w:t>
      </w:r>
    </w:p>
    <w:p>
      <w:pPr>
        <w:pStyle w:val="BodyText"/>
        <w:spacing w:line="480" w:lineRule="auto"/>
        <w:ind w:firstLine="720"/>
      </w:pPr>
      <w:bookmarkStart w:id="146" w:name="ref-3"/>
      <w:bookmarkEnd w:id="146"/>
      <w:r>
        <w:t xml:space="preserve">3. R. Stottler, S. Ramachandran, C. Belardi, and R. Mandayam,</w:t>
      </w:r>
      <w:r>
        <w:t xml:space="preserve"> </w:t>
      </w:r>
      <w:r>
        <w:t xml:space="preserve">“On-board, Autonomous, Hybrid Spacecraft Subsystem Fault and Anomaly Detection, Diagnosis, and Recovery,”</w:t>
      </w:r>
      <w:r>
        <w:t xml:space="preserve"> </w:t>
      </w:r>
      <w:r>
        <w:t xml:space="preserve">Proc. Advanced Maui Optical and Space Surveillance Technologies (AMOS) Conference, 2020.</w:t>
      </w:r>
    </w:p>
    <w:p>
      <w:pPr>
        <w:pStyle w:val="BodyText"/>
        <w:spacing w:line="480" w:lineRule="auto"/>
        <w:ind w:firstLine="720"/>
      </w:pPr>
      <w:bookmarkStart w:id="147" w:name="ref-4"/>
      <w:bookmarkEnd w:id="147"/>
      <w:r>
        <w:t xml:space="preserve">4. M. Borowitz, C. Pérez Hernández, M. Hejduk, A. Gillet, M. Moury, and P. Faucher,</w:t>
      </w:r>
      <w:r>
        <w:t xml:space="preserve"> </w:t>
      </w:r>
      <w:r>
        <w:t xml:space="preserve">“A Technical Comparison of the Public SSA Services in the United States and the European Union,”</w:t>
      </w:r>
      <w:r>
        <w:t xml:space="preserve"> </w:t>
      </w:r>
      <w:r>
        <w:t xml:space="preserve">Proc. Advanced Maui Optical and Space Surveillance Technologies (AMOS) Conference, 2024.</w:t>
      </w:r>
    </w:p>
    <w:p>
      <w:pPr>
        <w:pStyle w:val="BodyText"/>
        <w:spacing w:line="480" w:lineRule="auto"/>
        <w:ind w:firstLine="720"/>
      </w:pPr>
      <w:bookmarkStart w:id="148" w:name="ref-5"/>
      <w:bookmarkEnd w:id="148"/>
      <w:r>
        <w:t xml:space="preserve">5. R. Hunter, E. Agasid, S. Phan, N. Benz, S. Miller, C. Adams, B. Kempa, J. Frank, M. Iatauro, J. Kruger, S. D’Amico, J. Fishman, and S. Weston,</w:t>
      </w:r>
      <w:r>
        <w:t xml:space="preserve"> </w:t>
      </w:r>
      <w:r>
        <w:t xml:space="preserve">“NASA’s Starling Mission and Space Situational Awareness Implications,”</w:t>
      </w:r>
      <w:r>
        <w:t xml:space="preserve"> </w:t>
      </w:r>
      <w:r>
        <w:t xml:space="preserve">Proc. Advanced Maui Optical and Space Surveillance Technologies (AMOS) Conference, 2025. doi:</w:t>
      </w:r>
      <w:r>
        <w:t xml:space="preserve"> </w:t>
      </w:r>
      <w:hyperlink r:id="rId149">
        <w:r>
          <w:rPr>
            <w:rStyle w:val="Hyperlink"/>
          </w:rPr>
          <w:t xml:space="preserve">10.64861/XQCN3213</w:t>
        </w:r>
      </w:hyperlink>
    </w:p>
    <w:p>
      <w:pPr>
        <w:pStyle w:val="BodyText"/>
        <w:spacing w:line="480" w:lineRule="auto"/>
        <w:ind w:firstLine="720"/>
      </w:pPr>
      <w:bookmarkStart w:id="150" w:name="ref-6"/>
      <w:bookmarkEnd w:id="150"/>
      <w:r>
        <w:t xml:space="preserve">6. D. Huterer Prats, H. Schaub, and C. Wheeler,</w:t>
      </w:r>
      <w:r>
        <w:t xml:space="preserve"> </w:t>
      </w:r>
      <w:r>
        <w:t xml:space="preserve">“Reinforcement Learning for Space-to-Space Surveillance: Autonomous Scheduling for Resident Space Object Imaging,”</w:t>
      </w:r>
      <w:r>
        <w:t xml:space="preserve"> </w:t>
      </w:r>
      <w:r>
        <w:t xml:space="preserve">Proc. Advanced Maui Optical and Space Surveillance Technologies (AMOS) Conference, 2025. doi:</w:t>
      </w:r>
      <w:r>
        <w:t xml:space="preserve"> </w:t>
      </w:r>
      <w:hyperlink r:id="rId151">
        <w:r>
          <w:rPr>
            <w:rStyle w:val="Hyperlink"/>
          </w:rPr>
          <w:t xml:space="preserve">10.64861/DDFP2152</w:t>
        </w:r>
      </w:hyperlink>
    </w:p>
    <w:p>
      <w:pPr>
        <w:pStyle w:val="BodyText"/>
        <w:spacing w:line="480" w:lineRule="auto"/>
        <w:ind w:firstLine="720"/>
      </w:pPr>
      <w:bookmarkStart w:id="152" w:name="ref-7"/>
      <w:bookmarkEnd w:id="152"/>
      <w:r>
        <w:t xml:space="preserve">7. N. Sánchez-Ortíz, D. Wood, L. Smith, C. Gregori De La Malla, M. Strah, M. Huelsmann, M. Stanciu-Manolescu, P. Ubertini, and B. Singh,</w:t>
      </w:r>
      <w:r>
        <w:t xml:space="preserve"> </w:t>
      </w:r>
      <w:r>
        <w:t xml:space="preserve">“Outreach on Space Traffic Management,”</w:t>
      </w:r>
      <w:r>
        <w:t xml:space="preserve"> </w:t>
      </w:r>
      <w:r>
        <w:t xml:space="preserve">Acta Astronautica, vol. 229, 2025. doi:</w:t>
      </w:r>
      <w:r>
        <w:t xml:space="preserve"> </w:t>
      </w:r>
      <w:hyperlink r:id="rId153">
        <w:r>
          <w:rPr>
            <w:rStyle w:val="Hyperlink"/>
          </w:rPr>
          <w:t xml:space="preserve">10.1016/j.actaastro.2025.01.031</w:t>
        </w:r>
      </w:hyperlink>
    </w:p>
    <w:p>
      <w:pPr>
        <w:pStyle w:val="BodyText"/>
        <w:spacing w:line="480" w:lineRule="auto"/>
        <w:ind w:firstLine="720"/>
      </w:pPr>
      <w:bookmarkStart w:id="154" w:name="ref-8"/>
      <w:bookmarkEnd w:id="154"/>
      <w:r>
        <w:t xml:space="preserve">8. M. Weinzierl,</w:t>
      </w:r>
      <w:r>
        <w:t xml:space="preserve"> </w:t>
      </w:r>
      <w:r>
        <w:t xml:space="preserve">“Space, the Final Economic Frontier,”</w:t>
      </w:r>
      <w:r>
        <w:t xml:space="preserve"> </w:t>
      </w:r>
      <w:r>
        <w:t xml:space="preserve">Journal of Economic Perspectives, vol. 32, no. 2, 2018.</w:t>
      </w:r>
    </w:p>
    <w:p>
      <w:pPr>
        <w:pStyle w:val="BodyText"/>
        <w:spacing w:line="480" w:lineRule="auto"/>
        <w:ind w:firstLine="720"/>
      </w:pPr>
      <w:bookmarkStart w:id="155" w:name="ref-9"/>
      <w:bookmarkEnd w:id="155"/>
      <w:r>
        <w:t xml:space="preserve">9. E. David, A. Saada, A. Nakarada Pecujlic, M. Strah, X.-S. Yap, D. Wood, and J.-P. Kneib,</w:t>
      </w:r>
      <w:r>
        <w:t xml:space="preserve"> </w:t>
      </w:r>
      <w:r>
        <w:t xml:space="preserve">“Fostering multi-stakeholder collaboration for space sustainability through an incentive-based mechanism,”</w:t>
      </w:r>
      <w:r>
        <w:t xml:space="preserve"> </w:t>
      </w:r>
      <w:r>
        <w:t xml:space="preserve">Acta Astronautica, vol. 235, 2025. doi:</w:t>
      </w:r>
      <w:r>
        <w:t xml:space="preserve"> </w:t>
      </w:r>
      <w:hyperlink r:id="rId156">
        <w:r>
          <w:rPr>
            <w:rStyle w:val="Hyperlink"/>
          </w:rPr>
          <w:t xml:space="preserve">10.1016/j.actaastro.2025.06.029</w:t>
        </w:r>
      </w:hyperlink>
    </w:p>
    <w:p>
      <w:pPr>
        <w:pStyle w:val="BodyText"/>
        <w:spacing w:line="480" w:lineRule="auto"/>
        <w:ind w:firstLine="720"/>
      </w:pPr>
      <w:bookmarkStart w:id="157" w:name="ref-10"/>
      <w:bookmarkEnd w:id="157"/>
      <w:r>
        <w:t xml:space="preserve">10. C. Colombo, P. Martinez, F. Letizia, B. M. Cattani, E. David, D. A. Escobar, S. Kawamoto, R. J. Rovetto, and I. Sumelzo,</w:t>
      </w:r>
      <w:r>
        <w:t xml:space="preserve"> </w:t>
      </w:r>
      <w:r>
        <w:t xml:space="preserve">“Space capacity management and its interaction with space traffic management,”</w:t>
      </w:r>
      <w:r>
        <w:t xml:space="preserve"> </w:t>
      </w:r>
      <w:r>
        <w:t xml:space="preserve">Acta Astronautica, vol. 233, 2025. doi:</w:t>
      </w:r>
      <w:r>
        <w:t xml:space="preserve"> </w:t>
      </w:r>
      <w:hyperlink r:id="rId158">
        <w:r>
          <w:rPr>
            <w:rStyle w:val="Hyperlink"/>
          </w:rPr>
          <w:t xml:space="preserve">10.1016/j.actaastro.2025.01.069</w:t>
        </w:r>
      </w:hyperlink>
    </w:p>
    <w:p>
      <w:pPr>
        <w:pStyle w:val="BodyText"/>
        <w:spacing w:line="480" w:lineRule="auto"/>
        <w:ind w:firstLine="720"/>
      </w:pPr>
      <w:bookmarkStart w:id="159" w:name="ref-11"/>
      <w:bookmarkEnd w:id="159"/>
      <w:r>
        <w:t xml:space="preserve">11. M. Borowitz, C. Perez Hernandez, M. Hejduk, A. Gillet, M. Moury, and P. Faucher,</w:t>
      </w:r>
      <w:r>
        <w:t xml:space="preserve"> </w:t>
      </w:r>
      <w:r>
        <w:t xml:space="preserve">“A Technical Comparison of the Public SSA Services in the United States and the European Union,”</w:t>
      </w:r>
      <w:r>
        <w:t xml:space="preserve"> </w:t>
      </w:r>
      <w:r>
        <w:t xml:space="preserve">Proc. Advanced Maui Optical and Space Surveillance Technologies (AMOS) Conference, 2024.</w:t>
      </w:r>
    </w:p>
    <w:p>
      <w:pPr>
        <w:pStyle w:val="BodyText"/>
        <w:spacing w:line="480" w:lineRule="auto"/>
        <w:ind w:firstLine="720"/>
      </w:pPr>
      <w:bookmarkStart w:id="160" w:name="ref-12"/>
      <w:bookmarkEnd w:id="160"/>
      <w:r>
        <w:t xml:space="preserve">12. N. Sanchez-Ortiz, D. Wood, L. Smith, C. Gregori De La Malla, M. Strah, M. Huelsmann, M. Stanciu-Manolescu, P. Ubertini, and B. Singh,</w:t>
      </w:r>
      <w:r>
        <w:t xml:space="preserve"> </w:t>
      </w:r>
      <w:r>
        <w:t xml:space="preserve">“Outreach on Space Traffic Management,”</w:t>
      </w:r>
      <w:r>
        <w:t xml:space="preserve"> </w:t>
      </w:r>
      <w:r>
        <w:t xml:space="preserve">Acta Astronautica, vol. 229, 2025. doi:</w:t>
      </w:r>
      <w:r>
        <w:t xml:space="preserve"> </w:t>
      </w:r>
      <w:hyperlink r:id="rId153">
        <w:r>
          <w:rPr>
            <w:rStyle w:val="Hyperlink"/>
          </w:rPr>
          <w:t xml:space="preserve">10.1016/j.actaastro.2025.01.031</w:t>
        </w:r>
      </w:hyperlink>
    </w:p>
    <w:p>
      <w:pPr>
        <w:pStyle w:val="BodyText"/>
        <w:spacing w:line="480" w:lineRule="auto"/>
        <w:ind w:firstLine="720"/>
      </w:pPr>
      <w:bookmarkStart w:id="161" w:name="ref-13"/>
      <w:bookmarkEnd w:id="161"/>
      <w:r>
        <w:t xml:space="preserve">13.</w:t>
      </w:r>
      <w:r>
        <w:t xml:space="preserve"> </w:t>
      </w:r>
      <w:r>
        <w:t xml:space="preserve">“SpaceX Starlink satellites made 50,000 collision-avoidance maneuvers in the past 6 months,”</w:t>
      </w:r>
      <w:r>
        <w:t xml:space="preserve"> </w:t>
      </w:r>
      <w:r>
        <w:t xml:space="preserve">Space.com, 2024. Available: https://www.space.com/spacex-starlink-50000-collision-avoidance-maneuvers-space-safety.</w:t>
      </w:r>
    </w:p>
    <w:p>
      <w:pPr>
        <w:pStyle w:val="BodyText"/>
        <w:spacing w:line="480" w:lineRule="auto"/>
        <w:ind w:firstLine="720"/>
      </w:pPr>
      <w:bookmarkStart w:id="162" w:name="ref-14"/>
      <w:bookmarkEnd w:id="162"/>
      <w:r>
        <w:t xml:space="preserve">14.</w:t>
      </w:r>
      <w:r>
        <w:t xml:space="preserve"> </w:t>
      </w:r>
      <w:r>
        <w:t xml:space="preserve">“Collision Avoidance Maneuvers by Starlink Satellites Increasing Exponentially,”</w:t>
      </w:r>
      <w:r>
        <w:t xml:space="preserve"> </w:t>
      </w:r>
      <w:r>
        <w:t xml:space="preserve">American Institute of Aeronautics and Astronautics, 2023. Available: https://www.aiaa.org/2023/07/07/collision-avoidance-maneuvers-by-starlink-satellites-increasing-exponentially.</w:t>
      </w:r>
    </w:p>
    <w:p>
      <w:pPr>
        <w:pStyle w:val="BodyText"/>
        <w:spacing w:line="480" w:lineRule="auto"/>
        <w:ind w:firstLine="720"/>
      </w:pPr>
      <w:bookmarkStart w:id="163" w:name="ref-15"/>
      <w:bookmarkEnd w:id="163"/>
      <w:r>
        <w:t xml:space="preserve">15. European Space Agency,</w:t>
      </w:r>
      <w:r>
        <w:t xml:space="preserve"> </w:t>
      </w:r>
      <w:r>
        <w:t xml:space="preserve">“Automating collision avoidance”</w:t>
      </w:r>
      <w:r>
        <w:t xml:space="preserve"> </w:t>
      </w:r>
      <w:r>
        <w:t xml:space="preserve">and</w:t>
      </w:r>
      <w:r>
        <w:t xml:space="preserve"> </w:t>
      </w:r>
      <w:r>
        <w:t xml:space="preserve">“Reentry and collision avoidance,”</w:t>
      </w:r>
      <w:r>
        <w:t xml:space="preserve"> </w:t>
      </w:r>
      <w:r>
        <w:t xml:space="preserve">ESA Space Safety, 2024. Available: https://www.esa.int/Space_Safety/Space_Debris/Automating_collision_avoidance.</w:t>
      </w:r>
    </w:p>
    <w:p>
      <w:pPr>
        <w:pStyle w:val="BodyText"/>
        <w:spacing w:line="480" w:lineRule="auto"/>
        <w:ind w:firstLine="720"/>
      </w:pPr>
      <w:bookmarkStart w:id="164" w:name="ref-16"/>
      <w:bookmarkEnd w:id="164"/>
      <w:r>
        <w:t xml:space="preserve">16.</w:t>
      </w:r>
      <w:r>
        <w:t xml:space="preserve"> </w:t>
      </w:r>
      <w:r>
        <w:t xml:space="preserve">“EOS Aqua and Aura Experience,”</w:t>
      </w:r>
      <w:r>
        <w:t xml:space="preserve"> </w:t>
      </w:r>
      <w:r>
        <w:t xml:space="preserve">NASA Technical Reports Server, citation 20230005851, 2023. Available: https://ntrs.nasa.gov/api/citations/20230005851.</w:t>
      </w:r>
    </w:p>
    <w:p>
      <w:pPr>
        <w:pStyle w:val="BodyText"/>
        <w:spacing w:line="480" w:lineRule="auto"/>
        <w:ind w:firstLine="720"/>
      </w:pPr>
      <w:bookmarkStart w:id="165" w:name="ref-17"/>
      <w:bookmarkEnd w:id="165"/>
      <w:r>
        <w:t xml:space="preserve">17. NASA,</w:t>
      </w:r>
      <w:r>
        <w:t xml:space="preserve"> </w:t>
      </w:r>
      <w:r>
        <w:t xml:space="preserve">“Station Maneuvers to Avoid Orbital Debris,”</w:t>
      </w:r>
      <w:r>
        <w:t xml:space="preserve"> </w:t>
      </w:r>
      <w:r>
        <w:t xml:space="preserve">NASA Space Station Blog, 2025. Available: https://www.nasa.gov/blogs/spacestation/2025/04/30/station-maneuvers-to-avoid-orbital-debris.</w:t>
      </w:r>
    </w:p>
    <w:p>
      <w:pPr>
        <w:pStyle w:val="BodyText"/>
        <w:spacing w:line="480" w:lineRule="auto"/>
        <w:ind w:firstLine="720"/>
      </w:pPr>
      <w:bookmarkStart w:id="166" w:name="ref-18"/>
      <w:bookmarkEnd w:id="166"/>
      <w:r>
        <w:t xml:space="preserve">18. T. Masson-Zwaan, P. Martinez, F. Letizia, C. Melograna, M. Reynders, R. J. Rovetto, M. A. Skinner, M. Stanciu-Manolescu, M. Strah, O. Volynskaya, and G. Wang,</w:t>
      </w:r>
      <w:r>
        <w:t xml:space="preserve"> </w:t>
      </w:r>
      <w:r>
        <w:t xml:space="preserve">“The need to improve registration practices in the context of space traffic management,”</w:t>
      </w:r>
      <w:r>
        <w:t xml:space="preserve"> </w:t>
      </w:r>
      <w:r>
        <w:t xml:space="preserve">Acta Astronautica, vol. 223, 2024. doi:</w:t>
      </w:r>
      <w:r>
        <w:t xml:space="preserve"> </w:t>
      </w:r>
      <w:hyperlink r:id="rId167">
        <w:r>
          <w:rPr>
            <w:rStyle w:val="Hyperlink"/>
          </w:rPr>
          <w:t xml:space="preserve">10.1016/j.actaastro.2024.06.052</w:t>
        </w:r>
      </w:hyperlink>
    </w:p>
    <w:p>
      <w:pPr>
        <w:pStyle w:val="BodyText"/>
        <w:spacing w:line="480" w:lineRule="auto"/>
        <w:ind w:firstLine="720"/>
      </w:pPr>
      <w:bookmarkStart w:id="168" w:name="ref-19"/>
      <w:bookmarkEnd w:id="168"/>
      <w:r>
        <w:t xml:space="preserve">19. M. E. Sorge, D. Alary, F. Lacomba, H. Tung, and B. Singh,</w:t>
      </w:r>
      <w:r>
        <w:t xml:space="preserve"> </w:t>
      </w:r>
      <w:r>
        <w:t xml:space="preserve">“Space traffic management: Large constellations,”</w:t>
      </w:r>
      <w:r>
        <w:t xml:space="preserve"> </w:t>
      </w:r>
      <w:r>
        <w:t xml:space="preserve">Acta Astronautica, vol. 230, 2025. doi:</w:t>
      </w:r>
      <w:r>
        <w:t xml:space="preserve"> </w:t>
      </w:r>
      <w:hyperlink r:id="rId169">
        <w:r>
          <w:rPr>
            <w:rStyle w:val="Hyperlink"/>
          </w:rPr>
          <w:t xml:space="preserve">10.1016/j.actaastro.2025.01.043</w:t>
        </w:r>
      </w:hyperlink>
    </w:p>
    <w:p>
      <w:pPr>
        <w:pStyle w:val="BodyText"/>
        <w:spacing w:line="480" w:lineRule="auto"/>
        <w:ind w:firstLine="720"/>
      </w:pPr>
      <w:bookmarkStart w:id="170" w:name="ref-20"/>
      <w:bookmarkEnd w:id="170"/>
      <w:r>
        <w:t xml:space="preserve">20. Federal Communications Commission,</w:t>
      </w:r>
      <w:r>
        <w:t xml:space="preserve"> </w:t>
      </w:r>
      <w:r>
        <w:t xml:space="preserve">“FCC Authorizes Kuiper Satellite Constellation,”</w:t>
      </w:r>
      <w:r>
        <w:t xml:space="preserve"> </w:t>
      </w:r>
      <w:r>
        <w:t xml:space="preserve">Order and Authorization FCC 20-102, July 30, 2020. Available: fcc.gov/document/fcc-authorizes-kuiper-satellite-constellation.</w:t>
      </w:r>
    </w:p>
    <w:p>
      <w:pPr>
        <w:pStyle w:val="BodyText"/>
        <w:spacing w:line="480" w:lineRule="auto"/>
        <w:ind w:firstLine="720"/>
      </w:pPr>
      <w:bookmarkStart w:id="171" w:name="ref-21"/>
      <w:bookmarkEnd w:id="171"/>
      <w:r>
        <w:t xml:space="preserve">21. Neera Jain, Purdue University; Mariel Borowitz, Sam Nunn School of International Affairs, Georgia Institute of Technology. A System-of-Systems Approach Towards Future Space Traffic Management Autonomy and Policy Co-Design (2023). doi:</w:t>
      </w:r>
      <w:r>
        <w:t xml:space="preserve"> </w:t>
      </w:r>
      <w:hyperlink r:id="rId172">
        <w:r>
          <w:rPr>
            <w:rStyle w:val="Hyperlink"/>
          </w:rPr>
          <w:t xml:space="preserve">10.64861/CKGQ5448</w:t>
        </w:r>
      </w:hyperlink>
    </w:p>
    <w:p>
      <w:pPr>
        <w:pStyle w:val="BodyText"/>
        <w:spacing w:line="480" w:lineRule="auto"/>
        <w:ind w:firstLine="720"/>
      </w:pPr>
      <w:bookmarkStart w:id="173" w:name="ref-22"/>
      <w:bookmarkEnd w:id="173"/>
      <w:r>
        <w:t xml:space="preserve">22.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w:t>
      </w:r>
    </w:p>
    <w:p>
      <w:pPr>
        <w:pStyle w:val="BodyText"/>
        <w:spacing w:line="480" w:lineRule="auto"/>
        <w:ind w:firstLine="720"/>
      </w:pPr>
      <w:bookmarkStart w:id="174" w:name="ref-23"/>
      <w:bookmarkEnd w:id="174"/>
      <w:r>
        <w:t xml:space="preserve">23. Edward Gregson, Dalhousie University; Mae Seto, Dalhousie University; Bumsoo Kim, Defence R&amp;D Canada. Autonomy Testbed Development for Satellite Debris Avoidance (2018).</w:t>
      </w:r>
    </w:p>
    <w:p>
      <w:pPr>
        <w:pStyle w:val="BodyText"/>
        <w:spacing w:line="480" w:lineRule="auto"/>
        <w:ind w:firstLine="720"/>
      </w:pPr>
      <w:bookmarkStart w:id="175" w:name="ref-24"/>
      <w:bookmarkEnd w:id="175"/>
      <w:r>
        <w:t xml:space="preserve">24. Richard Stottler, Stottler Henke Associates, Inc.; Sowmya Ramachandran, Stottler Henke Associates, Inc.; Chris Healy, Stottler Henke Associates, Inc.; Abhimanyu Singhal, Stottler Henke Associates, Inc.. Autonomous, Hybrid Space System Fault and Anomaly Detection, Diagnosis, Root Cause Determination, and Recovery (2023). doi:</w:t>
      </w:r>
      <w:r>
        <w:t xml:space="preserve"> </w:t>
      </w:r>
      <w:hyperlink r:id="rId176">
        <w:r>
          <w:rPr>
            <w:rStyle w:val="Hyperlink"/>
          </w:rPr>
          <w:t xml:space="preserve">10.64861/XHRO4751</w:t>
        </w:r>
      </w:hyperlink>
    </w:p>
    <w:p>
      <w:pPr>
        <w:pStyle w:val="BodyText"/>
        <w:spacing w:line="480" w:lineRule="auto"/>
        <w:ind w:firstLine="720"/>
      </w:pPr>
      <w:bookmarkStart w:id="177" w:name="ref-25"/>
      <w:bookmarkEnd w:id="177"/>
      <w:r>
        <w:t xml:space="preserve">25. Joe Gorman, Charles River Analytics, Martin Voshell, Charles River Analytics, Amy Sliva, Charles River Analytics. Assessment for Operator Confidence in Automated Space Situational Awareness and Satellite Control Systems (2016).</w:t>
      </w:r>
    </w:p>
    <w:p>
      <w:pPr>
        <w:pStyle w:val="BodyText"/>
        <w:spacing w:line="480" w:lineRule="auto"/>
        <w:ind w:firstLine="720"/>
      </w:pPr>
      <w:bookmarkStart w:id="178" w:name="ref-26"/>
      <w:bookmarkEnd w:id="178"/>
      <w:r>
        <w:t xml:space="preserve">26.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149">
        <w:r>
          <w:rPr>
            <w:rStyle w:val="Hyperlink"/>
          </w:rPr>
          <w:t xml:space="preserve">10.64861/XQCN3213</w:t>
        </w:r>
      </w:hyperlink>
    </w:p>
    <w:p>
      <w:pPr>
        <w:pStyle w:val="BodyText"/>
        <w:spacing w:line="480" w:lineRule="auto"/>
        <w:ind w:firstLine="720"/>
      </w:pPr>
      <w:bookmarkStart w:id="179" w:name="ref-27"/>
      <w:bookmarkEnd w:id="179"/>
      <w:r>
        <w:t xml:space="preserve">27. Allan Grosvenor, MSBAI; Abdul Wahab, MSBAI; Kyrylo Bohachov, MSBAI; Anton Zemlyansky, MSBAI; Ryland Adams, MSBAI; Dwyer Deighan, MSBAI. Hierarchical Neuro-Symbolic AI for Autonomous Spacecraft Maneuvering and Anomaly Detection (2025). doi:</w:t>
      </w:r>
      <w:r>
        <w:t xml:space="preserve"> </w:t>
      </w:r>
      <w:hyperlink r:id="rId180">
        <w:r>
          <w:rPr>
            <w:rStyle w:val="Hyperlink"/>
          </w:rPr>
          <w:t xml:space="preserve">10.64861/RAAN7205</w:t>
        </w:r>
      </w:hyperlink>
    </w:p>
    <w:p>
      <w:pPr>
        <w:pStyle w:val="BodyText"/>
        <w:spacing w:line="480" w:lineRule="auto"/>
        <w:ind w:firstLine="720"/>
      </w:pPr>
      <w:bookmarkStart w:id="181" w:name="ref-28"/>
      <w:bookmarkEnd w:id="181"/>
      <w:r>
        <w:t xml:space="preserve">28. Giovanni Tricco; Roser Almenar; Kaili Ayers; Rihab Ben Moussa; T.P. Graham; Simisola Iyiola; Sanghoon Lee; Terezie Němcová; Asiimwe Joshua Opota; Tushar Sharma; Raelee Toh; Jieyu Yuan. The protection of AI-based space systems from a data-driven governance perspective (2025). doi:</w:t>
      </w:r>
      <w:r>
        <w:t xml:space="preserve"> </w:t>
      </w:r>
      <w:hyperlink r:id="rId182">
        <w:r>
          <w:rPr>
            <w:rStyle w:val="Hyperlink"/>
          </w:rPr>
          <w:t xml:space="preserve">10.1016/j.actaastro.2025.04.063</w:t>
        </w:r>
      </w:hyperlink>
    </w:p>
    <w:p>
      <w:pPr>
        <w:pStyle w:val="BodyText"/>
        <w:spacing w:line="480" w:lineRule="auto"/>
        <w:ind w:firstLine="720"/>
      </w:pPr>
      <w:bookmarkStart w:id="183" w:name="ref-29"/>
      <w:bookmarkEnd w:id="183"/>
      <w:r>
        <w:t xml:space="preserve">29. Hendrik Kolvenbach; Anna Mittelholz; Simon C. Stähler; Philip Arm; Valentin Bickel; Adrian Fuhrer; Jorge Jódar; Ramon Margarit; Joseph Church; Elena Krasnova; Krzysztof Walas; Matthias Grott; Svein‐Erik Hamran; Özgür Karatekin; Miguel Olivares-Mendez; Sofía Coloma; Marco Pagnamenta; Michał Gumiela; Jordan Aaron; Marco Hutter. LunarLeaper—A mission concept to explore the lunar subsurface with a small-scale legged robot (2025). doi:</w:t>
      </w:r>
      <w:r>
        <w:t xml:space="preserve"> </w:t>
      </w:r>
      <w:hyperlink r:id="rId184">
        <w:r>
          <w:rPr>
            <w:rStyle w:val="Hyperlink"/>
          </w:rPr>
          <w:t xml:space="preserve">10.1016/j.actaastro.2025.11.039</w:t>
        </w:r>
      </w:hyperlink>
    </w:p>
    <w:p>
      <w:pPr>
        <w:pStyle w:val="BodyText"/>
        <w:spacing w:line="480" w:lineRule="auto"/>
        <w:ind w:firstLine="720"/>
      </w:pPr>
      <w:bookmarkStart w:id="185" w:name="ref-30"/>
      <w:bookmarkEnd w:id="185"/>
      <w:r>
        <w:t xml:space="preserve">30.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86">
        <w:r>
          <w:rPr>
            <w:rStyle w:val="Hyperlink"/>
          </w:rPr>
          <w:t xml:space="preserve">10.1016/j.actaastro.2025.10.018</w:t>
        </w:r>
      </w:hyperlink>
    </w:p>
    <w:p>
      <w:pPr>
        <w:pStyle w:val="BodyText"/>
        <w:spacing w:line="480" w:lineRule="auto"/>
        <w:ind w:firstLine="720"/>
      </w:pPr>
      <w:bookmarkStart w:id="187" w:name="ref-31"/>
      <w:bookmarkEnd w:id="187"/>
      <w:r>
        <w:t xml:space="preserve">31. Enrico Lagona; Samuel Hilton; Michael Afful; Alessandro Gardi; Roberto Sabatini. Autonomous Trajectory Optimisation for Intelligent Satellite Systems and Space Traffic Management (2022). doi:</w:t>
      </w:r>
      <w:r>
        <w:t xml:space="preserve"> </w:t>
      </w:r>
      <w:hyperlink r:id="rId188">
        <w:r>
          <w:rPr>
            <w:rStyle w:val="Hyperlink"/>
          </w:rPr>
          <w:t xml:space="preserve">10.1016/j.actaastro.2022.01.027</w:t>
        </w:r>
      </w:hyperlink>
    </w:p>
    <w:p>
      <w:pPr>
        <w:pStyle w:val="BodyText"/>
        <w:spacing w:line="480" w:lineRule="auto"/>
        <w:ind w:firstLine="720"/>
      </w:pPr>
      <w:bookmarkStart w:id="189" w:name="ref-32"/>
      <w:bookmarkEnd w:id="189"/>
      <w:r>
        <w:t xml:space="preserve">32. Alexandra Wander; Konstantinos Konstantinidis; Roger Förstner; Philipp Voigt. Autonomy and operational concept for self-removal of spacecraft: Status detection, removal triggering and passivation (2019). doi:</w:t>
      </w:r>
      <w:r>
        <w:t xml:space="preserve"> </w:t>
      </w:r>
      <w:hyperlink r:id="rId190">
        <w:r>
          <w:rPr>
            <w:rStyle w:val="Hyperlink"/>
          </w:rPr>
          <w:t xml:space="preserve">10.1016/j.actaastro.2019.07.014</w:t>
        </w:r>
      </w:hyperlink>
    </w:p>
    <w:p>
      <w:pPr>
        <w:pStyle w:val="BodyText"/>
        <w:spacing w:line="480" w:lineRule="auto"/>
        <w:ind w:firstLine="720"/>
      </w:pPr>
      <w:bookmarkStart w:id="191" w:name="ref-33"/>
      <w:bookmarkEnd w:id="191"/>
      <w:r>
        <w:t xml:space="preserve">33. Xiaoyu Fu; Stefania Soldini. Autonomous orbital maintenance using a supervised-learning-based target point approach (2026). doi:</w:t>
      </w:r>
      <w:r>
        <w:t xml:space="preserve"> </w:t>
      </w:r>
      <w:hyperlink r:id="rId192">
        <w:r>
          <w:rPr>
            <w:rStyle w:val="Hyperlink"/>
          </w:rPr>
          <w:t xml:space="preserve">10.1016/j.actaastro.2026.02.008</w:t>
        </w:r>
      </w:hyperlink>
    </w:p>
    <w:p>
      <w:pPr>
        <w:pStyle w:val="BodyText"/>
        <w:spacing w:line="480" w:lineRule="auto"/>
        <w:ind w:firstLine="720"/>
      </w:pPr>
      <w:bookmarkStart w:id="193" w:name="ref-34"/>
      <w:bookmarkEnd w:id="193"/>
      <w:r>
        <w:t xml:space="preserve">34. Erdem Turan; Stefano Speretta; Eberhard Gill. Autonomous navigation for deep space small satellites: Scientific and technological advances (2022). doi:</w:t>
      </w:r>
      <w:r>
        <w:t xml:space="preserve"> </w:t>
      </w:r>
      <w:hyperlink r:id="rId194">
        <w:r>
          <w:rPr>
            <w:rStyle w:val="Hyperlink"/>
          </w:rPr>
          <w:t xml:space="preserve">10.1016/j.actaastro.2021.12.030</w:t>
        </w:r>
      </w:hyperlink>
    </w:p>
    <w:p>
      <w:pPr>
        <w:pStyle w:val="BodyText"/>
        <w:spacing w:line="480" w:lineRule="auto"/>
        <w:ind w:firstLine="720"/>
      </w:pPr>
      <w:bookmarkStart w:id="195" w:name="ref-35"/>
      <w:bookmarkEnd w:id="195"/>
      <w:r>
        <w:t xml:space="preserve">35. Susana Dias Alves; Mariana Peyroteo; Luís Velez Lapão. Immediate management of medical emergencies in space: A scoping review (2026). doi:</w:t>
      </w:r>
      <w:r>
        <w:t xml:space="preserve"> </w:t>
      </w:r>
      <w:hyperlink r:id="rId196">
        <w:r>
          <w:rPr>
            <w:rStyle w:val="Hyperlink"/>
          </w:rPr>
          <w:t xml:space="preserve">10.1016/j.actaastro.2026.03.037</w:t>
        </w:r>
      </w:hyperlink>
    </w:p>
    <w:bookmarkEnd w:id="197"/>
    <w:bookmarkEnd w:id="198"/>
    <w:bookmarkStart w:id="21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6" w:name="X9dec973792f9971d365b54e9851dfa0a25439c1"/>
    <w:p>
      <w:pPr>
        <w:pStyle w:val="Heading2"/>
        <w:spacing w:line="480" w:lineRule="auto"/>
      </w:pPr>
      <w:r>
        <w:t xml:space="preserve">A.1 Provenance and the Maneuver Rate: An Operator-Panel OLS Estimate of How Autonomy-Stack Provenance Shapes the Documented Collision-Avoidance Tempo of On-Orbit Operations</w:t>
      </w:r>
    </w:p>
    <w:p>
      <w:pPr>
        <w:pStyle w:val="FirstParagraph"/>
        <w:spacing w:line="480" w:lineRule="auto"/>
      </w:pPr>
      <m:oMathPara>
        <m:oMathParaPr>
          <m:jc m:val="center"/>
        </m:oMathParaPr>
        <m:oMath>
          <m:sSub>
            <m:e>
              <m:r>
                <m:rPr>
                  <m:nor/>
                  <m:sty m:val="p"/>
                </m:rPr>
                <m:t>ca_rate</m:t>
              </m:r>
            </m:e>
            <m:sub>
              <m:r>
                <m:t>i</m:t>
              </m:r>
              <m:r>
                <m:t>t</m:t>
              </m:r>
            </m:sub>
          </m:sSub>
          <m:r>
            <m:rPr>
              <m:sty m:val="p"/>
            </m:rPr>
            <m:t>=</m:t>
          </m:r>
          <m:sSub>
            <m:e>
              <m:r>
                <m:t>β</m:t>
              </m:r>
            </m:e>
            <m:sub>
              <m:r>
                <m:t>0</m:t>
              </m:r>
            </m:sub>
          </m:sSub>
          <m:r>
            <m:rPr>
              <m:sty m:val="p"/>
            </m:rPr>
            <m:t>+</m:t>
          </m:r>
          <m:sSub>
            <m:e>
              <m:r>
                <m:t>β</m:t>
              </m:r>
            </m:e>
            <m:sub>
              <m:r>
                <m:t>1</m:t>
              </m:r>
            </m:sub>
          </m:sSub>
          <m:r>
            <m:t> </m:t>
          </m:r>
          <m:sSub>
            <m:e>
              <m:r>
                <m:rPr>
                  <m:nor/>
                  <m:sty m:val="p"/>
                </m:rPr>
                <m:t>provenance_transparent</m:t>
              </m:r>
            </m:e>
            <m:sub>
              <m:r>
                <m:t>i</m:t>
              </m:r>
              <m:r>
                <m:t>t</m:t>
              </m:r>
            </m:sub>
          </m:sSub>
          <m:r>
            <m:rPr>
              <m:sty m:val="p"/>
            </m:rPr>
            <m:t>+</m:t>
          </m:r>
          <m:sSub>
            <m:e>
              <m:r>
                <m:t>β</m:t>
              </m:r>
            </m:e>
            <m:sub>
              <m:r>
                <m:t>2</m:t>
              </m:r>
            </m:sub>
          </m:sSub>
          <m:r>
            <m:t> </m:t>
          </m:r>
          <m:r>
            <m:rPr>
              <m:sty m:val="p"/>
            </m:rPr>
            <m:t>log</m:t>
          </m:r>
          <m:r>
            <m:rPr>
              <m:sty m:val="p"/>
            </m:rPr>
            <m:t>(</m:t>
          </m:r>
          <m:sSub>
            <m:e>
              <m:r>
                <m:rPr>
                  <m:nor/>
                  <m:sty m:val="p"/>
                </m:rPr>
                <m:t>fleet</m:t>
              </m:r>
            </m:e>
            <m:sub>
              <m:r>
                <m:t>i</m:t>
              </m:r>
              <m:r>
                <m:t>t</m:t>
              </m:r>
            </m:sub>
          </m:sSub>
          <m:r>
            <m:rPr>
              <m:sty m:val="p"/>
            </m:rPr>
            <m:t>)</m:t>
          </m:r>
          <m:r>
            <m:rPr>
              <m:sty m:val="p"/>
            </m:rPr>
            <m:t>+</m:t>
          </m:r>
          <m:sSub>
            <m:e>
              <m:r>
                <m:t>β</m:t>
              </m:r>
            </m:e>
            <m:sub>
              <m:r>
                <m:t>3</m:t>
              </m:r>
            </m:sub>
          </m:sSub>
          <m:r>
            <m:t> </m:t>
          </m:r>
          <m:sSub>
            <m:e>
              <m:r>
                <m:rPr>
                  <m:nor/>
                  <m:sty m:val="p"/>
                </m:rPr>
                <m:t>mean_alt_km</m:t>
              </m:r>
            </m:e>
            <m:sub>
              <m:r>
                <m:t>i</m:t>
              </m:r>
              <m:r>
                <m:t>t</m:t>
              </m:r>
            </m:sub>
          </m:sSub>
          <m:r>
            <m:rPr>
              <m:sty m:val="p"/>
            </m:rPr>
            <m:t>+</m:t>
          </m:r>
          <m:sSub>
            <m:e>
              <m:r>
                <m:t>ε</m:t>
              </m:r>
            </m:e>
            <m:sub>
              <m:r>
                <m:t>i</m:t>
              </m:r>
              <m:r>
                <m:t>t</m:t>
              </m:r>
            </m:sub>
          </m:sSub>
        </m:oMath>
      </m:oMathPara>
    </w:p>
    <w:bookmarkStart w:id="19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8.3197</w:t>
            </w:r>
          </w:p>
        </w:tc>
        <w:tc>
          <w:tcPr>
            <w:tcW w:w="0" w:type="auto"/>
          </w:tcPr>
          <w:p>
            <w:pPr>
              <w:spacing w:line="240" w:lineRule="auto" w:before="0" w:after="0"/>
              <w:pStyle w:val="Compact"/>
            </w:pPr>
            <w:r>
              <w:rPr>
                <w:sz w:val="20"/>
                <w:szCs w:val="20"/>
              </w:rPr>
              <w:t xml:space="preserve">5.0259</w:t>
            </w:r>
          </w:p>
        </w:tc>
        <w:tc>
          <w:tcPr>
            <w:tcW w:w="0" w:type="auto"/>
          </w:tcPr>
          <w:p>
            <w:pPr>
              <w:spacing w:line="240" w:lineRule="auto" w:before="0" w:after="0"/>
              <w:pStyle w:val="Compact"/>
            </w:pPr>
            <w:r>
              <w:rPr>
                <w:sz w:val="20"/>
                <w:szCs w:val="20"/>
              </w:rPr>
              <w:t xml:space="preserve">1.6554</w:t>
            </w:r>
          </w:p>
        </w:tc>
        <w:tc>
          <w:tcPr>
            <w:tcW w:w="0" w:type="auto"/>
          </w:tcPr>
          <w:p>
            <w:pPr>
              <w:spacing w:line="240" w:lineRule="auto" w:before="0" w:after="0"/>
              <w:pStyle w:val="Compact"/>
            </w:pPr>
            <w:r>
              <w:rPr>
                <w:sz w:val="20"/>
                <w:szCs w:val="20"/>
              </w:rPr>
              <w:t xml:space="preserve">0.0978</w:t>
            </w:r>
          </w:p>
        </w:tc>
        <w:tc>
          <w:tcPr>
            <w:tcW w:w="0" w:type="auto"/>
          </w:tcPr>
          <w:p>
            <w:pPr>
              <w:spacing w:line="240" w:lineRule="auto" w:before="0" w:after="0"/>
              <w:pStyle w:val="Compact"/>
            </w:pPr>
            <w:r>
              <w:rPr>
                <w:sz w:val="20"/>
                <w:szCs w:val="20"/>
              </w:rPr>
              <w:t xml:space="preserve">[-1.5308, 18.1703]</w:t>
            </w:r>
          </w:p>
        </w:tc>
      </w:tr>
      <w:tr>
        <w:tc>
          <w:tcPr>
            <w:tcW w:w="0" w:type="auto"/>
          </w:tcPr>
          <w:p>
            <w:pPr>
              <w:spacing w:line="240" w:lineRule="auto" w:before="0" w:after="0"/>
              <w:pStyle w:val="Compact"/>
            </w:pPr>
            <w:r>
              <w:rPr>
                <w:sz w:val="20"/>
                <w:szCs w:val="20"/>
              </w:rPr>
              <w:t xml:space="preserve">provenance_transparent</w:t>
            </w:r>
          </w:p>
        </w:tc>
        <w:tc>
          <w:tcPr>
            <w:tcW w:w="0" w:type="auto"/>
          </w:tcPr>
          <w:p>
            <w:pPr>
              <w:spacing w:line="240" w:lineRule="auto" w:before="0" w:after="0"/>
              <w:pStyle w:val="Compact"/>
            </w:pPr>
            <w:r>
              <w:rPr>
                <w:sz w:val="20"/>
                <w:szCs w:val="20"/>
              </w:rPr>
              <w:t xml:space="preserve">0.8147</w:t>
            </w:r>
          </w:p>
        </w:tc>
        <w:tc>
          <w:tcPr>
            <w:tcW w:w="0" w:type="auto"/>
          </w:tcPr>
          <w:p>
            <w:pPr>
              <w:spacing w:line="240" w:lineRule="auto" w:before="0" w:after="0"/>
              <w:pStyle w:val="Compact"/>
            </w:pPr>
            <w:r>
              <w:rPr>
                <w:sz w:val="20"/>
                <w:szCs w:val="20"/>
              </w:rPr>
              <w:t xml:space="preserve">7.5591</w:t>
            </w:r>
          </w:p>
        </w:tc>
        <w:tc>
          <w:tcPr>
            <w:tcW w:w="0" w:type="auto"/>
          </w:tcPr>
          <w:p>
            <w:pPr>
              <w:spacing w:line="240" w:lineRule="auto" w:before="0" w:after="0"/>
              <w:pStyle w:val="Compact"/>
            </w:pPr>
            <w:r>
              <w:rPr>
                <w:sz w:val="20"/>
                <w:szCs w:val="20"/>
              </w:rPr>
              <w:t xml:space="preserve">0.1078</w:t>
            </w:r>
          </w:p>
        </w:tc>
        <w:tc>
          <w:tcPr>
            <w:tcW w:w="0" w:type="auto"/>
          </w:tcPr>
          <w:p>
            <w:pPr>
              <w:spacing w:line="240" w:lineRule="auto" w:before="0" w:after="0"/>
              <w:pStyle w:val="Compact"/>
            </w:pPr>
            <w:r>
              <w:rPr>
                <w:sz w:val="20"/>
                <w:szCs w:val="20"/>
              </w:rPr>
              <w:t xml:space="preserve">0.9142</w:t>
            </w:r>
          </w:p>
        </w:tc>
        <w:tc>
          <w:tcPr>
            <w:tcW w:w="0" w:type="auto"/>
          </w:tcPr>
          <w:p>
            <w:pPr>
              <w:spacing w:line="240" w:lineRule="auto" w:before="0" w:after="0"/>
              <w:pStyle w:val="Compact"/>
            </w:pPr>
            <w:r>
              <w:rPr>
                <w:sz w:val="20"/>
                <w:szCs w:val="20"/>
              </w:rPr>
              <w:t xml:space="preserve">[-14.0009, 15.6304]</w:t>
            </w:r>
          </w:p>
        </w:tc>
      </w:tr>
      <w:tr>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1.4492</w:t>
            </w:r>
          </w:p>
        </w:tc>
        <w:tc>
          <w:tcPr>
            <w:tcW w:w="0" w:type="auto"/>
          </w:tcPr>
          <w:p>
            <w:pPr>
              <w:spacing w:line="240" w:lineRule="auto" w:before="0" w:after="0"/>
              <w:pStyle w:val="Compact"/>
            </w:pPr>
            <w:r>
              <w:rPr>
                <w:sz w:val="20"/>
                <w:szCs w:val="20"/>
              </w:rPr>
              <w:t xml:space="preserve">1.1696</w:t>
            </w:r>
          </w:p>
        </w:tc>
        <w:tc>
          <w:tcPr>
            <w:tcW w:w="0" w:type="auto"/>
          </w:tcPr>
          <w:p>
            <w:pPr>
              <w:spacing w:line="240" w:lineRule="auto" w:before="0" w:after="0"/>
              <w:pStyle w:val="Compact"/>
            </w:pPr>
            <w:r>
              <w:rPr>
                <w:sz w:val="20"/>
                <w:szCs w:val="20"/>
              </w:rPr>
              <w:t xml:space="preserve">1.2391</w:t>
            </w:r>
          </w:p>
        </w:tc>
        <w:tc>
          <w:tcPr>
            <w:tcW w:w="0" w:type="auto"/>
          </w:tcPr>
          <w:p>
            <w:pPr>
              <w:spacing w:line="240" w:lineRule="auto" w:before="0" w:after="0"/>
              <w:pStyle w:val="Compact"/>
            </w:pPr>
            <w:r>
              <w:rPr>
                <w:sz w:val="20"/>
                <w:szCs w:val="20"/>
              </w:rPr>
              <w:t xml:space="preserve">0.2153</w:t>
            </w:r>
          </w:p>
        </w:tc>
        <w:tc>
          <w:tcPr>
            <w:tcW w:w="0" w:type="auto"/>
          </w:tcPr>
          <w:p>
            <w:pPr>
              <w:spacing w:line="240" w:lineRule="auto" w:before="0" w:after="0"/>
              <w:pStyle w:val="Compact"/>
            </w:pPr>
            <w:r>
              <w:rPr>
                <w:sz w:val="20"/>
                <w:szCs w:val="20"/>
              </w:rPr>
              <w:t xml:space="preserve">[-0.8431, 3.7415]</w:t>
            </w:r>
          </w:p>
        </w:tc>
      </w:tr>
      <w:tr>
        <w:tc>
          <w:tcPr>
            <w:tcW w:w="0" w:type="auto"/>
          </w:tcPr>
          <w:p>
            <w:pPr>
              <w:spacing w:line="240" w:lineRule="auto" w:before="0" w:after="0"/>
              <w:pStyle w:val="Compact"/>
            </w:pPr>
            <w:r>
              <w:rPr>
                <w:sz w:val="20"/>
                <w:szCs w:val="20"/>
              </w:rPr>
              <w:t xml:space="preserve">mean_alt_km</w:t>
            </w:r>
          </w:p>
        </w:tc>
        <w:tc>
          <w:tcPr>
            <w:tcW w:w="0" w:type="auto"/>
          </w:tcPr>
          <w:p>
            <w:pPr>
              <w:spacing w:line="240" w:lineRule="auto" w:before="0" w:after="0"/>
              <w:pStyle w:val="Compact"/>
            </w:pPr>
            <w:r>
              <w:rPr>
                <w:sz w:val="20"/>
                <w:szCs w:val="20"/>
              </w:rPr>
              <w:t xml:space="preserve">-0.0135</w:t>
            </w:r>
          </w:p>
        </w:tc>
        <w:tc>
          <w:tcPr>
            <w:tcW w:w="0" w:type="auto"/>
          </w:tcPr>
          <w:p>
            <w:pPr>
              <w:spacing w:line="240" w:lineRule="auto" w:before="0" w:after="0"/>
              <w:pStyle w:val="Compact"/>
            </w:pPr>
            <w:r>
              <w:rPr>
                <w:sz w:val="20"/>
                <w:szCs w:val="20"/>
              </w:rPr>
              <w:t xml:space="preserve">0.0073</w:t>
            </w:r>
          </w:p>
        </w:tc>
        <w:tc>
          <w:tcPr>
            <w:tcW w:w="0" w:type="auto"/>
          </w:tcPr>
          <w:p>
            <w:pPr>
              <w:spacing w:line="240" w:lineRule="auto" w:before="0" w:after="0"/>
              <w:pStyle w:val="Compact"/>
            </w:pPr>
            <w:r>
              <w:rPr>
                <w:sz w:val="20"/>
                <w:szCs w:val="20"/>
              </w:rPr>
              <w:t xml:space="preserve">-1.8647</w:t>
            </w:r>
          </w:p>
        </w:tc>
        <w:tc>
          <w:tcPr>
            <w:tcW w:w="0" w:type="auto"/>
          </w:tcPr>
          <w:p>
            <w:pPr>
              <w:spacing w:line="240" w:lineRule="auto" w:before="0" w:after="0"/>
              <w:pStyle w:val="Compact"/>
            </w:pPr>
            <w:r>
              <w:rPr>
                <w:sz w:val="20"/>
                <w:szCs w:val="20"/>
              </w:rPr>
              <w:t xml:space="preserve">0.0622</w:t>
            </w:r>
          </w:p>
        </w:tc>
        <w:tc>
          <w:tcPr>
            <w:tcW w:w="0" w:type="auto"/>
          </w:tcPr>
          <w:p>
            <w:pPr>
              <w:spacing w:line="240" w:lineRule="auto" w:before="0" w:after="0"/>
              <w:pStyle w:val="Compact"/>
            </w:pPr>
            <w:r>
              <w:rPr>
                <w:sz w:val="20"/>
                <w:szCs w:val="20"/>
              </w:rPr>
              <w:t xml:space="preserve">[-0.0278, 0.0006914]</w:t>
            </w:r>
          </w:p>
        </w:tc>
      </w:tr>
    </w:tbl>
    <w:p>
      <w:pPr>
        <w:pStyle w:val="BodyText"/>
        <w:spacing w:line="480" w:lineRule="auto"/>
        <w:ind w:firstLine="720"/>
      </w:pPr>
      <w:r>
        <w:t xml:space="preserve">Fit: N = 22 R2 = 0.3911 R2_adj = 0.2896 F = 3.5424 F_p = 0.0356</w:t>
      </w:r>
    </w:p>
    <w:bookmarkEnd w:id="199"/>
    <w:bookmarkStart w:id="20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ocumented collision-avoidance maneuver rate per satellite-year against log fleet size across operator-period observations, by autonomy provenance. Opaque-provenance autonomous fleets (Starlink) occupy the high-rate, large-fleet region; transparent-provenance ground-commanded operators cluster at low maneuver rates." title="" id="201" name="Picture"/>
            <a:graphic>
              <a:graphicData uri="http://schemas.openxmlformats.org/drawingml/2006/picture">
                <pic:pic>
                  <pic:nvPicPr>
                    <pic:cNvPr descr="D:/Claude_Code/brain/collegium/candidates/dissertations/CYBER_AI_13/research_papers/p1/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Documented collision-avoidance maneuver rate per satellite-year against log fleet size across operator-period observations, by autonomy provenance. Opaque-provenance autonomous fleets (Starlink) occupy the high-rate, large-fleet region; transparent-provenance ground-commanded operators cluster at low maneuver rates.</w:t>
      </w:r>
    </w:p>
    <w:bookmarkEnd w:id="203"/>
    <w:bookmarkStart w:id="20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period</w:t>
            </w:r>
          </w:p>
        </w:tc>
        <w:tc>
          <w:tcPr>
            <w:tcW w:w="0" w:type="auto"/>
          </w:tcPr>
          <w:p>
            <w:pPr>
              <w:spacing w:line="240" w:lineRule="auto" w:before="0" w:after="0"/>
              <w:pStyle w:val="Compact"/>
            </w:pPr>
            <w:r>
              <w:rPr>
                <w:sz w:val="20"/>
                <w:szCs w:val="20"/>
              </w:rPr>
              <w:t xml:space="preserve">ca_maneuvers</w:t>
            </w:r>
          </w:p>
        </w:tc>
        <w:tc>
          <w:tcPr>
            <w:tcW w:w="0" w:type="auto"/>
          </w:tcPr>
          <w:p>
            <w:pPr>
              <w:spacing w:line="240" w:lineRule="auto" w:before="0" w:after="0"/>
              <w:pStyle w:val="Compact"/>
            </w:pPr>
            <w:r>
              <w:rPr>
                <w:sz w:val="20"/>
                <w:szCs w:val="20"/>
              </w:rPr>
              <w:t xml:space="preserve">sat_count</w:t>
            </w:r>
          </w:p>
        </w:tc>
        <w:tc>
          <w:tcPr>
            <w:tcW w:w="0" w:type="auto"/>
          </w:tcPr>
          <w:p>
            <w:pPr>
              <w:spacing w:line="240" w:lineRule="auto" w:before="0" w:after="0"/>
              <w:pStyle w:val="Compact"/>
            </w:pPr>
            <w:r>
              <w:rPr>
                <w:sz w:val="20"/>
                <w:szCs w:val="20"/>
              </w:rPr>
              <w:t xml:space="preserve">months</w:t>
            </w:r>
          </w:p>
        </w:tc>
        <w:tc>
          <w:tcPr>
            <w:tcW w:w="0" w:type="auto"/>
          </w:tcPr>
          <w:p>
            <w:pPr>
              <w:spacing w:line="240" w:lineRule="auto" w:before="0" w:after="0"/>
              <w:pStyle w:val="Compact"/>
            </w:pPr>
            <w:r>
              <w:rPr>
                <w:sz w:val="20"/>
                <w:szCs w:val="20"/>
              </w:rPr>
              <w:t xml:space="preserve">ca_rate</w:t>
            </w:r>
          </w:p>
        </w:tc>
        <w:tc>
          <w:tcPr>
            <w:tcW w:w="0" w:type="auto"/>
          </w:tcPr>
          <w:p>
            <w:pPr>
              <w:spacing w:line="240" w:lineRule="auto" w:before="0" w:after="0"/>
              <w:pStyle w:val="Compact"/>
            </w:pPr>
            <w:r>
              <w:rPr>
                <w:sz w:val="20"/>
                <w:szCs w:val="20"/>
              </w:rPr>
              <w:t xml:space="preserve">provenance_transparent</w:t>
            </w:r>
          </w:p>
        </w:tc>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mean_alt_km</w:t>
            </w:r>
          </w:p>
        </w:tc>
        <w:tc>
          <w:tcPr>
            <w:tcW w:w="0" w:type="auto"/>
          </w:tcPr>
          <w:p>
            <w:pPr>
              <w:spacing w:line="240" w:lineRule="auto" w:before="0" w:after="0"/>
              <w:pStyle w:val="Compact"/>
            </w:pPr>
            <w:r>
              <w:rPr>
                <w:sz w:val="20"/>
                <w:szCs w:val="20"/>
              </w:rPr>
              <w:t xml:space="preserve">leo_dense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2021H1</w:t>
            </w:r>
          </w:p>
        </w:tc>
        <w:tc>
          <w:tcPr>
            <w:tcW w:w="0" w:type="auto"/>
          </w:tcPr>
          <w:p>
            <w:pPr>
              <w:spacing w:line="240" w:lineRule="auto" w:before="0" w:after="0"/>
              <w:pStyle w:val="Compact"/>
            </w:pPr>
            <w:r>
              <w:rPr>
                <w:sz w:val="20"/>
                <w:szCs w:val="20"/>
              </w:rPr>
              <w:t xml:space="preserve">2219</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2.774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7.378</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(Jan-Jun 2021, 2,219) via AIAA aiaa.org/2023/07/07 and space.com/spacex-starlink-collision-avoidance-maneuver-growth-stalls; operational fleet ~1,600 mid-2021 per space.com/spacex-starlink-satellites.html</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2021H2</w:t>
            </w:r>
          </w:p>
        </w:tc>
        <w:tc>
          <w:tcPr>
            <w:tcW w:w="0" w:type="auto"/>
          </w:tcPr>
          <w:p>
            <w:pPr>
              <w:spacing w:line="240" w:lineRule="auto" w:before="0" w:after="0"/>
              <w:pStyle w:val="Compact"/>
            </w:pPr>
            <w:r>
              <w:rPr>
                <w:sz w:val="20"/>
                <w:szCs w:val="20"/>
              </w:rPr>
              <w:t xml:space="preserve">3333</w:t>
            </w:r>
          </w:p>
        </w:tc>
        <w:tc>
          <w:tcPr>
            <w:tcW w:w="0" w:type="auto"/>
          </w:tcPr>
          <w:p>
            <w:pPr>
              <w:spacing w:line="240" w:lineRule="auto" w:before="0" w:after="0"/>
              <w:pStyle w:val="Compact"/>
            </w:pPr>
            <w:r>
              <w:rPr>
                <w:sz w:val="20"/>
                <w:szCs w:val="20"/>
              </w:rPr>
              <w:t xml:space="preserve">1454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4.585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7.282</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(Jul-Dec 2021, 3,333) via space.com/spacex-starlink-collision-avoidance-maneuver-growth-stalls; operational fleet 1,454 Nov-2021 per spaceflightnow.com/2021/11/13</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2022H1</w:t>
            </w:r>
          </w:p>
        </w:tc>
        <w:tc>
          <w:tcPr>
            <w:tcW w:w="0" w:type="auto"/>
          </w:tcPr>
          <w:p>
            <w:pPr>
              <w:spacing w:line="240" w:lineRule="auto" w:before="0" w:after="0"/>
              <w:pStyle w:val="Compact"/>
            </w:pPr>
            <w:r>
              <w:rPr>
                <w:sz w:val="20"/>
                <w:szCs w:val="20"/>
              </w:rPr>
              <w:t xml:space="preserve">6873</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5.977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7.741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(Dec2021-Jun2022, 6,873) via space.com/spacex-starlink-collision-avoidance-maneuver-growth-stalls; fleet ~2,300 mid-2022 interpolated between 1,600 (mid-2021) and ~3,000 (Sep-2022) per space.com/spacex-starlink-satellites.html [illustrative]</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2022H2</w:t>
            </w:r>
          </w:p>
        </w:tc>
        <w:tc>
          <w:tcPr>
            <w:tcW w:w="0" w:type="auto"/>
          </w:tcPr>
          <w:p>
            <w:pPr>
              <w:spacing w:line="240" w:lineRule="auto" w:before="0" w:after="0"/>
              <w:pStyle w:val="Compact"/>
            </w:pPr>
            <w:r>
              <w:rPr>
                <w:sz w:val="20"/>
                <w:szCs w:val="20"/>
              </w:rPr>
              <w:t xml:space="preserve">13612</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8.102</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(Jun-Dec 2022, 13,612) via space.com/spacex-starlink-collision-avoidance-maneuver-growth-stalls; fleet ~3,000-3,500 late-2022 per space.com/spacex-starlink-satellites.html</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2023H1</w:t>
            </w:r>
          </w:p>
        </w:tc>
        <w:tc>
          <w:tcPr>
            <w:tcW w:w="0" w:type="auto"/>
          </w:tcPr>
          <w:p>
            <w:pPr>
              <w:spacing w:line="240" w:lineRule="auto" w:before="0" w:after="0"/>
              <w:pStyle w:val="Compact"/>
            </w:pPr>
            <w:r>
              <w:rPr>
                <w:sz w:val="20"/>
                <w:szCs w:val="20"/>
              </w:rPr>
              <w:t xml:space="preserve">25299</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12.649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8.294</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(Dec2022-May2023, &gt;25,299) via space.com/spacex-starlink-collision-avoidance-maneuver-growth-stalls and aiaa.org/2023/07/07; fleet ~4,000 May-2023 per space.com/spacex-starlink-satellites.html</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2023H2</w:t>
            </w:r>
          </w:p>
        </w:tc>
        <w:tc>
          <w:tcPr>
            <w:tcW w:w="0" w:type="auto"/>
          </w:tcPr>
          <w:p>
            <w:pPr>
              <w:spacing w:line="240" w:lineRule="auto" w:before="0" w:after="0"/>
              <w:pStyle w:val="Compact"/>
            </w:pPr>
            <w:r>
              <w:rPr>
                <w:sz w:val="20"/>
                <w:szCs w:val="20"/>
              </w:rPr>
              <w:t xml:space="preserve">24410</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9.388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8.556</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(Jun-Nov 2023, 24,410) via space.com/spacex-starlink-collision-avoidance-maneuver-growth-stalls; fleet ~5,200 Nov-2023 per space.com/spacex-starlink-satellites.html</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2024H1</w:t>
            </w:r>
          </w:p>
        </w:tc>
        <w:tc>
          <w:tcPr>
            <w:tcW w:w="0" w:type="auto"/>
          </w:tcPr>
          <w:p>
            <w:pPr>
              <w:spacing w:line="240" w:lineRule="auto" w:before="0" w:after="0"/>
              <w:pStyle w:val="Compact"/>
            </w:pPr>
            <w:r>
              <w:rPr>
                <w:sz w:val="20"/>
                <w:szCs w:val="20"/>
              </w:rPr>
              <w:t xml:space="preserve">49384</w:t>
            </w:r>
          </w:p>
        </w:tc>
        <w:tc>
          <w:tcPr>
            <w:tcW w:w="0" w:type="auto"/>
          </w:tcPr>
          <w:p>
            <w:pPr>
              <w:spacing w:line="240" w:lineRule="auto" w:before="0" w:after="0"/>
              <w:pStyle w:val="Compact"/>
            </w:pPr>
            <w:r>
              <w:rPr>
                <w:sz w:val="20"/>
                <w:szCs w:val="20"/>
              </w:rPr>
              <w:t xml:space="preserve">6100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16.191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8.716</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(Dec2023-May2024, 49,384; ~14 firings per satellite) via space.com/spacex-starlink-50000-collision-avoidance-maneuvers-space-safety; fleet ~6,100 Jun-2024 per space.com/spacex-starlink-satellites.html</w:t>
            </w:r>
          </w:p>
        </w:tc>
      </w:tr>
      <w:tr>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2024H2</w:t>
            </w:r>
          </w:p>
        </w:tc>
        <w:tc>
          <w:tcPr>
            <w:tcW w:w="0" w:type="auto"/>
          </w:tcPr>
          <w:p>
            <w:pPr>
              <w:spacing w:line="240" w:lineRule="auto" w:before="0" w:after="0"/>
              <w:pStyle w:val="Compact"/>
            </w:pPr>
            <w:r>
              <w:rPr>
                <w:sz w:val="20"/>
                <w:szCs w:val="20"/>
              </w:rPr>
              <w:t xml:space="preserve">144404</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41.258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8.854</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semiannual report (Dec2024-May2025, 144,404; ~41 maneuvers per satellite-yr) via fodnews.com/esa-space-environment-report-2026-leo-debris-collision-risk; fleet ~7,000 late-2024 per space.com/spacex-starlink-satellites.html</w:t>
            </w:r>
          </w:p>
        </w:tc>
      </w:tr>
      <w:tr>
        <w:tc>
          <w:tcPr>
            <w:tcW w:w="0" w:type="auto"/>
          </w:tcPr>
          <w:p>
            <w:pPr>
              <w:spacing w:line="240" w:lineRule="auto" w:before="0" w:after="0"/>
              <w:pStyle w:val="Compact"/>
            </w:pPr>
            <w:r>
              <w:rPr>
                <w:sz w:val="20"/>
                <w:szCs w:val="20"/>
              </w:rPr>
              <w:t xml:space="preserve">ESA-fleet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2.398</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Debris Office: ~12 collision-avoidance maneuvers per year across operational fleet, &gt;1 per satellite-yr in LEO; esa.int/Space_Safety/Space_Debris/Reentry_and_collision_avoidance and esa.int/Space_Safety/Space_Debris/Automating_collision_avoidance</w:t>
            </w:r>
          </w:p>
        </w:tc>
      </w:tr>
      <w:tr>
        <w:tc>
          <w:tcPr>
            <w:tcW w:w="0" w:type="auto"/>
          </w:tcPr>
          <w:p>
            <w:pPr>
              <w:spacing w:line="240" w:lineRule="auto" w:before="0" w:after="0"/>
              <w:pStyle w:val="Compact"/>
            </w:pPr>
            <w:r>
              <w:rPr>
                <w:sz w:val="20"/>
                <w:szCs w:val="20"/>
              </w:rPr>
              <w:t xml:space="preserve">Sentinel-1A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Copernicus Sentinel-1A collision-avoidance maneuvers documented 1-Apr-2022 and 16-May-2022 (multiple 2022 events); sentinels.copernicus.eu/-/copernicus-sentinel-1a-collision-avoidance-manoeuvres-on-1-april-2022 and sentinel.esa.int/web/sentinel/-/copernicus-sentinel-1a-collision-avoidance-manoeuvres-on-16-may-2022</w:t>
            </w:r>
          </w:p>
        </w:tc>
      </w:tr>
      <w:tr>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2005-2023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EOS: Aqua 24 Debris Avoidance Maneuvers as of 31-Mar-2023; ntrs.nasa.gov/api/citations/20230005851 (EOS Aqua and Aura Experience) and aqua.gsfc.nasa.gov AquaStatus reports</w:t>
            </w:r>
          </w:p>
        </w:tc>
      </w:tr>
      <w:tr>
        <w:tc>
          <w:tcPr>
            <w:tcW w:w="0" w:type="auto"/>
          </w:tcPr>
          <w:p>
            <w:pPr>
              <w:spacing w:line="240" w:lineRule="auto" w:before="0" w:after="0"/>
              <w:pStyle w:val="Compact"/>
            </w:pPr>
            <w:r>
              <w:rPr>
                <w:sz w:val="20"/>
                <w:szCs w:val="20"/>
              </w:rPr>
              <w:t xml:space="preserve">Aura</w:t>
            </w:r>
          </w:p>
        </w:tc>
        <w:tc>
          <w:tcPr>
            <w:tcW w:w="0" w:type="auto"/>
          </w:tcPr>
          <w:p>
            <w:pPr>
              <w:spacing w:line="240" w:lineRule="auto" w:before="0" w:after="0"/>
              <w:pStyle w:val="Compact"/>
            </w:pPr>
            <w:r>
              <w:rPr>
                <w:sz w:val="20"/>
                <w:szCs w:val="20"/>
              </w:rPr>
              <w:t xml:space="preserve">2005-2023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0.684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EOS: Aura 13 Debris Avoidance Maneuvers as of 31-Mar-2023; ntrs.nasa.gov/api/citations/20230005851 (EOS Aqua and Aura Experience)</w:t>
            </w:r>
          </w:p>
        </w:tc>
      </w:tr>
      <w:tr>
        <w:tc>
          <w:tcPr>
            <w:tcW w:w="0" w:type="auto"/>
          </w:tcPr>
          <w:p>
            <w:pPr>
              <w:spacing w:line="240" w:lineRule="auto" w:before="0" w:after="0"/>
              <w:pStyle w:val="Compact"/>
            </w:pPr>
            <w:r>
              <w:rPr>
                <w:sz w:val="20"/>
                <w:szCs w:val="20"/>
              </w:rPr>
              <w:t xml:space="preserve">Terra</w:t>
            </w:r>
          </w:p>
        </w:tc>
        <w:tc>
          <w:tcPr>
            <w:tcW w:w="0" w:type="auto"/>
          </w:tcPr>
          <w:p>
            <w:pPr>
              <w:spacing w:line="240" w:lineRule="auto" w:before="0" w:after="0"/>
              <w:pStyle w:val="Compact"/>
            </w:pPr>
            <w:r>
              <w:rPr>
                <w:sz w:val="20"/>
                <w:szCs w:val="20"/>
              </w:rPr>
              <w:t xml:space="preserve">2005-2023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0.842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EOS: Terra 16 Debris Avoidance Maneuvers as of 31-Mar-2023; ntrs.nasa.gov/api/citations/20230005851 and satellitesafety.gsfc.nasa.gov/cara.html</w:t>
            </w:r>
          </w:p>
        </w:tc>
      </w:tr>
      <w:tr>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ISS performed 5 debris avoidance maneuvers in 2023; nasa.gov/blogs/spacestation and livescience.com/space/space-exploration/iss-dodges-its-39th-piece-of-potentially-hazardous-space-junk</w:t>
            </w:r>
          </w:p>
        </w:tc>
      </w:tr>
      <w:tr>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1 ISS debris avoidance maneuver as of Nov-2024; nasa.gov/blogs/spacestation/2025/04/30/station-maneuvers-to-avoid-orbital-debris and npr.org/2024/11/20/nx-s1-5196986</w:t>
            </w:r>
          </w:p>
        </w:tc>
      </w:tr>
      <w:tr>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1998-2024</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39 ISS debris avoidance maneuvers cumulative 1998 to Nov-2024; livescience.com/space/space-exploration/iss-dodges-its-39th-piece and space.com/international-space-station-space-dodge-debris-how-often</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OneWeb requested manual ground-operator maneuver and asked SpaceX to disable its autonomous CA software, Apr-2021; teslarati.com/spacex-starlink-oneweb-false-near-miss-claim; OneWeb fleet ~300 in 2021 (high-altitude 1,200 km shell, ground-commanded)</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0.267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4.317</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Iridium NEXT ground-commanded collision avoidance; Iridium co-authored AIAA Satellite Orbital Safety Best Practices with SpaceX and OneWeb; aerospaceamerica.aiaa.org/features/heavy-traffic-ahead; fleet 66 operational plus on-orbit spares [illustrative annual count]</w:t>
            </w:r>
          </w:p>
        </w:tc>
      </w:tr>
      <w:tr>
        <w:tc>
          <w:tcPr>
            <w:tcW w:w="0" w:type="auto"/>
          </w:tcPr>
          <w:p>
            <w:pPr>
              <w:spacing w:line="240" w:lineRule="auto" w:before="0" w:after="0"/>
              <w:pStyle w:val="Compact"/>
            </w:pPr>
            <w:r>
              <w:rPr>
                <w:sz w:val="20"/>
                <w:szCs w:val="20"/>
              </w:rPr>
              <w:t xml:space="preserve">CryoSat-2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CryoSat-2 ground-commanded CA via ESOC Space Debris Office; conference.sdo.esoc.esa.int/proceedings (Collision Avoidance for Operational ESA Satellites) and esa.int/Space_Safety/Space_Debris/Automating_collision_avoidance</w:t>
            </w:r>
          </w:p>
        </w:tc>
      </w:tr>
      <w:tr>
        <w:tc>
          <w:tcPr>
            <w:tcW w:w="0" w:type="auto"/>
          </w:tcPr>
          <w:p>
            <w:pPr>
              <w:spacing w:line="240" w:lineRule="auto" w:before="0" w:after="0"/>
              <w:pStyle w:val="Compact"/>
            </w:pPr>
            <w:r>
              <w:rPr>
                <w:sz w:val="20"/>
                <w:szCs w:val="20"/>
              </w:rPr>
              <w:t xml:space="preserve">Aeolus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Aeolus very-low-orbit (320 km) ground-commanded CA with elevated alert rate; esa.int/Space_Safety/Space_Debris/Automating_collision_avoidance and ESOC operational collision-avoidance proceedings [illustrative annual count]</w:t>
            </w:r>
          </w:p>
        </w:tc>
      </w:tr>
      <w:tr>
        <w:tc>
          <w:tcPr>
            <w:tcW w:w="0" w:type="auto"/>
          </w:tcPr>
          <w:p>
            <w:pPr>
              <w:spacing w:line="240" w:lineRule="auto" w:before="0" w:after="0"/>
              <w:pStyle w:val="Compact"/>
            </w:pPr>
            <w:r>
              <w:rPr>
                <w:sz w:val="20"/>
                <w:szCs w:val="20"/>
              </w:rPr>
              <w:t xml:space="preserve">Sentinel-2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Copernicus Sentinel-2A/2B ground-commanded CA support by ESA Space Debris Office (seven Sentinels supported); esa.int/Applications/Observing_the_Earth/Copernicus/The_Sentinel_missions and esa.int/Space_Safety/Space_Debris/Automating_collision_avoidance</w:t>
            </w:r>
          </w:p>
        </w:tc>
      </w:tr>
      <w:tr>
        <w:tc>
          <w:tcPr>
            <w:tcW w:w="0" w:type="auto"/>
          </w:tcPr>
          <w:p>
            <w:pPr>
              <w:spacing w:line="240" w:lineRule="auto" w:before="0" w:after="0"/>
              <w:pStyle w:val="Compact"/>
            </w:pPr>
            <w:r>
              <w:rPr>
                <w:sz w:val="20"/>
                <w:szCs w:val="20"/>
              </w:rPr>
              <w:t xml:space="preserve">ESA-fleet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Debris Office fleet-average above one CA maneuver per satellite-yr, rising alert volume in 2024-2026 environment report; fodnews.com/esa-space-environment-report-2026-leo-debris-collision-risk and esa.int/Space_Safety/Space_Debris/Automating_collision_avoidance</w:t>
            </w:r>
          </w:p>
        </w:tc>
      </w:tr>
    </w:tbl>
    <w:bookmarkEnd w:id="204"/>
    <w:bookmarkStart w:id="20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ca_rate</w:t>
            </w:r>
          </w:p>
        </w:tc>
        <w:tc>
          <w:tcPr>
            <w:tcW w:w="0" w:type="auto"/>
          </w:tcPr>
          <w:p>
            <w:pPr>
              <w:spacing w:line="240" w:lineRule="auto" w:before="0" w:after="0"/>
              <w:pStyle w:val="Compact"/>
            </w:pPr>
            <w:r>
              <w:rPr>
                <w:sz w:val="20"/>
                <w:szCs w:val="20"/>
              </w:rPr>
              <w:t xml:space="preserve">Documented collision-avoidance maneuvers per satellite per year, annualized from the reporting window (count divided by fleet size, scaled to a 12-month basis). The dependent quantity, measuring the operational maneuver tempo that governance treats as the accountable on-orbit act.</w:t>
            </w:r>
          </w:p>
        </w:tc>
        <w:tc>
          <w:tcPr>
            <w:tcW w:w="0" w:type="auto"/>
          </w:tcPr>
          <w:p>
            <w:pPr>
              <w:spacing w:line="240" w:lineRule="auto" w:before="0" w:after="0"/>
              <w:pStyle w:val="Compact"/>
            </w:pPr>
            <w:r>
              <w:rPr>
                <w:sz w:val="20"/>
                <w:szCs w:val="20"/>
              </w:rPr>
              <w:t xml:space="preserve">SpaceX FCC semiannual reports; ESA Space Debris Office; NASA EOS and CARA mission status; ESA Copernicus Sentinel mission pages</w:t>
            </w:r>
          </w:p>
        </w:tc>
      </w:tr>
      <w:tr>
        <w:tc>
          <w:tcPr>
            <w:tcW w:w="0" w:type="auto"/>
          </w:tcPr>
          <w:p>
            <w:pPr>
              <w:spacing w:line="240" w:lineRule="auto" w:before="0" w:after="0"/>
              <w:pStyle w:val="Compact"/>
            </w:pPr>
            <w:r>
              <w:rPr>
                <w:sz w:val="20"/>
                <w:szCs w:val="20"/>
              </w:rPr>
              <w:t xml:space="preserve">provenance_transparent</w:t>
            </w:r>
          </w:p>
        </w:tc>
        <w:tc>
          <w:tcPr>
            <w:tcW w:w="0" w:type="auto"/>
          </w:tcPr>
          <w:p>
            <w:pPr>
              <w:spacing w:line="240" w:lineRule="auto" w:before="0" w:after="0"/>
              <w:pStyle w:val="Compact"/>
            </w:pPr>
            <w:r>
              <w:rPr>
                <w:sz w:val="20"/>
                <w:szCs w:val="20"/>
              </w:rPr>
              <w:t xml:space="preserve">Binary treatment coded 1 when the maneuvering operator relies on a ground-commanded, human-reviewed, operator-reconstructable collision-avoidance process (auditable provenance) and 0 when it relies on an onboard autonomous or learned avoidance system whose decision logic the operator does not author per event (opaque provenance).</w:t>
            </w:r>
          </w:p>
        </w:tc>
        <w:tc>
          <w:tcPr>
            <w:tcW w:w="0" w:type="auto"/>
          </w:tcPr>
          <w:p>
            <w:pPr>
              <w:spacing w:line="240" w:lineRule="auto" w:before="0" w:after="0"/>
              <w:pStyle w:val="Compact"/>
            </w:pPr>
            <w:r>
              <w:rPr>
                <w:sz w:val="20"/>
                <w:szCs w:val="20"/>
              </w:rPr>
              <w:t xml:space="preserve">Hand-coded from operator documentation: SpaceX autonomous onboard CA (opaque); ESA, NASA, ISS, OneWeb, Iridium, Planet ground-commanded CA (transparent); teslarati.com OneWeb manual-maneuver request; esa.int automating-collision-avoidance</w:t>
            </w:r>
          </w:p>
        </w:tc>
      </w:tr>
      <w:tr>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Natural logarithm of the operator’s operational satellite count in the reporting period, controlling for constellation scale and the traffic exposure it generates.</w:t>
            </w:r>
          </w:p>
        </w:tc>
        <w:tc>
          <w:tcPr>
            <w:tcW w:w="0" w:type="auto"/>
          </w:tcPr>
          <w:p>
            <w:pPr>
              <w:spacing w:line="240" w:lineRule="auto" w:before="0" w:after="0"/>
              <w:pStyle w:val="Compact"/>
            </w:pPr>
            <w:r>
              <w:rPr>
                <w:sz w:val="20"/>
                <w:szCs w:val="20"/>
              </w:rPr>
              <w:t xml:space="preserve">space.com Starlink fleet counts; spaceflightnow.com; operator and ESA fleet figures</w:t>
            </w:r>
          </w:p>
        </w:tc>
      </w:tr>
      <w:tr>
        <w:tc>
          <w:tcPr>
            <w:tcW w:w="0" w:type="auto"/>
          </w:tcPr>
          <w:p>
            <w:pPr>
              <w:spacing w:line="240" w:lineRule="auto" w:before="0" w:after="0"/>
              <w:pStyle w:val="Compact"/>
            </w:pPr>
            <w:r>
              <w:rPr>
                <w:sz w:val="20"/>
                <w:szCs w:val="20"/>
              </w:rPr>
              <w:t xml:space="preserve">mean_alt_km</w:t>
            </w:r>
          </w:p>
        </w:tc>
        <w:tc>
          <w:tcPr>
            <w:tcW w:w="0" w:type="auto"/>
          </w:tcPr>
          <w:p>
            <w:pPr>
              <w:spacing w:line="240" w:lineRule="auto" w:before="0" w:after="0"/>
              <w:pStyle w:val="Compact"/>
            </w:pPr>
            <w:r>
              <w:rPr>
                <w:sz w:val="20"/>
                <w:szCs w:val="20"/>
              </w:rPr>
              <w:t xml:space="preserve">Approximate mean operating altitude of the operator’s satellites in kilometers, controlling for orbital-regime debris density and conjunction exposure.</w:t>
            </w:r>
          </w:p>
        </w:tc>
        <w:tc>
          <w:tcPr>
            <w:tcW w:w="0" w:type="auto"/>
          </w:tcPr>
          <w:p>
            <w:pPr>
              <w:spacing w:line="240" w:lineRule="auto" w:before="0" w:after="0"/>
              <w:pStyle w:val="Compact"/>
            </w:pPr>
            <w:r>
              <w:rPr>
                <w:sz w:val="20"/>
                <w:szCs w:val="20"/>
              </w:rPr>
              <w:t xml:space="preserve">Mission and constellation shell altitudes from operator and ESA/NASA mission pages</w:t>
            </w:r>
          </w:p>
        </w:tc>
      </w:tr>
      <w:tr>
        <w:tc>
          <w:tcPr>
            <w:tcW w:w="0" w:type="auto"/>
          </w:tcPr>
          <w:p>
            <w:pPr>
              <w:spacing w:line="240" w:lineRule="auto" w:before="0" w:after="0"/>
              <w:pStyle w:val="Compact"/>
            </w:pPr>
            <w:r>
              <w:rPr>
                <w:sz w:val="20"/>
                <w:szCs w:val="20"/>
              </w:rPr>
              <w:t xml:space="preserve">leo_dense</w:t>
            </w:r>
          </w:p>
        </w:tc>
        <w:tc>
          <w:tcPr>
            <w:tcW w:w="0" w:type="auto"/>
          </w:tcPr>
          <w:p>
            <w:pPr>
              <w:spacing w:line="240" w:lineRule="auto" w:before="0" w:after="0"/>
              <w:pStyle w:val="Compact"/>
            </w:pPr>
            <w:r>
              <w:rPr>
                <w:sz w:val="20"/>
                <w:szCs w:val="20"/>
              </w:rPr>
              <w:t xml:space="preserve">Indicator for operation in the congested 300-800 km LEO band (1) versus higher LEO shells (0); reported for descriptive stratification.</w:t>
            </w:r>
          </w:p>
        </w:tc>
        <w:tc>
          <w:tcPr>
            <w:tcW w:w="0" w:type="auto"/>
          </w:tcPr>
          <w:p>
            <w:pPr>
              <w:spacing w:line="240" w:lineRule="auto" w:before="0" w:after="0"/>
              <w:pStyle w:val="Compact"/>
            </w:pPr>
            <w:r>
              <w:rPr>
                <w:sz w:val="20"/>
                <w:szCs w:val="20"/>
              </w:rPr>
              <w:t xml:space="preserve">Constellation shell altitudes from operator documentation</w:t>
            </w:r>
          </w:p>
        </w:tc>
      </w:tr>
    </w:tbl>
    <w:bookmarkEnd w:id="205"/>
    <w:bookmarkEnd w:id="206"/>
    <w:bookmarkStart w:id="214" w:name="X3392ee9ae0bcab1aafabddde0247bca1339929d"/>
    <w:p>
      <w:pPr>
        <w:pStyle w:val="Heading2"/>
        <w:spacing w:line="480" w:lineRule="auto"/>
      </w:pPr>
      <w:r>
        <w:t xml:space="preserve">A.2 How Long Until the Regulator Says Yes? A Cox Proportional-Hazards Analysis of Autonomy Provenance and Time-to-Authorization for U.S. Non-Geostationary Satellite Systems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autonomy_intensive</m:t>
              </m:r>
              <m:r>
                <m:rPr>
                  <m:sty m:val="p"/>
                </m:rPr>
                <m:t>+</m:t>
              </m:r>
              <m:sSub>
                <m:e>
                  <m:r>
                    <m:t>β</m:t>
                  </m:r>
                </m:e>
                <m:sub>
                  <m:r>
                    <m:t>2</m:t>
                  </m:r>
                </m:sub>
              </m:sSub>
              <m:r>
                <m:t> </m:t>
              </m:r>
              <m:r>
                <m:rPr>
                  <m:sty m:val="p"/>
                </m:rPr>
                <m:t>log</m:t>
              </m:r>
              <m:r>
                <m:rPr>
                  <m:sty m:val="p"/>
                </m:rPr>
                <m:t>(</m:t>
              </m:r>
              <m:r>
                <m:rPr>
                  <m:nor/>
                  <m:sty m:val="p"/>
                </m:rPr>
                <m:t>satellites</m:t>
              </m:r>
              <m:r>
                <m:rPr>
                  <m:sty m:val="p"/>
                </m:rPr>
                <m:t>)</m:t>
              </m:r>
              <m:r>
                <m:rPr>
                  <m:sty m:val="p"/>
                </m:rPr>
                <m:t>+</m:t>
              </m:r>
              <m:sSub>
                <m:e>
                  <m:r>
                    <m:t>β</m:t>
                  </m:r>
                </m:e>
                <m:sub>
                  <m:r>
                    <m:t>3</m:t>
                  </m:r>
                </m:sub>
              </m:sSub>
              <m:r>
                <m:t> </m:t>
              </m:r>
              <m:r>
                <m:rPr>
                  <m:nor/>
                  <m:sty m:val="p"/>
                </m:rPr>
                <m:t>processing_round</m:t>
              </m:r>
            </m:e>
          </m:d>
        </m:oMath>
      </m:oMathPara>
    </w:p>
    <w:bookmarkStart w:id="20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autonomy_intensive</w:t>
            </w:r>
          </w:p>
        </w:tc>
        <w:tc>
          <w:tcPr>
            <w:tcW w:w="0" w:type="auto"/>
          </w:tcPr>
          <w:p>
            <w:pPr>
              <w:spacing w:line="240" w:lineRule="auto" w:before="0" w:after="0"/>
              <w:pStyle w:val="Compact"/>
            </w:pPr>
            <w:r>
              <w:rPr>
                <w:sz w:val="20"/>
                <w:szCs w:val="20"/>
              </w:rPr>
              <w:t xml:space="preserve">0.7451</w:t>
            </w:r>
          </w:p>
        </w:tc>
        <w:tc>
          <w:tcPr>
            <w:tcW w:w="0" w:type="auto"/>
          </w:tcPr>
          <w:p>
            <w:pPr>
              <w:spacing w:line="240" w:lineRule="auto" w:before="0" w:after="0"/>
              <w:pStyle w:val="Compact"/>
            </w:pPr>
            <w:r>
              <w:rPr>
                <w:sz w:val="20"/>
                <w:szCs w:val="20"/>
              </w:rPr>
              <w:t xml:space="preserve">0.7122</w:t>
            </w:r>
          </w:p>
        </w:tc>
        <w:tc>
          <w:tcPr>
            <w:tcW w:w="0" w:type="auto"/>
          </w:tcPr>
          <w:p>
            <w:pPr>
              <w:spacing w:line="240" w:lineRule="auto" w:before="0" w:after="0"/>
              <w:pStyle w:val="Compact"/>
            </w:pPr>
            <w:r>
              <w:rPr>
                <w:sz w:val="20"/>
                <w:szCs w:val="20"/>
              </w:rPr>
              <w:t xml:space="preserve">1.0463</w:t>
            </w:r>
          </w:p>
        </w:tc>
        <w:tc>
          <w:tcPr>
            <w:tcW w:w="0" w:type="auto"/>
          </w:tcPr>
          <w:p>
            <w:pPr>
              <w:spacing w:line="240" w:lineRule="auto" w:before="0" w:after="0"/>
              <w:pStyle w:val="Compact"/>
            </w:pPr>
            <w:r>
              <w:rPr>
                <w:sz w:val="20"/>
                <w:szCs w:val="20"/>
              </w:rPr>
              <w:t xml:space="preserve">0.2954</w:t>
            </w:r>
          </w:p>
        </w:tc>
        <w:tc>
          <w:tcPr>
            <w:tcW w:w="0" w:type="auto"/>
          </w:tcPr>
          <w:p>
            <w:pPr>
              <w:spacing w:line="240" w:lineRule="auto" w:before="0" w:after="0"/>
              <w:pStyle w:val="Compact"/>
            </w:pPr>
            <w:r>
              <w:rPr>
                <w:sz w:val="20"/>
                <w:szCs w:val="20"/>
              </w:rPr>
              <w:t xml:space="preserve">[-0.6507, 2.1409]</w:t>
            </w:r>
          </w:p>
        </w:tc>
        <w:tc>
          <w:tcPr>
            <w:tcW w:w="0" w:type="auto"/>
          </w:tcPr>
          <w:p>
            <w:pPr>
              <w:spacing w:line="240" w:lineRule="auto" w:before="0" w:after="0"/>
              <w:pStyle w:val="Compact"/>
            </w:pPr>
            <w:r>
              <w:rPr>
                <w:sz w:val="20"/>
                <w:szCs w:val="20"/>
              </w:rPr>
              <w:t xml:space="preserve">2.1067</w:t>
            </w:r>
          </w:p>
        </w:tc>
      </w:tr>
      <w:tr>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0.0724</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0.4119</w:t>
            </w:r>
          </w:p>
        </w:tc>
        <w:tc>
          <w:tcPr>
            <w:tcW w:w="0" w:type="auto"/>
          </w:tcPr>
          <w:p>
            <w:pPr>
              <w:spacing w:line="240" w:lineRule="auto" w:before="0" w:after="0"/>
              <w:pStyle w:val="Compact"/>
            </w:pPr>
            <w:r>
              <w:rPr>
                <w:sz w:val="20"/>
                <w:szCs w:val="20"/>
              </w:rPr>
              <w:t xml:space="preserve">0.6804</w:t>
            </w:r>
          </w:p>
        </w:tc>
        <w:tc>
          <w:tcPr>
            <w:tcW w:w="0" w:type="auto"/>
          </w:tcPr>
          <w:p>
            <w:pPr>
              <w:spacing w:line="240" w:lineRule="auto" w:before="0" w:after="0"/>
              <w:pStyle w:val="Compact"/>
            </w:pPr>
            <w:r>
              <w:rPr>
                <w:sz w:val="20"/>
                <w:szCs w:val="20"/>
              </w:rPr>
              <w:t xml:space="preserve">[-0.272, 0.4168]</w:t>
            </w:r>
          </w:p>
        </w:tc>
        <w:tc>
          <w:tcPr>
            <w:tcW w:w="0" w:type="auto"/>
          </w:tcPr>
          <w:p>
            <w:pPr>
              <w:spacing w:line="240" w:lineRule="auto" w:before="0" w:after="0"/>
              <w:pStyle w:val="Compact"/>
            </w:pPr>
            <w:r>
              <w:rPr>
                <w:sz w:val="20"/>
                <w:szCs w:val="20"/>
              </w:rPr>
              <w:t xml:space="preserve">1.0751</w:t>
            </w:r>
          </w:p>
        </w:tc>
      </w:tr>
      <w:tr>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-2.3083</w:t>
            </w:r>
          </w:p>
        </w:tc>
        <w:tc>
          <w:tcPr>
            <w:tcW w:w="0" w:type="auto"/>
          </w:tcPr>
          <w:p>
            <w:pPr>
              <w:spacing w:line="240" w:lineRule="auto" w:before="0" w:after="0"/>
              <w:pStyle w:val="Compact"/>
            </w:pPr>
            <w:r>
              <w:rPr>
                <w:sz w:val="20"/>
                <w:szCs w:val="20"/>
              </w:rPr>
              <w:t xml:space="preserve">0.8732</w:t>
            </w:r>
          </w:p>
        </w:tc>
        <w:tc>
          <w:tcPr>
            <w:tcW w:w="0" w:type="auto"/>
          </w:tcPr>
          <w:p>
            <w:pPr>
              <w:spacing w:line="240" w:lineRule="auto" w:before="0" w:after="0"/>
              <w:pStyle w:val="Compact"/>
            </w:pPr>
            <w:r>
              <w:rPr>
                <w:sz w:val="20"/>
                <w:szCs w:val="20"/>
              </w:rPr>
              <w:t xml:space="preserve">-2.6436</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[-4.0196, -0.5969]</w:t>
            </w:r>
          </w:p>
        </w:tc>
        <w:tc>
          <w:tcPr>
            <w:tcW w:w="0" w:type="auto"/>
          </w:tcPr>
          <w:p>
            <w:pPr>
              <w:spacing w:line="240" w:lineRule="auto" w:before="0" w:after="0"/>
              <w:pStyle w:val="Compact"/>
            </w:pPr>
            <w:r>
              <w:rPr>
                <w:sz w:val="20"/>
                <w:szCs w:val="20"/>
              </w:rPr>
              <w:t xml:space="preserve">0.0994</w:t>
            </w:r>
          </w:p>
        </w:tc>
      </w:tr>
    </w:tbl>
    <w:p>
      <w:pPr>
        <w:pStyle w:val="BodyText"/>
        <w:spacing w:line="480" w:lineRule="auto"/>
        <w:ind w:firstLine="720"/>
      </w:pPr>
      <w:r>
        <w:t xml:space="preserve">Fit: N = 24 events = 17</w:t>
      </w:r>
    </w:p>
    <w:bookmarkEnd w:id="207"/>
    <w:bookmarkStart w:id="21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from FCC application to grant against system complexity for U.S. NGSO and SCS satellite systems; autonomy-intensive systems concentrate toward longer authorization intervals." title="" id="209" name="Picture"/>
            <a:graphic>
              <a:graphicData uri="http://schemas.openxmlformats.org/drawingml/2006/picture">
                <pic:pic>
                  <pic:nvPicPr>
                    <pic:cNvPr descr="D:/Claude_Code/brain/collegium/candidates/dissertations/CYBER_AI_13/research_papers/p2/paper_fig1.png" id="210" name="Picture"/>
                    <pic:cNvPicPr>
                      <a:picLocks noChangeArrowheads="1" noChangeAspect="1"/>
                    </pic:cNvPicPr>
                  </pic:nvPicPr>
                  <pic:blipFill>
                    <a:blip r:embed="rId20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from FCC application to grant against system complexity for U.S. NGSO and SCS satellite systems; autonomy-intensive systems concentrate toward longer authorization intervals.</w:t>
      </w:r>
    </w:p>
    <w:bookmarkEnd w:id="211"/>
    <w:bookmarkStart w:id="21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app_date</w:t>
            </w:r>
          </w:p>
        </w:tc>
        <w:tc>
          <w:tcPr>
            <w:tcW w:w="0" w:type="auto"/>
          </w:tcPr>
          <w:p>
            <w:pPr>
              <w:spacing w:line="240" w:lineRule="auto" w:before="0" w:after="0"/>
              <w:pStyle w:val="Compact"/>
            </w:pPr>
            <w:r>
              <w:rPr>
                <w:sz w:val="20"/>
                <w:szCs w:val="20"/>
              </w:rPr>
              <w:t xml:space="preserve">grant_date</w:t>
            </w:r>
          </w:p>
        </w:tc>
        <w:tc>
          <w:tcPr>
            <w:tcW w:w="0" w:type="auto"/>
          </w:tcPr>
          <w:p>
            <w:pPr>
              <w:spacing w:line="240" w:lineRule="auto" w:before="0" w:after="0"/>
              <w:pStyle w:val="Compact"/>
            </w:pPr>
            <w:r>
              <w:rPr>
                <w:sz w:val="20"/>
                <w:szCs w:val="20"/>
              </w:rPr>
              <w:t xml:space="preserve">obs_cutoff</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granted</w:t>
            </w:r>
          </w:p>
        </w:tc>
        <w:tc>
          <w:tcPr>
            <w:tcW w:w="0" w:type="auto"/>
          </w:tcPr>
          <w:p>
            <w:pPr>
              <w:spacing w:line="240" w:lineRule="auto" w:before="0" w:after="0"/>
              <w:pStyle w:val="Compact"/>
            </w:pPr>
            <w:r>
              <w:rPr>
                <w:sz w:val="20"/>
                <w:szCs w:val="20"/>
              </w:rPr>
              <w:t xml:space="preserve">n_satellites</w:t>
            </w:r>
          </w:p>
        </w:tc>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autonomy_intensive</w:t>
            </w:r>
          </w:p>
        </w:tc>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orbit_regime_leo</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 Gen1 Ku/Ka</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2018-03-29</w:t>
            </w:r>
          </w:p>
        </w:tc>
        <w:tc>
          <w:tcPr>
            <w:tcW w:w="0" w:type="auto"/>
          </w:tcPr>
          <w:p>
            <w:pPr>
              <w:spacing w:line="240" w:lineRule="auto" w:before="0" w:after="0"/>
              <w:pStyle w:val="Compact"/>
            </w:pPr>
            <w:r>
              <w:rPr>
                <w:sz w:val="20"/>
                <w:szCs w:val="20"/>
              </w:rPr>
              <w:t xml:space="preserve">2018-03-29</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4425</w:t>
            </w:r>
          </w:p>
        </w:tc>
        <w:tc>
          <w:tcPr>
            <w:tcW w:w="0" w:type="auto"/>
          </w:tcPr>
          <w:p>
            <w:pPr>
              <w:spacing w:line="240" w:lineRule="auto" w:before="0" w:after="0"/>
              <w:pStyle w:val="Compact"/>
            </w:pPr>
            <w:r>
              <w:rPr>
                <w:sz w:val="20"/>
                <w:szCs w:val="20"/>
              </w:rPr>
              <w:t xml:space="preserve">8.395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FCC-18-38 grant 2018-03-29; application Nov 2016 (en.wikipedia.org/wiki/Starlink; transition.fcc.gov Daily_Releases FCC-18-38A1)</w:t>
            </w:r>
          </w:p>
        </w:tc>
      </w:tr>
      <w:tr>
        <w:tc>
          <w:tcPr>
            <w:tcW w:w="0" w:type="auto"/>
          </w:tcPr>
          <w:p>
            <w:pPr>
              <w:spacing w:line="240" w:lineRule="auto" w:before="0" w:after="0"/>
              <w:pStyle w:val="Compact"/>
            </w:pPr>
            <w:r>
              <w:rPr>
                <w:sz w:val="20"/>
                <w:szCs w:val="20"/>
              </w:rPr>
              <w:t xml:space="preserve">Starlink V-band</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2017-03-01</w:t>
            </w:r>
          </w:p>
        </w:tc>
        <w:tc>
          <w:tcPr>
            <w:tcW w:w="0" w:type="auto"/>
          </w:tcPr>
          <w:p>
            <w:pPr>
              <w:spacing w:line="240" w:lineRule="auto" w:before="0" w:after="0"/>
              <w:pStyle w:val="Compact"/>
            </w:pPr>
            <w:r>
              <w:rPr>
                <w:sz w:val="20"/>
                <w:szCs w:val="20"/>
              </w:rPr>
              <w:t xml:space="preserve">2018-11-15</w:t>
            </w:r>
          </w:p>
        </w:tc>
        <w:tc>
          <w:tcPr>
            <w:tcW w:w="0" w:type="auto"/>
          </w:tcPr>
          <w:p>
            <w:pPr>
              <w:spacing w:line="240" w:lineRule="auto" w:before="0" w:after="0"/>
              <w:pStyle w:val="Compact"/>
            </w:pPr>
            <w:r>
              <w:rPr>
                <w:sz w:val="20"/>
                <w:szCs w:val="20"/>
              </w:rPr>
              <w:t xml:space="preserve">2018-11-15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7518</w:t>
            </w:r>
          </w:p>
        </w:tc>
        <w:tc>
          <w:tcPr>
            <w:tcW w:w="0" w:type="auto"/>
          </w:tcPr>
          <w:p>
            <w:pPr>
              <w:spacing w:line="240" w:lineRule="auto" w:before="0" w:after="0"/>
              <w:pStyle w:val="Compact"/>
            </w:pPr>
            <w:r>
              <w:rPr>
                <w:sz w:val="20"/>
                <w:szCs w:val="20"/>
              </w:rPr>
              <w:t xml:space="preserve">8.925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SpaceX NGSO V-band Authorization Nov 2018 (fcc.gov/document/fcc-grants-spacex-ngso-v-band-authorization; docs.fcc.gov DOC-354775A1)</w:t>
            </w:r>
          </w:p>
        </w:tc>
      </w:tr>
      <w:tr>
        <w:tc>
          <w:tcPr>
            <w:tcW w:w="0" w:type="auto"/>
          </w:tcPr>
          <w:p>
            <w:pPr>
              <w:spacing w:line="240" w:lineRule="auto" w:before="0" w:after="0"/>
              <w:pStyle w:val="Compact"/>
            </w:pPr>
            <w:r>
              <w:rPr>
                <w:sz w:val="20"/>
                <w:szCs w:val="20"/>
              </w:rPr>
              <w:t xml:space="preserve">Starlink Gen2 Ku/Ka</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2020-05-26</w:t>
            </w:r>
          </w:p>
        </w:tc>
        <w:tc>
          <w:tcPr>
            <w:tcW w:w="0" w:type="auto"/>
          </w:tcPr>
          <w:p>
            <w:pPr>
              <w:spacing w:line="240" w:lineRule="auto" w:before="0" w:after="0"/>
              <w:pStyle w:val="Compact"/>
            </w:pPr>
            <w:r>
              <w:rPr>
                <w:sz w:val="20"/>
                <w:szCs w:val="20"/>
              </w:rPr>
              <w:t xml:space="preserve">2022-12-01</w:t>
            </w:r>
          </w:p>
        </w:tc>
        <w:tc>
          <w:tcPr>
            <w:tcW w:w="0" w:type="auto"/>
          </w:tcPr>
          <w:p>
            <w:pPr>
              <w:spacing w:line="240" w:lineRule="auto" w:before="0" w:after="0"/>
              <w:pStyle w:val="Compact"/>
            </w:pPr>
            <w:r>
              <w:rPr>
                <w:sz w:val="20"/>
                <w:szCs w:val="20"/>
              </w:rPr>
              <w:t xml:space="preserve">2022-12-01</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7500</w:t>
            </w:r>
          </w:p>
        </w:tc>
        <w:tc>
          <w:tcPr>
            <w:tcW w:w="0" w:type="auto"/>
          </w:tcPr>
          <w:p>
            <w:pPr>
              <w:spacing w:line="240" w:lineRule="auto" w:before="0" w:after="0"/>
              <w:pStyle w:val="Compact"/>
            </w:pPr>
            <w:r>
              <w:rPr>
                <w:sz w:val="20"/>
                <w:szCs w:val="20"/>
              </w:rPr>
              <w:t xml:space="preserve">8.923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partial grant 2022-12-01, application filed May 2020 (fcc.gov/document/fcc-partially-grants-spacex-gen2-broadband-satellite-application; spacenews.com)</w:t>
            </w:r>
          </w:p>
        </w:tc>
      </w:tr>
      <w:tr>
        <w:tc>
          <w:tcPr>
            <w:tcW w:w="0" w:type="auto"/>
          </w:tcPr>
          <w:p>
            <w:pPr>
              <w:spacing w:line="240" w:lineRule="auto" w:before="0" w:after="0"/>
              <w:pStyle w:val="Compact"/>
            </w:pPr>
            <w:r>
              <w:rPr>
                <w:sz w:val="20"/>
                <w:szCs w:val="20"/>
              </w:rPr>
              <w:t xml:space="preserve">OneWeb Phase 1</w:t>
            </w:r>
          </w:p>
        </w:tc>
        <w:tc>
          <w:tcPr>
            <w:tcW w:w="0" w:type="auto"/>
          </w:tcPr>
          <w:p>
            <w:pPr>
              <w:spacing w:line="240" w:lineRule="auto" w:before="0" w:after="0"/>
              <w:pStyle w:val="Compact"/>
            </w:pPr>
            <w:r>
              <w:rPr>
                <w:sz w:val="20"/>
                <w:szCs w:val="20"/>
              </w:rPr>
              <w:t xml:space="preserve">WorldVu OneWeb</w:t>
            </w:r>
          </w:p>
        </w:tc>
        <w:tc>
          <w:tcPr>
            <w:tcW w:w="0" w:type="auto"/>
          </w:tcPr>
          <w:p>
            <w:pPr>
              <w:spacing w:line="240" w:lineRule="auto" w:before="0" w:after="0"/>
              <w:pStyle w:val="Compact"/>
            </w:pPr>
            <w:r>
              <w:rPr>
                <w:sz w:val="20"/>
                <w:szCs w:val="20"/>
              </w:rPr>
              <w:t xml:space="preserve">2016-04-28</w:t>
            </w:r>
          </w:p>
        </w:tc>
        <w:tc>
          <w:tcPr>
            <w:tcW w:w="0" w:type="auto"/>
          </w:tcPr>
          <w:p>
            <w:pPr>
              <w:spacing w:line="240" w:lineRule="auto" w:before="0" w:after="0"/>
              <w:pStyle w:val="Compact"/>
            </w:pPr>
            <w:r>
              <w:rPr>
                <w:sz w:val="20"/>
                <w:szCs w:val="20"/>
              </w:rPr>
              <w:t xml:space="preserve">2017-06-22</w:t>
            </w:r>
          </w:p>
        </w:tc>
        <w:tc>
          <w:tcPr>
            <w:tcW w:w="0" w:type="auto"/>
          </w:tcPr>
          <w:p>
            <w:pPr>
              <w:spacing w:line="240" w:lineRule="auto" w:before="0" w:after="0"/>
              <w:pStyle w:val="Compact"/>
            </w:pPr>
            <w:r>
              <w:rPr>
                <w:sz w:val="20"/>
                <w:szCs w:val="20"/>
              </w:rPr>
              <w:t xml:space="preserve">2017-06-22</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6.579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17-77 market access grant 2017-06-22; petition SAT-LOI-20160428-00041 (fcc.gov/document/oneweb-market-access-grant; kelleydrye.com June 2017 recap)</w:t>
            </w:r>
          </w:p>
        </w:tc>
      </w:tr>
      <w:tr>
        <w:tc>
          <w:tcPr>
            <w:tcW w:w="0" w:type="auto"/>
          </w:tcPr>
          <w:p>
            <w:pPr>
              <w:spacing w:line="240" w:lineRule="auto" w:before="0" w:after="0"/>
              <w:pStyle w:val="Compact"/>
            </w:pPr>
            <w:r>
              <w:rPr>
                <w:sz w:val="20"/>
                <w:szCs w:val="20"/>
              </w:rPr>
              <w:t xml:space="preserve">Kuiper</w:t>
            </w:r>
          </w:p>
        </w:tc>
        <w:tc>
          <w:tcPr>
            <w:tcW w:w="0" w:type="auto"/>
          </w:tcPr>
          <w:p>
            <w:pPr>
              <w:spacing w:line="240" w:lineRule="auto" w:before="0" w:after="0"/>
              <w:pStyle w:val="Compact"/>
            </w:pPr>
            <w:r>
              <w:rPr>
                <w:sz w:val="20"/>
                <w:szCs w:val="20"/>
              </w:rPr>
              <w:t xml:space="preserve">Amazon</w:t>
            </w:r>
          </w:p>
        </w:tc>
        <w:tc>
          <w:tcPr>
            <w:tcW w:w="0" w:type="auto"/>
          </w:tcPr>
          <w:p>
            <w:pPr>
              <w:spacing w:line="240" w:lineRule="auto" w:before="0" w:after="0"/>
              <w:pStyle w:val="Compact"/>
            </w:pPr>
            <w:r>
              <w:rPr>
                <w:sz w:val="20"/>
                <w:szCs w:val="20"/>
              </w:rPr>
              <w:t xml:space="preserve">2019-07-04</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8.082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20-102 Kuiper authorization 2020-07-30; SAT-LOA-20190704-00057 (fcc.gov/document/fcc-authorizes-kuiper-satellite-constellation; docs.fcc.gov FCC-20-102A1)</w:t>
            </w:r>
          </w:p>
        </w:tc>
      </w:tr>
      <w:tr>
        <w:tc>
          <w:tcPr>
            <w:tcW w:w="0" w:type="auto"/>
          </w:tcPr>
          <w:p>
            <w:pPr>
              <w:spacing w:line="240" w:lineRule="auto" w:before="0" w:after="0"/>
              <w:pStyle w:val="Compact"/>
            </w:pPr>
            <w:r>
              <w:rPr>
                <w:sz w:val="20"/>
                <w:szCs w:val="20"/>
              </w:rPr>
              <w:t xml:space="preserve">Telesat Lightspeed V-band</w:t>
            </w:r>
          </w:p>
        </w:tc>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2017-03-01</w:t>
            </w:r>
          </w:p>
        </w:tc>
        <w:tc>
          <w:tcPr>
            <w:tcW w:w="0" w:type="auto"/>
          </w:tcPr>
          <w:p>
            <w:pPr>
              <w:spacing w:line="240" w:lineRule="auto" w:before="0" w:after="0"/>
              <w:pStyle w:val="Compact"/>
            </w:pPr>
            <w:r>
              <w:rPr>
                <w:sz w:val="20"/>
                <w:szCs w:val="20"/>
              </w:rPr>
              <w:t xml:space="preserve">2018-11-15</w:t>
            </w:r>
          </w:p>
        </w:tc>
        <w:tc>
          <w:tcPr>
            <w:tcW w:w="0" w:type="auto"/>
          </w:tcPr>
          <w:p>
            <w:pPr>
              <w:spacing w:line="240" w:lineRule="auto" w:before="0" w:after="0"/>
              <w:pStyle w:val="Compact"/>
            </w:pPr>
            <w:r>
              <w:rPr>
                <w:sz w:val="20"/>
                <w:szCs w:val="20"/>
              </w:rPr>
              <w:t xml:space="preserve">2018-11-15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4.762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market access grant Nov 2018; petition filed March 2017 (fcc.gov/document/fcc-grants-market-access-telesat-canada-ngso-constellation; docs.fcc.gov FCC-18-159A1)</w:t>
            </w:r>
          </w:p>
        </w:tc>
      </w:tr>
      <w:tr>
        <w:tc>
          <w:tcPr>
            <w:tcW w:w="0" w:type="auto"/>
          </w:tcPr>
          <w:p>
            <w:pPr>
              <w:spacing w:line="240" w:lineRule="auto" w:before="0" w:after="0"/>
              <w:pStyle w:val="Compact"/>
            </w:pPr>
            <w:r>
              <w:rPr>
                <w:sz w:val="20"/>
                <w:szCs w:val="20"/>
              </w:rPr>
              <w:t xml:space="preserve">Telesat Ku/Ka market access</w:t>
            </w:r>
          </w:p>
        </w:tc>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2020-05-26</w:t>
            </w:r>
          </w:p>
        </w:tc>
        <w:tc>
          <w:tcPr>
            <w:tcW w:w="0" w:type="auto"/>
          </w:tcPr>
          <w:p>
            <w:pPr>
              <w:spacing w:line="240" w:lineRule="auto" w:before="0" w:after="0"/>
              <w:pStyle w:val="Compact"/>
            </w:pPr>
            <w:r>
              <w:rPr>
                <w:sz w:val="20"/>
                <w:szCs w:val="20"/>
              </w:rPr>
              <w:t xml:space="preserve">2024-06-11</w:t>
            </w:r>
          </w:p>
        </w:tc>
        <w:tc>
          <w:tcPr>
            <w:tcW w:w="0" w:type="auto"/>
          </w:tcPr>
          <w:p>
            <w:pPr>
              <w:spacing w:line="240" w:lineRule="auto" w:before="0" w:after="0"/>
              <w:pStyle w:val="Compact"/>
            </w:pPr>
            <w:r>
              <w:rPr>
                <w:sz w:val="20"/>
                <w:szCs w:val="20"/>
              </w:rPr>
              <w:t xml:space="preserve">2024-06-11</w:t>
            </w:r>
          </w:p>
        </w:tc>
        <w:tc>
          <w:tcPr>
            <w:tcW w:w="0" w:type="auto"/>
          </w:tcPr>
          <w:p>
            <w:pPr>
              <w:spacing w:line="240" w:lineRule="auto" w:before="0" w:after="0"/>
              <w:pStyle w:val="Compact"/>
            </w:pPr>
            <w:r>
              <w:rPr>
                <w:sz w:val="20"/>
                <w:szCs w:val="20"/>
              </w:rPr>
              <w:t xml:space="preserve">48.6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4.762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grant 2024-06-11 for 117-satellite Canada-authorized NGSO; SAT-MPL-20200526-00053 (fcc.gov/document/fcc-grants-market-access-telesat-canada-ngso-constellation)</w:t>
            </w:r>
          </w:p>
        </w:tc>
      </w:tr>
      <w:tr>
        <w:tc>
          <w:tcPr>
            <w:tcW w:w="0" w:type="auto"/>
          </w:tcPr>
          <w:p>
            <w:pPr>
              <w:spacing w:line="240" w:lineRule="auto" w:before="0" w:after="0"/>
              <w:pStyle w:val="Compact"/>
            </w:pPr>
            <w:r>
              <w:rPr>
                <w:sz w:val="20"/>
                <w:szCs w:val="20"/>
              </w:rPr>
              <w:t xml:space="preserve">Kuiper Ka MSS/FSS expansion</w:t>
            </w:r>
          </w:p>
        </w:tc>
        <w:tc>
          <w:tcPr>
            <w:tcW w:w="0" w:type="auto"/>
          </w:tcPr>
          <w:p>
            <w:pPr>
              <w:spacing w:line="240" w:lineRule="auto" w:before="0" w:after="0"/>
              <w:pStyle w:val="Compact"/>
            </w:pPr>
            <w:r>
              <w:rPr>
                <w:sz w:val="20"/>
                <w:szCs w:val="20"/>
              </w:rPr>
              <w:t xml:space="preserve">Amazon</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2024-06-11</w:t>
            </w:r>
          </w:p>
        </w:tc>
        <w:tc>
          <w:tcPr>
            <w:tcW w:w="0" w:type="auto"/>
          </w:tcPr>
          <w:p>
            <w:pPr>
              <w:spacing w:line="240" w:lineRule="auto" w:before="0" w:after="0"/>
              <w:pStyle w:val="Compact"/>
            </w:pPr>
            <w:r>
              <w:rPr>
                <w:sz w:val="20"/>
                <w:szCs w:val="20"/>
              </w:rPr>
              <w:t xml:space="preserve">2024-06-11</w:t>
            </w:r>
          </w:p>
        </w:tc>
        <w:tc>
          <w:tcPr>
            <w:tcW w:w="0" w:type="auto"/>
          </w:tcPr>
          <w:p>
            <w:pPr>
              <w:spacing w:line="240" w:lineRule="auto" w:before="0" w:after="0"/>
              <w:pStyle w:val="Compact"/>
            </w:pPr>
            <w:r>
              <w:rPr>
                <w:sz w:val="20"/>
                <w:szCs w:val="20"/>
              </w:rPr>
              <w:t xml:space="preserve">31.4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8.082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grant 2024-06-11 additional FSS/MSS Ka authority; filed Nov 2021 round (fcc.gov; spacenews.com/amazons-kuiper-constellation-gets-fcc-approval)</w:t>
            </w:r>
          </w:p>
        </w:tc>
      </w:tr>
      <w:tr>
        <w:tc>
          <w:tcPr>
            <w:tcW w:w="0" w:type="auto"/>
          </w:tcPr>
          <w:p>
            <w:pPr>
              <w:spacing w:line="240" w:lineRule="auto" w:before="0" w:after="0"/>
              <w:pStyle w:val="Compact"/>
            </w:pPr>
            <w:r>
              <w:rPr>
                <w:sz w:val="20"/>
                <w:szCs w:val="20"/>
              </w:rPr>
              <w:t xml:space="preserve">Boeing V-band</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2017-06-22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52.6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4.99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approval 2021-11-03; application filed 2017 (spacenews.com/fcc-approves-boeings-147-satellite-v-band-constellation; space.com/boeing-satellite-constellation-fcc-approval)</w:t>
            </w:r>
          </w:p>
        </w:tc>
      </w:tr>
      <w:tr>
        <w:tc>
          <w:tcPr>
            <w:tcW w:w="0" w:type="auto"/>
          </w:tcPr>
          <w:p>
            <w:pPr>
              <w:spacing w:line="240" w:lineRule="auto" w:before="0" w:after="0"/>
              <w:pStyle w:val="Compact"/>
            </w:pPr>
            <w:r>
              <w:rPr>
                <w:sz w:val="20"/>
                <w:szCs w:val="20"/>
              </w:rPr>
              <w:t xml:space="preserve">AST SpaceMobile SCS 248</w:t>
            </w:r>
          </w:p>
        </w:tc>
        <w:tc>
          <w:tcPr>
            <w:tcW w:w="0" w:type="auto"/>
          </w:tcPr>
          <w:p>
            <w:pPr>
              <w:spacing w:line="240" w:lineRule="auto" w:before="0" w:after="0"/>
              <w:pStyle w:val="Compact"/>
            </w:pPr>
            <w:r>
              <w:rPr>
                <w:sz w:val="20"/>
                <w:szCs w:val="20"/>
              </w:rPr>
              <w:t xml:space="preserve">AST and Science</w:t>
            </w:r>
          </w:p>
        </w:tc>
        <w:tc>
          <w:tcPr>
            <w:tcW w:w="0" w:type="auto"/>
          </w:tcPr>
          <w:p>
            <w:pPr>
              <w:spacing w:line="240" w:lineRule="auto" w:before="0" w:after="0"/>
              <w:pStyle w:val="Compact"/>
            </w:pPr>
            <w:r>
              <w:rPr>
                <w:sz w:val="20"/>
                <w:szCs w:val="20"/>
              </w:rPr>
              <w:t xml:space="preserve">2020-04-13</w:t>
            </w:r>
          </w:p>
        </w:tc>
        <w:tc>
          <w:tcPr>
            <w:tcW w:w="0" w:type="auto"/>
          </w:tcPr>
          <w:p>
            <w:pPr>
              <w:spacing w:line="240" w:lineRule="auto" w:before="0" w:after="0"/>
              <w:pStyle w:val="Compact"/>
            </w:pPr>
            <w:r>
              <w:rPr>
                <w:sz w:val="20"/>
                <w:szCs w:val="20"/>
              </w:rPr>
              <w:t xml:space="preserve">2026-04-21</w:t>
            </w:r>
          </w:p>
        </w:tc>
        <w:tc>
          <w:tcPr>
            <w:tcW w:w="0" w:type="auto"/>
          </w:tcPr>
          <w:p>
            <w:pPr>
              <w:spacing w:line="240" w:lineRule="auto" w:before="0" w:after="0"/>
              <w:pStyle w:val="Compact"/>
            </w:pPr>
            <w:r>
              <w:rPr>
                <w:sz w:val="20"/>
                <w:szCs w:val="20"/>
              </w:rPr>
              <w:t xml:space="preserve">2026-04-21</w:t>
            </w:r>
          </w:p>
        </w:tc>
        <w:tc>
          <w:tcPr>
            <w:tcW w:w="0" w:type="auto"/>
          </w:tcPr>
          <w:p>
            <w:pPr>
              <w:spacing w:line="240" w:lineRule="auto" w:before="0" w:after="0"/>
              <w:pStyle w:val="Compact"/>
            </w:pPr>
            <w:r>
              <w:rPr>
                <w:sz w:val="20"/>
                <w:szCs w:val="20"/>
              </w:rPr>
              <w:t xml:space="preserve">72.3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5.513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DA 26-391 grant 2026-04-21; SAT-LOA-20200413-00034 filed Apr 2020 (satnews.com 2026/04/21; businesswire.com 20260422147378)</w:t>
            </w:r>
          </w:p>
        </w:tc>
      </w:tr>
      <w:tr>
        <w:tc>
          <w:tcPr>
            <w:tcW w:w="0" w:type="auto"/>
          </w:tcPr>
          <w:p>
            <w:pPr>
              <w:spacing w:line="240" w:lineRule="auto" w:before="0" w:after="0"/>
              <w:pStyle w:val="Compact"/>
            </w:pPr>
            <w:r>
              <w:rPr>
                <w:sz w:val="20"/>
                <w:szCs w:val="20"/>
              </w:rPr>
              <w:t xml:space="preserve">Astra Spacecom</w:t>
            </w:r>
          </w:p>
        </w:tc>
        <w:tc>
          <w:tcPr>
            <w:tcW w:w="0" w:type="auto"/>
          </w:tcPr>
          <w:p>
            <w:pPr>
              <w:spacing w:line="240" w:lineRule="auto" w:before="0" w:after="0"/>
              <w:pStyle w:val="Compact"/>
            </w:pPr>
            <w:r>
              <w:rPr>
                <w:sz w:val="20"/>
                <w:szCs w:val="20"/>
              </w:rPr>
              <w:t xml:space="preserve">Astra</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13620</w:t>
            </w:r>
          </w:p>
        </w:tc>
        <w:tc>
          <w:tcPr>
            <w:tcW w:w="0" w:type="auto"/>
          </w:tcPr>
          <w:p>
            <w:pPr>
              <w:spacing w:line="240" w:lineRule="auto" w:before="0" w:after="0"/>
              <w:pStyle w:val="Compact"/>
            </w:pPr>
            <w:r>
              <w:rPr>
                <w:sz w:val="20"/>
                <w:szCs w:val="20"/>
              </w:rPr>
              <w:t xml:space="preserve">9.519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2021-11-04 for 13620-satellite LEO system; not granted as of cutoff (spaceexplored.com 2021/11/04; spacenews.com/astra-files-fcc-application-for-13600-satellite-constellation)</w:t>
            </w:r>
          </w:p>
        </w:tc>
      </w:tr>
      <w:tr>
        <w:tc>
          <w:tcPr>
            <w:tcW w:w="0" w:type="auto"/>
          </w:tcPr>
          <w:p>
            <w:pPr>
              <w:spacing w:line="240" w:lineRule="auto" w:before="0" w:after="0"/>
              <w:pStyle w:val="Compact"/>
            </w:pPr>
            <w:r>
              <w:rPr>
                <w:sz w:val="20"/>
                <w:szCs w:val="20"/>
              </w:rPr>
              <w:t xml:space="preserve">Hughes LEO</w:t>
            </w:r>
          </w:p>
        </w:tc>
        <w:tc>
          <w:tcPr>
            <w:tcW w:w="0" w:type="auto"/>
          </w:tcPr>
          <w:p>
            <w:pPr>
              <w:spacing w:line="240" w:lineRule="auto" w:before="0" w:after="0"/>
              <w:pStyle w:val="Compact"/>
            </w:pPr>
            <w:r>
              <w:rPr>
                <w:sz w:val="20"/>
                <w:szCs w:val="20"/>
              </w:rPr>
              <w:t xml:space="preserve">Hughes Network Systems</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7.272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2021-11-04 for 1440 LEO satellites; pending as of cutoff (spaceexplored.com 2021/11/04; cnbc.com 2021/11/05)</w:t>
            </w:r>
          </w:p>
        </w:tc>
      </w:tr>
      <w:tr>
        <w:tc>
          <w:tcPr>
            <w:tcW w:w="0" w:type="auto"/>
          </w:tcPr>
          <w:p>
            <w:pPr>
              <w:spacing w:line="240" w:lineRule="auto" w:before="0" w:after="0"/>
              <w:pStyle w:val="Compact"/>
            </w:pPr>
            <w:r>
              <w:rPr>
                <w:sz w:val="20"/>
                <w:szCs w:val="20"/>
              </w:rPr>
              <w:t xml:space="preserve">Inmarsat Orchestra V-band</w:t>
            </w:r>
          </w:p>
        </w:tc>
        <w:tc>
          <w:tcPr>
            <w:tcW w:w="0" w:type="auto"/>
          </w:tcPr>
          <w:p>
            <w:pPr>
              <w:spacing w:line="240" w:lineRule="auto" w:before="0" w:after="0"/>
              <w:pStyle w:val="Compact"/>
            </w:pPr>
            <w:r>
              <w:rPr>
                <w:sz w:val="20"/>
                <w:szCs w:val="20"/>
              </w:rPr>
              <w:t xml:space="preserve">Inmarsat</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5.288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2021-11-04 for 198-satellite V-band Orchestra constellation; pending (spaceexplored.com 2021/11/04; cnbc.com 2021/11/05)</w:t>
            </w:r>
          </w:p>
        </w:tc>
      </w:tr>
      <w:tr>
        <w:tc>
          <w:tcPr>
            <w:tcW w:w="0" w:type="auto"/>
          </w:tcPr>
          <w:p>
            <w:pPr>
              <w:spacing w:line="240" w:lineRule="auto" w:before="0" w:after="0"/>
              <w:pStyle w:val="Compact"/>
            </w:pPr>
            <w:r>
              <w:rPr>
                <w:sz w:val="20"/>
                <w:szCs w:val="20"/>
              </w:rPr>
              <w:t xml:space="preserve">Telesat augmentation 1671</w:t>
            </w:r>
          </w:p>
        </w:tc>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1671</w:t>
            </w:r>
          </w:p>
        </w:tc>
        <w:tc>
          <w:tcPr>
            <w:tcW w:w="0" w:type="auto"/>
          </w:tcPr>
          <w:p>
            <w:pPr>
              <w:spacing w:line="240" w:lineRule="auto" w:before="0" w:after="0"/>
              <w:pStyle w:val="Compact"/>
            </w:pPr>
            <w:r>
              <w:rPr>
                <w:sz w:val="20"/>
                <w:szCs w:val="20"/>
              </w:rPr>
              <w:t xml:space="preserve">7.421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2021-11-04 to augment constellation to 1671 satellites; pending second-round (spaceexplored.com 2021/11/04; cnbc.com 2021/11/05)</w:t>
            </w:r>
          </w:p>
        </w:tc>
      </w:tr>
      <w:tr>
        <w:tc>
          <w:tcPr>
            <w:tcW w:w="0" w:type="auto"/>
          </w:tcPr>
          <w:p>
            <w:pPr>
              <w:spacing w:line="240" w:lineRule="auto" w:before="0" w:after="0"/>
              <w:pStyle w:val="Compact"/>
            </w:pPr>
            <w:r>
              <w:rPr>
                <w:sz w:val="20"/>
                <w:szCs w:val="20"/>
              </w:rPr>
              <w:t xml:space="preserve">Intelsat NGSO</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2023-05-04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5.375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2023-05-04 NGSO FSS application; pending (payloadspace.com status-of-ngso-fixed-satellite-service-spectrum-priority)</w:t>
            </w:r>
          </w:p>
        </w:tc>
      </w:tr>
      <w:tr>
        <w:tc>
          <w:tcPr>
            <w:tcW w:w="0" w:type="auto"/>
          </w:tcPr>
          <w:p>
            <w:pPr>
              <w:spacing w:line="240" w:lineRule="auto" w:before="0" w:after="0"/>
              <w:pStyle w:val="Compact"/>
            </w:pPr>
            <w:r>
              <w:rPr>
                <w:sz w:val="20"/>
                <w:szCs w:val="20"/>
              </w:rPr>
              <w:t xml:space="preserve">NSLComm Pleiades</w:t>
            </w:r>
          </w:p>
        </w:tc>
        <w:tc>
          <w:tcPr>
            <w:tcW w:w="0" w:type="auto"/>
          </w:tcPr>
          <w:p>
            <w:pPr>
              <w:spacing w:line="240" w:lineRule="auto" w:before="0" w:after="0"/>
              <w:pStyle w:val="Compact"/>
            </w:pPr>
            <w:r>
              <w:rPr>
                <w:sz w:val="20"/>
                <w:szCs w:val="20"/>
              </w:rPr>
              <w:t xml:space="preserve">NSLComm</w:t>
            </w:r>
          </w:p>
        </w:tc>
        <w:tc>
          <w:tcPr>
            <w:tcW w:w="0" w:type="auto"/>
          </w:tcPr>
          <w:p>
            <w:pPr>
              <w:spacing w:line="240" w:lineRule="auto" w:before="0" w:after="0"/>
              <w:pStyle w:val="Compact"/>
            </w:pPr>
            <w:r>
              <w:rPr>
                <w:sz w:val="20"/>
                <w:szCs w:val="20"/>
              </w:rPr>
              <w:t xml:space="preserve">2024-08-16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Filing date 2024-08-16 documented; 15-satellite Pleiades system per New Spectrum/Pleiades record [illustrative satellite count for NSLComm] (payloadspace.com; space.skyrocket.de nslsat-1)</w:t>
            </w:r>
          </w:p>
        </w:tc>
      </w:tr>
      <w:tr>
        <w:tc>
          <w:tcPr>
            <w:tcW w:w="0" w:type="auto"/>
          </w:tcPr>
          <w:p>
            <w:pPr>
              <w:spacing w:line="240" w:lineRule="auto" w:before="0" w:after="0"/>
              <w:pStyle w:val="Compact"/>
            </w:pPr>
            <w:r>
              <w:rPr>
                <w:sz w:val="20"/>
                <w:szCs w:val="20"/>
              </w:rPr>
              <w:t xml:space="preserve">Logos Space</w:t>
            </w:r>
          </w:p>
        </w:tc>
        <w:tc>
          <w:tcPr>
            <w:tcW w:w="0" w:type="auto"/>
          </w:tcPr>
          <w:p>
            <w:pPr>
              <w:spacing w:line="240" w:lineRule="auto" w:before="0" w:after="0"/>
              <w:pStyle w:val="Compact"/>
            </w:pPr>
            <w:r>
              <w:rPr>
                <w:sz w:val="20"/>
                <w:szCs w:val="20"/>
              </w:rPr>
              <w:t xml:space="preserve">Logos Space</w:t>
            </w:r>
          </w:p>
        </w:tc>
        <w:tc>
          <w:tcPr>
            <w:tcW w:w="0" w:type="auto"/>
          </w:tcPr>
          <w:p>
            <w:pPr>
              <w:spacing w:line="240" w:lineRule="auto" w:before="0" w:after="0"/>
              <w:pStyle w:val="Compact"/>
            </w:pPr>
            <w:r>
              <w:rPr>
                <w:sz w:val="20"/>
                <w:szCs w:val="20"/>
              </w:rPr>
              <w:t xml:space="preserve">2024-10-30</w:t>
            </w:r>
          </w:p>
        </w:tc>
        <w:tc>
          <w:tcPr>
            <w:tcW w:w="0" w:type="auto"/>
          </w:tcPr>
          <w:p>
            <w:pPr>
              <w:spacing w:line="240" w:lineRule="auto" w:before="0" w:after="0"/>
              <w:pStyle w:val="Compact"/>
            </w:pPr>
            <w:r>
              <w:rPr>
                <w:sz w:val="20"/>
                <w:szCs w:val="20"/>
              </w:rPr>
              <w:t xml:space="preserve">2026-02-05</w:t>
            </w:r>
          </w:p>
        </w:tc>
        <w:tc>
          <w:tcPr>
            <w:tcW w:w="0" w:type="auto"/>
          </w:tcPr>
          <w:p>
            <w:pPr>
              <w:spacing w:line="240" w:lineRule="auto" w:before="0" w:after="0"/>
              <w:pStyle w:val="Compact"/>
            </w:pPr>
            <w:r>
              <w:rPr>
                <w:sz w:val="20"/>
                <w:szCs w:val="20"/>
              </w:rPr>
              <w:t xml:space="preserve">2026-02-05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4178</w:t>
            </w:r>
          </w:p>
        </w:tc>
        <w:tc>
          <w:tcPr>
            <w:tcW w:w="0" w:type="auto"/>
          </w:tcPr>
          <w:p>
            <w:pPr>
              <w:spacing w:line="240" w:lineRule="auto" w:before="0" w:after="0"/>
              <w:pStyle w:val="Compact"/>
            </w:pPr>
            <w:r>
              <w:rPr>
                <w:sz w:val="20"/>
                <w:szCs w:val="20"/>
              </w:rPr>
              <w:t xml:space="preserve">8.338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grant 2026-02-05 (granted-in-part Jan 30 2026); SAT-LOA-20241030-00243 filed 2024-10-30; 4178 satellites (satellitetoday.com 2026/02/05; datacenterdynamics.com; spacenews.com/fcc-clears-logos)</w:t>
            </w:r>
          </w:p>
        </w:tc>
      </w:tr>
      <w:tr>
        <w:tc>
          <w:tcPr>
            <w:tcW w:w="0" w:type="auto"/>
          </w:tcPr>
          <w:p>
            <w:pPr>
              <w:spacing w:line="240" w:lineRule="auto" w:before="0" w:after="0"/>
              <w:pStyle w:val="Compact"/>
            </w:pPr>
            <w:r>
              <w:rPr>
                <w:sz w:val="20"/>
                <w:szCs w:val="20"/>
              </w:rPr>
              <w:t xml:space="preserve">SN Space Pleiades</w:t>
            </w:r>
          </w:p>
        </w:tc>
        <w:tc>
          <w:tcPr>
            <w:tcW w:w="0" w:type="auto"/>
          </w:tcPr>
          <w:p>
            <w:pPr>
              <w:spacing w:line="240" w:lineRule="auto" w:before="0" w:after="0"/>
              <w:pStyle w:val="Compact"/>
            </w:pPr>
            <w:r>
              <w:rPr>
                <w:sz w:val="20"/>
                <w:szCs w:val="20"/>
              </w:rPr>
              <w:t xml:space="preserve">New Spectrum Satellite</w:t>
            </w:r>
          </w:p>
        </w:tc>
        <w:tc>
          <w:tcPr>
            <w:tcW w:w="0" w:type="auto"/>
          </w:tcPr>
          <w:p>
            <w:pPr>
              <w:spacing w:line="240" w:lineRule="auto" w:before="0" w:after="0"/>
              <w:pStyle w:val="Compact"/>
            </w:pPr>
            <w:r>
              <w:rPr>
                <w:sz w:val="20"/>
                <w:szCs w:val="20"/>
              </w:rPr>
              <w:t xml:space="preserve">2021-11-04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2026-06-01</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Filed 2021-11-04 second-round; 15-satellite Pleiades system, V/Ku/Ka (payloadspace.com status-of-ngso-fixed-satellite-service-spectrum-priority)</w:t>
            </w:r>
          </w:p>
        </w:tc>
      </w:tr>
      <w:tr>
        <w:tc>
          <w:tcPr>
            <w:tcW w:w="0" w:type="auto"/>
          </w:tcPr>
          <w:p>
            <w:pPr>
              <w:spacing w:line="240" w:lineRule="auto" w:before="0" w:after="0"/>
              <w:pStyle w:val="Compact"/>
            </w:pPr>
            <w:r>
              <w:rPr>
                <w:sz w:val="20"/>
                <w:szCs w:val="20"/>
              </w:rPr>
              <w:t xml:space="preserve">SpaceX Gen2 upgrade</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2022-08-19</w:t>
            </w:r>
          </w:p>
        </w:tc>
        <w:tc>
          <w:tcPr>
            <w:tcW w:w="0" w:type="auto"/>
          </w:tcPr>
          <w:p>
            <w:pPr>
              <w:spacing w:line="240" w:lineRule="auto" w:before="0" w:after="0"/>
              <w:pStyle w:val="Compact"/>
            </w:pPr>
            <w:r>
              <w:rPr>
                <w:sz w:val="20"/>
                <w:szCs w:val="20"/>
              </w:rPr>
              <w:t xml:space="preserve">2024-09-30</w:t>
            </w:r>
          </w:p>
        </w:tc>
        <w:tc>
          <w:tcPr>
            <w:tcW w:w="0" w:type="auto"/>
          </w:tcPr>
          <w:p>
            <w:pPr>
              <w:spacing w:line="240" w:lineRule="auto" w:before="0" w:after="0"/>
              <w:pStyle w:val="Compact"/>
            </w:pPr>
            <w:r>
              <w:rPr>
                <w:sz w:val="20"/>
                <w:szCs w:val="20"/>
              </w:rPr>
              <w:t xml:space="preserve">2024-09-30</w:t>
            </w:r>
          </w:p>
        </w:tc>
        <w:tc>
          <w:tcPr>
            <w:tcW w:w="0" w:type="auto"/>
          </w:tcPr>
          <w:p>
            <w:pPr>
              <w:spacing w:line="240" w:lineRule="auto" w:before="0" w:after="0"/>
              <w:pStyle w:val="Compact"/>
            </w:pPr>
            <w:r>
              <w:rPr>
                <w:sz w:val="20"/>
                <w:szCs w:val="20"/>
              </w:rPr>
              <w:t xml:space="preserve">25.4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7500</w:t>
            </w:r>
          </w:p>
        </w:tc>
        <w:tc>
          <w:tcPr>
            <w:tcW w:w="0" w:type="auto"/>
          </w:tcPr>
          <w:p>
            <w:pPr>
              <w:spacing w:line="240" w:lineRule="auto" w:before="0" w:after="0"/>
              <w:pStyle w:val="Compact"/>
            </w:pPr>
            <w:r>
              <w:rPr>
                <w:sz w:val="20"/>
                <w:szCs w:val="20"/>
              </w:rPr>
              <w:t xml:space="preserve">8.923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DA 24-1193 Gen2 upgrade partial grant 2024 (docs.fcc.gov DA-24-1193A1; fcc.gov/document/spacex-gen2-upgrade-applications-partial-grant)</w:t>
            </w:r>
          </w:p>
        </w:tc>
      </w:tr>
      <w:tr>
        <w:tc>
          <w:tcPr>
            <w:tcW w:w="0" w:type="auto"/>
          </w:tcPr>
          <w:p>
            <w:pPr>
              <w:spacing w:line="240" w:lineRule="auto" w:before="0" w:after="0"/>
              <w:pStyle w:val="Compact"/>
            </w:pPr>
            <w:r>
              <w:rPr>
                <w:sz w:val="20"/>
                <w:szCs w:val="20"/>
              </w:rPr>
              <w:t xml:space="preserve">OneWeb Phase 2</w:t>
            </w:r>
          </w:p>
        </w:tc>
        <w:tc>
          <w:tcPr>
            <w:tcW w:w="0" w:type="auto"/>
          </w:tcPr>
          <w:p>
            <w:pPr>
              <w:spacing w:line="240" w:lineRule="auto" w:before="0" w:after="0"/>
              <w:pStyle w:val="Compact"/>
            </w:pPr>
            <w:r>
              <w:rPr>
                <w:sz w:val="20"/>
                <w:szCs w:val="20"/>
              </w:rPr>
              <w:t xml:space="preserve">WorldVu OneWeb</w:t>
            </w:r>
          </w:p>
        </w:tc>
        <w:tc>
          <w:tcPr>
            <w:tcW w:w="0" w:type="auto"/>
          </w:tcPr>
          <w:p>
            <w:pPr>
              <w:spacing w:line="240" w:lineRule="auto" w:before="0" w:after="0"/>
              <w:pStyle w:val="Compact"/>
            </w:pPr>
            <w:r>
              <w:rPr>
                <w:sz w:val="20"/>
                <w:szCs w:val="20"/>
              </w:rPr>
              <w:t xml:space="preserve">2020-05-26</w:t>
            </w:r>
          </w:p>
        </w:tc>
        <w:tc>
          <w:tcPr>
            <w:tcW w:w="0" w:type="auto"/>
          </w:tcPr>
          <w:p>
            <w:pPr>
              <w:spacing w:line="240" w:lineRule="auto" w:before="0" w:after="0"/>
              <w:pStyle w:val="Compact"/>
            </w:pPr>
            <w:r>
              <w:rPr>
                <w:sz w:val="20"/>
                <w:szCs w:val="20"/>
              </w:rPr>
              <w:t xml:space="preserve">2023-09-05</w:t>
            </w:r>
          </w:p>
        </w:tc>
        <w:tc>
          <w:tcPr>
            <w:tcW w:w="0" w:type="auto"/>
          </w:tcPr>
          <w:p>
            <w:pPr>
              <w:spacing w:line="240" w:lineRule="auto" w:before="0" w:after="0"/>
              <w:pStyle w:val="Compact"/>
            </w:pPr>
            <w:r>
              <w:rPr>
                <w:sz w:val="20"/>
                <w:szCs w:val="20"/>
              </w:rPr>
              <w:t xml:space="preserve">2023-09-05</w:t>
            </w:r>
          </w:p>
        </w:tc>
        <w:tc>
          <w:tcPr>
            <w:tcW w:w="0" w:type="auto"/>
          </w:tcPr>
          <w:p>
            <w:pPr>
              <w:spacing w:line="240" w:lineRule="auto" w:before="0" w:after="0"/>
              <w:pStyle w:val="Compact"/>
            </w:pPr>
            <w:r>
              <w:rPr>
                <w:sz w:val="20"/>
                <w:szCs w:val="20"/>
              </w:rPr>
              <w:t xml:space="preserve">39.7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6372</w:t>
            </w:r>
          </w:p>
        </w:tc>
        <w:tc>
          <w:tcPr>
            <w:tcW w:w="0" w:type="auto"/>
          </w:tcPr>
          <w:p>
            <w:pPr>
              <w:spacing w:line="240" w:lineRule="auto" w:before="0" w:after="0"/>
              <w:pStyle w:val="Compact"/>
            </w:pPr>
            <w:r>
              <w:rPr>
                <w:sz w:val="20"/>
                <w:szCs w:val="20"/>
              </w:rPr>
              <w:t xml:space="preserve">8.76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grant 2023 for Phase 2; SAT-MPL-20200526-00062 filed May 2020 (fcc.report SAT-MPL-20200526-00062; en.wikipedia.org/wiki/OneWeb)</w:t>
            </w:r>
          </w:p>
        </w:tc>
      </w:tr>
      <w:tr>
        <w:tc>
          <w:tcPr>
            <w:tcW w:w="0" w:type="auto"/>
          </w:tcPr>
          <w:p>
            <w:pPr>
              <w:spacing w:line="240" w:lineRule="auto" w:before="0" w:after="0"/>
              <w:pStyle w:val="Compact"/>
            </w:pPr>
            <w:r>
              <w:rPr>
                <w:sz w:val="20"/>
                <w:szCs w:val="20"/>
              </w:rPr>
              <w:t xml:space="preserve">Lynk Global MSS</w:t>
            </w:r>
          </w:p>
        </w:tc>
        <w:tc>
          <w:tcPr>
            <w:tcW w:w="0" w:type="auto"/>
          </w:tcPr>
          <w:p>
            <w:pPr>
              <w:spacing w:line="240" w:lineRule="auto" w:before="0" w:after="0"/>
              <w:pStyle w:val="Compact"/>
            </w:pPr>
            <w:r>
              <w:rPr>
                <w:sz w:val="20"/>
                <w:szCs w:val="20"/>
              </w:rPr>
              <w:t xml:space="preserve">Lynk Global</w:t>
            </w:r>
          </w:p>
        </w:tc>
        <w:tc>
          <w:tcPr>
            <w:tcW w:w="0" w:type="auto"/>
          </w:tcPr>
          <w:p>
            <w:pPr>
              <w:spacing w:line="240" w:lineRule="auto" w:before="0" w:after="0"/>
              <w:pStyle w:val="Compact"/>
            </w:pPr>
            <w:r>
              <w:rPr>
                <w:sz w:val="20"/>
                <w:szCs w:val="20"/>
              </w:rPr>
              <w:t xml:space="preserve">2021-05-11</w:t>
            </w:r>
          </w:p>
        </w:tc>
        <w:tc>
          <w:tcPr>
            <w:tcW w:w="0" w:type="auto"/>
          </w:tcPr>
          <w:p>
            <w:pPr>
              <w:spacing w:line="240" w:lineRule="auto" w:before="0" w:after="0"/>
              <w:pStyle w:val="Compact"/>
            </w:pPr>
            <w:r>
              <w:rPr>
                <w:sz w:val="20"/>
                <w:szCs w:val="20"/>
              </w:rPr>
              <w:t xml:space="preserve">2022-09-16</w:t>
            </w:r>
          </w:p>
        </w:tc>
        <w:tc>
          <w:tcPr>
            <w:tcW w:w="0" w:type="auto"/>
          </w:tcPr>
          <w:p>
            <w:pPr>
              <w:spacing w:line="240" w:lineRule="auto" w:before="0" w:after="0"/>
              <w:pStyle w:val="Compact"/>
            </w:pPr>
            <w:r>
              <w:rPr>
                <w:sz w:val="20"/>
                <w:szCs w:val="20"/>
              </w:rPr>
              <w:t xml:space="preserve">2022-09-16</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grant 2022-09-16 first commercial direct-to-device MSS; SAT-LOA-20210511-00064 filed 2021-05-11 for 10 satellites (spacenews.com/lynk-files-fcc-license-application; businesswire.com 20220916005512)</w:t>
            </w:r>
          </w:p>
        </w:tc>
      </w:tr>
      <w:tr>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2013-09-01</w:t>
            </w:r>
          </w:p>
        </w:tc>
        <w:tc>
          <w:tcPr>
            <w:tcW w:w="0" w:type="auto"/>
          </w:tcPr>
          <w:p>
            <w:pPr>
              <w:spacing w:line="240" w:lineRule="auto" w:before="0" w:after="0"/>
              <w:pStyle w:val="Compact"/>
            </w:pPr>
            <w:r>
              <w:rPr>
                <w:sz w:val="20"/>
                <w:szCs w:val="20"/>
              </w:rPr>
              <w:t xml:space="preserve">2015-09-03</w:t>
            </w:r>
          </w:p>
        </w:tc>
        <w:tc>
          <w:tcPr>
            <w:tcW w:w="0" w:type="auto"/>
          </w:tcPr>
          <w:p>
            <w:pPr>
              <w:spacing w:line="240" w:lineRule="auto" w:before="0" w:after="0"/>
              <w:pStyle w:val="Compact"/>
            </w:pPr>
            <w:r>
              <w:rPr>
                <w:sz w:val="20"/>
                <w:szCs w:val="20"/>
              </w:rPr>
              <w:t xml:space="preserve">2015-09-03</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4.394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modification grant for Iridium NEXT 81-satellite LEO replacement; pre-megaconstellation human-supervised [illustrative exact dates] (fcc.report/company; en.wikipedia.org/wiki/Iridium_satellite_constellation)</w:t>
            </w:r>
          </w:p>
        </w:tc>
      </w:tr>
      <w:tr>
        <w:tc>
          <w:tcPr>
            <w:tcW w:w="0" w:type="auto"/>
          </w:tcPr>
          <w:p>
            <w:pPr>
              <w:spacing w:line="240" w:lineRule="auto" w:before="0" w:after="0"/>
              <w:pStyle w:val="Compact"/>
            </w:pPr>
            <w:r>
              <w:rPr>
                <w:sz w:val="20"/>
                <w:szCs w:val="20"/>
              </w:rPr>
              <w:t xml:space="preserve">SES O3b mPOWER</w:t>
            </w:r>
          </w:p>
        </w:tc>
        <w:tc>
          <w:tcPr>
            <w:tcW w:w="0" w:type="auto"/>
          </w:tcPr>
          <w:p>
            <w:pPr>
              <w:spacing w:line="240" w:lineRule="auto" w:before="0" w:after="0"/>
              <w:pStyle w:val="Compact"/>
            </w:pPr>
            <w:r>
              <w:rPr>
                <w:sz w:val="20"/>
                <w:szCs w:val="20"/>
              </w:rPr>
              <w:t xml:space="preserve">SES</w:t>
            </w:r>
          </w:p>
        </w:tc>
        <w:tc>
          <w:tcPr>
            <w:tcW w:w="0" w:type="auto"/>
          </w:tcPr>
          <w:p>
            <w:pPr>
              <w:spacing w:line="240" w:lineRule="auto" w:before="0" w:after="0"/>
              <w:pStyle w:val="Compact"/>
            </w:pPr>
            <w:r>
              <w:rPr>
                <w:sz w:val="20"/>
                <w:szCs w:val="20"/>
              </w:rPr>
              <w:t xml:space="preserve">2017-06-21</w:t>
            </w:r>
          </w:p>
        </w:tc>
        <w:tc>
          <w:tcPr>
            <w:tcW w:w="0" w:type="auto"/>
          </w:tcPr>
          <w:p>
            <w:pPr>
              <w:spacing w:line="240" w:lineRule="auto" w:before="0" w:after="0"/>
              <w:pStyle w:val="Compact"/>
            </w:pPr>
            <w:r>
              <w:rPr>
                <w:sz w:val="20"/>
                <w:szCs w:val="20"/>
              </w:rPr>
              <w:t xml:space="preserve">2018-06-08</w:t>
            </w:r>
          </w:p>
        </w:tc>
        <w:tc>
          <w:tcPr>
            <w:tcW w:w="0" w:type="auto"/>
          </w:tcPr>
          <w:p>
            <w:pPr>
              <w:spacing w:line="240" w:lineRule="auto" w:before="0" w:after="0"/>
              <w:pStyle w:val="Compact"/>
            </w:pPr>
            <w:r>
              <w:rPr>
                <w:sz w:val="20"/>
                <w:szCs w:val="20"/>
              </w:rPr>
              <w:t xml:space="preserve">2018-06-08</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market access grant 2018-06-08 (FCC 18-67/DOC-350772A1); SAT-LOA-20170621-00092 filed 2017-06-21; O3b mPOWER MEO 13-satellite system (ses.com/press-release us-fcc-expands-market-access; en.wikipedia.org/wiki/O3b_mPOWER)</w:t>
            </w:r>
          </w:p>
        </w:tc>
      </w:tr>
      <w:tr>
        <w:tc>
          <w:tcPr>
            <w:tcW w:w="0" w:type="auto"/>
          </w:tcPr>
          <w:p>
            <w:pPr>
              <w:spacing w:line="240" w:lineRule="auto" w:before="0" w:after="0"/>
              <w:pStyle w:val="Compact"/>
            </w:pPr>
            <w:r>
              <w:rPr>
                <w:sz w:val="20"/>
                <w:szCs w:val="20"/>
              </w:rPr>
              <w:t xml:space="preserve">Globalstar 2nd gen</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2010-06-01</w:t>
            </w:r>
          </w:p>
        </w:tc>
        <w:tc>
          <w:tcPr>
            <w:tcW w:w="0" w:type="auto"/>
          </w:tcPr>
          <w:p>
            <w:pPr>
              <w:spacing w:line="240" w:lineRule="auto" w:before="0" w:after="0"/>
              <w:pStyle w:val="Compact"/>
            </w:pPr>
            <w:r>
              <w:rPr>
                <w:sz w:val="20"/>
                <w:szCs w:val="20"/>
              </w:rPr>
              <w:t xml:space="preserve">2012-02-01</w:t>
            </w:r>
          </w:p>
        </w:tc>
        <w:tc>
          <w:tcPr>
            <w:tcW w:w="0" w:type="auto"/>
          </w:tcPr>
          <w:p>
            <w:pPr>
              <w:spacing w:line="240" w:lineRule="auto" w:before="0" w:after="0"/>
              <w:pStyle w:val="Compact"/>
            </w:pPr>
            <w:r>
              <w:rPr>
                <w:sz w:val="20"/>
                <w:szCs w:val="20"/>
              </w:rPr>
              <w:t xml:space="preserve">2012-02-01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3.178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authorization Globalstar second-generation 24-satellite LEO MSS; constellation completed Feb 2013 [illustrative exact filing/grant dates] (en.wikipedia.org/wiki/Globalstar; space.skyrocket.de globalstar-2)</w:t>
            </w:r>
          </w:p>
        </w:tc>
      </w:tr>
    </w:tbl>
    <w:bookmarkEnd w:id="212"/>
    <w:bookmarkStart w:id="21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FCC application/petition filing date to license or market-access grant date; for systems not yet granted, months from filing to the 2026-06-01 observation cutoff (right-censored).</w:t>
            </w:r>
          </w:p>
        </w:tc>
        <w:tc>
          <w:tcPr>
            <w:tcW w:w="0" w:type="auto"/>
          </w:tcPr>
          <w:p>
            <w:pPr>
              <w:spacing w:line="240" w:lineRule="auto" w:before="0" w:after="0"/>
              <w:pStyle w:val="Compact"/>
            </w:pPr>
            <w:r>
              <w:rPr>
                <w:sz w:val="20"/>
                <w:szCs w:val="20"/>
              </w:rPr>
              <w:t xml:space="preserve">Computed from documented FCC IBFS filing and grant/adoption dates per row source.</w:t>
            </w:r>
          </w:p>
        </w:tc>
      </w:tr>
      <w:tr>
        <w:tc>
          <w:tcPr>
            <w:tcW w:w="0" w:type="auto"/>
          </w:tcPr>
          <w:p>
            <w:pPr>
              <w:spacing w:line="240" w:lineRule="auto" w:before="0" w:after="0"/>
              <w:pStyle w:val="Compact"/>
            </w:pPr>
            <w:r>
              <w:rPr>
                <w:sz w:val="20"/>
                <w:szCs w:val="20"/>
              </w:rPr>
              <w:t xml:space="preserve">granted</w:t>
            </w:r>
          </w:p>
        </w:tc>
        <w:tc>
          <w:tcPr>
            <w:tcW w:w="0" w:type="auto"/>
          </w:tcPr>
          <w:p>
            <w:pPr>
              <w:spacing w:line="240" w:lineRule="auto" w:before="0" w:after="0"/>
              <w:pStyle w:val="Compact"/>
            </w:pPr>
            <w:r>
              <w:rPr>
                <w:sz w:val="20"/>
                <w:szCs w:val="20"/>
              </w:rPr>
              <w:t xml:space="preserve">Event indicator: 1 if the FCC issued a grant or market-access authorization by the cutoff; 0 if the application remained pending or undecided at the cutoff (right-censored).</w:t>
            </w:r>
          </w:p>
        </w:tc>
        <w:tc>
          <w:tcPr>
            <w:tcW w:w="0" w:type="auto"/>
          </w:tcPr>
          <w:p>
            <w:pPr>
              <w:spacing w:line="240" w:lineRule="auto" w:before="0" w:after="0"/>
              <w:pStyle w:val="Compact"/>
            </w:pPr>
            <w:r>
              <w:rPr>
                <w:sz w:val="20"/>
                <w:szCs w:val="20"/>
              </w:rPr>
              <w:t xml:space="preserve">FCC orders, public notices, and trade-press grant confirmations per row source.</w:t>
            </w:r>
          </w:p>
        </w:tc>
      </w:tr>
      <w:tr>
        <w:tc>
          <w:tcPr>
            <w:tcW w:w="0" w:type="auto"/>
          </w:tcPr>
          <w:p>
            <w:pPr>
              <w:spacing w:line="240" w:lineRule="auto" w:before="0" w:after="0"/>
              <w:pStyle w:val="Compact"/>
            </w:pPr>
            <w:r>
              <w:rPr>
                <w:sz w:val="20"/>
                <w:szCs w:val="20"/>
              </w:rPr>
              <w:t xml:space="preserve">autonomy_intensive</w:t>
            </w:r>
          </w:p>
        </w:tc>
        <w:tc>
          <w:tcPr>
            <w:tcW w:w="0" w:type="auto"/>
          </w:tcPr>
          <w:p>
            <w:pPr>
              <w:spacing w:line="240" w:lineRule="auto" w:before="0" w:after="0"/>
              <w:pStyle w:val="Compact"/>
            </w:pPr>
            <w:r>
              <w:rPr>
                <w:sz w:val="20"/>
                <w:szCs w:val="20"/>
              </w:rPr>
              <w:t xml:space="preserve">Binary provenance proxy: 1 if the system’s documented design relies on large-scale onboard or distributed autonomous collision-avoidance and tasking (mega-constellations and direct-to-device supplemental-coverage systems whose scale precludes per-event human maneuver authoring); 0 if the system operates at a scale compatible with human-supervised maneuver decisions.</w:t>
            </w:r>
          </w:p>
        </w:tc>
        <w:tc>
          <w:tcPr>
            <w:tcW w:w="0" w:type="auto"/>
          </w:tcPr>
          <w:p>
            <w:pPr>
              <w:spacing w:line="240" w:lineRule="auto" w:before="0" w:after="0"/>
              <w:pStyle w:val="Compact"/>
            </w:pPr>
            <w:r>
              <w:rPr>
                <w:sz w:val="20"/>
                <w:szCs w:val="20"/>
              </w:rPr>
              <w:t xml:space="preserve">Hand-coded from mission scale and documented operating concept; threshold rubric in Section 3.</w:t>
            </w:r>
          </w:p>
        </w:tc>
      </w:tr>
      <w:tr>
        <w:tc>
          <w:tcPr>
            <w:tcW w:w="0" w:type="auto"/>
          </w:tcPr>
          <w:p>
            <w:pPr>
              <w:spacing w:line="240" w:lineRule="auto" w:before="0" w:after="0"/>
              <w:pStyle w:val="Compact"/>
            </w:pPr>
            <w:r>
              <w:rPr>
                <w:sz w:val="20"/>
                <w:szCs w:val="20"/>
              </w:rPr>
              <w:t xml:space="preserve">log_satellites</w:t>
            </w:r>
          </w:p>
        </w:tc>
        <w:tc>
          <w:tcPr>
            <w:tcW w:w="0" w:type="auto"/>
          </w:tcPr>
          <w:p>
            <w:pPr>
              <w:spacing w:line="240" w:lineRule="auto" w:before="0" w:after="0"/>
              <w:pStyle w:val="Compact"/>
            </w:pPr>
            <w:r>
              <w:rPr>
                <w:sz w:val="20"/>
                <w:szCs w:val="20"/>
              </w:rPr>
              <w:t xml:space="preserve">Natural logarithm of the authorized or requested number of satellites in the system, a measure of system complexity and coordination burden.</w:t>
            </w:r>
          </w:p>
        </w:tc>
        <w:tc>
          <w:tcPr>
            <w:tcW w:w="0" w:type="auto"/>
          </w:tcPr>
          <w:p>
            <w:pPr>
              <w:spacing w:line="240" w:lineRule="auto" w:before="0" w:after="0"/>
              <w:pStyle w:val="Compact"/>
            </w:pPr>
            <w:r>
              <w:rPr>
                <w:sz w:val="20"/>
                <w:szCs w:val="20"/>
              </w:rPr>
              <w:t xml:space="preserve">log(n_satellites); counts from FCC filings and operator records per row source.</w:t>
            </w:r>
          </w:p>
        </w:tc>
      </w:tr>
      <w:tr>
        <w:tc>
          <w:tcPr>
            <w:tcW w:w="0" w:type="auto"/>
          </w:tcPr>
          <w:p>
            <w:pPr>
              <w:spacing w:line="240" w:lineRule="auto" w:before="0" w:after="0"/>
              <w:pStyle w:val="Compact"/>
            </w:pPr>
            <w:r>
              <w:rPr>
                <w:sz w:val="20"/>
                <w:szCs w:val="20"/>
              </w:rPr>
              <w:t xml:space="preserve">processing_round</w:t>
            </w:r>
          </w:p>
        </w:tc>
        <w:tc>
          <w:tcPr>
            <w:tcW w:w="0" w:type="auto"/>
          </w:tcPr>
          <w:p>
            <w:pPr>
              <w:spacing w:line="240" w:lineRule="auto" w:before="0" w:after="0"/>
              <w:pStyle w:val="Compact"/>
            </w:pPr>
            <w:r>
              <w:rPr>
                <w:sz w:val="20"/>
                <w:szCs w:val="20"/>
              </w:rPr>
              <w:t xml:space="preserve">Binary: 1 if the application was filed into a competitive FCC NGSO processing round (collective cut-off coordination); 0 if processed as a standalone streamlined or small-system filing.</w:t>
            </w:r>
          </w:p>
        </w:tc>
        <w:tc>
          <w:tcPr>
            <w:tcW w:w="0" w:type="auto"/>
          </w:tcPr>
          <w:p>
            <w:pPr>
              <w:spacing w:line="240" w:lineRule="auto" w:before="0" w:after="0"/>
              <w:pStyle w:val="Compact"/>
            </w:pPr>
            <w:r>
              <w:rPr>
                <w:sz w:val="20"/>
                <w:szCs w:val="20"/>
              </w:rPr>
              <w:t xml:space="preserve">FCC processing-round records per row source.</w:t>
            </w:r>
          </w:p>
        </w:tc>
      </w:tr>
    </w:tbl>
    <w:bookmarkEnd w:id="213"/>
    <w:bookmarkEnd w:id="214"/>
    <w:bookmarkEnd w:id="21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0" Type="http://schemas.openxmlformats.org/officeDocument/2006/relationships/image" Target="media/rId200.png"/><Relationship Id="rId208" Type="http://schemas.openxmlformats.org/officeDocument/2006/relationships/image" Target="media/rId208.png"/><Relationship Id="rId190" Type="http://schemas.openxmlformats.org/officeDocument/2006/relationships/hyperlink" Target="https://doi.org/10.1016/j.actaastro.2019.07.014" TargetMode="External"/><Relationship Id="rId194" Type="http://schemas.openxmlformats.org/officeDocument/2006/relationships/hyperlink" Target="https://doi.org/10.1016/j.actaastro.2021.12.030" TargetMode="External"/><Relationship Id="rId188" Type="http://schemas.openxmlformats.org/officeDocument/2006/relationships/hyperlink" Target="https://doi.org/10.1016/j.actaastro.2022.01.027" TargetMode="External"/><Relationship Id="rId167" Type="http://schemas.openxmlformats.org/officeDocument/2006/relationships/hyperlink" Target="https://doi.org/10.1016/j.actaastro.2024.06.052" TargetMode="External"/><Relationship Id="rId153" Type="http://schemas.openxmlformats.org/officeDocument/2006/relationships/hyperlink" Target="https://doi.org/10.1016/j.actaastro.2025.01.031" TargetMode="External"/><Relationship Id="rId169" Type="http://schemas.openxmlformats.org/officeDocument/2006/relationships/hyperlink" Target="https://doi.org/10.1016/j.actaastro.2025.01.043" TargetMode="External"/><Relationship Id="rId158" Type="http://schemas.openxmlformats.org/officeDocument/2006/relationships/hyperlink" Target="https://doi.org/10.1016/j.actaastro.2025.01.069" TargetMode="External"/><Relationship Id="rId182" Type="http://schemas.openxmlformats.org/officeDocument/2006/relationships/hyperlink" Target="https://doi.org/10.1016/j.actaastro.2025.04.063" TargetMode="External"/><Relationship Id="rId156" Type="http://schemas.openxmlformats.org/officeDocument/2006/relationships/hyperlink" Target="https://doi.org/10.1016/j.actaastro.2025.06.029" TargetMode="External"/><Relationship Id="rId186" Type="http://schemas.openxmlformats.org/officeDocument/2006/relationships/hyperlink" Target="https://doi.org/10.1016/j.actaastro.2025.10.018" TargetMode="External"/><Relationship Id="rId184" Type="http://schemas.openxmlformats.org/officeDocument/2006/relationships/hyperlink" Target="https://doi.org/10.1016/j.actaastro.2025.11.039" TargetMode="External"/><Relationship Id="rId192" Type="http://schemas.openxmlformats.org/officeDocument/2006/relationships/hyperlink" Target="https://doi.org/10.1016/j.actaastro.2026.02.008" TargetMode="External"/><Relationship Id="rId196" Type="http://schemas.openxmlformats.org/officeDocument/2006/relationships/hyperlink" Target="https://doi.org/10.1016/j.actaastro.2026.03.037" TargetMode="External"/><Relationship Id="rId172" Type="http://schemas.openxmlformats.org/officeDocument/2006/relationships/hyperlink" Target="https://doi.org/10.64861/CKGQ5448" TargetMode="External"/><Relationship Id="rId151" Type="http://schemas.openxmlformats.org/officeDocument/2006/relationships/hyperlink" Target="https://doi.org/10.64861/DDFP2152" TargetMode="External"/><Relationship Id="rId180" Type="http://schemas.openxmlformats.org/officeDocument/2006/relationships/hyperlink" Target="https://doi.org/10.64861/RAAN7205" TargetMode="External"/><Relationship Id="rId176" Type="http://schemas.openxmlformats.org/officeDocument/2006/relationships/hyperlink" Target="https://doi.org/10.64861/XHRO4751" TargetMode="External"/><Relationship Id="rId149" Type="http://schemas.openxmlformats.org/officeDocument/2006/relationships/hyperlink" Target="https://doi.org/10.64861/XQCN3213" TargetMode="External"/></Relationships>
</file>

<file path=word/_rels/footnotes.xml.rels><?xml version='1.0' encoding='UTF-8' standalone='yes'?>
<Relationships xmlns="http://schemas.openxmlformats.org/package/2006/relationships"><Relationship Id="rId190" Type="http://schemas.openxmlformats.org/officeDocument/2006/relationships/hyperlink" Target="https://doi.org/10.1016/j.actaastro.2019.07.014" TargetMode="External"/><Relationship Id="rId194" Type="http://schemas.openxmlformats.org/officeDocument/2006/relationships/hyperlink" Target="https://doi.org/10.1016/j.actaastro.2021.12.030" TargetMode="External"/><Relationship Id="rId188" Type="http://schemas.openxmlformats.org/officeDocument/2006/relationships/hyperlink" Target="https://doi.org/10.1016/j.actaastro.2022.01.027" TargetMode="External"/><Relationship Id="rId167" Type="http://schemas.openxmlformats.org/officeDocument/2006/relationships/hyperlink" Target="https://doi.org/10.1016/j.actaastro.2024.06.052" TargetMode="External"/><Relationship Id="rId153" Type="http://schemas.openxmlformats.org/officeDocument/2006/relationships/hyperlink" Target="https://doi.org/10.1016/j.actaastro.2025.01.031" TargetMode="External"/><Relationship Id="rId169" Type="http://schemas.openxmlformats.org/officeDocument/2006/relationships/hyperlink" Target="https://doi.org/10.1016/j.actaastro.2025.01.043" TargetMode="External"/><Relationship Id="rId158" Type="http://schemas.openxmlformats.org/officeDocument/2006/relationships/hyperlink" Target="https://doi.org/10.1016/j.actaastro.2025.01.069" TargetMode="External"/><Relationship Id="rId182" Type="http://schemas.openxmlformats.org/officeDocument/2006/relationships/hyperlink" Target="https://doi.org/10.1016/j.actaastro.2025.04.063" TargetMode="External"/><Relationship Id="rId156" Type="http://schemas.openxmlformats.org/officeDocument/2006/relationships/hyperlink" Target="https://doi.org/10.1016/j.actaastro.2025.06.029" TargetMode="External"/><Relationship Id="rId186" Type="http://schemas.openxmlformats.org/officeDocument/2006/relationships/hyperlink" Target="https://doi.org/10.1016/j.actaastro.2025.10.018" TargetMode="External"/><Relationship Id="rId184" Type="http://schemas.openxmlformats.org/officeDocument/2006/relationships/hyperlink" Target="https://doi.org/10.1016/j.actaastro.2025.11.039" TargetMode="External"/><Relationship Id="rId192" Type="http://schemas.openxmlformats.org/officeDocument/2006/relationships/hyperlink" Target="https://doi.org/10.1016/j.actaastro.2026.02.008" TargetMode="External"/><Relationship Id="rId196" Type="http://schemas.openxmlformats.org/officeDocument/2006/relationships/hyperlink" Target="https://doi.org/10.1016/j.actaastro.2026.03.037" TargetMode="External"/><Relationship Id="rId172" Type="http://schemas.openxmlformats.org/officeDocument/2006/relationships/hyperlink" Target="https://doi.org/10.64861/CKGQ5448" TargetMode="External"/><Relationship Id="rId151" Type="http://schemas.openxmlformats.org/officeDocument/2006/relationships/hyperlink" Target="https://doi.org/10.64861/DDFP2152" TargetMode="External"/><Relationship Id="rId180" Type="http://schemas.openxmlformats.org/officeDocument/2006/relationships/hyperlink" Target="https://doi.org/10.64861/RAAN7205" TargetMode="External"/><Relationship Id="rId176" Type="http://schemas.openxmlformats.org/officeDocument/2006/relationships/hyperlink" Target="https://doi.org/10.64861/XHRO4751" TargetMode="External"/><Relationship Id="rId149" Type="http://schemas.openxmlformats.org/officeDocument/2006/relationships/hyperlink" Target="https://doi.org/10.64861/XQCN3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Governing the Autonomous Operator: A Cliometric Analysis of How AI-Autonomy Provenance Shapes Regulatory Approval of On-Orbit Operations</dc:title>
  <dc:creator>Lena Okonkwo (1B-ITI-052)</dc:creator>
  <cp:keywords/>
  <dcterms:created xsi:type="dcterms:W3CDTF">2026-07-04T00:21:05Z</dcterms:created>
  <dcterms:modified xsi:type="dcterms:W3CDTF">2026-07-04T00:21:05Z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