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RESILIENCE VERSUS BRITTLENESS: DOES DIVERSITY IN AUTONOMY AND SOFTWARE STACKS ACQUIRE SURVIVABILITY FOR SPACE INFRASTRUCTURE</w:t>
      </w:r>
    </w:p>
    <w:p>
      <w:pPr>
        <w:jc w:val="center"/>
      </w:pPr>
    </w:p>
    <w:p>
      <w:pPr>
        <w:jc w:val="center"/>
      </w:pPr>
      <w:r>
        <w:rPr>
          <w:rFonts w:ascii="Times New Roman" w:hAnsi="Times New Roman"/>
          <w:sz w:val="24"/>
        </w:rPr>
        <w:t>by</w:t>
      </w:r>
    </w:p>
    <w:p>
      <w:pPr>
        <w:jc w:val="center"/>
      </w:pPr>
      <w:r>
        <w:rPr>
          <w:rFonts w:ascii="Times New Roman" w:hAnsi="Times New Roman"/>
          <w:b/>
          <w:sz w:val="28"/>
        </w:rPr>
        <w:t>Mira Abara</w:t>
      </w:r>
    </w:p>
    <w:p>
      <w:pPr>
        <w:jc w:val="center"/>
      </w:pPr>
      <w:r>
        <w:rPr>
          <w:rFonts w:ascii="Times New Roman" w:hAnsi="Times New Roman"/>
          <w:sz w:val="24"/>
        </w:rPr>
        <w:t>1B-ITI-121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now-binds"/>
    <w:p>
      <w:pPr>
        <w:pStyle w:val="Heading2"/>
        <w:spacing w:line="480" w:lineRule="auto"/>
      </w:pPr>
      <w:r>
        <w:t xml:space="preserve">1.1 The Problem and Why It Now Binds</w:t>
      </w:r>
    </w:p>
    <w:p>
      <w:pPr>
        <w:pStyle w:val="FirstParagraph"/>
        <w:spacing w:line="480" w:lineRule="auto"/>
      </w:pPr>
      <w:r>
        <w:t xml:space="preserve">Software now decides whether a mission lives. The robotic and commercial space enterprise has crossed a threshold at which the code that flies the vehicles, and the code that flies the ground, has become the dominant determinant of survival. Each year the United States Government Accountability Office tracks cost and schedule performance across a portfolio of major National Aeronautics and Space Administration projects, and its assessments keep returning to the same proximate cause: software anomalies that trigger safe mode entries, mission pauses, and, in the worst cases, vehicle loss</w:t>
      </w:r>
      <w:r>
        <w:t xml:space="preserve"> </w:t>
      </w:r>
      <w:hyperlink w:anchor="ref-9">
        <w:r>
          <w:rPr>
            <w:rStyle w:val="Hyperlink"/>
          </w:rPr>
          <w:t xml:space="preserve">[9]</w:t>
        </w:r>
      </w:hyperlink>
      <w:r>
        <w:t xml:space="preserve">. Institutional memory at the Jet Propulsion Laboratory turns on two case studies. The loss of the Mars Climate Orbiter, and the loss of the Mars Polar Lander together with the Deep Space 2 probes, were not propulsion or structural failures. They were coupled failures of software interfaces, of flight software state estimation, and of the verification regime meant to catch both [12, 13]. Twenty five years on, the architectural pattern that produced those losses has spread rather than receded. Decisive authority still sits inside an opaque flight software stack with limited independent cross check, and that same placement is now the operating posture of every distributed commercial constellation in low Earth orbit and of the autonomous robotic explorers that NASA Ames and JPL are flying or preparing to fly [22, 10, 11].</w:t>
      </w:r>
    </w:p>
    <w:p>
      <w:pPr>
        <w:pStyle w:val="BodyText"/>
        <w:spacing w:line="480" w:lineRule="auto"/>
        <w:ind w:firstLine="720"/>
      </w:pPr>
      <w:r>
        <w:t xml:space="preserve">The stakes reach past engineering. Space infrastructure has become a load bearing layer of the global economy. Fortune scale firms now carry material financial dependence on the continuity of orbital services, and a disruption in orbit cascades into terrestrial markets [1, 2]. The space economy synthesis literature reads confidence in orbital services as a macroeconomic and security variable rather than an engineering nicety [1, 2, 7, 15]. Forecasting work traces much of the present cost compression to high throughput satellites and to small satellite mass production, the very pattern that rewards a single bus design, a single flight software baseline, and a single autonomy stack replicated across hundreds or thousands of vehicles [15, 16]. The architecture literature on transformative change in space use norms says it plainly: mass production within an architecture is the mechanism by which total acquisition cost falls</w:t>
      </w:r>
      <w:r>
        <w:t xml:space="preserve"> </w:t>
      </w:r>
      <w:hyperlink w:anchor="ref-16">
        <w:r>
          <w:rPr>
            <w:rStyle w:val="Hyperlink"/>
          </w:rPr>
          <w:t xml:space="preserve">[16]</w:t>
        </w:r>
      </w:hyperlink>
      <w:r>
        <w:t xml:space="preserve">. A companion paper to this dissertation estimates that mechanism directly. On a panel of thirteen constellation program blocks observed at thirty nine production milestones, it finds an elasticity of per spacecraft unit cost with respect to cumulative units produced of negative zero point five nine five, with a heteroskedasticity robust standard error of zero point one one zero, implying a progress ratio of zero point six six two, a thirty four percent unit cost reduction per doubling of cumulative output. The cost gradient that pulls operators toward stack convergence is real, it is large, and it is statistically present in primary public filings.</w:t>
      </w:r>
    </w:p>
    <w:p>
      <w:pPr>
        <w:pStyle w:val="BodyText"/>
        <w:spacing w:line="480" w:lineRule="auto"/>
        <w:ind w:firstLine="720"/>
      </w:pPr>
      <w:r>
        <w:t xml:space="preserve">That convergence carries an unmeasured tail risk. Onboard autonomy stacks built around a narrow set of planning systems, including the Autonomous Planning System family and its peers, have become de facto defaults for agent based mission management across distributed constellations [5, 29]. Trajectory optimization and collision avoidance functions increasingly run on a common family of onboard algorithms [4, 33]. Swarm control and angles only relative navigation modules move between operators with little adaptation [8, 31]. Autonomy testbeds and supervised learning based orbital maintenance approaches already in operational use trace their lineage to a small set of academic groups, and the code, the models, and the assumptions propagate together [6, 27, 34]. The upshot is stark. A single fault, a single ill conditioned model, or a single adversarial input can in principle propagate across thousands of vehicles within one orbital regime in one window. Public characterization of constellation survivability has so far fixed on kinetic and debris insults, on replenishment cadence, and on exposure to fragmentation events [3, 14]. Stack diversity, the variable the architectural literature names as both a resilience asset and a verification burden</w:t>
      </w:r>
      <w:r>
        <w:t xml:space="preserve"> </w:t>
      </w:r>
      <w:hyperlink w:anchor="ref-5">
        <w:r>
          <w:rPr>
            <w:rStyle w:val="Hyperlink"/>
          </w:rPr>
          <w:t xml:space="preserve">[5]</w:t>
        </w:r>
      </w:hyperlink>
      <w:r>
        <w:t xml:space="preserve">, has not been priced as an explicit risk factor in any retrieved econometric specification.</w:t>
      </w:r>
    </w:p>
    <w:p>
      <w:pPr>
        <w:pStyle w:val="BodyText"/>
        <w:spacing w:line="480" w:lineRule="auto"/>
        <w:ind w:firstLine="720"/>
      </w:pPr>
      <w:r>
        <w:t xml:space="preserve">For NASA the problem binds twice over. The agency is at once the largest civil purchaser of bespoke autonomous robotic missions, the operator whose mishap record most clearly attributes loss to coupled software faults [12, 13], and the sponsor whose Starling formation flying demonstration at Ames is normalizing autonomy patterns that will diffuse into both science and commercial constellations within the decade</w:t>
      </w:r>
      <w:r>
        <w:t xml:space="preserve"> </w:t>
      </w:r>
      <w:hyperlink w:anchor="ref-22">
        <w:r>
          <w:rPr>
            <w:rStyle w:val="Hyperlink"/>
          </w:rPr>
          <w:t xml:space="preserve">[22]</w:t>
        </w:r>
      </w:hyperlink>
      <w:r>
        <w:t xml:space="preserve">. For JPL the bind is different. The recompete of the Federally Funded Research and Development Center is being adjudicated against a portfolio in which the next generation of flagship missions, of Mars and lunar relay assets, and of cislunar autonomous operations all rest on flight software baselines whose diversity properties nobody has measured. The choice of whether to invest in stack diversity, to invest instead in deeper verification of a single stack, or to invest in both, currently lacks a quantitative empirical anchor. This dissertation supplies that anchor.</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Three bodies of work bear directly on the question. None of them answers it. The first is the constellation resilience and space traffic management literature, which treats survivability mainly as a function of vehicle count, replenishment cadence, and exposure to debris and fragmentation hazard [3, 14, 25]. Software and autonomy enter that literature only as enabling technologies, never as covariates whose distribution itself shapes the hazard. Recent self reporting work from OneWeb on aggregated realized collision risk advances the state of the art on kinetic risk accounting</w:t>
      </w:r>
      <w:r>
        <w:t xml:space="preserve"> </w:t>
      </w:r>
      <w:hyperlink w:anchor="ref-25">
        <w:r>
          <w:rPr>
            <w:rStyle w:val="Hyperlink"/>
          </w:rPr>
          <w:t xml:space="preserve">[25]</w:t>
        </w:r>
      </w:hyperlink>
      <w:r>
        <w:t xml:space="preserve">, yet it says nothing about correlated software failure. Space weather work on constellation impacts catalogs an exogenous shock channel</w:t>
      </w:r>
      <w:r>
        <w:t xml:space="preserve"> </w:t>
      </w:r>
      <w:hyperlink w:anchor="ref-18">
        <w:r>
          <w:rPr>
            <w:rStyle w:val="Hyperlink"/>
          </w:rPr>
          <w:t xml:space="preserve">[18]</w:t>
        </w:r>
      </w:hyperlink>
      <w:r>
        <w:t xml:space="preserve"> </w:t>
      </w:r>
      <w:r>
        <w:t xml:space="preserve">without ever interacting it with stack composition. Recent virtualized ground station work shows that machine learning in the ground segment compresses decision time</w:t>
      </w:r>
      <w:r>
        <w:t xml:space="preserve"> </w:t>
      </w:r>
      <w:hyperlink w:anchor="ref-17">
        <w:r>
          <w:rPr>
            <w:rStyle w:val="Hyperlink"/>
          </w:rPr>
          <w:t xml:space="preserve">[17]</w:t>
        </w:r>
      </w:hyperlink>
      <w:r>
        <w:t xml:space="preserve">, and still treats the onboard stack as a black box.</w:t>
      </w:r>
    </w:p>
    <w:p>
      <w:pPr>
        <w:pStyle w:val="BodyText"/>
        <w:spacing w:line="480" w:lineRule="auto"/>
        <w:ind w:firstLine="720"/>
      </w:pPr>
      <w:r>
        <w:t xml:space="preserve">A second body of work is the autonomy and agent based mission management literature. It documents the spread of common planning, swarm control, target tracking, and fault detection software across operators, and notes the resulting interoperability dividends, but it stops short of quantifying the correlated failure risk that commonality may induce [4, 5, 6, 8, 10, 11, 24, 27, 31, 33, 34]. The Stottler series on hybrid model based and machine learning fault detection is explicit that combining independent reasoning modes catches faults any single mode misses [10, 11]. That is the qualitative version of the proposition this dissertation tests. The Jabbarpour survey names software heterogeneity as both a resilience asset and a verification burden, exactly the trade off the dissertation prices, and it does so in narrative rather than econometric form [5, 29]. The radiation hardness assurance review for commercial space avionics catalogs a parallel diversity question on the hardware side and finds the same missing econometric treatment</w:t>
      </w:r>
      <w:r>
        <w:t xml:space="preserve"> </w:t>
      </w:r>
      <w:hyperlink w:anchor="ref-30">
        <w:r>
          <w:rPr>
            <w:rStyle w:val="Hyperlink"/>
          </w:rPr>
          <w:t xml:space="preserve">[30]</w:t>
        </w:r>
      </w:hyperlink>
      <w:r>
        <w:t xml:space="preserve">.</w:t>
      </w:r>
    </w:p>
    <w:p>
      <w:pPr>
        <w:pStyle w:val="BodyText"/>
        <w:spacing w:line="480" w:lineRule="auto"/>
        <w:ind w:firstLine="720"/>
      </w:pPr>
      <w:r>
        <w:t xml:space="preserve">A third body of work is the space economy and statecraft literature, which establishes that confidence in space services is a macroeconomic and security variable [1, 2, 7, 15], yet abstracts away from the software supply chain that produces those services. The architectural socio technological transformation literature comes closest to recognizing the coupling, naming mass production as the mechanism of cost compression and naming convergence as its corollary</w:t>
      </w:r>
      <w:r>
        <w:t xml:space="preserve"> </w:t>
      </w:r>
      <w:hyperlink w:anchor="ref-16">
        <w:r>
          <w:rPr>
            <w:rStyle w:val="Hyperlink"/>
          </w:rPr>
          <w:t xml:space="preserve">[16]</w:t>
        </w:r>
      </w:hyperlink>
      <w:r>
        <w:t xml:space="preserve">, but it does not estimate the survivability cost of that convergence.</w:t>
      </w:r>
    </w:p>
    <w:p>
      <w:pPr>
        <w:pStyle w:val="BodyText"/>
        <w:spacing w:line="480" w:lineRule="auto"/>
        <w:ind w:firstLine="720"/>
      </w:pPr>
      <w:r>
        <w:t xml:space="preserve">The econometric method literature runs in parallel and is mature. Duration analysis, semi parametric hazard estimation, and recurrent event modeling are stable tools. The Cox proportional hazards specification is the workhorse for time to first event data with right censoring; the Andersen Gill specification is the workhorse for recurrent events. That method literature has already reached weapon systems acquisition outcomes, in the Government Accountability Office GPS III acquisition outlook and in the Department of War weapon systems annual assessment series [19, 20], where time to fielding and time to operational capability are treated as duration variables. It has served the broader engineering reliability literature for decades. It has not, in the retrieved corpus, been turned on the joint problem of stack diversity and outage hazard in distributed space systems. The gap is not in method, nor in motivating cases, nor in public data. The gap is the absence of any paper that jointly models stack diversity as a covariate and outage as the dependent process on a population of vehicles large enough to identify the coefficient.</w:t>
      </w:r>
    </w:p>
    <w:p>
      <w:pPr>
        <w:pStyle w:val="BodyText"/>
        <w:spacing w:line="480" w:lineRule="auto"/>
        <w:ind w:firstLine="720"/>
      </w:pPr>
      <w:r>
        <w:t xml:space="preserve">A companion preliminary paper has begun to bound the result on the small panel currently visible in public records. Estimating a Cox proportional hazards model on twenty eight NASA robotic missions launched between 1998 and 2022, with twenty five observed events and three right censored observations, it recovers a hazard ratio coefficient on stack diversity of zero point one zero seven with a p value of zero point eight two five, a coefficient on autonomy level of zero point three six three with a p value of zero point four seven eight, and a coefficient on log mass of negative zero point zero seven four with a p value of zero point six three eight. None of the three reaches conventional statistical significance at the zero point zero five level in that sample. The honest reading is narrow. Diversity has not failed to confer survivability; the publicly documented NASA robotic fleet is simply too small to identify the effect. So the dissertation extends to the commercial constellation panel. There the unit of observation is the vehicle quarter, the population runs into the thousands, and the variation in stack composition across operators and across staggered rollouts of new flight software baselines is enough to identify the coefficient of interest at conventional power.</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tests one hypothesis with one estimator on one population. The unit of analysis is the vehicle quarter. The dependent process is time to first participation in a correlated outage cluster, defined as two or more vehicles of the same operator entering an off nominal state within a seventy two hour window, and the window is varied across twenty four, seventy two, and one hundred sixty eight hours in the sensitivity analysis. The principal covariate is a Herfindahl Hirschman index computed over self reported and filing disclosed autonomy and flight software components, recomputed each quarter as fleets evolve through staggered baseline rollouts and through acquisitions that import heterogeneous fleets. The estimator is the Cox proportional hazards model with operator fixed effects, orbital regime strata, and calendar time controls. The proportional hazards assumption is tested with Schoenfeld residuals, and departures are absorbed by a stratified Cox specification. The sensitivity analyses add a parametric Weibull alternative, an Andersen Gill recurrent event specification for operators with multiple cluster events, and a placebo test on thruster vendor diversity, which the theory does not predict to affect software correlated failures.</w:t>
      </w:r>
    </w:p>
    <w:p>
      <w:pPr>
        <w:pStyle w:val="BodyText"/>
        <w:spacing w:line="480" w:lineRule="auto"/>
        <w:ind w:firstLine="720"/>
      </w:pPr>
      <w:r>
        <w:t xml:space="preserve">The null and alternative hypotheses are stated precisely.</w:t>
      </w:r>
    </w:p>
    <w:p>
      <w:pPr>
        <w:pStyle w:val="BodyText"/>
        <w:spacing w:line="480" w:lineRule="auto"/>
        <w:ind w:firstLine="720"/>
      </w:pPr>
      <w:r>
        <w:t xml:space="preserve">H0. Conditional on orbital regime, operator, mission class, and exposure window, the hazard of a correlated multi vehicle outage event is independent of a Herfindahl style index of autonomy and flight software stack concentration across the affected fleet.</w:t>
      </w:r>
    </w:p>
    <w:p>
      <w:pPr>
        <w:pStyle w:val="BodyText"/>
        <w:spacing w:line="480" w:lineRule="auto"/>
        <w:ind w:firstLine="720"/>
      </w:pPr>
      <w:r>
        <w:t xml:space="preserve">H1. Conditional on the same controls, the hazard of a correlated multi vehicle outage event is strictly increasing in stack concentration, equivalently strictly decreasing in stack diversity.</w:t>
      </w:r>
    </w:p>
    <w:p>
      <w:pPr>
        <w:pStyle w:val="BodyText"/>
        <w:spacing w:line="480" w:lineRule="auto"/>
        <w:ind w:firstLine="720"/>
      </w:pPr>
      <w:r>
        <w:t xml:space="preserve">Rejection of H0 in favor of H1 at the conventional zero point zero five significance level, with a hazard ratio bounded away from unity and with the sign preserved across the Weibull, Andersen Gill, stratified Cox, and window sensitivity specifications, is the contribution. So is the mirror outcome. Failure to reject H0, with confidence intervals tight enough to bound the hazard ratio within a pre specified equivalence region, also counts, because the policy reading of a tightly estimated null inverts the reading of a tightly estimated H1: it places the burden of resilience investment on verification depth rather than on stack diversity. The contribution is falsifiable in both directions, and the acceptance threshold is stated before estimation rather than after.</w:t>
      </w:r>
    </w:p>
    <w:p>
      <w:pPr>
        <w:pStyle w:val="BodyText"/>
        <w:spacing w:line="480" w:lineRule="auto"/>
        <w:ind w:firstLine="720"/>
      </w:pPr>
      <w:r>
        <w:t xml:space="preserve">Three properties of the contribution merit emphasis. It is decision relevant for both NASA and JPL, because the two agencies face the same architectural choice across different mission classes, and the estimated hazard ratio enters the resilience trade space alongside the unit cost elasticity from the companion paper, so the agencies can price stack convergence and stack diversity on one axis. It is identifiable, because the dissertation exploits within operator variation in stack composition from sources plausibly uncorrelated with the unobserved propensity of any single vehicle to fail, namely staggered baseline rollouts and inherited acquisitions. And it is reproducible. Every data source is publicly downloadable without paid subscription, every join key is documented, and the dissertation ships a replication package that regenerates the headline coefficient from raw filings.</w:t>
      </w:r>
    </w:p>
    <w:bookmarkEnd w:id="63"/>
    <w:bookmarkStart w:id="64" w:name="roadmap"/>
    <w:p>
      <w:pPr>
        <w:pStyle w:val="Heading2"/>
        <w:spacing w:line="480" w:lineRule="auto"/>
      </w:pPr>
      <w:r>
        <w:t xml:space="preserve">1.4 Roadmap</w:t>
      </w:r>
    </w:p>
    <w:p>
      <w:pPr>
        <w:pStyle w:val="FirstParagraph"/>
        <w:spacing w:line="480" w:lineRule="auto"/>
      </w:pPr>
      <w:r>
        <w:t xml:space="preserve">Seven further chapters carry the rest of the dissertation. Chapter 2 surveys the three bodies of literature named above, develops the theoretical case that stack diversity should reduce correlated outage hazard, and reconciles the qualitative claims of the autonomy literature [5, 10, 11] with the missing econometric treatment in the constellation resilience literature [3, 14]. Chapter 3 specifies the formal model, derives the proportional hazards specification from the underlying compound failure process, and states the identifying assumptions.</w:t>
      </w:r>
    </w:p>
    <w:p>
      <w:pPr>
        <w:pStyle w:val="BodyText"/>
        <w:spacing w:line="480" w:lineRule="auto"/>
        <w:ind w:firstLine="720"/>
      </w:pPr>
      <w:r>
        <w:t xml:space="preserve">Chapter 4 documents the data. It draws on the Union of Concerned Scientists Satellite Database frame, the Federal Communications Commission Part 25 license filings that disclose autonomy supplier and flight software vendor, the European Union Agency for the Space Programme procurement notices that name onboard software prime contractors, the United States Space Command on orbit anomaly catalog that times and groups off nominal events, and the operator regulatory filings that anchor unit cost and production cohort observations. Chapter 4 also documents the construction of the Herfindahl Hirschman stack concentration index, including the coarsening strategy that pushes the index toward zero when filings redact specific component identities and therefore biases the estimated hazard ratio toward the null.</w:t>
      </w:r>
    </w:p>
    <w:p>
      <w:pPr>
        <w:pStyle w:val="BodyText"/>
        <w:spacing w:line="480" w:lineRule="auto"/>
        <w:ind w:firstLine="720"/>
      </w:pPr>
      <w:r>
        <w:t xml:space="preserve">Chapter 5 reports the headline result on the full vehicle quarter panel: the Cox proportional hazards coefficient on stack concentration, the Schoenfeld residual diagnostics, and the operator stratified specification. Chapter 6 reports the sensitivity analyses, the parametric Weibull alternative, the Andersen Gill recurrent event specification, the window sensitivity across twenty four, seventy two, and one hundred sixty eight hours, and the thruster vendor placebo. Chapter 6 also reports a pre and post 2022 cohort split that surfaces any structural break associated with the diffusion of learning based onboard controllers [6, 34].</w:t>
      </w:r>
    </w:p>
    <w:p>
      <w:pPr>
        <w:pStyle w:val="BodyText"/>
        <w:spacing w:line="480" w:lineRule="auto"/>
        <w:ind w:firstLine="720"/>
      </w:pPr>
      <w:r>
        <w:t xml:space="preserve">Chapter 7 places the result in the resilience trade space alongside the unit cost elasticity from the companion paper, and develops the implications for NASA Major Project Assessment review teams, for JPL portfolio architecture decisions in the recompete window, and for Federal Communications Commission and European Union Agency for the Space Programme licensing posture. Chapter 8 states the limitations. These include the measurement error in stack composition that survives coarsening, the selection of better resourced operators into both diversity and independent reliability practices, and the generalization limits of an evolving autonomy software population. Chapter 8 closes with the replication package, the open data archive, and the agenda for follow on work: the extension to recurrent events at the constellation level, the integration of space weather covariates from the existing literature</w:t>
      </w:r>
      <w:r>
        <w:t xml:space="preserve"> </w:t>
      </w:r>
      <w:hyperlink w:anchor="ref-18">
        <w:r>
          <w:rPr>
            <w:rStyle w:val="Hyperlink"/>
          </w:rPr>
          <w:t xml:space="preserve">[18]</w:t>
        </w:r>
      </w:hyperlink>
      <w:r>
        <w:t xml:space="preserve">, and the coupling of the survival estimator to a forward looking acquisition cost model that lets operators, insurers, and regulators price stack monoculture as an explicit risk factor rather than an unmeasured residual.</w:t>
      </w:r>
    </w:p>
    <w:p>
      <w:pPr>
        <w:pStyle w:val="BodyText"/>
        <w:spacing w:line="480" w:lineRule="auto"/>
        <w:ind w:firstLine="720"/>
      </w:pPr>
      <w:r>
        <w:t xml:space="preserve">The dissertation does not claim that diversity is uniformly beneficial. It does not claim that monoculture is uniformly harmful. It claims one thing, on one specification, on one population, with one estimator, with the falsification threshold pre specified: that the hazard of correlated multi vehicle outage in distributed space systems is or is not measurably increasing in the concentration of the autonomy and flight software stack, conditional on the controls named above. The answer to that question, recovered on public data with reproducible code, is what NASA and JPL need to price stack architecture as a decision variable rather than as an inherited posture.</w:t>
      </w:r>
    </w:p>
    <w:bookmarkEnd w:id="64"/>
    <w:bookmarkEnd w:id="65"/>
    <w:bookmarkStart w:id="72" w:name="chapter-2.-literature-review"/>
    <w:p>
      <w:pPr>
        <w:pStyle w:val="Heading1"/>
        <w:spacing w:line="480" w:lineRule="auto"/>
      </w:pPr>
      <w:r>
        <w:t xml:space="preserve">Chapter 2. Literature Review</w:t>
      </w:r>
    </w:p>
    <w:bookmarkStart w:id="66" w:name="purpose-and-organization"/>
    <w:p>
      <w:pPr>
        <w:pStyle w:val="Heading2"/>
        <w:spacing w:line="480" w:lineRule="auto"/>
      </w:pPr>
      <w:r>
        <w:t xml:space="preserve">2.1 Purpose and Organization</w:t>
      </w:r>
    </w:p>
    <w:p>
      <w:pPr>
        <w:pStyle w:val="FirstParagraph"/>
        <w:spacing w:line="480" w:lineRule="auto"/>
      </w:pPr>
      <w:r>
        <w:t xml:space="preserve">The empirical question of this dissertation sits at an intersection the published literature has not yet occupied. On one side, the technical literature on spacecraft autonomy, fault management, distributed mission operations, and constellation resilience has built a sophisticated vocabulary for how modern space systems are flown, how they fail, and how they are designed to recover. On the other, a cliometric and econometric literature on the space economy has documented the macroeconomic salience of orbital services, the cost structure that drives industrial convergence, and the strategic value of confidence in space data. The two literatures rarely speak to one another. The technical side treats software heterogeneity as an engineering choice with verification consequences; the economic side treats the software stack as an unmodeled residual inside the production function.</w:t>
      </w:r>
    </w:p>
    <w:p>
      <w:pPr>
        <w:pStyle w:val="BodyText"/>
        <w:spacing w:line="480" w:lineRule="auto"/>
        <w:ind w:firstLine="720"/>
      </w:pPr>
      <w:r>
        <w:t xml:space="preserve">The gap is structural, not accidental. Neither literature has assembled a panel in which stack composition appears as a covariate and on orbit outage appears as a dependent process. This chapter reviews both bodies of work in enough depth to motivate the precise statistical gap the dissertation occupies, and to defend the claim that the cliometric tools of the second literature can be brought to bear on the engineering question framed by the first.</w:t>
      </w:r>
    </w:p>
    <w:p>
      <w:pPr>
        <w:pStyle w:val="BodyText"/>
        <w:spacing w:line="480" w:lineRule="auto"/>
        <w:ind w:firstLine="720"/>
      </w:pPr>
      <w:r>
        <w:t xml:space="preserve">Five movements organize the chapter. Section 2.2 surveys the constellation resilience and survivability literature, with particular attention to how that literature operationalizes failure. Section 2.3 reviews the autonomy and agent based mission management literature, including the trajectory optimization, swarm control, and fault management strands that have come to dominate distributed space systems. Section 2.4 reviews the cliometric and econometric literature on the space economy, including the unit cost scaling work that frames the industrial logic of convergence and the strategic statecraft work that locates orbital infrastructure within the macroeconomy. Section 2.5 catalogues the small but instructive literature on radiation hardness assurance, virtualized ground operations, and operator self reporting that mediates between the engineering and economic accounts. Section 2.6 synthesizes the two literatures, names the joint gap, and shows how the dissertation’s Cox proportional hazards specification is the natural estimator for closing it.</w:t>
      </w:r>
    </w:p>
    <w:bookmarkEnd w:id="66"/>
    <w:bookmarkStart w:id="67" w:name="X65a2ee095a925357d48d8be255948912338a5f8"/>
    <w:p>
      <w:pPr>
        <w:pStyle w:val="Heading2"/>
        <w:spacing w:line="480" w:lineRule="auto"/>
      </w:pPr>
      <w:r>
        <w:t xml:space="preserve">2.2 Constellation Resilience and the Operationalization of Failure</w:t>
      </w:r>
    </w:p>
    <w:p>
      <w:pPr>
        <w:pStyle w:val="FirstParagraph"/>
        <w:spacing w:line="480" w:lineRule="auto"/>
      </w:pPr>
      <w:r>
        <w:t xml:space="preserve">Sturza, Dankberg, and Blount offer the most cited recent treatment of constellation survivability, a resilience analysis presented at the 2024 AMOS conference that models how low Earth orbit constellations respond to accidental and intentional fragmentation events</w:t>
      </w:r>
      <w:r>
        <w:t xml:space="preserve"> </w:t>
      </w:r>
      <w:hyperlink w:anchor="ref-3">
        <w:r>
          <w:rPr>
            <w:rStyle w:val="Hyperlink"/>
          </w:rPr>
          <w:t xml:space="preserve">[3]</w:t>
        </w:r>
      </w:hyperlink>
      <w:r>
        <w:t xml:space="preserve">. Their work formalizes resilience as the ability to maintain service under kinetic insult, and parameterizes survivability by vehicle count, replenishment cadence, and exposure to debris generating events. The model is architectural rather than operational. Software never enters the state equations. That same posture recurs in the broader space traffic management literature on large constellations, where Sorge and colleagues catalogue the conjunction, deorbit, and licensing pressures that bound the maximum sustainable density of a regime</w:t>
      </w:r>
      <w:r>
        <w:t xml:space="preserve"> </w:t>
      </w:r>
      <w:hyperlink w:anchor="ref-14">
        <w:r>
          <w:rPr>
            <w:rStyle w:val="Hyperlink"/>
          </w:rPr>
          <w:t xml:space="preserve">[14]</w:t>
        </w:r>
      </w:hyperlink>
      <w:r>
        <w:t xml:space="preserve">. Their treatment grants that constellation behavior is increasingly mediated by onboard autonomy, and it stops short of asking how heterogeneity within that autonomy layer affects survivability.</w:t>
      </w:r>
    </w:p>
    <w:p>
      <w:pPr>
        <w:pStyle w:val="BodyText"/>
        <w:spacing w:line="480" w:lineRule="auto"/>
        <w:ind w:firstLine="720"/>
      </w:pPr>
      <w:r>
        <w:t xml:space="preserve">Operator self reporting and government archives supply the empirical record the resilience literature draws on. The OneWeb constellation has published a self reporting aggregated realized risk framework that exposes operator level conjunction statistics in a form external analysts can ingest</w:t>
      </w:r>
      <w:r>
        <w:t xml:space="preserve"> </w:t>
      </w:r>
      <w:hyperlink w:anchor="ref-25">
        <w:r>
          <w:rPr>
            <w:rStyle w:val="Hyperlink"/>
          </w:rPr>
          <w:t xml:space="preserve">[25]</w:t>
        </w:r>
      </w:hyperlink>
      <w:r>
        <w:t xml:space="preserve">. Stottler and colleagues have provided successive accountings of onboard, autonomous, hybrid spacecraft subsystem fault and anomaly detection [10, 11, 26]. Those papers matter because they introduce a small but consequential vocabulary, distinguishing fault detection, diagnosis, root cause determination, and recovery as separable stages of an onboard control loop. The 2024 paper extends the 2020 framework, adding root cause determination explicitly. That is the stage where stack diversity becomes operationally meaningful: a fault detectable by one component but not diagnosable without an independent second component is exactly the fault diversity is meant to address</w:t>
      </w:r>
      <w:r>
        <w:t xml:space="preserve"> </w:t>
      </w:r>
      <w:hyperlink w:anchor="ref-11">
        <w:r>
          <w:rPr>
            <w:rStyle w:val="Hyperlink"/>
          </w:rPr>
          <w:t xml:space="preserve">[11]</w:t>
        </w:r>
      </w:hyperlink>
      <w:r>
        <w:t xml:space="preserve">.</w:t>
      </w:r>
    </w:p>
    <w:p>
      <w:pPr>
        <w:pStyle w:val="BodyText"/>
        <w:spacing w:line="480" w:lineRule="auto"/>
        <w:ind w:firstLine="720"/>
      </w:pPr>
      <w:r>
        <w:t xml:space="preserve">Two complementary papers in the same conference series sketch the operational environment in which fault management runs. Reglero Andres and colleagues describe the use of virtualized ground stations and machine learning to compress decision time on orbital operations, which both reduces the latency of human in the loop responses and increases the share of operational decisions that flow through automated pipelines</w:t>
      </w:r>
      <w:r>
        <w:t xml:space="preserve"> </w:t>
      </w:r>
      <w:hyperlink w:anchor="ref-17">
        <w:r>
          <w:rPr>
            <w:rStyle w:val="Hyperlink"/>
          </w:rPr>
          <w:t xml:space="preserve">[17]</w:t>
        </w:r>
      </w:hyperlink>
      <w:r>
        <w:t xml:space="preserve">. Green and colleagues document space weather monitoring and management practices that intersect autonomy decision logic, particularly when storm onset compels autonomous safe mode transitions across many vehicles simultaneously</w:t>
      </w:r>
      <w:r>
        <w:t xml:space="preserve"> </w:t>
      </w:r>
      <w:hyperlink w:anchor="ref-18">
        <w:r>
          <w:rPr>
            <w:rStyle w:val="Hyperlink"/>
          </w:rPr>
          <w:t xml:space="preserve">[18]</w:t>
        </w:r>
      </w:hyperlink>
      <w:r>
        <w:t xml:space="preserve">. The latter paper is important for the dissertation because it identifies an exogenous trigger, space weather, that can produce correlated multi vehicle off nominal states without any software defect, which the empirical strategy must absorb as a control rather than mistake for a stack induced cluster.</w:t>
      </w:r>
    </w:p>
    <w:p>
      <w:pPr>
        <w:pStyle w:val="BodyText"/>
        <w:spacing w:line="480" w:lineRule="auto"/>
        <w:ind w:firstLine="720"/>
      </w:pPr>
      <w:r>
        <w:t xml:space="preserve">Two further architectural papers fill out the resilience landscape. Morris, Rice, and Little provide a comparative cost and performance analysis of GEO space situational awareness architectures, the canonical statement of the unit economics of redundancy in that regime</w:t>
      </w:r>
      <w:r>
        <w:t xml:space="preserve"> </w:t>
      </w:r>
      <w:hyperlink w:anchor="ref-28">
        <w:r>
          <w:rPr>
            <w:rStyle w:val="Hyperlink"/>
          </w:rPr>
          <w:t xml:space="preserve">[28]</w:t>
        </w:r>
      </w:hyperlink>
      <w:r>
        <w:t xml:space="preserve">. Carden, Burchett, and Reed describe SNARE, a decentralized sensor tasking framework that sharpens the tactical relevance of space domain awareness through autonomy at the network rather than the vehicle level</w:t>
      </w:r>
      <w:r>
        <w:t xml:space="preserve"> </w:t>
      </w:r>
      <w:hyperlink w:anchor="ref-21">
        <w:r>
          <w:rPr>
            <w:rStyle w:val="Hyperlink"/>
          </w:rPr>
          <w:t xml:space="preserve">[21]</w:t>
        </w:r>
      </w:hyperlink>
      <w:r>
        <w:t xml:space="preserve">. Both operationalize resilience as a function of architecture, and both treat the software stack as an enabling rather than an independent variable. The omission is not a defect of the papers. It is a feature of the literature. There is no widely accepted way to quantify stack composition, and so no widely accepted way to enter it as a covariate.</w:t>
      </w:r>
    </w:p>
    <w:p>
      <w:pPr>
        <w:pStyle w:val="BodyText"/>
        <w:spacing w:line="480" w:lineRule="auto"/>
        <w:ind w:firstLine="720"/>
      </w:pPr>
      <w:r>
        <w:t xml:space="preserve">Supplying both is the dissertation’s contribution.</w:t>
      </w:r>
    </w:p>
    <w:p>
      <w:pPr>
        <w:pStyle w:val="BodyText"/>
        <w:spacing w:line="480" w:lineRule="auto"/>
        <w:ind w:firstLine="720"/>
      </w:pPr>
      <w:r>
        <w:t xml:space="preserve">Correlated failure has older sources in the vocabulary. The Mars Climate Orbiter Mishap Investigation Board report of 1999 remains the canonical case: a single software defect, the failure to convert imperial to metric units in a navigation interface, propagated through an integrated stack and produced total mission loss</w:t>
      </w:r>
      <w:r>
        <w:t xml:space="preserve"> </w:t>
      </w:r>
      <w:hyperlink w:anchor="ref-12">
        <w:r>
          <w:rPr>
            <w:rStyle w:val="Hyperlink"/>
          </w:rPr>
          <w:t xml:space="preserve">[12]</w:t>
        </w:r>
      </w:hyperlink>
      <w:r>
        <w:t xml:space="preserve">. The 2000 report on the loss of the Mars Polar Lander and Deep Space 2 missions documents a different but instructively similar pattern, in which a software interpretation of touchdown sensor noise triggered premature thruster shutdown</w:t>
      </w:r>
      <w:r>
        <w:t xml:space="preserve"> </w:t>
      </w:r>
      <w:hyperlink w:anchor="ref-13">
        <w:r>
          <w:rPr>
            <w:rStyle w:val="Hyperlink"/>
          </w:rPr>
          <w:t xml:space="preserve">[13]</w:t>
        </w:r>
      </w:hyperlink>
      <w:r>
        <w:t xml:space="preserve">. Both reports predate the modern constellation era. They remain the most carefully reasoned case studies of how a homogeneous stack converts a localized defect into a system level loss.</w:t>
      </w:r>
    </w:p>
    <w:p>
      <w:pPr>
        <w:pStyle w:val="BodyText"/>
        <w:spacing w:line="480" w:lineRule="auto"/>
        <w:ind w:firstLine="720"/>
      </w:pPr>
      <w:r>
        <w:t xml:space="preserve">The lesson is that the dependence of mission outcome on stack composition is not new to the present cycle. Only the scale of consequence is new.</w:t>
      </w:r>
    </w:p>
    <w:bookmarkEnd w:id="67"/>
    <w:bookmarkStart w:id="68" w:name="X6bc930583dc1a1f160f08f464c631a33d0c8770"/>
    <w:p>
      <w:pPr>
        <w:pStyle w:val="Heading2"/>
        <w:spacing w:line="480" w:lineRule="auto"/>
      </w:pPr>
      <w:r>
        <w:t xml:space="preserve">2.3 Autonomy, Agent Based Mission Management, and the Convergence of the Stack</w:t>
      </w:r>
    </w:p>
    <w:p>
      <w:pPr>
        <w:pStyle w:val="FirstParagraph"/>
        <w:spacing w:line="480" w:lineRule="auto"/>
      </w:pPr>
      <w:r>
        <w:t xml:space="preserve">The relevant autonomy literature breaks into four strands. The first concerns trajectory optimization and onboard maneuver planning. Lagona and colleagues provide what has become the reference treatment of autonomous trajectory optimization for intelligent satellite systems in the context of space traffic management [4, 33]. Their framing is engineering optimal: an onboard optimizer cuts conjunction risk and propellant consumption at once, conditional on the quality of the state estimate and the fidelity of the dynamics model. What matters for this review is a side effect they document, the rapid convergence of operators on a small family of optimization formulations. That convergence is the upstream cause of the stack monoculture the dissertation interrogates. When dozens of operators run nearly identical optimizers against nearly identical models, the odds that an error mode found in one fleet lies latent across the others rise with the degree of formulation overlap.</w:t>
      </w:r>
    </w:p>
    <w:p>
      <w:pPr>
        <w:pStyle w:val="BodyText"/>
        <w:spacing w:line="480" w:lineRule="auto"/>
        <w:ind w:firstLine="720"/>
      </w:pPr>
      <w:r>
        <w:t xml:space="preserve">A second strand concerns agent based mission management. Jabbarpour and colleagues offer the most comprehensive recent survey of agent based approaches for distributed space systems, cataloguing the methodologies, current practices, and challenges of deploying agent based mission management across multiple operators [5, 29]. The survey is candid on both counts, about the resilience asset heterogeneity ought to provide and about the verification burden it imposes. It produces no empirical estimate of that resilience asset. It cannot, because the data such an estimate needs, operator level outage records cross referenced with stack composition, have never been assembled in the open literature. The dissertation’s data construction strategy answers that gap directly.</w:t>
      </w:r>
    </w:p>
    <w:p>
      <w:pPr>
        <w:pStyle w:val="BodyText"/>
        <w:spacing w:line="480" w:lineRule="auto"/>
        <w:ind w:firstLine="720"/>
      </w:pPr>
      <w:r>
        <w:t xml:space="preserve">A third strand concerns swarm control, formation flying, and multi target tracking. Kruger and D’Amico provide the reference treatment of autonomous angles only multi target tracking for spacecraft swarms, which has become the canonical algorithm for relative navigation in distributed configurations</w:t>
      </w:r>
      <w:r>
        <w:t xml:space="preserve"> </w:t>
      </w:r>
      <w:hyperlink w:anchor="ref-8">
        <w:r>
          <w:rPr>
            <w:rStyle w:val="Hyperlink"/>
          </w:rPr>
          <w:t xml:space="preserve">[8]</w:t>
        </w:r>
      </w:hyperlink>
      <w:r>
        <w:t xml:space="preserve">. Asri and Zhu extend the swarm control literature with a bioinspired consensus based approach for autonomous capture of uncooperative targets, notable for explicitly testing the robustness of consensus protocols to heterogeneous agent capability</w:t>
      </w:r>
      <w:r>
        <w:t xml:space="preserve"> </w:t>
      </w:r>
      <w:hyperlink w:anchor="ref-31">
        <w:r>
          <w:rPr>
            <w:rStyle w:val="Hyperlink"/>
          </w:rPr>
          <w:t xml:space="preserve">[31]</w:t>
        </w:r>
      </w:hyperlink>
      <w:r>
        <w:t xml:space="preserve">. Chen and colleagues develop pulsar selection criteria and performance evaluation for autonomous X-ray pulsar navigation systems, a complementary autonomy modality whose adoption could soften the monoculture risk that comes with reliance on a single navigation paradigm</w:t>
      </w:r>
      <w:r>
        <w:t xml:space="preserve"> </w:t>
      </w:r>
      <w:hyperlink w:anchor="ref-32">
        <w:r>
          <w:rPr>
            <w:rStyle w:val="Hyperlink"/>
          </w:rPr>
          <w:t xml:space="preserve">[32]</w:t>
        </w:r>
      </w:hyperlink>
      <w:r>
        <w:t xml:space="preserve">. Taken together, these papers point to one architectural fact. Autonomous capabilities are increasingly composed from interchangeable algorithmic primitives, each with its own community of practice and its own set of committed operators. That composability is what makes a Herfindahl style index of stack concentration meaningful. In principle one can count which primitives sit in which fleet and compute the concentration.</w:t>
      </w:r>
    </w:p>
    <w:p>
      <w:pPr>
        <w:pStyle w:val="BodyText"/>
        <w:spacing w:line="480" w:lineRule="auto"/>
        <w:ind w:firstLine="720"/>
      </w:pPr>
      <w:r>
        <w:t xml:space="preserve">A fourth strand concerns onboard learning and supervised control. Fu and Soldini introduce a supervised learning based target point approach to autonomous orbital maintenance, received as a representative example of the broader migration from rule based to data driven onboard controllers [6, 34]. The findings are encouraging for operational efficiency. The paper matters to the dissertation structurally rather than substantively. If the population of onboard controllers is mid transition from rule based to learning based, the failure modes of the post transition population may not be inferable from the pre transition record. The empirical strategy answers this by reporting results separately for pre and post 2022 cohorts, the structural break candidate the prospectus identifies.</w:t>
      </w:r>
    </w:p>
    <w:p>
      <w:pPr>
        <w:pStyle w:val="BodyText"/>
        <w:spacing w:line="480" w:lineRule="auto"/>
        <w:ind w:firstLine="720"/>
      </w:pPr>
      <w:r>
        <w:t xml:space="preserve">A handful of additional papers complete the autonomy landscape. Marketos describes the use of the Space Plug and Play Avionics standard to enable constellation level collaborative autonomy, an architectural pattern that ought to ease diversity by enabling component substitution</w:t>
      </w:r>
      <w:r>
        <w:t xml:space="preserve"> </w:t>
      </w:r>
      <w:hyperlink w:anchor="ref-24">
        <w:r>
          <w:rPr>
            <w:rStyle w:val="Hyperlink"/>
          </w:rPr>
          <w:t xml:space="preserve">[24]</w:t>
        </w:r>
      </w:hyperlink>
      <w:r>
        <w:t xml:space="preserve">. Gregson, Seto, and Kim describe a testbed for satellite debris avoidance autonomy, methodologically important as the only published case of an open testbed against which independent stacks can be benchmarked</w:t>
      </w:r>
      <w:r>
        <w:t xml:space="preserve"> </w:t>
      </w:r>
      <w:hyperlink w:anchor="ref-27">
        <w:r>
          <w:rPr>
            <w:rStyle w:val="Hyperlink"/>
          </w:rPr>
          <w:t xml:space="preserve">[27]</w:t>
        </w:r>
      </w:hyperlink>
      <w:r>
        <w:t xml:space="preserve">. Hunter and colleagues report NASA’s Starling mission and its implications for space situational awareness, the first publicly documented mission built specifically to test multi vehicle autonomy in low Earth orbit</w:t>
      </w:r>
      <w:r>
        <w:t xml:space="preserve"> </w:t>
      </w:r>
      <w:hyperlink w:anchor="ref-22">
        <w:r>
          <w:rPr>
            <w:rStyle w:val="Hyperlink"/>
          </w:rPr>
          <w:t xml:space="preserve">[22]</w:t>
        </w:r>
      </w:hyperlink>
      <w:r>
        <w:t xml:space="preserve">. Fonseca, Pinhasi, and Zitzewitz describe uncorrelated track processing for space domain awareness, which sets algorithmic treatment and benchmarking best practices for the upstream observation pipeline that feeds autonomy decisions</w:t>
      </w:r>
      <w:r>
        <w:t xml:space="preserve"> </w:t>
      </w:r>
      <w:hyperlink w:anchor="ref-23">
        <w:r>
          <w:rPr>
            <w:rStyle w:val="Hyperlink"/>
          </w:rPr>
          <w:t xml:space="preserve">[23]</w:t>
        </w:r>
      </w:hyperlink>
      <w:r>
        <w:t xml:space="preserve">. Their collective import is a shift in the technical literature. It has moved from documenting individual algorithms to characterizing the integration patterns by which heterogeneous autonomy components combine.</w:t>
      </w:r>
    </w:p>
    <w:p>
      <w:pPr>
        <w:pStyle w:val="BodyText"/>
        <w:spacing w:line="480" w:lineRule="auto"/>
        <w:ind w:firstLine="720"/>
      </w:pPr>
      <w:r>
        <w:t xml:space="preserve">One thing it has not yet done. It has not measured whether that integration produces a survival advantage.</w:t>
      </w:r>
    </w:p>
    <w:p>
      <w:pPr>
        <w:pStyle w:val="BodyText"/>
        <w:spacing w:line="480" w:lineRule="auto"/>
        <w:ind w:firstLine="720"/>
      </w:pPr>
      <w:r>
        <w:t xml:space="preserve">A separable but adjacent literature on radiation hardness assurance bears on how any stack diversity finding should be read. Dijks and colleagues offer a systematic review of engineering and testing approaches for radiation hardness assurance in commercial space avionics, documenting the migration of commercial off the shelf components into mission critical pathways and the testing regimes that have grown up to bound the resulting reliability uncertainty</w:t>
      </w:r>
      <w:r>
        <w:t xml:space="preserve"> </w:t>
      </w:r>
      <w:hyperlink w:anchor="ref-30">
        <w:r>
          <w:rPr>
            <w:rStyle w:val="Hyperlink"/>
          </w:rPr>
          <w:t xml:space="preserve">[30]</w:t>
        </w:r>
      </w:hyperlink>
      <w:r>
        <w:t xml:space="preserve">. Their review matters because it identifies the operator level practice by which heterogeneous hardware enters a fleet, exactly the within operator variation the dissertation’s identification strategy exploits. The radiation hardness assurance literature does not estimate the marginal contribution of hardware heterogeneity to survival. Its careful taxonomy of testing regimes still supplies the conceptual foundation for a parallel treatment of software heterogeneity.</w:t>
      </w:r>
    </w:p>
    <w:bookmarkEnd w:id="68"/>
    <w:bookmarkStart w:id="69" w:name="Xfd8fa13b3582ce68d2d086be8f6eb0bdada7cdc"/>
    <w:p>
      <w:pPr>
        <w:pStyle w:val="Heading2"/>
        <w:spacing w:line="480" w:lineRule="auto"/>
      </w:pPr>
      <w:r>
        <w:t xml:space="preserve">2.4 The Cliometric and Econometric Literature on the Space Economy</w:t>
      </w:r>
    </w:p>
    <w:p>
      <w:pPr>
        <w:pStyle w:val="FirstParagraph"/>
        <w:spacing w:line="480" w:lineRule="auto"/>
      </w:pPr>
      <w:r>
        <w:t xml:space="preserve">A second principal literature concerns the macroeconomics of orbital infrastructure, the unit economics of constellation production, and the cliometric framing of space as a strategic asset. The MITRE econometric study supplies the most direct framing. Examining satellite reliance among Fortune 500 and Fortune 100 companies between 1994 and 2024, it establishes that the largest firms in the global economy carry material financial dependence on the continuity of orbital services</w:t>
      </w:r>
      <w:r>
        <w:t xml:space="preserve"> </w:t>
      </w:r>
      <w:hyperlink w:anchor="ref-1">
        <w:r>
          <w:rPr>
            <w:rStyle w:val="Hyperlink"/>
          </w:rPr>
          <w:t xml:space="preserve">[1]</w:t>
        </w:r>
      </w:hyperlink>
      <w:r>
        <w:t xml:space="preserve">. The study is unusual within the technical literature because it works at the level of firms and quarters rather than spacecraft and orbits, and it frames satellite reliance as an economic exposure that is itself open to econometric measurement. The companion treatment of the international relations and economic dimensions of trusted space data pushes the framing to the bilateral and multilateral level, where confidence in space sourced information becomes a macroeconomic and security variable</w:t>
      </w:r>
      <w:r>
        <w:t xml:space="preserve"> </w:t>
      </w:r>
      <w:hyperlink w:anchor="ref-2">
        <w:r>
          <w:rPr>
            <w:rStyle w:val="Hyperlink"/>
          </w:rPr>
          <w:t xml:space="preserve">[2]</w:t>
        </w:r>
      </w:hyperlink>
      <w:r>
        <w:t xml:space="preserve">. Both are explicit about what they leave out. Neither models the software stack that produces the underlying services. That is the abstraction the dissertation removes.</w:t>
      </w:r>
    </w:p>
    <w:p>
      <w:pPr>
        <w:pStyle w:val="BodyText"/>
        <w:spacing w:line="480" w:lineRule="auto"/>
        <w:ind w:firstLine="720"/>
      </w:pPr>
      <w:r>
        <w:t xml:space="preserve">Strategic statecraft enters through the SFA synthesis on the space economy and integrated deterrence, which ties the economic salience of orbital services to the integrated deterrence posture of the United States and its partners</w:t>
      </w:r>
      <w:r>
        <w:t xml:space="preserve"> </w:t>
      </w:r>
      <w:hyperlink w:anchor="ref-7">
        <w:r>
          <w:rPr>
            <w:rStyle w:val="Hyperlink"/>
          </w:rPr>
          <w:t xml:space="preserve">[7]</w:t>
        </w:r>
      </w:hyperlink>
      <w:r>
        <w:t xml:space="preserve">. The synthesis frames orbital infrastructure as an instrument of statecraft whose vulnerability is informational as well as kinetic, and it says outright that the software supply chain producing those services is undermodeled in both the economic and the defense literatures. The OCEA forecasting work complements the strategic framing with quantitative projections of revenue, fleet size, and unit cost across the major service classes</w:t>
      </w:r>
      <w:r>
        <w:t xml:space="preserve"> </w:t>
      </w:r>
      <w:hyperlink w:anchor="ref-15">
        <w:r>
          <w:rPr>
            <w:rStyle w:val="Hyperlink"/>
          </w:rPr>
          <w:t xml:space="preserve">[15]</w:t>
        </w:r>
      </w:hyperlink>
      <w:r>
        <w:t xml:space="preserve">. That forecasting work matters methodologically because it rests on assumptions about learning rates, and the dissertation’s first research paper on Wright’s Law in orbit has now tested those rates empirically against operator filings.</w:t>
      </w:r>
    </w:p>
    <w:p>
      <w:pPr>
        <w:pStyle w:val="BodyText"/>
        <w:spacing w:line="480" w:lineRule="auto"/>
        <w:ind w:firstLine="720"/>
      </w:pPr>
      <w:r>
        <w:t xml:space="preserve">The unit cost scaling literature, represented in the technical Acta Astronautica corpus by Sorge and colleagues on large constellation traffic management, names economies of scale as the principal lever that compresses program level cost in distributed systems</w:t>
      </w:r>
      <w:r>
        <w:t xml:space="preserve"> </w:t>
      </w:r>
      <w:hyperlink w:anchor="ref-14">
        <w:r>
          <w:rPr>
            <w:rStyle w:val="Hyperlink"/>
          </w:rPr>
          <w:t xml:space="preserve">[14]</w:t>
        </w:r>
      </w:hyperlink>
      <w:r>
        <w:t xml:space="preserve">. The architectural socio technological literature on transformative change of space use norms extends that lever into a structural account of how mass production of small satellites compresses total acquisition cost within a constellation architecture</w:t>
      </w:r>
      <w:r>
        <w:t xml:space="preserve"> </w:t>
      </w:r>
      <w:hyperlink w:anchor="ref-16">
        <w:r>
          <w:rPr>
            <w:rStyle w:val="Hyperlink"/>
          </w:rPr>
          <w:t xml:space="preserve">[16]</w:t>
        </w:r>
      </w:hyperlink>
      <w:r>
        <w:t xml:space="preserve">. Both are consistent with the candidate’s own estimate, in the first research paper, of an elasticity of per spacecraft unit cost with respect to cumulative units produced of roughly negative zero point six and an implied progress ratio near two thirds. The agreement between the architectural account and the quantitative estimate is important. It establishes that the industrial logic driving stack convergence is real and large. Were the learning curve flat, monoculture would be a free choice. In the data it is the rational response of operators facing a thirty four percent unit cost reduction per doubling of output.</w:t>
      </w:r>
    </w:p>
    <w:p>
      <w:pPr>
        <w:pStyle w:val="BodyText"/>
        <w:spacing w:line="480" w:lineRule="auto"/>
        <w:ind w:firstLine="720"/>
      </w:pPr>
      <w:r>
        <w:t xml:space="preserve">Cliometric tools carry a long tradition of their own into the engineering question. The Cox proportional hazards model began in biostatistics and has since been adopted across labor economics, industrial organization, and political economy as the canonical estimator for time to event data with right censoring. Its appeal here is precise. It leaves the dependent process non parametric while estimating covariate effects through partial likelihood. The Wright’s Law literature on learning curves, applied to the orbital cost data in the dissertation’s first research paper, supplies the parallel scaling intuition. Together these two tools form the methodological backbone of cliometric work on industrial and infrastructural systems. The dissertation’s contribution is to turn them on a corpus the technical literature has compiled and the economic literature has not yet engaged.</w:t>
      </w:r>
    </w:p>
    <w:p>
      <w:pPr>
        <w:pStyle w:val="BodyText"/>
        <w:spacing w:line="480" w:lineRule="auto"/>
        <w:ind w:firstLine="720"/>
      </w:pPr>
      <w:r>
        <w:t xml:space="preserve">The economic literature also speaks to which events should count as outages in the survival model. The MITRE study on satellite reliance treats service interruption as the economically meaningful event, whatever the proximate cause, kinetic, electromagnetic, or software based</w:t>
      </w:r>
      <w:r>
        <w:t xml:space="preserve"> </w:t>
      </w:r>
      <w:hyperlink w:anchor="ref-1">
        <w:r>
          <w:rPr>
            <w:rStyle w:val="Hyperlink"/>
          </w:rPr>
          <w:t xml:space="preserve">[1]</w:t>
        </w:r>
      </w:hyperlink>
      <w:r>
        <w:t xml:space="preserve">. The integrated deterrence synthesis sets a stricter bar. It treats the loss of confidence in service continuity as the strategically meaningful event, one that captures near misses and operator declared safe mode transitions even when no service was lost</w:t>
      </w:r>
      <w:r>
        <w:t xml:space="preserve"> </w:t>
      </w:r>
      <w:hyperlink w:anchor="ref-7">
        <w:r>
          <w:rPr>
            <w:rStyle w:val="Hyperlink"/>
          </w:rPr>
          <w:t xml:space="preserve">[7]</w:t>
        </w:r>
      </w:hyperlink>
      <w:r>
        <w:t xml:space="preserve">. The dissertation follows the broader economic definition for the primary specification and reports the narrower one as a robustness check, because the broader definition is the one most likely to yield a policy actionable estimate.</w:t>
      </w:r>
    </w:p>
    <w:bookmarkEnd w:id="69"/>
    <w:bookmarkStart w:id="70" w:name="X3ef71d7a312684dccff262f94ee1fcdc3807ea0"/>
    <w:p>
      <w:pPr>
        <w:pStyle w:val="Heading2"/>
        <w:spacing w:line="480" w:lineRule="auto"/>
      </w:pPr>
      <w:r>
        <w:t xml:space="preserve">2.5 Operations, Acquisition, and the Government Record</w:t>
      </w:r>
    </w:p>
    <w:p>
      <w:pPr>
        <w:pStyle w:val="FirstParagraph"/>
        <w:spacing w:line="480" w:lineRule="auto"/>
      </w:pPr>
      <w:r>
        <w:t xml:space="preserve">A third body of work mediates between the engineering and economic literatures by documenting the public sector record of acquisition cost, schedule, and performance for major space systems. The United States Government Accountability Office assessment of major NASA projects, in its 2023 edition and predecessors, is the canonical accounting of how flight software anomalies map into schedule slippage and cost growth at the program level</w:t>
      </w:r>
      <w:r>
        <w:t xml:space="preserve"> </w:t>
      </w:r>
      <w:hyperlink w:anchor="ref-9">
        <w:r>
          <w:rPr>
            <w:rStyle w:val="Hyperlink"/>
          </w:rPr>
          <w:t xml:space="preserve">[9]</w:t>
        </w:r>
      </w:hyperlink>
      <w:r>
        <w:t xml:space="preserve">. The companion GPS III acquisition outlook and the Department of Defense weapon systems annual assessment supply parallel records for the national security space portfolio [19, 20]. These reports are not academic in form. They are still the closest available approximation to a population register of space system anomalies, and they are the primary source the dissertation uses to anchor the outage event coding for missions where operator self reporting falls short.</w:t>
      </w:r>
    </w:p>
    <w:p>
      <w:pPr>
        <w:pStyle w:val="BodyText"/>
        <w:spacing w:line="480" w:lineRule="auto"/>
        <w:ind w:firstLine="720"/>
      </w:pPr>
      <w:r>
        <w:t xml:space="preserve">The candidate’s first research paper, a Cox survival analysis of twenty eight NASA robotic missions, has already put a subset of this government record to work, testing the stack diversity hypothesis on a small but well documented sample. Within that sample, stack diversity produced no statistically significant survival advantage, with a hazard ratio coefficient of zero point one zero seven and a p value of zero point eight two five. The honest reading is that twenty eight missions cannot identify the effect against the wide standard errors a small sample produces, and that the structural break candidate, the migration from rule based to learning based controllers after 2022, is not yet visible in a sample drawn mostly from the 1998 to 2022 era. That result motivates the larger panel the dissertation builds, where the unit of analysis shifts from the mission to the vehicle quarter and the event count grows by roughly two orders of magnitude.</w:t>
      </w:r>
    </w:p>
    <w:p>
      <w:pPr>
        <w:pStyle w:val="BodyText"/>
        <w:spacing w:line="480" w:lineRule="auto"/>
        <w:ind w:firstLine="720"/>
      </w:pPr>
      <w:r>
        <w:t xml:space="preserve">The companion research paper, a log log estimate of per spacecraft unit cost elasticity across constellation programs, has supplied the unit economics foundation against which the dissertation’s survival analysis will be priced. That paper estimated, on a panel of thirty nine production milestone observations across thirteen program blocks, an elasticity of negative zero point five nine five with a standard error of zero point one one zero and a p value below zero point zero zero one. The implied progress ratio of zero point six six two establishes that operators face a substantial cost gradient toward stack convergence, which is the industrial logic that creates the monoculture exposure the dissertation will measure. The two research papers together demonstrate that the Cox and Wright’s Law estimators can be applied transparently to public data on space systems, and they constitute the candidate’s preliminary evidence that the dissertation’s empirical strategy is feasible.</w:t>
      </w:r>
    </w:p>
    <w:bookmarkEnd w:id="70"/>
    <w:bookmarkStart w:id="71" w:name="synthesis-and-the-joint-gap"/>
    <w:p>
      <w:pPr>
        <w:pStyle w:val="Heading2"/>
        <w:spacing w:line="480" w:lineRule="auto"/>
      </w:pPr>
      <w:r>
        <w:t xml:space="preserve">2.6 Synthesis and the Joint Gap</w:t>
      </w:r>
    </w:p>
    <w:p>
      <w:pPr>
        <w:pStyle w:val="FirstParagraph"/>
        <w:spacing w:line="480" w:lineRule="auto"/>
      </w:pPr>
      <w:r>
        <w:t xml:space="preserve">Reviewed together, the two literatures do not contradict one another. They occupy adjacent but unconnected analytical territory. The technical literature on autonomy and constellation resilience [3, 4, 5, 6, 8, 10, 11, 14, 17, 18, 21, 22, 23, 24, 25, 26, 27, 28, 29, 30, 31, 32, 33, 34] has built a precise vocabulary for how spacecraft are flown, how they fail, and how they are designed to recover, and it has documented the rapid convergence of operators on a small family of autonomy and flight software stacks. The cliometric and econometric literature on the space economy [1, 2, 7, 15, 16] has built an equally precise vocabulary for the macroeconomic and strategic salience of orbital services, and it has identified the unit cost scaling that drives the industrial logic of convergence. Neither has produced an empirical estimate of the marginal contribution of stack diversity to outage hazard. Such an estimate needs a joint object neither literature has assembled: a panel of vehicle quarters in which stack composition is observable as a time varying covariate and outage is observable as a dependent process.</w:t>
      </w:r>
    </w:p>
    <w:p>
      <w:pPr>
        <w:pStyle w:val="BodyText"/>
        <w:spacing w:line="480" w:lineRule="auto"/>
        <w:ind w:firstLine="720"/>
      </w:pPr>
      <w:r>
        <w:t xml:space="preserve">The dissertation’s contribution is to assemble that joint object and to estimate that marginal contribution. The Cox proportional hazards specification is the natural estimator for the dependent process because outage time is right censored, because the proportionality assumption can be tested with Schoenfeld residuals and addressed with stratification where it fails, and because the partial likelihood approach absorbs the baseline hazard without imposing a parametric form on the underlying reliability process. The Herfindahl style index of stack concentration is the natural covariate for stack composition because it is invariant to the labeling of components, because it admits a clear interpretation in terms of the probability that two randomly drawn vehicles share an autonomy component, and because it is bounded above by unity and below by the inverse of the component count, which yields a stable scale across operators of different sizes. The combination of estimator and covariate produces a hazard ratio that has direct policy interpretation: a value below unity rejects the null of independence and supports the resilience hypothesis, while a value at or above unity falsifies the resilience hypothesis at the operator level.</w:t>
      </w:r>
    </w:p>
    <w:p>
      <w:pPr>
        <w:pStyle w:val="BodyText"/>
        <w:spacing w:line="480" w:lineRule="auto"/>
        <w:ind w:firstLine="720"/>
      </w:pPr>
      <w:r>
        <w:t xml:space="preserve">Three features of the joint literature recommend this estimator over alternatives. First, the technical literature’s treatment of fault management as a sequence of detection, diagnosis, root cause determination, and recovery [10, 11, 26] implies that the time to outage event is the meaningful dependent variable, because each stage of the sequence contributes a distinct conditional hazard and the cumulative survival is what an operator and an insurer ultimately price. Second, the economic literature’s treatment of service interruption as the economically meaningful event [1, 2, 7] implies that the outage definition should be broad enough to capture safe mode transitions, partial service degradations, and operator declared anomalies, not only total vehicle loss, because the macroeconomic exposure that motivates the research question is sensitive to service quality rather than only to fleet count. Third, the unit cost scaling literature’s documentation of the industrial logic driving convergence [14, 15, 16] implies that the policy relevance of the estimate is highest when the hazard ratio is reported against a counterfactual of marginal diversity, because operators choose stack composition under cost pressure and will respond to a quantitative estimate of the survival premium that diversity buys.</w:t>
      </w:r>
    </w:p>
    <w:p>
      <w:pPr>
        <w:pStyle w:val="BodyText"/>
        <w:spacing w:line="480" w:lineRule="auto"/>
        <w:ind w:firstLine="720"/>
      </w:pPr>
      <w:r>
        <w:t xml:space="preserve">The dissertation therefore proceeds to construct the panel, fit the estimator, and report the hazard ratio with the sensitivity analyses named in the prospectus: the parametric Weibull alternative, the Andersen Gill recurrent event specification for operators with multiple cluster events, and the placebo test on thruster vendor diversity. The literature reviewed here supplies the conceptual grounding, the data sources, and the methodological precedents on which that construction rests.</w:t>
      </w:r>
    </w:p>
    <w:p>
      <w:pPr>
        <w:pStyle w:val="BodyText"/>
        <w:spacing w:line="480" w:lineRule="auto"/>
        <w:ind w:firstLine="720"/>
      </w:pPr>
      <w:r>
        <w:t xml:space="preserve">It does not supply the answer to the question. That is the dissertation’s contribution.</w:t>
      </w:r>
    </w:p>
    <w:bookmarkEnd w:id="71"/>
    <w:bookmarkEnd w:id="72"/>
    <w:bookmarkStart w:id="79" w:name="Xcfcc00a3ded59aed0c781c16bfc121f2a509603"/>
    <w:p>
      <w:pPr>
        <w:pStyle w:val="Heading1"/>
        <w:spacing w:line="480" w:lineRule="auto"/>
      </w:pPr>
      <w:r>
        <w:t xml:space="preserve">Chapter 3. Theoretical Framework and Hypotheses</w:t>
      </w:r>
    </w:p>
    <w:bookmarkStart w:id="73" w:name="purpose-and-scope-of-the-chapter"/>
    <w:p>
      <w:pPr>
        <w:pStyle w:val="Heading2"/>
        <w:spacing w:line="480" w:lineRule="auto"/>
      </w:pPr>
      <w:r>
        <w:t xml:space="preserve">3.1 Purpose and Scope of the Chapter</w:t>
      </w:r>
    </w:p>
    <w:p>
      <w:pPr>
        <w:pStyle w:val="FirstParagraph"/>
        <w:spacing w:line="480" w:lineRule="auto"/>
      </w:pPr>
      <w:r>
        <w:t xml:space="preserve">The previous chapters established two facts. Space infrastructure has become an economically load bearing layer of the terrestrial economy [1, 2, 15], and the autonomy and software stacks flying that infrastructure have converged on a narrow set of planning, fault management, and trajectory optimization frameworks [4, 5, 6, 24, 29]. The empirical literature, the candidate’s own pilot studies included, shows that diversity is widely invoked as a resilience asset and rarely modelled as a quantitative covariate against outage. This chapter closes that distance. It articulates the theoretical mechanism by which heterogeneity in autonomy and supporting ground stacks should translate into measurable survivability, derives the causal logic that links the mechanism to an observable hazard, and states the single falsifiable pair of hypotheses, H0 and H1, that the rest of the dissertation tests. It introduces no new data and no new estimators; those belong to Chapter 4. What it does is commit the dissertation to a particular ontology of failure, a particular conditioning set, and a particular shape of the hazard response that the data must either ratify or reject.</w:t>
      </w:r>
    </w:p>
    <w:bookmarkEnd w:id="73"/>
    <w:bookmarkStart w:id="74" w:name="three-theoretical-foundations"/>
    <w:p>
      <w:pPr>
        <w:pStyle w:val="Heading2"/>
        <w:spacing w:line="480" w:lineRule="auto"/>
      </w:pPr>
      <w:r>
        <w:t xml:space="preserve">3.2 Three Theoretical Foundations</w:t>
      </w:r>
    </w:p>
    <w:p>
      <w:pPr>
        <w:pStyle w:val="FirstParagraph"/>
        <w:spacing w:line="480" w:lineRule="auto"/>
      </w:pPr>
      <w:r>
        <w:t xml:space="preserve">Three foundations, treated separately in the literature until now, support the framework. The first is the constellation resilience tradition, exemplified by Sturza, Dankberg, and Blount</w:t>
      </w:r>
      <w:r>
        <w:t xml:space="preserve"> </w:t>
      </w:r>
      <w:hyperlink w:anchor="ref-3">
        <w:r>
          <w:rPr>
            <w:rStyle w:val="Hyperlink"/>
          </w:rPr>
          <w:t xml:space="preserve">[3]</w:t>
        </w:r>
      </w:hyperlink>
      <w:r>
        <w:t xml:space="preserve"> </w:t>
      </w:r>
      <w:r>
        <w:t xml:space="preserve">and by the recent space traffic management work of Sorge and colleagues</w:t>
      </w:r>
      <w:r>
        <w:t xml:space="preserve"> </w:t>
      </w:r>
      <w:hyperlink w:anchor="ref-14">
        <w:r>
          <w:rPr>
            <w:rStyle w:val="Hyperlink"/>
          </w:rPr>
          <w:t xml:space="preserve">[14]</w:t>
        </w:r>
      </w:hyperlink>
      <w:r>
        <w:t xml:space="preserve"> </w:t>
      </w:r>
      <w:r>
        <w:t xml:space="preserve">and Minguijon Pallas and colleagues</w:t>
      </w:r>
      <w:r>
        <w:t xml:space="preserve"> </w:t>
      </w:r>
      <w:hyperlink w:anchor="ref-25">
        <w:r>
          <w:rPr>
            <w:rStyle w:val="Hyperlink"/>
          </w:rPr>
          <w:t xml:space="preserve">[25]</w:t>
        </w:r>
      </w:hyperlink>
      <w:r>
        <w:t xml:space="preserve">, which reads survivability as a function of vehicle count, replenishment cadence, and exposure to debris generating events. In that tradition software is an enabling technology and the unit of analysis is the vehicle or the orbital shell. The second is the autonomy and agent based mission management literature. Lagona and colleagues [4, 33], Jabbarpour and colleagues [5, 29], Kruger and D’Amico</w:t>
      </w:r>
      <w:r>
        <w:t xml:space="preserve"> </w:t>
      </w:r>
      <w:hyperlink w:anchor="ref-8">
        <w:r>
          <w:rPr>
            <w:rStyle w:val="Hyperlink"/>
          </w:rPr>
          <w:t xml:space="preserve">[8]</w:t>
        </w:r>
      </w:hyperlink>
      <w:r>
        <w:t xml:space="preserve">, Fu and Soldini [6, 34], Asri and Zhu</w:t>
      </w:r>
      <w:r>
        <w:t xml:space="preserve"> </w:t>
      </w:r>
      <w:hyperlink w:anchor="ref-31">
        <w:r>
          <w:rPr>
            <w:rStyle w:val="Hyperlink"/>
          </w:rPr>
          <w:t xml:space="preserve">[31]</w:t>
        </w:r>
      </w:hyperlink>
      <w:r>
        <w:t xml:space="preserve">, and the Stottler group [10, 11, 26] together document the diffusion of common planning, swarm control, fault management, and learning based control software across operators. That literature notes the interoperability dividends of commonality and stops short of pricing the correlated failure risk commonality may induce. The third is the space economy and statecraft literature [1, 2, 7, 15, 16], which establishes that confidence in space services is a macroeconomic and security variable and that disruption cascades into terrestrial markets.</w:t>
      </w:r>
    </w:p>
    <w:p>
      <w:pPr>
        <w:pStyle w:val="BodyText"/>
        <w:spacing w:line="480" w:lineRule="auto"/>
        <w:ind w:firstLine="720"/>
      </w:pPr>
      <w:r>
        <w:t xml:space="preserve">None of these literatures jointly models stack heterogeneity as a covariate and correlated outage as the dependent process. The framework advanced here is the minimum apparatus required to do so.</w:t>
      </w:r>
    </w:p>
    <w:p>
      <w:pPr>
        <w:pStyle w:val="BodyText"/>
        <w:spacing w:line="480" w:lineRule="auto"/>
        <w:ind w:firstLine="720"/>
      </w:pPr>
      <w:r>
        <w:t xml:space="preserve">A secondary set of foundations informs the conditioning strategy rather than the central mechanism. The radiation hardness assurance literature represented by Dijks and colleagues</w:t>
      </w:r>
      <w:r>
        <w:t xml:space="preserve"> </w:t>
      </w:r>
      <w:hyperlink w:anchor="ref-30">
        <w:r>
          <w:rPr>
            <w:rStyle w:val="Hyperlink"/>
          </w:rPr>
          <w:t xml:space="preserve">[30]</w:t>
        </w:r>
      </w:hyperlink>
      <w:r>
        <w:t xml:space="preserve"> </w:t>
      </w:r>
      <w:r>
        <w:t xml:space="preserve">reminds the framework that the physical environment of low Earth orbit and beyond is itself a stochastic stressor that operates on every stack regardless of its software composition. The space weather monitoring work of Green, O’Brien, and Quin</w:t>
      </w:r>
      <w:r>
        <w:t xml:space="preserve"> </w:t>
      </w:r>
      <w:hyperlink w:anchor="ref-18">
        <w:r>
          <w:rPr>
            <w:rStyle w:val="Hyperlink"/>
          </w:rPr>
          <w:t xml:space="preserve">[18]</w:t>
        </w:r>
      </w:hyperlink>
      <w:r>
        <w:t xml:space="preserve"> </w:t>
      </w:r>
      <w:r>
        <w:t xml:space="preserve">documents that the same heliophysical event can illuminate large fractions of a constellation in a single exposure window. The constellation level autonomy work of Marketos</w:t>
      </w:r>
      <w:r>
        <w:t xml:space="preserve"> </w:t>
      </w:r>
      <w:hyperlink w:anchor="ref-24">
        <w:r>
          <w:rPr>
            <w:rStyle w:val="Hyperlink"/>
          </w:rPr>
          <w:t xml:space="preserve">[24]</w:t>
        </w:r>
      </w:hyperlink>
      <w:r>
        <w:t xml:space="preserve"> </w:t>
      </w:r>
      <w:r>
        <w:t xml:space="preserve">and the Starling mission documentation of Hunter and colleagues</w:t>
      </w:r>
      <w:r>
        <w:t xml:space="preserve"> </w:t>
      </w:r>
      <w:hyperlink w:anchor="ref-22">
        <w:r>
          <w:rPr>
            <w:rStyle w:val="Hyperlink"/>
          </w:rPr>
          <w:t xml:space="preserve">[22]</w:t>
        </w:r>
      </w:hyperlink>
      <w:r>
        <w:t xml:space="preserve"> </w:t>
      </w:r>
      <w:r>
        <w:t xml:space="preserve">establish that distributed autonomy is no longer an aspiration but an in flight reality whose anomaly record is now beginning to accumulate. The acquisition oversight literature, including the U.S. Government Accountability Office’s NASA and weapon systems assessments [9, 19, 20], supplies the institutional language in which survivability is currently priced and audited. These secondary foundations are not the source of the hypotheses; they are the source of the controls and the strata against which the hypotheses must be conditioned.</w:t>
      </w:r>
    </w:p>
    <w:bookmarkEnd w:id="74"/>
    <w:bookmarkStart w:id="75" w:name="the-theoretical-mechanism"/>
    <w:p>
      <w:pPr>
        <w:pStyle w:val="Heading2"/>
        <w:spacing w:line="480" w:lineRule="auto"/>
      </w:pPr>
      <w:r>
        <w:t xml:space="preserve">3.3 The Theoretical Mechanism</w:t>
      </w:r>
    </w:p>
    <w:p>
      <w:pPr>
        <w:pStyle w:val="FirstParagraph"/>
        <w:spacing w:line="480" w:lineRule="auto"/>
      </w:pPr>
      <w:r>
        <w:t xml:space="preserve">At the center is one theoretical claim. The hazard of a correlated multi vehicle outage event in a fleet of space infrastructure is generated by the joint distribution of independent and common mode faults across the stacks installed in that fleet, and that joint distribution is governed by a measurable concentration of those stacks. The mechanism has three stages.</w:t>
      </w:r>
    </w:p>
    <w:p>
      <w:pPr>
        <w:pStyle w:val="BodyText"/>
        <w:spacing w:line="480" w:lineRule="auto"/>
        <w:ind w:firstLine="720"/>
      </w:pPr>
      <w:r>
        <w:t xml:space="preserve">The first stage is the production of latent faults. Every flight software baseline, every autonomy planner, every onboard fault management module, and every supporting ground system carries some non zero probability of harboring a defect that activates under a specific combination of inputs, states, and environmental conditions. The radiation environment, the space weather environment, the operational tempo, and the interaction of multiple onboard subsystems together make up the space of activating inputs [18, 30]. The fault management literature has long held that defects of this kind cannot be removed in full by any feasible verification campaign. The Stottler line of work argues the point directly: hybrid architectures combining model based and learning based reasoning catch a non empty residual any single mode misses [10, 11, 26]. The Mars Climate Orbiter and Mars Polar Lander mishaps show the same thing in the negative, where a single coordinated misinterpretation of units or a single unmodeled propulsive transient produced unrecoverable loss in vehicles that had passed their formal verification campaigns [12, 13].</w:t>
      </w:r>
    </w:p>
    <w:p>
      <w:pPr>
        <w:pStyle w:val="BodyText"/>
        <w:spacing w:line="480" w:lineRule="auto"/>
        <w:ind w:firstLine="720"/>
      </w:pPr>
      <w:r>
        <w:t xml:space="preserve">Latent faults exist. The open question is how their activation distributes across a fleet.</w:t>
      </w:r>
    </w:p>
    <w:p>
      <w:pPr>
        <w:pStyle w:val="BodyText"/>
        <w:spacing w:line="480" w:lineRule="auto"/>
        <w:ind w:firstLine="720"/>
      </w:pPr>
      <w:r>
        <w:t xml:space="preserve">The second stage is the propagation of activation across vehicles. Fly two vehicles on identical stacks, and any input pattern that activates a latent fault on one activates it on the other with very high conditional probability, modulated only by minor differences in state, position, and exposure. Fly two vehicles on stacks that share no common modules, and activation on one conveys very little information about the other, because the input space that triggers a defect in one stack is largely orthogonal to the input space that triggers a defect in the second. The general case sits between these poles, governed by the proportion of shared modules across the fleet. In this framework a Herfindahl style index of stack concentration is a sufficient statistic for the dimension of the shared input space that can trigger faults across multiple vehicles at once. As the index climbs toward unity the fleet approaches a monoculture in which the shared input space coincides with the full input space. As it falls toward the inverse of the number of distinct stacks the fleet approaches a polyculture in which the shared input space shrinks toward the intersection of the per stack triggering sets, which under independence is small.</w:t>
      </w:r>
    </w:p>
    <w:p>
      <w:pPr>
        <w:pStyle w:val="BodyText"/>
        <w:spacing w:line="480" w:lineRule="auto"/>
        <w:ind w:firstLine="720"/>
      </w:pPr>
      <w:r>
        <w:t xml:space="preserve">A third stage translates correlated activation into observable outage. An activated fault becomes an outage when the affected vehicle enters an off nominal state recorded in the public catalog of anomalies maintained by United States Space Command and in the operator’s regulatory filings. The correlated outage event is defined operationally as two or more vehicles of the same operator entering an off nominal state within a fixed clock window, following the candidate’s pilot work and the OneWeb self reporting framework</w:t>
      </w:r>
      <w:r>
        <w:t xml:space="preserve"> </w:t>
      </w:r>
      <w:hyperlink w:anchor="ref-25">
        <w:r>
          <w:rPr>
            <w:rStyle w:val="Hyperlink"/>
          </w:rPr>
          <w:t xml:space="preserve">[25]</w:t>
        </w:r>
      </w:hyperlink>
      <w:r>
        <w:t xml:space="preserve">. The hazard of a correlated outage is then the product of three factors: the per stack rate at which latent faults activate, the proportion of the fleet flying stacks that share the activating input space, and the conditional probability that activation produces a recorded off nominal state rather than an automated recovery. The first and third factors are properties of individual stacks and individual vehicles. The second is the property of the fleet the dissertation seeks to estimate, and it is monotone in stack concentration.</w:t>
      </w:r>
    </w:p>
    <w:p>
      <w:pPr>
        <w:pStyle w:val="BodyText"/>
        <w:spacing w:line="480" w:lineRule="auto"/>
        <w:ind w:firstLine="720"/>
      </w:pPr>
      <w:r>
        <w:t xml:space="preserve">The mechanism sits comfortably with four adjacent literatures. The agent based mission management literature characterizes distributed space systems as collections of autonomous agents whose individual reliability is increasingly comparable across vendors and whose collective behavior turns on the diversity of their decision rules [5, 24, 29]. The autonomous trajectory optimization literature shows that a small number of optimization formulations now dominate onboard collision avoidance and orbital maintenance across operators [4, 6, 33, 34], so a flaw in one formulation can propagate across every operator that has adopted it. The swarm control literature of Kruger and D’Amico</w:t>
      </w:r>
      <w:r>
        <w:t xml:space="preserve"> </w:t>
      </w:r>
      <w:hyperlink w:anchor="ref-8">
        <w:r>
          <w:rPr>
            <w:rStyle w:val="Hyperlink"/>
          </w:rPr>
          <w:t xml:space="preserve">[8]</w:t>
        </w:r>
      </w:hyperlink>
      <w:r>
        <w:t xml:space="preserve"> </w:t>
      </w:r>
      <w:r>
        <w:t xml:space="preserve">and of Asri and Zhu</w:t>
      </w:r>
      <w:r>
        <w:t xml:space="preserve"> </w:t>
      </w:r>
      <w:hyperlink w:anchor="ref-31">
        <w:r>
          <w:rPr>
            <w:rStyle w:val="Hyperlink"/>
          </w:rPr>
          <w:t xml:space="preserve">[31]</w:t>
        </w:r>
      </w:hyperlink>
      <w:r>
        <w:t xml:space="preserve"> </w:t>
      </w:r>
      <w:r>
        <w:t xml:space="preserve">shows that consensus and angles only tracking algorithms are shared across multiple in flight demonstrations and that their failure modes are by construction correlated within any fleet that runs them. And the space situational awareness anomaly detection literature [10, 11, 22, 26] reports observed clustering of off nominal states within operator and within software baseline.</w:t>
      </w:r>
    </w:p>
    <w:p>
      <w:pPr>
        <w:pStyle w:val="BodyText"/>
        <w:spacing w:line="480" w:lineRule="auto"/>
        <w:ind w:firstLine="720"/>
      </w:pPr>
      <w:r>
        <w:t xml:space="preserve">The mechanism needs no single one of these literatures to be right in isolation. It needs only three things: that latent faults exist, that they distribute non uniformly across stack components, and that their activation is governed by inputs partially shared across vehicles flying the same stack.</w:t>
      </w:r>
    </w:p>
    <w:bookmarkEnd w:id="75"/>
    <w:bookmarkStart w:id="76" w:name="the-causal-logic"/>
    <w:p>
      <w:pPr>
        <w:pStyle w:val="Heading2"/>
        <w:spacing w:line="480" w:lineRule="auto"/>
      </w:pPr>
      <w:r>
        <w:t xml:space="preserve">3.4 The Causal Logic</w:t>
      </w:r>
    </w:p>
    <w:p>
      <w:pPr>
        <w:pStyle w:val="FirstParagraph"/>
        <w:spacing w:line="480" w:lineRule="auto"/>
      </w:pPr>
      <w:r>
        <w:t xml:space="preserve">The causal logic that converts the theoretical mechanism into an estimable hazard model proceeds in five steps.</w:t>
      </w:r>
    </w:p>
    <w:p>
      <w:pPr>
        <w:pStyle w:val="BodyText"/>
        <w:spacing w:line="480" w:lineRule="auto"/>
        <w:ind w:firstLine="720"/>
      </w:pPr>
      <w:r>
        <w:t xml:space="preserve">First, the dissertation treats the vehicle quarter as the unit of analysis. The choice is motivated by the cadence at which fleet composition can be observed in regulatory filings and at which the SpaceTrack anomaly catalog records grouped off nominal events. A finer cadence is not supported by the disclosure record; a coarser cadence would erase the within operator variation that the identification strategy exploits.</w:t>
      </w:r>
    </w:p>
    <w:p>
      <w:pPr>
        <w:pStyle w:val="BodyText"/>
        <w:spacing w:line="480" w:lineRule="auto"/>
        <w:ind w:firstLine="720"/>
      </w:pPr>
      <w:r>
        <w:t xml:space="preserve">Second, the dependent process is the time to first participation by a vehicle in a correlated outage cluster, defined as the simultaneous entry of two or more vehicles of the same operator into an off nominal state within a seventy two hour window. The window is informed by the OneWeb self reporting practice</w:t>
      </w:r>
      <w:r>
        <w:t xml:space="preserve"> </w:t>
      </w:r>
      <w:hyperlink w:anchor="ref-25">
        <w:r>
          <w:rPr>
            <w:rStyle w:val="Hyperlink"/>
          </w:rPr>
          <w:t xml:space="preserve">[25]</w:t>
        </w:r>
      </w:hyperlink>
      <w:r>
        <w:t xml:space="preserve"> </w:t>
      </w:r>
      <w:r>
        <w:t xml:space="preserve">and by the constellation resilience and fragmentation literature that characterizes the time scale on which a single triggering event can illuminate a constellation [3, 14]. Sensitivity to alternative windows is part of the protocol stated in Chapter 4 and is not relitigated here.</w:t>
      </w:r>
    </w:p>
    <w:p>
      <w:pPr>
        <w:pStyle w:val="BodyText"/>
        <w:spacing w:line="480" w:lineRule="auto"/>
        <w:ind w:firstLine="720"/>
      </w:pPr>
      <w:r>
        <w:t xml:space="preserve">Third, the principal covariate is a Herfindahl Hirschman concentration index computed over the autonomy and flight software components installed across the relevant fleet, recomputed each quarter as the fleet evolves. The covariate is time varying because the units of analysis are themselves time varying: rollouts of new flight software baselines, acquisitions that import heterogeneous fleets, and operational decisions to retire heritage stacks all change the composition of the fleet within an operator. The Herfindahl form is preferred to count based diversity measures because it is monotone in the proportion of the fleet that shares any given module and therefore aligns directly with the dimension of the shared input space identified in the mechanism. Coarsening at the prime contractor level, where filings redact specific component identities, biases the index toward zero and therefore biases the estimated hazard ratio toward the null, as discussed in the prospectus and reaffirmed here as a feature rather than a defect of the design.</w:t>
      </w:r>
    </w:p>
    <w:p>
      <w:pPr>
        <w:pStyle w:val="BodyText"/>
        <w:spacing w:line="480" w:lineRule="auto"/>
        <w:ind w:firstLine="720"/>
      </w:pPr>
      <w:r>
        <w:t xml:space="preserve">Fourth, the conditioning set includes orbital regime stratification, operator fixed effects, mission class, calendar time, and a spare set of physical environment controls drawn from the radiation and space weather literatures [18, 30]. Each earns its place. Orbital regime stratification is required because the per stack activation rate of latent faults is itself a function of the radiation environment and the conjunction geometry of the regime [14, 30]. Operator fixed effects absorb time invariant differences in reliability practice, verification budget, and ground station architecture that would otherwise confound a cross sectional comparison of monocultural and polycultural fleets. Mission class controls separate communications, Earth observation, and science vehicles whose nominal duty cycles differ. Calendar time controls absorb the secular diffusion of learning based onboard controllers [6, 34] and of agent based mission management practice [5, 29], whose adoption may correlate with both stack composition and the propensity to report off nominal states.</w:t>
      </w:r>
    </w:p>
    <w:p>
      <w:pPr>
        <w:pStyle w:val="BodyText"/>
        <w:spacing w:line="480" w:lineRule="auto"/>
        <w:ind w:firstLine="720"/>
      </w:pPr>
      <w:r>
        <w:t xml:space="preserve">Fifth, identification rests on within operator variation in stack composition that arises from staggered rollouts and from acquisitions. The identifying assumption is that the timing of these compositional shifts is uncorrelated with the unobserved propensity of any single vehicle to fail conditional on the conditioning set. The assumption is defensible because rollout schedules are driven by software release cycles and procurement timelines rather than by vehicle level reliability information, and because acquisitions of heterogeneous fleets are driven by capital market and strategic considerations that operate at a horizon longer than the vehicle quarter unit of analysis. The assumption is not unfalsifiable: the placebo test on thruster vendor diversity specified in the prospectus and reiterated in Chapter 4 provides a direct test of whether unobserved correlated procurement decisions are driving the result.</w:t>
      </w:r>
    </w:p>
    <w:p>
      <w:pPr>
        <w:pStyle w:val="BodyText"/>
        <w:spacing w:line="480" w:lineRule="auto"/>
        <w:ind w:firstLine="720"/>
      </w:pPr>
      <w:r>
        <w:t xml:space="preserve">The causal logic terminates in a Cox proportional hazards specification for three reasons. The framework places no parametric structure on the baseline hazard of a correlated outage event. The unit of analysis is naturally time to event with right censoring at the close of the observation window. And the proportional hazards form supports the time varying covariate the mechanism requires. Departures from proportional hazards are addressable through stratification and through the parametric and recurrent event sensitivity analyses specified in Chapter 4. The Cox form makes no claim on the absolute baseline rate at which latent faults activate. It estimates the multiplicative effect of stack concentration on that rate conditional on the controls, and that effect is the quantity the dissertation claims to identify.</w:t>
      </w:r>
    </w:p>
    <w:bookmarkEnd w:id="76"/>
    <w:bookmarkStart w:id="77" w:name="the-formal-hypotheses"/>
    <w:p>
      <w:pPr>
        <w:pStyle w:val="Heading2"/>
        <w:spacing w:line="480" w:lineRule="auto"/>
      </w:pPr>
      <w:r>
        <w:t xml:space="preserve">3.5 The Formal Hypotheses</w:t>
      </w:r>
    </w:p>
    <w:p>
      <w:pPr>
        <w:pStyle w:val="FirstParagraph"/>
        <w:spacing w:line="480" w:lineRule="auto"/>
      </w:pPr>
      <w:r>
        <w:t xml:space="preserve">The dissertation tests one hypothesis pair with one estimator. The pair is stated in terms of the partial likelihood hazard ratio on the time varying Herfindahl Hirschman stack concentration index in the Cox specification described above, conditional on operator fixed effects, orbital regime strata, mission class, calendar time, and physical environment controls.</w:t>
      </w:r>
    </w:p>
    <w:p>
      <w:pPr>
        <w:pStyle w:val="BodyText"/>
        <w:spacing w:line="480" w:lineRule="auto"/>
        <w:ind w:firstLine="720"/>
      </w:pPr>
      <w:r>
        <w:t xml:space="preserve">H0. The instantaneous hazard of a correlated multi vehicle outage event is independent of the Herfindahl Hirschman concentration of autonomy and flight software stacks across the affected fleet. Equivalently, the hazard ratio on the concentration index, conditional on the controls, is equal to unity.</w:t>
      </w:r>
    </w:p>
    <w:p>
      <w:pPr>
        <w:pStyle w:val="BodyText"/>
        <w:spacing w:line="480" w:lineRule="auto"/>
        <w:ind w:firstLine="720"/>
      </w:pPr>
      <w:r>
        <w:t xml:space="preserve">H1. The instantaneous hazard of a correlated multi vehicle outage event is strictly increasing in the Herfindahl Hirschman concentration of autonomy and flight software stacks across the affected fleet. Equivalently, the hazard ratio on the concentration index, conditional on the controls, is strictly greater than unity, and equivalently the hazard ratio on a diversity transformation of the same index is strictly less than unity.</w:t>
      </w:r>
    </w:p>
    <w:p>
      <w:pPr>
        <w:pStyle w:val="BodyText"/>
        <w:spacing w:line="480" w:lineRule="auto"/>
        <w:ind w:firstLine="720"/>
      </w:pPr>
      <w:r>
        <w:t xml:space="preserve">Rejection of H0 in favor of H1 at conventional significance, with a confidence interval on the hazard ratio bounded away from unity and with the sign of the point estimate stable across the Schoenfeld residual test, the stratified Cox specification, the parametric Weibull alternative, the Andersen Gill recurrent event specification, the cluster window sensitivity analysis at twenty four, seventy two, and one hundred sixty eight hours, and the placebo test on thruster vendor diversity, will constitute the dissertation’s contribution. Failure to reject H0 under these same tests, or rejection of H0 in the direction opposite to H1, will also constitute a contribution: it will indicate that within the publicly documented record of correlated outages, the marginal contribution of stack diversity to survivability is not visible once orbital regime, operator, mission class, and physical environment are held in the model.</w:t>
      </w:r>
    </w:p>
    <w:p>
      <w:pPr>
        <w:pStyle w:val="BodyText"/>
        <w:spacing w:line="480" w:lineRule="auto"/>
        <w:ind w:firstLine="720"/>
      </w:pPr>
      <w:r>
        <w:t xml:space="preserve">Pilot work by the candidate on twenty eight NASA robotic missions reported point estimates that did not reject the null on stack diversity as a main effect. The sign came out positive rather than the predicted negative, and the confidence interval was wide enough to contain zero; a pilot interaction study reached a similar conclusion at small sample. Those results do not refute H1. They shift the prior toward the possibility that the effect, if present, is conditional on operator scale and on the joint distribution of diversity with autonomy. The full dissertation extends the panel to the operationally relevant sample of low Earth orbit commercial constellations, where the cross sectional and temporal variation in stack composition is enough to identify the hazard ratio at conventional power. The framework advanced here therefore commits the dissertation to a falsifiable test, names the conditioning set under which that test is valid, and specifies the direction of the hazard response the data must produce for the resilience claim to hold.</w:t>
      </w:r>
    </w:p>
    <w:bookmarkEnd w:id="77"/>
    <w:bookmarkStart w:id="78" w:name="Xb129d40d028ec85b1253fba33de791b15fef1f0"/>
    <w:p>
      <w:pPr>
        <w:pStyle w:val="Heading2"/>
        <w:spacing w:line="480" w:lineRule="auto"/>
      </w:pPr>
      <w:r>
        <w:t xml:space="preserve">3.6 Boundary Conditions and Auxiliary Implications</w:t>
      </w:r>
    </w:p>
    <w:p>
      <w:pPr>
        <w:pStyle w:val="FirstParagraph"/>
        <w:spacing w:line="480" w:lineRule="auto"/>
      </w:pPr>
      <w:r>
        <w:t xml:space="preserve">Three boundary conditions delimit the scope of the hypothesis pair. The first is that the framework addresses correlated outage at the fleet level; it does not test whether stack diversity affects the marginal reliability of a single vehicle, which is a property that the per stack activation rate of latent faults already absorbs. The second is that the framework addresses software and autonomy stack heterogeneity; it does not test heterogeneity of bus, power, propulsion, or payload subsystems, except indirectly through the thruster vendor placebo. The third is that the framework addresses the on orbit phase of operations; it does not test the launch, commissioning, or end of life phases, which are governed by different hazards and different actors.</w:t>
      </w:r>
    </w:p>
    <w:p>
      <w:pPr>
        <w:pStyle w:val="BodyText"/>
        <w:spacing w:line="480" w:lineRule="auto"/>
        <w:ind w:firstLine="720"/>
      </w:pPr>
      <w:r>
        <w:t xml:space="preserve">Two auxiliary implications follow from the framework, though neither is part of the falsification test. Should H1 hold, the Herfindahl Hirschman concentration of autonomy and flight software stacks across a fleet becomes a measurable risk factor operators, insurers, and regulators can price, in the same register the GAO’s NASA and weapon systems assessments already use for cost, schedule, and technical risk [9, 19, 20]. The framework does not fix the magnitude at which that pricing becomes consequential; that is an empirical question that Chapter 5 will address. Should H1 hold, the diffusion of common autonomy frameworks in the agent based mission management literature [5, 24, 29] and of common trajectory optimization formulations in the autonomous control literature [4, 6, 33, 34] becomes a candidate explanation for the secular trend in correlated outage observed in the SpaceTrack catalog. The framework neither asserts nor denies that the trend exists. It specifies the model under which the trend would be visible if it does.</w:t>
      </w:r>
    </w:p>
    <w:p>
      <w:pPr>
        <w:pStyle w:val="BodyText"/>
        <w:spacing w:line="480" w:lineRule="auto"/>
        <w:ind w:firstLine="720"/>
      </w:pPr>
      <w:r>
        <w:t xml:space="preserve">The chapter has now set out the theoretical mechanism, the causal logic, and the formal hypotheses that govern the rest of the dissertation. Chapter 4 specifies the data construction, the estimator, and the diagnostic protocol by which H0 is tested against H1 on the full panel of low Earth orbit constellations within the observation window.</w:t>
      </w:r>
    </w:p>
    <w:bookmarkEnd w:id="78"/>
    <w:bookmarkEnd w:id="79"/>
    <w:bookmarkStart w:id="104" w:name="chapter-4.-data-and-measurement"/>
    <w:p>
      <w:pPr>
        <w:pStyle w:val="Heading1"/>
        <w:spacing w:line="480" w:lineRule="auto"/>
      </w:pPr>
      <w:r>
        <w:t xml:space="preserve">Chapter 4. Data and Measurement</w:t>
      </w:r>
    </w:p>
    <w:bookmarkStart w:id="80" w:name="purpose-and-scope-of-the-chapter-1"/>
    <w:p>
      <w:pPr>
        <w:pStyle w:val="Heading2"/>
        <w:spacing w:line="480" w:lineRule="auto"/>
      </w:pPr>
      <w:r>
        <w:t xml:space="preserve">4.1 Purpose and Scope of the Chapter</w:t>
      </w:r>
    </w:p>
    <w:p>
      <w:pPr>
        <w:pStyle w:val="FirstParagraph"/>
        <w:spacing w:line="480" w:lineRule="auto"/>
      </w:pPr>
      <w:r>
        <w:t xml:space="preserve">This chapter documents the empirical substrate of the dissertation. Two complementary panels carry the analytical weight. The first is a mission level survival panel of twenty eight robotic missions operated by the United States National Aeronautics and Space Administration and its international partners, observed from launch or commissioning through the first publicly reported major anomaly. It anchors the survival paper in Chapter 6 and supplies the primary test of whether stack diversity, conditional on autonomy level and mission scale, lengthens the anomaly free interval. The second is a program block production panel of thirteen constellation program blocks across seven operators, observed at thirty nine distinct production milestones between 1997 and 2024. It anchors the scaling paper in Chapter 5 and supplies the lower bound cost case that motivates the convergence on shared autonomy stacks the dissertation interrogates.</w:t>
      </w:r>
    </w:p>
    <w:p>
      <w:pPr>
        <w:pStyle w:val="BodyText"/>
        <w:spacing w:line="480" w:lineRule="auto"/>
        <w:ind w:firstLine="720"/>
      </w:pPr>
      <w:r>
        <w:t xml:space="preserve">The two panels do not share a unit of analysis. They share an evidentiary discipline. Every record traces to a primary public document, and every constructed variable is a mapping from those documents to a numeric or categorical value an independent analyst could reproduce.</w:t>
      </w:r>
    </w:p>
    <w:p>
      <w:pPr>
        <w:pStyle w:val="BodyText"/>
        <w:spacing w:line="480" w:lineRule="auto"/>
        <w:ind w:firstLine="720"/>
      </w:pPr>
      <w:r>
        <w:t xml:space="preserve">From there the chapter sets out, in turn, the authoritative sources behind each panel, the unit of analysis for each estimator, the construction rules for the dependent and independent variables, and the measurement decisions that bound the inferential reach of the two papers and of the integrative survival model previewed in Chapter 7.</w:t>
      </w:r>
    </w:p>
    <w:p>
      <w:pPr>
        <w:pStyle w:val="BodyText"/>
        <w:spacing w:line="480" w:lineRule="auto"/>
        <w:ind w:firstLine="720"/>
      </w:pPr>
      <w:r>
        <w:t xml:space="preserve">Exposition follows the order in which the panels are used in the dissertation. Section 4.2 describes the mission level survival panel. Section 4.3 describes the program block production panel. Section 4.4 describes the construction of the stack diversity index and the autonomy ordinal that are shared instruments in the survival analysis. Section 4.5 records the measurement decisions whose downstream consequences are interrogated in the validity chapter, including censoring, the seventy two hour clustering window, and the coarsening rules that bound non classical measurement error in stack composition. Throughout, the chapter cites only sources that appear in the dissertation’s reference pool. Where the prospectus or the two empirical papers introduced a source, the chapter reproduces the citation in the same numbered form so that the audit trail between the prospectus, the papers, and this chapter is unambiguous.</w:t>
      </w:r>
    </w:p>
    <w:bookmarkEnd w:id="80"/>
    <w:bookmarkStart w:id="85" w:name="the-mission-level-survival-panel"/>
    <w:p>
      <w:pPr>
        <w:pStyle w:val="Heading2"/>
        <w:spacing w:line="480" w:lineRule="auto"/>
      </w:pPr>
      <w:r>
        <w:t xml:space="preserve">4.2 The Mission Level Survival Panel</w:t>
      </w:r>
    </w:p>
    <w:bookmarkStart w:id="81" w:name="frame-and-inclusion"/>
    <w:p>
      <w:pPr>
        <w:pStyle w:val="Heading3"/>
        <w:spacing w:line="480" w:lineRule="auto"/>
      </w:pPr>
      <w:r>
        <w:t xml:space="preserve">4.2.1 Frame and Inclusion</w:t>
      </w:r>
    </w:p>
    <w:p>
      <w:pPr>
        <w:pStyle w:val="FirstParagraph"/>
        <w:spacing w:line="480" w:lineRule="auto"/>
      </w:pPr>
      <w:r>
        <w:t xml:space="preserve">The mission level panel holds twenty eight robotic missions, each launched between 1998 and 2022. The frame is the union of three lists. The first is the set of major projects assessed in the United States Government Accountability Office’s annual NASA major project assessments, as represented in</w:t>
      </w:r>
      <w:r>
        <w:t xml:space="preserve"> </w:t>
      </w:r>
      <w:hyperlink w:anchor="ref-9">
        <w:r>
          <w:rPr>
            <w:rStyle w:val="Hyperlink"/>
          </w:rPr>
          <w:t xml:space="preserve">[9]</w:t>
        </w:r>
      </w:hyperlink>
      <w:r>
        <w:t xml:space="preserve"> </w:t>
      </w:r>
      <w:r>
        <w:t xml:space="preserve">and the predecessor reports tracked in the same series. The second is the NASA Space Science Data Coordinated Archive master catalog, which supplies the authoritative identifier, launch date, and mission class for each spacecraft. The third is the set of mishap and end of mission reports filed by NASA and the Jet Propulsion Laboratory, among them the Mars Climate Orbiter Mishap Investigation Board Phase I Report</w:t>
      </w:r>
      <w:r>
        <w:t xml:space="preserve"> </w:t>
      </w:r>
      <w:hyperlink w:anchor="ref-12">
        <w:r>
          <w:rPr>
            <w:rStyle w:val="Hyperlink"/>
          </w:rPr>
          <w:t xml:space="preserve">[12]</w:t>
        </w:r>
      </w:hyperlink>
      <w:r>
        <w:t xml:space="preserve"> </w:t>
      </w:r>
      <w:r>
        <w:t xml:space="preserve">and the Jet Propulsion Laboratory report on the loss of the Mars Polar Lander and Deep Space 2 missions</w:t>
      </w:r>
      <w:r>
        <w:t xml:space="preserve"> </w:t>
      </w:r>
      <w:hyperlink w:anchor="ref-13">
        <w:r>
          <w:rPr>
            <w:rStyle w:val="Hyperlink"/>
          </w:rPr>
          <w:t xml:space="preserve">[13]</w:t>
        </w:r>
      </w:hyperlink>
      <w:r>
        <w:t xml:space="preserve">. Inclusion turns on three conditions. A mission must appear in at least one Government Accountability Office major project assessment in the series anchored by</w:t>
      </w:r>
      <w:r>
        <w:t xml:space="preserve"> </w:t>
      </w:r>
      <w:hyperlink w:anchor="ref-9">
        <w:r>
          <w:rPr>
            <w:rStyle w:val="Hyperlink"/>
          </w:rPr>
          <w:t xml:space="preserve">[9]</w:t>
        </w:r>
      </w:hyperlink>
      <w:r>
        <w:t xml:space="preserve">, its first publicly reported major anomaly date must be locatable in a mishap report, an end of mission report, or the NASA Lessons Learned system, and the spacecraft must be classifiable on the autonomy ordinal defined in Section 4.4.2. Twenty five of the twenty eight experienced a documented major anomaly within the observation window.</w:t>
      </w:r>
    </w:p>
    <w:p>
      <w:pPr>
        <w:pStyle w:val="BodyText"/>
        <w:spacing w:line="480" w:lineRule="auto"/>
        <w:ind w:firstLine="720"/>
      </w:pPr>
      <w:r>
        <w:t xml:space="preserve">Three did not. The two GRAIL probes and the MAVEN mission are right censored at the close of the window, recorded that way in the panel and discussed in Section 4.5.1.</w:t>
      </w:r>
    </w:p>
    <w:p>
      <w:pPr>
        <w:pStyle w:val="BodyText"/>
        <w:spacing w:line="480" w:lineRule="auto"/>
        <w:ind w:firstLine="720"/>
      </w:pPr>
      <w:r>
        <w:t xml:space="preserve">Those censored rows stay in the panel. Section 4.5.1 sets out why.</w:t>
      </w:r>
    </w:p>
    <w:bookmarkEnd w:id="81"/>
    <w:bookmarkStart w:id="82" w:name="unit-of-analysis"/>
    <w:p>
      <w:pPr>
        <w:pStyle w:val="Heading3"/>
        <w:spacing w:line="480" w:lineRule="auto"/>
      </w:pPr>
      <w:r>
        <w:t xml:space="preserve">4.2.2 Unit of Analysis</w:t>
      </w:r>
    </w:p>
    <w:p>
      <w:pPr>
        <w:pStyle w:val="FirstParagraph"/>
        <w:spacing w:line="480" w:lineRule="auto"/>
      </w:pPr>
      <w:r>
        <w:t xml:space="preserve">For the survival paper, the unit of analysis is the mission. Each row records a single spacecraft, identified by its NASA Space Science Data Coordinated Archive identifier where one exists, by its Government Accountability Office major project identifier in the assessments anchored by</w:t>
      </w:r>
      <w:r>
        <w:t xml:space="preserve"> </w:t>
      </w:r>
      <w:hyperlink w:anchor="ref-9">
        <w:r>
          <w:rPr>
            <w:rStyle w:val="Hyperlink"/>
          </w:rPr>
          <w:t xml:space="preserve">[9]</w:t>
        </w:r>
      </w:hyperlink>
      <w:r>
        <w:t xml:space="preserve"> </w:t>
      </w:r>
      <w:r>
        <w:t xml:space="preserve">where one is recorded, and by a project name that resolves uniquely against both. The mission level unit suits the survival paper because the dependent process there is time to first major anomaly on the mission as a whole, and because the publicly documented robotic fleet is too small to support the vehicle quarter unit the prospectus identifies for the integrative model in Chapter 7. That integrative model keeps the vehicle quarter as its unit so within operator variation in stack composition can be exploited. The mission level unit adopted here is a deliberate aggregation of that finer unit for the present paper, and the aggregation rule is explicit: a mission’s diversity index is the time invariant index measured at commissioning, and its autonomy ordinal is the level recorded in the design reference mission that governed launch.</w:t>
      </w:r>
    </w:p>
    <w:bookmarkEnd w:id="82"/>
    <w:bookmarkStart w:id="83" w:name="X0a0909ca8e5616092d1b19cf0b75e979cc1abc2"/>
    <w:p>
      <w:pPr>
        <w:pStyle w:val="Heading3"/>
        <w:spacing w:line="480" w:lineRule="auto"/>
      </w:pPr>
      <w:r>
        <w:t xml:space="preserve">4.2.3 Dependent Variable: Time to First Major Anomaly</w:t>
      </w:r>
    </w:p>
    <w:p>
      <w:pPr>
        <w:pStyle w:val="FirstParagraph"/>
        <w:spacing w:line="480" w:lineRule="auto"/>
      </w:pPr>
      <w:r>
        <w:t xml:space="preserve">Duration in days, between either launch or commissioning and the first publicly reported major anomaly, is the dependent variable. Construction runs in two stages. The launch or commissioning date comes from the NASA Space Science Data Coordinated Archive master catalog entry for the mission, except where a Government Accountability Office major project assessment in the series anchored by</w:t>
      </w:r>
      <w:r>
        <w:t xml:space="preserve"> </w:t>
      </w:r>
      <w:hyperlink w:anchor="ref-9">
        <w:r>
          <w:rPr>
            <w:rStyle w:val="Hyperlink"/>
          </w:rPr>
          <w:t xml:space="preserve">[9]</w:t>
        </w:r>
      </w:hyperlink>
      <w:r>
        <w:t xml:space="preserve"> </w:t>
      </w:r>
      <w:r>
        <w:t xml:space="preserve">supplies an authoritative commissioning date that differs from the catalog launch date by more than thirty days, in which case the Government Accountability Office date governs. The first major anomaly date comes from the mishap investigation board report, end of mission report, or Lessons Learned entry that documents the event. Mars Climate Orbiter takes its event date from</w:t>
      </w:r>
      <w:r>
        <w:t xml:space="preserve"> </w:t>
      </w:r>
      <w:hyperlink w:anchor="ref-12">
        <w:r>
          <w:rPr>
            <w:rStyle w:val="Hyperlink"/>
          </w:rPr>
          <w:t xml:space="preserve">[12]</w:t>
        </w:r>
      </w:hyperlink>
      <w:r>
        <w:t xml:space="preserve">. Mars Polar Lander and Deep Space 2 take theirs from</w:t>
      </w:r>
      <w:r>
        <w:t xml:space="preserve"> </w:t>
      </w:r>
      <w:hyperlink w:anchor="ref-13">
        <w:r>
          <w:rPr>
            <w:rStyle w:val="Hyperlink"/>
          </w:rPr>
          <w:t xml:space="preserve">[13]</w:t>
        </w:r>
      </w:hyperlink>
      <w:r>
        <w:t xml:space="preserve">. For missions whose first major anomaly appears only in a Government Accountability Office major project assessment, the assessment’s stated anomaly date governs. The interval between start and event, in whole days, populates the duration variable. The event indicator is one when a documented major anomaly falls within the observation window and zero when the window closes without one, in which case the duration variable is right censored at the window close.</w:t>
      </w:r>
    </w:p>
    <w:p>
      <w:pPr>
        <w:pStyle w:val="BodyText"/>
        <w:spacing w:line="480" w:lineRule="auto"/>
        <w:ind w:firstLine="720"/>
      </w:pPr>
      <w:r>
        <w:t xml:space="preserve">A</w:t>
      </w:r>
      <w:r>
        <w:t xml:space="preserve"> </w:t>
      </w:r>
      <w:r>
        <w:t xml:space="preserve">“major anomaly”</w:t>
      </w:r>
      <w:r>
        <w:t xml:space="preserve"> </w:t>
      </w:r>
      <w:r>
        <w:t xml:space="preserve">is any event that produced one of four publicly recorded consequences: a safe mode entry persisting longer than seventy two hours, a science observation pause exceeding one orbital regime appropriate threshold articulated in the relevant Government Accountability Office assessment, a documented partial loss of mission recorded in a mishap investigation board report, or a documented total loss of mission. The definition is deliberately restrictive. Minor safe mode entries that resolve within the seventy two hour threshold, and routine momentum unloading or attitude control transients, are excluded, because their reporting cadence in the public record is too uneven across operators to support a comparable hazard estimate. The threshold mirrors the seventy two hour clustering window adopted in the integrative model and recorded in the prospectus, so the dependent processes of the mission level and vehicle quarter panels align along one temporal grammar.</w:t>
      </w:r>
    </w:p>
    <w:bookmarkEnd w:id="83"/>
    <w:bookmarkStart w:id="84" w:name="source-audit-trail"/>
    <w:p>
      <w:pPr>
        <w:pStyle w:val="Heading3"/>
        <w:spacing w:line="480" w:lineRule="auto"/>
      </w:pPr>
      <w:r>
        <w:t xml:space="preserve">4.2.4 Source Audit Trail</w:t>
      </w:r>
    </w:p>
    <w:p>
      <w:pPr>
        <w:pStyle w:val="FirstParagraph"/>
        <w:spacing w:line="480" w:lineRule="auto"/>
      </w:pPr>
      <w:r>
        <w:t xml:space="preserve">Every row carries a source field that records the document or documents from which both the duration variable and the event indicator are drawn. This convention comes from the empirical paper in Chapter 6 and is summarized here. Major project assessments in the series anchored by</w:t>
      </w:r>
      <w:r>
        <w:t xml:space="preserve"> </w:t>
      </w:r>
      <w:hyperlink w:anchor="ref-9">
        <w:r>
          <w:rPr>
            <w:rStyle w:val="Hyperlink"/>
          </w:rPr>
          <w:t xml:space="preserve">[9]</w:t>
        </w:r>
      </w:hyperlink>
      <w:r>
        <w:t xml:space="preserve"> </w:t>
      </w:r>
      <w:r>
        <w:t xml:space="preserve">are cited by their Government Accountability Office report number. Mars Climate Orbiter is cited by its NASA Technical Reports Server number as in</w:t>
      </w:r>
      <w:r>
        <w:t xml:space="preserve"> </w:t>
      </w:r>
      <w:hyperlink w:anchor="ref-12">
        <w:r>
          <w:rPr>
            <w:rStyle w:val="Hyperlink"/>
          </w:rPr>
          <w:t xml:space="preserve">[12]</w:t>
        </w:r>
      </w:hyperlink>
      <w:r>
        <w:t xml:space="preserve">, Mars Polar Lander and Deep Space 2 by their Jet Propulsion Laboratory document number as in</w:t>
      </w:r>
      <w:r>
        <w:t xml:space="preserve"> </w:t>
      </w:r>
      <w:hyperlink w:anchor="ref-13">
        <w:r>
          <w:rPr>
            <w:rStyle w:val="Hyperlink"/>
          </w:rPr>
          <w:t xml:space="preserve">[13]</w:t>
        </w:r>
      </w:hyperlink>
      <w:r>
        <w:t xml:space="preserve">, and NASA Lessons Learned entries by their public identifier and date of entry. Each source field is reproduced verbatim in the replication package, so any third party reconstructing the panel from public sources begins from the same document set the dissertation used.</w:t>
      </w:r>
    </w:p>
    <w:bookmarkEnd w:id="84"/>
    <w:bookmarkEnd w:id="85"/>
    <w:bookmarkStart w:id="92" w:name="the-program-block-production-panel"/>
    <w:p>
      <w:pPr>
        <w:pStyle w:val="Heading2"/>
        <w:spacing w:line="480" w:lineRule="auto"/>
      </w:pPr>
      <w:r>
        <w:t xml:space="preserve">4.3 The Program Block Production Panel</w:t>
      </w:r>
    </w:p>
    <w:bookmarkStart w:id="86" w:name="frame-and-inclusion-1"/>
    <w:p>
      <w:pPr>
        <w:pStyle w:val="Heading3"/>
        <w:spacing w:line="480" w:lineRule="auto"/>
      </w:pPr>
      <w:r>
        <w:t xml:space="preserve">4.3.1 Frame and Inclusion</w:t>
      </w:r>
    </w:p>
    <w:p>
      <w:pPr>
        <w:pStyle w:val="FirstParagraph"/>
        <w:spacing w:line="480" w:lineRule="auto"/>
      </w:pPr>
      <w:r>
        <w:t xml:space="preserve">Thirteen program blocks across seven operators anchor the production panel, observed at thirty nine distinct production milestones between 1997 and 2024. The blocks are Iridium block one and Iridium NEXT, Globalstar block one and block two, OneWeb generation one, the Starlink production blocks designated versions zero point nine, one point zero, one point five, and two mini, the Planet Dove and Planet SkySat lines, and three United States Air Force and Space Force Global Positioning System blocks corresponding to the IIR, IIRM, IIF, and III generations. Inclusion requires two things. A program block must disclose a per spacecraft unit cost in at least one primary filing or assessment, and a cumulative unit count at the date of that disclosure must be reconstructible from the same filing series or from prime contractor production announcements. The Global Positioning System blocks enter on the basis of the Government Accountability Office acquisition outlooks and weapon systems annual assessments anchored by</w:t>
      </w:r>
      <w:r>
        <w:t xml:space="preserve"> </w:t>
      </w:r>
      <w:hyperlink w:anchor="ref-19">
        <w:r>
          <w:rPr>
            <w:rStyle w:val="Hyperlink"/>
          </w:rPr>
          <w:t xml:space="preserve">[19]</w:t>
        </w:r>
      </w:hyperlink>
      <w:r>
        <w:t xml:space="preserve"> </w:t>
      </w:r>
      <w:r>
        <w:t xml:space="preserve">and</w:t>
      </w:r>
      <w:r>
        <w:t xml:space="preserve"> </w:t>
      </w:r>
      <w:hyperlink w:anchor="ref-20">
        <w:r>
          <w:rPr>
            <w:rStyle w:val="Hyperlink"/>
          </w:rPr>
          <w:t xml:space="preserve">[20]</w:t>
        </w:r>
      </w:hyperlink>
      <w:r>
        <w:t xml:space="preserve">, which document both contract value and production quantity at multiple program milestones. The constellation blocks enter on the basis of operator 10-K capital expenditure schedules, S-1 prospectuses, Federal Communications Commission Part 25 license and modification filings, and prime contractor press releases that disclose contract values.</w:t>
      </w:r>
    </w:p>
    <w:bookmarkEnd w:id="86"/>
    <w:bookmarkStart w:id="87" w:name="unit-of-analysis-1"/>
    <w:p>
      <w:pPr>
        <w:pStyle w:val="Heading3"/>
        <w:spacing w:line="480" w:lineRule="auto"/>
      </w:pPr>
      <w:r>
        <w:t xml:space="preserve">4.3.2 Unit of Analysis</w:t>
      </w:r>
    </w:p>
    <w:p>
      <w:pPr>
        <w:pStyle w:val="FirstParagraph"/>
        <w:spacing w:line="480" w:lineRule="auto"/>
      </w:pPr>
      <w:r>
        <w:t xml:space="preserve">For the scaling paper, the unit of analysis is the production milestone. Each row records a single observation of per spacecraft unit cost at a stated cumulative quantity for a stated program block. That unit suits the Wright’s law estimator, because Wright’s law relates cumulative output to unit cost rather than calendar time to unit cost, and because program blocks reach different milestones at different calendar dates.</w:t>
      </w:r>
    </w:p>
    <w:p>
      <w:pPr>
        <w:pStyle w:val="BodyText"/>
        <w:spacing w:line="480" w:lineRule="auto"/>
        <w:ind w:firstLine="720"/>
      </w:pPr>
      <w:r>
        <w:t xml:space="preserve">The resulting panel is unbalanced by design. Iridium NEXT contributes a handful of milestones, the four Starlink production blocks contribute a denser sequence, and the Global Positioning System blocks contribute milestones spaced by the multi year cadence of the Air Force and Space Force acquisition cycle. No balanced calendar grid is imposed, because imposing one would force interpolation between disclosed milestones and introduce a measurement error of uncontrolled magnitude.</w:t>
      </w:r>
    </w:p>
    <w:bookmarkEnd w:id="87"/>
    <w:bookmarkStart w:id="88" w:name="X684e7cfe37502a2fead65261c844f67dcd3cc8d"/>
    <w:p>
      <w:pPr>
        <w:pStyle w:val="Heading3"/>
        <w:spacing w:line="480" w:lineRule="auto"/>
      </w:pPr>
      <w:r>
        <w:t xml:space="preserve">4.3.3 Dependent Variable: Per Spacecraft Unit Cost</w:t>
      </w:r>
    </w:p>
    <w:p>
      <w:pPr>
        <w:pStyle w:val="FirstParagraph"/>
        <w:spacing w:line="480" w:lineRule="auto"/>
      </w:pPr>
      <w:r>
        <w:t xml:space="preserve">The dependent variable is per spacecraft unit cost in millions of United States dollars at the year of observation. Construction proceeds in three steps. A contract value or program block expenditure is identified in the primary filing or assessment for the row. That value is divided by the number of spacecraft to which it applies at the same milestone, either stated in the filing or reconstructed from the same series. The resulting per spacecraft figure is recorded in millions of United States dollars at the observation year, without conversion to a constant year basis. Keeping nominal dollars is a deliberate choice. A constant year conversion would need a deflator whose choice is itself contestable across the cost classes the panel mixes, launch vehicle hardware, payload electronics, software amortization, and program management. The Wright’s law estimator is identified on the relation between log unit cost and log cumulative output, so any monotone scalar transformation of the cost variable that is roughly constant across the panel’s observation years shifts the intercept of the log log regression and leaves the elasticity of interest untouched. Chapter 5 reports the elasticity in this nominal specification and supplies a real dollar sensitivity in the validity chapter.</w:t>
      </w:r>
    </w:p>
    <w:bookmarkEnd w:id="88"/>
    <w:bookmarkStart w:id="89" w:name="X58df0356a087617cdc2f311d69335e414d8bcd2"/>
    <w:p>
      <w:pPr>
        <w:pStyle w:val="Heading3"/>
        <w:spacing w:line="480" w:lineRule="auto"/>
      </w:pPr>
      <w:r>
        <w:t xml:space="preserve">4.3.4 Independent Variable: Cumulative Units Produced</w:t>
      </w:r>
    </w:p>
    <w:p>
      <w:pPr>
        <w:pStyle w:val="FirstParagraph"/>
        <w:spacing w:line="480" w:lineRule="auto"/>
      </w:pPr>
      <w:r>
        <w:t xml:space="preserve">Cumulative spacecraft produced under the program block as of the observation date is the independent variable. Construction begins from the prime contractor production announcements that disclose batch completions and from the Federal Communications Commission quarterly fleet reports that disclose deployed quantities. Cumulative counts are reconciled across the two source streams for every milestone, and any unreconciled discrepancy is flagged in the source field. Where a milestone falls between two reconciled count dates, the count at the earlier date governs. That convention biases the cumulative count downward at the margin, and so biases the estimated elasticity toward zero, which is conservative with respect to the directional hypothesis of the scaling paper.</w:t>
      </w:r>
    </w:p>
    <w:bookmarkEnd w:id="89"/>
    <w:bookmarkStart w:id="90" w:name="Xb702160bdd51dbe547a984cd3978022495632ae"/>
    <w:p>
      <w:pPr>
        <w:pStyle w:val="Heading3"/>
        <w:spacing w:line="480" w:lineRule="auto"/>
      </w:pPr>
      <w:r>
        <w:t xml:space="preserve">4.3.5 The Illustrative Flag and the Fifteen Percent Ceiling</w:t>
      </w:r>
    </w:p>
    <w:p>
      <w:pPr>
        <w:pStyle w:val="FirstParagraph"/>
        <w:spacing w:line="480" w:lineRule="auto"/>
      </w:pPr>
      <w:r>
        <w:t xml:space="preserve">Three of the panel’s thirty nine rows carry an</w:t>
      </w:r>
      <w:r>
        <w:t xml:space="preserve"> </w:t>
      </w:r>
      <w:r>
        <w:t xml:space="preserve">“[illustrative]”</w:t>
      </w:r>
      <w:r>
        <w:t xml:space="preserve"> </w:t>
      </w:r>
      <w:r>
        <w:t xml:space="preserve">flag in the source field, because the reported unit cost rests on industry research firm reporting rather than a primary filing or a Government Accountability Office assessment. The flag survives into the replication package, and the rows stay in the estimator, because dropping them on a procedural ground would mute production milestones that bear directly on the dissertation’s argument. Three rows out of thirty nine sits below the fifteen percent ceiling the dissertation imposes on derived rows, and the scaling paper reports a leave one out sensitivity confirming that no single illustrative row drives the headline elasticity.</w:t>
      </w:r>
    </w:p>
    <w:p>
      <w:pPr>
        <w:pStyle w:val="BodyText"/>
        <w:spacing w:line="480" w:lineRule="auto"/>
        <w:ind w:firstLine="720"/>
      </w:pPr>
      <w:r>
        <w:t xml:space="preserve">The rule for any future illustrative row is fixed. The cited industry research firm must be named in the source field, the reported value must be cross checked against a contemporaneous prime contractor or operator statement to within an order of magnitude, and the row stays in the estimator only if the cross check succeeds.</w:t>
      </w:r>
    </w:p>
    <w:bookmarkEnd w:id="90"/>
    <w:bookmarkStart w:id="91" w:name="source-audit-trail-1"/>
    <w:p>
      <w:pPr>
        <w:pStyle w:val="Heading3"/>
        <w:spacing w:line="480" w:lineRule="auto"/>
      </w:pPr>
      <w:r>
        <w:t xml:space="preserve">4.3.6 Source Audit Trail</w:t>
      </w:r>
    </w:p>
    <w:p>
      <w:pPr>
        <w:pStyle w:val="FirstParagraph"/>
        <w:spacing w:line="480" w:lineRule="auto"/>
      </w:pPr>
      <w:r>
        <w:t xml:space="preserve">The source field of each row records the citation for the unit cost figure, the citation for the cumulative quantity figure, and any cross check that bears on either. Filings are cited by operator name, document type, and fiscal year. The Global Positioning System rows cite the Government Accountability Office acquisition outlook anchored by</w:t>
      </w:r>
      <w:r>
        <w:t xml:space="preserve"> </w:t>
      </w:r>
      <w:hyperlink w:anchor="ref-19">
        <w:r>
          <w:rPr>
            <w:rStyle w:val="Hyperlink"/>
          </w:rPr>
          <w:t xml:space="preserve">[19]</w:t>
        </w:r>
      </w:hyperlink>
      <w:r>
        <w:t xml:space="preserve"> </w:t>
      </w:r>
      <w:r>
        <w:t xml:space="preserve">and the Department of Defense weapon systems annual assessment anchored by</w:t>
      </w:r>
      <w:r>
        <w:t xml:space="preserve"> </w:t>
      </w:r>
      <w:hyperlink w:anchor="ref-20">
        <w:r>
          <w:rPr>
            <w:rStyle w:val="Hyperlink"/>
          </w:rPr>
          <w:t xml:space="preserve">[20]</w:t>
        </w:r>
      </w:hyperlink>
      <w:r>
        <w:t xml:space="preserve"> </w:t>
      </w:r>
      <w:r>
        <w:t xml:space="preserve">in the same form the empirical paper uses. The Federal Communications Commission Part 25 license and modification filings are cited by docket number where one is recorded.</w:t>
      </w:r>
    </w:p>
    <w:bookmarkEnd w:id="91"/>
    <w:bookmarkEnd w:id="92"/>
    <w:bookmarkStart w:id="96" w:name="Xcd28e19424fafad95e406f94f20706852ea326a"/>
    <w:p>
      <w:pPr>
        <w:pStyle w:val="Heading2"/>
        <w:spacing w:line="480" w:lineRule="auto"/>
      </w:pPr>
      <w:r>
        <w:t xml:space="preserve">4.4 Shared Instruments: Stack Diversity and Autonomy Level</w:t>
      </w:r>
    </w:p>
    <w:bookmarkStart w:id="93" w:name="software-stack-diversity"/>
    <w:p>
      <w:pPr>
        <w:pStyle w:val="Heading3"/>
        <w:spacing w:line="480" w:lineRule="auto"/>
      </w:pPr>
      <w:r>
        <w:t xml:space="preserve">4.4.1 Software Stack Diversity</w:t>
      </w:r>
    </w:p>
    <w:p>
      <w:pPr>
        <w:pStyle w:val="FirstParagraph"/>
        <w:spacing w:line="480" w:lineRule="auto"/>
      </w:pPr>
      <w:r>
        <w:t xml:space="preserve">The principal independent variable in the integrative survival model, and a covariate in the mission level survival paper, is a measure of software stack diversity. It takes two operational forms. The first, used in the mission level paper, is the count of independently developed major flight software components. The count is built from public descriptions of the spacecraft’s flight software architecture, drawn from end of mission reports, mishap investigation board reports, and the architectural sections of Government Accountability Office major project assessments. A component counts as independently developed when its responsible development organization, measured at the prime contractor level, differs from the responsible development organization for the other components in the count. The convention follows the survey treatment of independent reasoning modes in the agent based mission management literature</w:t>
      </w:r>
      <w:r>
        <w:t xml:space="preserve"> </w:t>
      </w:r>
      <w:hyperlink w:anchor="ref-5">
        <w:r>
          <w:rPr>
            <w:rStyle w:val="Hyperlink"/>
          </w:rPr>
          <w:t xml:space="preserve">[5]</w:t>
        </w:r>
      </w:hyperlink>
      <w:r>
        <w:t xml:space="preserve"> </w:t>
      </w:r>
      <w:r>
        <w:t xml:space="preserve">and in the on board hybrid fault detection literature</w:t>
      </w:r>
      <w:r>
        <w:t xml:space="preserve"> </w:t>
      </w:r>
      <w:hyperlink w:anchor="ref-10">
        <w:r>
          <w:rPr>
            <w:rStyle w:val="Hyperlink"/>
          </w:rPr>
          <w:t xml:space="preserve">[10]</w:t>
        </w:r>
      </w:hyperlink>
      <w:r>
        <w:t xml:space="preserve">[11], both of which locate the relevant resilience attribute in independence of development lineage rather than mere modularity within a single codebase. The count is time invariant within the mission level panel, since that panel records one observation per mission at commissioning.</w:t>
      </w:r>
    </w:p>
    <w:p>
      <w:pPr>
        <w:pStyle w:val="BodyText"/>
        <w:spacing w:line="480" w:lineRule="auto"/>
        <w:ind w:firstLine="720"/>
      </w:pPr>
      <w:r>
        <w:t xml:space="preserve">A second operational form, used in the integrative model previewed in Chapter 7, is a Herfindahl Hirschman index computed over self reported and filing disclosed autonomy and flight software components across the operator’s fleet at the quarter, recomputed each quarter as fleets evolve. This form is conceptually the inverse of an effective number of components measure, and it lets the convergence dynamic emphasized in the scaling paper and in</w:t>
      </w:r>
      <w:r>
        <w:t xml:space="preserve"> </w:t>
      </w:r>
      <w:hyperlink w:anchor="ref-3">
        <w:r>
          <w:rPr>
            <w:rStyle w:val="Hyperlink"/>
          </w:rPr>
          <w:t xml:space="preserve">[3]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and</w:t>
      </w:r>
      <w:r>
        <w:t xml:space="preserve"> </w:t>
      </w:r>
      <w:hyperlink w:anchor="ref-16">
        <w:r>
          <w:rPr>
            <w:rStyle w:val="Hyperlink"/>
          </w:rPr>
          <w:t xml:space="preserve">[16]</w:t>
        </w:r>
      </w:hyperlink>
      <w:r>
        <w:t xml:space="preserve"> </w:t>
      </w:r>
      <w:r>
        <w:t xml:space="preserve">enter the hazard model directly. The two forms agree at the mission level limit. When an operator flies a single mission with k equally weighted independently developed components, the count returns k and the Herfindahl returns one over k.</w:t>
      </w:r>
    </w:p>
    <w:p>
      <w:pPr>
        <w:pStyle w:val="BodyText"/>
        <w:spacing w:line="480" w:lineRule="auto"/>
        <w:ind w:firstLine="720"/>
      </w:pPr>
      <w:r>
        <w:t xml:space="preserve">The dissertation reports both.</w:t>
      </w:r>
    </w:p>
    <w:bookmarkEnd w:id="93"/>
    <w:bookmarkStart w:id="94" w:name="autonomy-level"/>
    <w:p>
      <w:pPr>
        <w:pStyle w:val="Heading3"/>
        <w:spacing w:line="480" w:lineRule="auto"/>
      </w:pPr>
      <w:r>
        <w:t xml:space="preserve">4.4.2 Autonomy Level</w:t>
      </w:r>
    </w:p>
    <w:p>
      <w:pPr>
        <w:pStyle w:val="FirstParagraph"/>
        <w:spacing w:line="480" w:lineRule="auto"/>
      </w:pPr>
      <w:r>
        <w:t xml:space="preserve">The autonomy ordinal runs from one to four. At level one the spacecraft executes a ground uplinked command sequence with no onboard replanning. Level two adds onboard fault response within a fixed decision tree and keeps ground authority over science replanning. Level three adds onboard science replanning within a mission defined envelope, including the onboard target tracking and trajectory adjustment functions documented in</w:t>
      </w:r>
      <w:r>
        <w:t xml:space="preserve"> </w:t>
      </w:r>
      <w:hyperlink w:anchor="ref-4">
        <w:r>
          <w:rPr>
            <w:rStyle w:val="Hyperlink"/>
          </w:rPr>
          <w:t xml:space="preserve">[4]</w:t>
        </w:r>
      </w:hyperlink>
      <w:r>
        <w:t xml:space="preserve"> </w:t>
      </w:r>
      <w:r>
        <w:t xml:space="preserve">and</w:t>
      </w:r>
      <w:r>
        <w:t xml:space="preserve"> </w:t>
      </w:r>
      <w:hyperlink w:anchor="ref-8">
        <w:r>
          <w:rPr>
            <w:rStyle w:val="Hyperlink"/>
          </w:rPr>
          <w:t xml:space="preserve">[8]</w:t>
        </w:r>
      </w:hyperlink>
      <w:r>
        <w:t xml:space="preserve">. Level four adds onboard learning based control, including the supervised learning based onboard maintenance approach described in</w:t>
      </w:r>
      <w:r>
        <w:t xml:space="preserve"> </w:t>
      </w:r>
      <w:hyperlink w:anchor="ref-6">
        <w:r>
          <w:rPr>
            <w:rStyle w:val="Hyperlink"/>
          </w:rPr>
          <w:t xml:space="preserve">[6]</w:t>
        </w:r>
      </w:hyperlink>
      <w:r>
        <w:t xml:space="preserve"> </w:t>
      </w:r>
      <w:r>
        <w:t xml:space="preserve">and the agent based distributed mission management patterns surveyed in</w:t>
      </w:r>
      <w:r>
        <w:t xml:space="preserve"> </w:t>
      </w:r>
      <w:hyperlink w:anchor="ref-5">
        <w:r>
          <w:rPr>
            <w:rStyle w:val="Hyperlink"/>
          </w:rPr>
          <w:t xml:space="preserve">[5]</w:t>
        </w:r>
      </w:hyperlink>
      <w:r>
        <w:t xml:space="preserve">. The ordinal is assigned from the design reference mission documents and from the architectural sections of the Government Accountability Office major project assessments anchored by</w:t>
      </w:r>
      <w:r>
        <w:t xml:space="preserve"> </w:t>
      </w:r>
      <w:hyperlink w:anchor="ref-9">
        <w:r>
          <w:rPr>
            <w:rStyle w:val="Hyperlink"/>
          </w:rPr>
          <w:t xml:space="preserve">[9]</w:t>
        </w:r>
      </w:hyperlink>
      <w:r>
        <w:t xml:space="preserve">. It is treated as a fixed mission level attribute in the survival paper and as a time varying covariate in the integrative model, the latter accommodating the rare case where an in flight software upload upgrades the operating autonomy level mid mission.</w:t>
      </w:r>
    </w:p>
    <w:bookmarkEnd w:id="94"/>
    <w:bookmarkStart w:id="95" w:name="mass-and-mission-class-controls"/>
    <w:p>
      <w:pPr>
        <w:pStyle w:val="Heading3"/>
        <w:spacing w:line="480" w:lineRule="auto"/>
      </w:pPr>
      <w:r>
        <w:t xml:space="preserve">4.4.3 Mass and Mission Class Controls</w:t>
      </w:r>
    </w:p>
    <w:p>
      <w:pPr>
        <w:pStyle w:val="FirstParagraph"/>
        <w:spacing w:line="480" w:lineRule="auto"/>
      </w:pPr>
      <w:r>
        <w:t xml:space="preserve">Two further controls are constructed at the mission level. Wet mass in kilograms comes from the NASA Space Science Data Coordinated Archive master catalog and enters the survival paper as a natural logarithm. Mission class comes from the Government Accountability Office major project assessment series anchored by</w:t>
      </w:r>
      <w:r>
        <w:t xml:space="preserve"> </w:t>
      </w:r>
      <w:hyperlink w:anchor="ref-9">
        <w:r>
          <w:rPr>
            <w:rStyle w:val="Hyperlink"/>
          </w:rPr>
          <w:t xml:space="preserve">[9]</w:t>
        </w:r>
      </w:hyperlink>
      <w:r>
        <w:t xml:space="preserve">, recorded as a categorical variable indexing science target. Mass earns its place in the model because larger missions tend to receive more redundancy investment and also to carry more demanding science requirements, and the direction of the resulting partial effect is an empirical question rather than a theoretical one</w:t>
      </w:r>
      <w:r>
        <w:t xml:space="preserve"> </w:t>
      </w:r>
      <w:hyperlink w:anchor="ref-9">
        <w:r>
          <w:rPr>
            <w:rStyle w:val="Hyperlink"/>
          </w:rPr>
          <w:t xml:space="preserve">[9]</w:t>
        </w:r>
      </w:hyperlink>
      <w:r>
        <w:t xml:space="preserve">[12][13]. Mission class enters the integrative model as a stratum in the Cox specification.</w:t>
      </w:r>
    </w:p>
    <w:bookmarkEnd w:id="95"/>
    <w:bookmarkEnd w:id="96"/>
    <w:bookmarkStart w:id="102" w:name="X9bb48bca3ed156d53607e60cadb3d085fc3d013"/>
    <w:p>
      <w:pPr>
        <w:pStyle w:val="Heading2"/>
        <w:spacing w:line="480" w:lineRule="auto"/>
      </w:pPr>
      <w:r>
        <w:t xml:space="preserve">4.5 Measurement Decisions and Their Downstream Consequences</w:t>
      </w:r>
    </w:p>
    <w:bookmarkStart w:id="97" w:name="censoring"/>
    <w:p>
      <w:pPr>
        <w:pStyle w:val="Heading3"/>
        <w:spacing w:line="480" w:lineRule="auto"/>
      </w:pPr>
      <w:r>
        <w:t xml:space="preserve">4.5.1 Censoring</w:t>
      </w:r>
    </w:p>
    <w:p>
      <w:pPr>
        <w:pStyle w:val="FirstParagraph"/>
        <w:spacing w:line="480" w:lineRule="auto"/>
      </w:pPr>
      <w:r>
        <w:t xml:space="preserve">Three of the twenty eight mission level rows are right censored. The decision to retain these rows rather than to truncate the panel to event observed missions follows standard survival practice and avoids the conditioning on the dependent variable that truncation would impose. The validity chapter reports a sensitivity in which the observation window is extended by twelve months and the censoring set is re evaluated against the public record at that later date.</w:t>
      </w:r>
    </w:p>
    <w:bookmarkEnd w:id="97"/>
    <w:bookmarkStart w:id="98" w:name="the-seventy-two-hour-clustering-window"/>
    <w:p>
      <w:pPr>
        <w:pStyle w:val="Heading3"/>
        <w:spacing w:line="480" w:lineRule="auto"/>
      </w:pPr>
      <w:r>
        <w:t xml:space="preserve">4.5.2 The Seventy Two Hour Clustering Window</w:t>
      </w:r>
    </w:p>
    <w:p>
      <w:pPr>
        <w:pStyle w:val="FirstParagraph"/>
        <w:spacing w:line="480" w:lineRule="auto"/>
      </w:pPr>
      <w:r>
        <w:t xml:space="preserve">The integrative model’s outage cluster definition turns on a seventy two hour window. The mission level paper imports the same window into its definition of a</w:t>
      </w:r>
      <w:r>
        <w:t xml:space="preserve"> </w:t>
      </w:r>
      <w:r>
        <w:t xml:space="preserve">“major anomaly”</w:t>
      </w:r>
      <w:r>
        <w:t xml:space="preserve"> </w:t>
      </w:r>
      <w:r>
        <w:t xml:space="preserve">through the safe mode duration threshold described in Section 4.2.3. The validity chapter reports the choice across windows of twenty four, seventy two, and one hundred sixty eight hours, mirroring the prospectus’s commitment to the same triple. Reporting the triple is not theater. The seventy two hour window was fixed before the panel was assembled. Shorter windows are dominated by transient telemetry artifacts the public record reports inconsistently, and longer windows blur the temporal signature of correlated software faults against the background rate of independent anomalies.</w:t>
      </w:r>
    </w:p>
    <w:bookmarkEnd w:id="98"/>
    <w:bookmarkStart w:id="99" w:name="coarsening-under-redaction"/>
    <w:p>
      <w:pPr>
        <w:pStyle w:val="Heading3"/>
        <w:spacing w:line="480" w:lineRule="auto"/>
      </w:pPr>
      <w:r>
        <w:t xml:space="preserve">4.5.3 Coarsening Under Redaction</w:t>
      </w:r>
    </w:p>
    <w:p>
      <w:pPr>
        <w:pStyle w:val="FirstParagraph"/>
        <w:spacing w:line="480" w:lineRule="auto"/>
      </w:pPr>
      <w:r>
        <w:t xml:space="preserve">Where Federal Communications Commission Part 25 filings or European Union Agency for the Space Programme procurement notices redact specific component identities, the stack diversity index substitutes a coarsened indicator at the prime contractor level. That substitution biases the diversity index toward zero, and so biases the estimated hazard ratio on diversity toward the null. The bias runs in the conservative direction for the dissertation’s directional hypothesis. Chapter on validity reports the share of rows subject to coarsening and the share of the operator fleet on which that share concentrates.</w:t>
      </w:r>
    </w:p>
    <w:bookmarkEnd w:id="99"/>
    <w:bookmarkStart w:id="100" w:name="nominal-versus-real-dollars"/>
    <w:p>
      <w:pPr>
        <w:pStyle w:val="Heading3"/>
        <w:spacing w:line="480" w:lineRule="auto"/>
      </w:pPr>
      <w:r>
        <w:t xml:space="preserve">4.5.4 Nominal Versus Real Dollars</w:t>
      </w:r>
    </w:p>
    <w:p>
      <w:pPr>
        <w:pStyle w:val="FirstParagraph"/>
        <w:spacing w:line="480" w:lineRule="auto"/>
      </w:pPr>
      <w:r>
        <w:t xml:space="preserve">The scaling paper’s nominal dollar specification, discussed in Section 4.3.3, leaves a deflator decision unmade at panel construction. Validity testing reports the elasticity under two indices: the United States Bureau of Economic Analysis price index for nonresidential investment in information processing equipment, and the United States Bureau of Labor Statistics producer price index for aerospace product and parts manufacturing. Both real dollar specifications shift the intercept and modestly attenuate the slope, consistent with price index growth over the panel’s observation period. Both leave the headline progress ratio inside the historical range reported for airframe and launch vehicle learning curves and consistent with the qualitative claims in</w:t>
      </w:r>
      <w:r>
        <w:t xml:space="preserve"> </w:t>
      </w:r>
      <w:hyperlink w:anchor="ref-1">
        <w:r>
          <w:rPr>
            <w:rStyle w:val="Hyperlink"/>
          </w:rPr>
          <w:t xml:space="preserve">[1]</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and</w:t>
      </w:r>
      <w:r>
        <w:t xml:space="preserve"> </w:t>
      </w:r>
      <w:hyperlink w:anchor="ref-16">
        <w:r>
          <w:rPr>
            <w:rStyle w:val="Hyperlink"/>
          </w:rPr>
          <w:t xml:space="preserve">[16]</w:t>
        </w:r>
      </w:hyperlink>
      <w:r>
        <w:t xml:space="preserve">.</w:t>
      </w:r>
    </w:p>
    <w:bookmarkEnd w:id="100"/>
    <w:bookmarkStart w:id="101" w:name="operator-selection-and-generalization"/>
    <w:p>
      <w:pPr>
        <w:pStyle w:val="Heading3"/>
        <w:spacing w:line="480" w:lineRule="auto"/>
      </w:pPr>
      <w:r>
        <w:t xml:space="preserve">4.5.5 Operator Selection and Generalization</w:t>
      </w:r>
    </w:p>
    <w:p>
      <w:pPr>
        <w:pStyle w:val="FirstParagraph"/>
        <w:spacing w:line="480" w:lineRule="auto"/>
      </w:pPr>
      <w:r>
        <w:t xml:space="preserve">Both panels share an operator base weighted heavily toward operators whose filings and assessments sit in the public record under United States or European regulatory regimes. Generalization to operators outside that base is limited, and the dissertation does not claim it. The integrative model in Chapter 7 reports results separately for the pre and post 2022 cohorts to surface any structural break tied to the diffusion of learning based onboard controllers</w:t>
      </w:r>
      <w:r>
        <w:t xml:space="preserve"> </w:t>
      </w:r>
      <w:hyperlink w:anchor="ref-6">
        <w:r>
          <w:rPr>
            <w:rStyle w:val="Hyperlink"/>
          </w:rPr>
          <w:t xml:space="preserve">[6]</w:t>
        </w:r>
      </w:hyperlink>
      <w:r>
        <w:t xml:space="preserve"> </w:t>
      </w:r>
      <w:r>
        <w:t xml:space="preserve">and of the agent based distributed mission management patterns surveyed in</w:t>
      </w:r>
      <w:r>
        <w:t xml:space="preserve"> </w:t>
      </w:r>
      <w:hyperlink w:anchor="ref-5">
        <w:r>
          <w:rPr>
            <w:rStyle w:val="Hyperlink"/>
          </w:rPr>
          <w:t xml:space="preserve">[5]</w:t>
        </w:r>
      </w:hyperlink>
      <w:r>
        <w:t xml:space="preserve">, both of which postdate a meaningful share of the mission level panel and of the production milestones in the program block panel.</w:t>
      </w:r>
    </w:p>
    <w:bookmarkEnd w:id="101"/>
    <w:bookmarkEnd w:id="102"/>
    <w:bookmarkStart w:id="103" w:name="Xaa4818aa845370cd9bae8108a58bce1a2585848"/>
    <w:p>
      <w:pPr>
        <w:pStyle w:val="Heading2"/>
        <w:spacing w:line="480" w:lineRule="auto"/>
      </w:pPr>
      <w:r>
        <w:t xml:space="preserve">4.6 Reproducibility and the Replication Package</w:t>
      </w:r>
    </w:p>
    <w:p>
      <w:pPr>
        <w:pStyle w:val="FirstParagraph"/>
        <w:spacing w:line="480" w:lineRule="auto"/>
      </w:pPr>
      <w:r>
        <w:t xml:space="preserve">A replication package will accompany the dissertation. It contains the two panels in comma separated form, the source field for every row, the construction scripts that derive the dependent and independent variables from the cited primary documents, and the estimator scripts that produce the survival paper and the scaling paper. Every primary document is version stamped at the date of retrieval. Where an issuing authority updates a document after the dissertation is filed, the package keeps the version on which the analysis ran and notes the existence of the later one. The reference pool the chapter cites is the same pool the prospectus and the two empirical papers cite, so the audit trail between prospectus, papers, and this chapter is closed and the panels can be reconstructed from public sources by an independent analyst.</w:t>
      </w:r>
    </w:p>
    <w:bookmarkEnd w:id="103"/>
    <w:bookmarkEnd w:id="104"/>
    <w:bookmarkStart w:id="112"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produce the dissertation’s central claim, the identification logic that warrants a causal reading of those estimates, and the threats to validity the design must absorb before the claim can be defended. It proceeds in three movements. The first develops the principal estimator, a Cox proportional hazards model on vehicle quarter exposure, together with the auxiliary estimators that interrogate its assumptions and stress its conclusions. The second sets out the identification strategy, which rests on within operator variation in software stack composition arising from staggered flight software rollouts and from acquisitions that import heterogeneous fleets. The third enumerates the threats to validity that the literature on constellation resilience</w:t>
      </w:r>
      <w:r>
        <w:t xml:space="preserve"> </w:t>
      </w:r>
      <w:hyperlink w:anchor="ref-3">
        <w:r>
          <w:rPr>
            <w:rStyle w:val="Hyperlink"/>
          </w:rPr>
          <w:t xml:space="preserve">[3]</w:t>
        </w:r>
      </w:hyperlink>
      <w:r>
        <w:t xml:space="preserve">, on autonomy and agent based mission management [4, 5, 29], and on the economics of trusted space data [1, 2, 7, 15] forces the design to anticipate, and bounds each threat with a specific analytic move.</w:t>
      </w:r>
    </w:p>
    <w:bookmarkStart w:id="105" w:name="the-principal-estimator"/>
    <w:p>
      <w:pPr>
        <w:pStyle w:val="Heading2"/>
        <w:spacing w:line="480" w:lineRule="auto"/>
      </w:pPr>
      <w:r>
        <w:t xml:space="preserve">5.1 The Principal Estimator</w:t>
      </w:r>
    </w:p>
    <w:p>
      <w:pPr>
        <w:pStyle w:val="FirstParagraph"/>
        <w:spacing w:line="480" w:lineRule="auto"/>
      </w:pPr>
      <w:r>
        <w:t xml:space="preserve">What does the estimator model? The dependent process is the time until a vehicle first participates in a correlated multi vehicle outage cluster. A correlated cluster is defined as two or more vehicles operated by the same entity entering a documented off nominal state within a seventy two hour window. The estimator of record is the Cox partial likelihood specification, in which the hazard for vehicle i at quarter t takes the multiplicative form</w:t>
      </w:r>
    </w:p>
    <w:p>
      <w:pPr>
        <w:pStyle w:val="BodyText"/>
        <w:spacing w:line="480" w:lineRule="auto"/>
        <w:ind w:firstLine="720"/>
      </w:pPr>
      <w:r>
        <w:t xml:space="preserve">h_i(t) = h_0(t, s_i) exp(beta_1 HHI_{o(i), t} + beta_2 A_{i, t} + x’_{i, t} gamma),</w:t>
      </w:r>
    </w:p>
    <w:p>
      <w:pPr>
        <w:pStyle w:val="BodyText"/>
        <w:spacing w:line="480" w:lineRule="auto"/>
        <w:ind w:firstLine="720"/>
      </w:pPr>
      <w:r>
        <w:t xml:space="preserve">where h_0 is a stratified baseline hazard indexed by orbital regime s_i, HHI is the operator level Herfindahl Hirschman index of autonomy and flight software stack concentration recomputed each quarter, A is an ordinal autonomy index ranging from teleoperation to high level onboard planning [4, 5, 29, 33], and x is a vector of vehicle level controls comprising bus family, launch cohort, mass class, and an indicator for the presence of an onboard machine learning controller [6, 34]. The parameter of interest is beta_1. The falsifiable claim of the dissertation, stated in the prospectus, is that beta_1 is strictly positive at conventional significance and that the implied hazard ratio is bounded away from unity after the sensitivity battery described below.</w:t>
      </w:r>
    </w:p>
    <w:p>
      <w:pPr>
        <w:pStyle w:val="BodyText"/>
        <w:spacing w:line="480" w:lineRule="auto"/>
        <w:ind w:firstLine="720"/>
      </w:pPr>
      <w:r>
        <w:t xml:space="preserve">Three reasons recommend the Cox specification. It imposes no parametric form on the baseline hazard, so it holds up against the unobserved time profile of constellation level risk that follows the diffusion of any new flight software baseline [5, 33]. Its partial likelihood admits stratification on orbital regime, the natural conditioning variable, because debris exposure and radiation environment vary discretely between low Earth, medium Earth, and geosynchronous regimes and are themselves correlated with autonomy choices [3, 30]. And it carries time varying covariates without re estimation, which is essential, because HHI is itself a function of quarterly rollout decisions and acquisitions.</w:t>
      </w:r>
    </w:p>
    <w:p>
      <w:pPr>
        <w:pStyle w:val="BodyText"/>
        <w:spacing w:line="480" w:lineRule="auto"/>
        <w:ind w:firstLine="720"/>
      </w:pPr>
      <w:r>
        <w:t xml:space="preserve">The companion paper on twenty eight NASA robotic missions established that a single covariate Cox model on a small fleet cannot reject the null on stack diversity at conventional significance, with point estimates of low magnitude and standard errors wide enough to admit either sign. That null is informative rather than fatal. It tells the present dissertation where to find power: in a substantially larger and longer panel, and in a richer covariate vector that separates autonomy level from stack concentration rather than testing each in isolation. The vehicle quarter panel drawn from the Union of Concerned Scientists frame and from the supplementary Federal Communications Commission and European Union Agency for the Space Programme filings supplies that scale. A second companion paper on commercial constellation operators sharpens the operationalization, showing that operator level reporting practices, the self reporting aggregated realized risk approach demonstrated by OneWeb among them</w:t>
      </w:r>
      <w:r>
        <w:t xml:space="preserve"> </w:t>
      </w:r>
      <w:hyperlink w:anchor="ref-25">
        <w:r>
          <w:rPr>
            <w:rStyle w:val="Hyperlink"/>
          </w:rPr>
          <w:t xml:space="preserve">[25]</w:t>
        </w:r>
      </w:hyperlink>
      <w:r>
        <w:t xml:space="preserve">, suffice to construct a vehicle quarter exposure file with internally consistent timing.</w:t>
      </w:r>
    </w:p>
    <w:bookmarkEnd w:id="105"/>
    <w:bookmarkStart w:id="106" w:name="auxiliary-estimators"/>
    <w:p>
      <w:pPr>
        <w:pStyle w:val="Heading2"/>
        <w:spacing w:line="480" w:lineRule="auto"/>
      </w:pPr>
      <w:r>
        <w:t xml:space="preserve">5.2 Auxiliary Estimators</w:t>
      </w:r>
    </w:p>
    <w:p>
      <w:pPr>
        <w:pStyle w:val="FirstParagraph"/>
        <w:spacing w:line="480" w:lineRule="auto"/>
      </w:pPr>
      <w:r>
        <w:t xml:space="preserve">Three auxiliary estimators run alongside the Cox specification. They do not replace it. They stress the assumptions it rests on.</w:t>
      </w:r>
    </w:p>
    <w:p>
      <w:pPr>
        <w:pStyle w:val="BodyText"/>
        <w:spacing w:line="480" w:lineRule="auto"/>
        <w:ind w:firstLine="720"/>
      </w:pPr>
      <w:r>
        <w:t xml:space="preserve">The first is a parametric Weibull accelerated failure time model on the same panel. Two reasons recommend it. The radiation hardness assurance literature documents monotone hazard structure for component level failures over multi year exposure windows</w:t>
      </w:r>
      <w:r>
        <w:t xml:space="preserve"> </w:t>
      </w:r>
      <w:hyperlink w:anchor="ref-30">
        <w:r>
          <w:rPr>
            <w:rStyle w:val="Hyperlink"/>
          </w:rPr>
          <w:t xml:space="preserve">[30]</w:t>
        </w:r>
      </w:hyperlink>
      <w:r>
        <w:t xml:space="preserve">, and the Weibull collapses to an exponential under shape parameter restrictions that are themselves of substantive interest. Should the Cox and Weibull point estimates on HHI agree in sign and rough magnitude, the proportional hazards reading gains support. Should they diverge, the divergence pinpoints the failing assumption, because the Weibull’s parametric structure makes the break explicit.</w:t>
      </w:r>
    </w:p>
    <w:p>
      <w:pPr>
        <w:pStyle w:val="BodyText"/>
        <w:spacing w:line="480" w:lineRule="auto"/>
        <w:ind w:firstLine="720"/>
      </w:pPr>
      <w:r>
        <w:t xml:space="preserve">The second is an Andersen Gill recurrent event Cox specification fit to the subset of operators that record more than one cluster event over the panel window. Several large constellation operators have lived through repeated correlated outages in the public record, among them events documented in the OneWeb self reporting series</w:t>
      </w:r>
      <w:r>
        <w:t xml:space="preserve"> </w:t>
      </w:r>
      <w:hyperlink w:anchor="ref-25">
        <w:r>
          <w:rPr>
            <w:rStyle w:val="Hyperlink"/>
          </w:rPr>
          <w:t xml:space="preserve">[25]</w:t>
        </w:r>
      </w:hyperlink>
      <w:r>
        <w:t xml:space="preserve"> </w:t>
      </w:r>
      <w:r>
        <w:t xml:space="preserve">and the Starling formation flight campaign run from NASA Ames</w:t>
      </w:r>
      <w:r>
        <w:t xml:space="preserve"> </w:t>
      </w:r>
      <w:hyperlink w:anchor="ref-22">
        <w:r>
          <w:rPr>
            <w:rStyle w:val="Hyperlink"/>
          </w:rPr>
          <w:t xml:space="preserve">[22]</w:t>
        </w:r>
      </w:hyperlink>
      <w:r>
        <w:t xml:space="preserve">. Andersen Gill treats each recurrence as a fresh exposure window and carries a robust sandwich variance that corrects for within operator correlation. Should the Cox single event and Andersen Gill recurrent estimates agree, beta_1 is shown to be no artefact of first event selection.</w:t>
      </w:r>
    </w:p>
    <w:p>
      <w:pPr>
        <w:pStyle w:val="BodyText"/>
        <w:spacing w:line="480" w:lineRule="auto"/>
        <w:ind w:firstLine="720"/>
      </w:pPr>
      <w:r>
        <w:t xml:space="preserve">The third is a stratified Cox specification with separate baseline hazards for the pre 2022 and post 2022 cohorts. The cut point is not arbitrary. Supervised learning based onboard controllers, surveyed in Fu and Soldini, diffused faster after 2022 [6, 34], and the agent based mission management literature records the same acceleration in distributed planning systems [5, 29]. Letting the baseline hazard differ across cohorts separates the contribution of stack concentration from any structural break tied to the diffusion of learning based controllers.</w:t>
      </w:r>
    </w:p>
    <w:bookmarkEnd w:id="106"/>
    <w:bookmarkStart w:id="107" w:name="identification"/>
    <w:p>
      <w:pPr>
        <w:pStyle w:val="Heading2"/>
        <w:spacing w:line="480" w:lineRule="auto"/>
      </w:pPr>
      <w:r>
        <w:t xml:space="preserve">5.3 Identification</w:t>
      </w:r>
    </w:p>
    <w:p>
      <w:pPr>
        <w:pStyle w:val="FirstParagraph"/>
        <w:spacing w:line="480" w:lineRule="auto"/>
      </w:pPr>
      <w:r>
        <w:t xml:space="preserve">A Cox regression coefficient on a fleet level concentration index does not become causal on its own. The identification problem is straightforward to state. Operators that choose diverse stacks may also spend more on independent reliability practices, on radiation hardness assurance</w:t>
      </w:r>
      <w:r>
        <w:t xml:space="preserve"> </w:t>
      </w:r>
      <w:hyperlink w:anchor="ref-30">
        <w:r>
          <w:rPr>
            <w:rStyle w:val="Hyperlink"/>
          </w:rPr>
          <w:t xml:space="preserve">[30]</w:t>
        </w:r>
      </w:hyperlink>
      <w:r>
        <w:t xml:space="preserve">, on ground station virtualization for faster decision turnaround</w:t>
      </w:r>
      <w:r>
        <w:t xml:space="preserve"> </w:t>
      </w:r>
      <w:hyperlink w:anchor="ref-17">
        <w:r>
          <w:rPr>
            <w:rStyle w:val="Hyperlink"/>
          </w:rPr>
          <w:t xml:space="preserve">[17]</w:t>
        </w:r>
      </w:hyperlink>
      <w:r>
        <w:t xml:space="preserve">, and on space weather operations centers that blunt environmentally driven correlated outages</w:t>
      </w:r>
      <w:r>
        <w:t xml:space="preserve"> </w:t>
      </w:r>
      <w:hyperlink w:anchor="ref-18">
        <w:r>
          <w:rPr>
            <w:rStyle w:val="Hyperlink"/>
          </w:rPr>
          <w:t xml:space="preserve">[18]</w:t>
        </w:r>
      </w:hyperlink>
      <w:r>
        <w:t xml:space="preserve">. Absent a credible exogeneity argument, the estimated beta_1 blends the effect of diversity with the effect of correlated investments in reliability practice.</w:t>
      </w:r>
    </w:p>
    <w:p>
      <w:pPr>
        <w:pStyle w:val="BodyText"/>
        <w:spacing w:line="480" w:lineRule="auto"/>
        <w:ind w:firstLine="720"/>
      </w:pPr>
      <w:r>
        <w:t xml:space="preserve">The identification strategy rests on two sources of within operator variation in stack composition that are plausibly orthogonal to the unobserved propensity of any single vehicle to fail.</w:t>
      </w:r>
    </w:p>
    <w:p>
      <w:pPr>
        <w:pStyle w:val="BodyText"/>
        <w:spacing w:line="480" w:lineRule="auto"/>
        <w:ind w:firstLine="720"/>
      </w:pPr>
      <w:r>
        <w:t xml:space="preserve">The first source is the staggered rollout of new flight software baselines within a single operator’s fleet. Large constellations do not flash software updates across thousands of vehicles at once. They proceed in waves, conditioned on operational risk tolerance, ground station coverage windows, and licensing constraints documented in Federal Communications Commission Part 25 filings. During a rollout window an operator’s fleet holds a mix of vehicles on the legacy baseline and vehicles on the new one. So the Herfindahl index over that fleet moves down during the rollout and back up once it completes. That within operator variation is the principal source of identifying variation. Operator fixed effects absorb any time invariant operator level confound, including the time invariant component of investment in independent reliability practice. The identifying variation that remains comes from the timing of rollout decisions, which is plausibly uncorrelated with the unobserved propensity of any single vehicle to enter an off nominal state within a seventy two hour window of another.</w:t>
      </w:r>
    </w:p>
    <w:p>
      <w:pPr>
        <w:pStyle w:val="BodyText"/>
        <w:spacing w:line="480" w:lineRule="auto"/>
        <w:ind w:firstLine="720"/>
      </w:pPr>
      <w:r>
        <w:t xml:space="preserve">A second source is acquisitions and contracted fleet additions that bring heterogeneous vehicles into an established operator. When a constellation operator buys a smaller operator running a different software prime contractor, or contracts new vehicles from a supplier other than its incumbent prime, the Herfindahl index drops at the moment of integration. Financial and regulatory considerations set that acquisition timing, not the technical propensity of any individual vehicle to fail, which is what preserves the orthogonality argument. Where the acquisition record is thin, the analysis dates integration events precisely from Federal Communications Commission license modifications and European Union Agency for the Space Programme procurement notices.</w:t>
      </w:r>
    </w:p>
    <w:p>
      <w:pPr>
        <w:pStyle w:val="BodyText"/>
        <w:spacing w:line="480" w:lineRule="auto"/>
        <w:ind w:firstLine="720"/>
      </w:pPr>
      <w:r>
        <w:t xml:space="preserve">Two further design moves reinforce identification. Stratifying the panel on orbital regime confines comparisons within regime, which absorbs the differential debris exposure, radiation environment, and conjunction rate documented across regimes [3, 14]. Calendar time controls absorb the secular trend in autonomy maturity and the trend in space weather forecasting capability that follows the diffusion of monitoring infrastructure documented by Green, O’Brien, and Quin</w:t>
      </w:r>
      <w:r>
        <w:t xml:space="preserve"> </w:t>
      </w:r>
      <w:hyperlink w:anchor="ref-18">
        <w:r>
          <w:rPr>
            <w:rStyle w:val="Hyperlink"/>
          </w:rPr>
          <w:t xml:space="preserve">[18]</w:t>
        </w:r>
      </w:hyperlink>
      <w:r>
        <w:t xml:space="preserve">. With those controls in place, beta_1 is identified from the within operator, within regime, within quarter residual variation in HHI.</w:t>
      </w:r>
    </w:p>
    <w:bookmarkEnd w:id="107"/>
    <w:bookmarkStart w:id="108" w:name="sensitivity-and-placebo-tests"/>
    <w:p>
      <w:pPr>
        <w:pStyle w:val="Heading2"/>
        <w:spacing w:line="480" w:lineRule="auto"/>
      </w:pPr>
      <w:r>
        <w:t xml:space="preserve">5.4 Sensitivity and Placebo Tests</w:t>
      </w:r>
    </w:p>
    <w:p>
      <w:pPr>
        <w:pStyle w:val="FirstParagraph"/>
        <w:spacing w:line="480" w:lineRule="auto"/>
      </w:pPr>
      <w:r>
        <w:t xml:space="preserve">The sensitivity battery is designed so that a finding of beta_1 strictly positive must survive each test before the dissertation will defend it. Three tests merit explicit description.</w:t>
      </w:r>
    </w:p>
    <w:p>
      <w:pPr>
        <w:pStyle w:val="BodyText"/>
        <w:spacing w:line="480" w:lineRule="auto"/>
        <w:ind w:firstLine="720"/>
      </w:pPr>
      <w:r>
        <w:t xml:space="preserve">The first varies the outage clustering window. The headline definition takes a seventy two hour window. The battery re estimates beta_1 at twenty four, seventy two, and one hundred sixty eight hours, following the practice in the constellation traffic management literature [14, 25]. Should beta_1 clear zero at only one window, the result is fragile, and the dissertation will not claim it.</w:t>
      </w:r>
    </w:p>
    <w:p>
      <w:pPr>
        <w:pStyle w:val="BodyText"/>
        <w:spacing w:line="480" w:lineRule="auto"/>
        <w:ind w:firstLine="720"/>
      </w:pPr>
      <w:r>
        <w:t xml:space="preserve">The second is a placebo test on thruster vendor diversity. Theory holds that diversity in the flight software stack lowers the hazard of correlated multi vehicle outages, because a single software defect cannot cross heterogeneous baselines. Theory makes no such prediction for thruster vendor diversity, because thruster vendor selection sits off the causal path between flight software and outage clustering. The placebo swaps a Herfindahl index over thruster vendor for the index over flight software and re fits the Cox specification. A null result here, with a confidence interval that brackets unity, supports the reading that the headline coefficient reflects the specific channel theorized rather than a generic correlation between operator size and any kind of supplier diversity.</w:t>
      </w:r>
    </w:p>
    <w:p>
      <w:pPr>
        <w:pStyle w:val="BodyText"/>
        <w:spacing w:line="480" w:lineRule="auto"/>
        <w:ind w:firstLine="720"/>
      </w:pPr>
      <w:r>
        <w:t xml:space="preserve">The third is a falsification test against a kinetic resilience benchmark. Sturza, Dankberg, and Blount’s analysis of constellation resilience to accidental and intentional fragmentation events supplies an explicit non software channel through which fleet level outages arise</w:t>
      </w:r>
      <w:r>
        <w:t xml:space="preserve"> </w:t>
      </w:r>
      <w:hyperlink w:anchor="ref-3">
        <w:r>
          <w:rPr>
            <w:rStyle w:val="Hyperlink"/>
          </w:rPr>
          <w:t xml:space="preserve">[3]</w:t>
        </w:r>
      </w:hyperlink>
      <w:r>
        <w:t xml:space="preserve">. From the public conjunction record the dissertation computes a fragmentation exposure index for each vehicle quarter, then re fits the Cox specification with that index added as a covariate. Should beta_1 collapse toward zero once fragmentation exposure is held constant, the finding reads as kinetic rather than software in origin. Should beta_1 hold, the software channel is the operative one.</w:t>
      </w:r>
    </w:p>
    <w:bookmarkEnd w:id="108"/>
    <w:bookmarkStart w:id="109"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Four threats to validity recur in the discussion above and warrant one consolidated treatment. Each is bounded by a specific analytic move, not by a general appeal to the design.</w:t>
      </w:r>
    </w:p>
    <w:p>
      <w:pPr>
        <w:pStyle w:val="BodyText"/>
        <w:spacing w:line="480" w:lineRule="auto"/>
        <w:ind w:firstLine="720"/>
      </w:pPr>
      <w:r>
        <w:t xml:space="preserve">The first threat is non classical measurement error in stack composition. Public filings under disclose proprietary components, and operators have every incentive to coarsen their disclosures around competitive or security sensitive autonomy choices [5, 29]. Coarsening at the prime contractor level biases the Herfindahl index toward concentration, because two technically distinct components delivered by the same prime appear as one. Under the maintained hypothesis that diversity reduces hazard, that measurement error biases the estimated hazard ratio toward unity. So a finding of beta_1 strictly positive under this bias structure is conservative. The dissertation reports the magnitude of the prime contractor coarsening in the data appendix and reproduces the headline estimate on the subset of operators whose filings disclose components below the prime contractor level.</w:t>
      </w:r>
    </w:p>
    <w:p>
      <w:pPr>
        <w:pStyle w:val="BodyText"/>
        <w:spacing w:line="480" w:lineRule="auto"/>
        <w:ind w:firstLine="720"/>
      </w:pPr>
      <w:r>
        <w:t xml:space="preserve">A second threat is selection on unobserved operator characteristics. Better resourced operators may invest in stack diversity and in independent reliability practices at the same time, among them radiation hardness assurance</w:t>
      </w:r>
      <w:r>
        <w:t xml:space="preserve"> </w:t>
      </w:r>
      <w:hyperlink w:anchor="ref-30">
        <w:r>
          <w:rPr>
            <w:rStyle w:val="Hyperlink"/>
          </w:rPr>
          <w:t xml:space="preserve">[30]</w:t>
        </w:r>
      </w:hyperlink>
      <w:r>
        <w:t xml:space="preserve">, onboard fault management hybridization [10, 11, 26], and decentralized sensor tasking architectures</w:t>
      </w:r>
      <w:r>
        <w:t xml:space="preserve"> </w:t>
      </w:r>
      <w:hyperlink w:anchor="ref-21">
        <w:r>
          <w:rPr>
            <w:rStyle w:val="Hyperlink"/>
          </w:rPr>
          <w:t xml:space="preserve">[21]</w:t>
        </w:r>
      </w:hyperlink>
      <w:r>
        <w:t xml:space="preserve">. Operator fixed effects absorb the time invariant component of this selection, and the within operator rollout and acquisition timing variation identifies the remainder. The dissertation adds results from a Mundlak style specification that decomposes HHI into its within and between operator components, so the between operator variation, which is most exposed to the selection threat, is reported apart from the within operator variation on which the causal claim rests.</w:t>
      </w:r>
    </w:p>
    <w:p>
      <w:pPr>
        <w:pStyle w:val="BodyText"/>
        <w:spacing w:line="480" w:lineRule="auto"/>
        <w:ind w:firstLine="720"/>
      </w:pPr>
      <w:r>
        <w:t xml:space="preserve">A third threat is definitional sensitivity in the dependent variable. The seventy two hour clustering window is a modeling choice, not a property of nature. The battery above reports beta_1 across three windows. Beyond that, the dissertation reports a definition of correlated outage that demands not only temporal proximity but also a shared functional symptom code drawn from the operator’s published anomaly taxonomy where one exists. That stricter definition thins the event count and raises confidence that the captured events are causally linked rather than coincident.</w:t>
      </w:r>
    </w:p>
    <w:p>
      <w:pPr>
        <w:pStyle w:val="BodyText"/>
        <w:spacing w:line="480" w:lineRule="auto"/>
        <w:ind w:firstLine="720"/>
      </w:pPr>
      <w:r>
        <w:t xml:space="preserve">A fourth threat is limited external validity beyond the sample period. The autonomy software population is itself in motion, with supervised learning based controllers diffusing quickly after 2022 [6, 34] and bioinspired consensus and swarm control entering the operational literature in the same window [8, 31]. A coefficient estimated on a panel that ends in the calendar year of the dissertation may not extrapolate to constellations that adopt fundamentally different autonomy architectures. Two moves bound the threat. The stratified Cox specification with separate pre 2022 and post 2022 baseline hazards, described above, reports whether beta_1 holds across the diffusion break. And the final chapter restricts its external validity claim to the autonomy architectures represented in the panel, stating plainly that constellations built on architectures outside that span, X ray pulsar navigation based autonomy</w:t>
      </w:r>
      <w:r>
        <w:t xml:space="preserve"> </w:t>
      </w:r>
      <w:hyperlink w:anchor="ref-32">
        <w:r>
          <w:rPr>
            <w:rStyle w:val="Hyperlink"/>
          </w:rPr>
          <w:t xml:space="preserve">[32]</w:t>
        </w:r>
      </w:hyperlink>
      <w:r>
        <w:t xml:space="preserve"> </w:t>
      </w:r>
      <w:r>
        <w:t xml:space="preserve">and architectures built on the Space Plug and Play Avionics standard</w:t>
      </w:r>
      <w:r>
        <w:t xml:space="preserve"> </w:t>
      </w:r>
      <w:hyperlink w:anchor="ref-24">
        <w:r>
          <w:rPr>
            <w:rStyle w:val="Hyperlink"/>
          </w:rPr>
          <w:t xml:space="preserve">[24]</w:t>
        </w:r>
      </w:hyperlink>
      <w:r>
        <w:t xml:space="preserve"> </w:t>
      </w:r>
      <w:r>
        <w:t xml:space="preserve">among them, lie outside the inferential reach of the estimate.</w:t>
      </w:r>
    </w:p>
    <w:bookmarkEnd w:id="109"/>
    <w:bookmarkStart w:id="110" w:name="two-residual-concerns"/>
    <w:p>
      <w:pPr>
        <w:pStyle w:val="Heading2"/>
        <w:spacing w:line="480" w:lineRule="auto"/>
      </w:pPr>
      <w:r>
        <w:t xml:space="preserve">5.6 Two Residual Concerns</w:t>
      </w:r>
    </w:p>
    <w:p>
      <w:pPr>
        <w:pStyle w:val="FirstParagraph"/>
        <w:spacing w:line="480" w:lineRule="auto"/>
      </w:pPr>
      <w:r>
        <w:t xml:space="preserve">Two concerns do not fit cleanly under any of the four threats above but must be addressed before the chapter closes.</w:t>
      </w:r>
    </w:p>
    <w:p>
      <w:pPr>
        <w:pStyle w:val="BodyText"/>
        <w:spacing w:line="480" w:lineRule="auto"/>
        <w:ind w:firstLine="720"/>
      </w:pPr>
      <w:r>
        <w:t xml:space="preserve">The first concerns the joint behavior of ground and onboard autonomy. Work on virtualized ground stations and machine learning assisted decision making documents a real cut in decision time for on orbit operations that originates on the ground rather than onboard</w:t>
      </w:r>
      <w:r>
        <w:t xml:space="preserve"> </w:t>
      </w:r>
      <w:hyperlink w:anchor="ref-17">
        <w:r>
          <w:rPr>
            <w:rStyle w:val="Hyperlink"/>
          </w:rPr>
          <w:t xml:space="preserve">[17]</w:t>
        </w:r>
      </w:hyperlink>
      <w:r>
        <w:t xml:space="preserve">. Should ground side autonomy stand in for onboard autonomy in reducing correlated outages, a model carrying only onboard A and onboard HHI mis attributes the ground side contribution. So the dissertation builds a ground stack diversity index from public ground segment filings for the subset of operators that file them, and reports the headline estimate with and without that extra control. Where the data allow, the chapter reports whether onboard and ground side diversity act as substitutes or complements.</w:t>
      </w:r>
    </w:p>
    <w:p>
      <w:pPr>
        <w:pStyle w:val="BodyText"/>
        <w:spacing w:line="480" w:lineRule="auto"/>
        <w:ind w:firstLine="720"/>
      </w:pPr>
      <w:r>
        <w:t xml:space="preserve">The second concerns how the present estimator meets the cost frame in which constellation acquisition decisions actually get made. The architecture for reduction of satellite systems’ total acquisition cost</w:t>
      </w:r>
      <w:r>
        <w:t xml:space="preserve"> </w:t>
      </w:r>
      <w:hyperlink w:anchor="ref-16">
        <w:r>
          <w:rPr>
            <w:rStyle w:val="Hyperlink"/>
          </w:rPr>
          <w:t xml:space="preserve">[16]</w:t>
        </w:r>
      </w:hyperlink>
      <w:r>
        <w:t xml:space="preserve"> </w:t>
      </w:r>
      <w:r>
        <w:t xml:space="preserve">and the forecasting work on the broader space economy</w:t>
      </w:r>
      <w:r>
        <w:t xml:space="preserve"> </w:t>
      </w:r>
      <w:hyperlink w:anchor="ref-15">
        <w:r>
          <w:rPr>
            <w:rStyle w:val="Hyperlink"/>
          </w:rPr>
          <w:t xml:space="preserve">[15]</w:t>
        </w:r>
      </w:hyperlink>
      <w:r>
        <w:t xml:space="preserve"> </w:t>
      </w:r>
      <w:r>
        <w:t xml:space="preserve">both suggest operators face a binding cost constraint when deciding whether to diversify. A hazard ratio blind to cost cannot be acted on. The dissertation stops short of a full cost effectiveness analysis, which lies outside the single falsifiable contribution stated in the prospectus, and reports the implied diversity adjusted reliability premium as an auxiliary quantity in the final chapter, so operators, insurers, and regulators hold a number with which to price stack monoculture as an explicit risk factor.</w:t>
      </w:r>
    </w:p>
    <w:bookmarkEnd w:id="110"/>
    <w:bookmarkStart w:id="111" w:name="summary"/>
    <w:p>
      <w:pPr>
        <w:pStyle w:val="Heading2"/>
        <w:spacing w:line="480" w:lineRule="auto"/>
      </w:pPr>
      <w:r>
        <w:t xml:space="preserve">5.7 Summary</w:t>
      </w:r>
    </w:p>
    <w:p>
      <w:pPr>
        <w:pStyle w:val="FirstParagraph"/>
        <w:spacing w:line="480" w:lineRule="auto"/>
      </w:pPr>
      <w:r>
        <w:t xml:space="preserve">The estimator of record is a stratified Cox proportional hazards model on a vehicle quarter panel, with operator fixed effects, orbital regime strata, and calendar time controls. Identification rests on within operator variation in stack composition arising from staggered flight software rollouts and from acquisitions that import heterogeneous fleets. Three auxiliary estimators, a Weibull accelerated failure time model, an Andersen Gill recurrent event Cox specification, and a stratified Cox specification with cohort specific baseline hazards, interrogate the proportional hazards assumption, the first event selection assumption, and the structural break around the diffusion of learning based controllers. Four threats to validity, non classical measurement error, selection on unobserved operator characteristics, definitional sensitivity in the dependent variable, and limited external validity beyond the sample period, are each bounded by a specific analytic move rather than an appeal to design in general.</w:t>
      </w:r>
    </w:p>
    <w:p>
      <w:pPr>
        <w:pStyle w:val="BodyText"/>
        <w:spacing w:line="480" w:lineRule="auto"/>
        <w:ind w:firstLine="720"/>
      </w:pPr>
      <w:r>
        <w:t xml:space="preserve">The chapter that follows reports the estimates this design produces on the assembled panel.</w:t>
      </w:r>
    </w:p>
    <w:bookmarkEnd w:id="111"/>
    <w:bookmarkEnd w:id="112"/>
    <w:bookmarkStart w:id="126"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dissertation. Two estimators run on two independent panels, each built to interrogate a distinct facet of the survivability-versus-monoculture question the prospectus advances. The first is a Cox proportional-hazards model fit to twenty-eight NASA robotic missions launched between 1998 and 2022, with stack diversity, autonomy level, and the natural logarithm of wet mass entered as covariates on the instantaneous hazard of a first major anomaly. The second is a heteroskedasticity-robust log-log ordinary least squares regression of per-spacecraft unit cost on cumulative units produced, fit to a thirty-nine-row panel spanning thirteen constellation program blocks across seven operators between 1997 and 2024. The two are complementary. The first prices the survivability side of the monoculture trade; the second prices the cost side.</w:t>
      </w:r>
    </w:p>
    <w:p>
      <w:pPr>
        <w:pStyle w:val="BodyText"/>
        <w:spacing w:line="480" w:lineRule="auto"/>
        <w:ind w:firstLine="720"/>
      </w:pPr>
      <w:r>
        <w:t xml:space="preserve">Together they bracket the policy question the dissertation pursues. Numerical results are reported to four decimal places where the underlying estimator returns that precision, and to the precision the engine returns otherwise. The full estimation output, the input panels, the fitted coefficients, and the diagnostic plots are reproduced in Appendix A.</w:t>
      </w:r>
    </w:p>
    <w:bookmarkStart w:id="118" w:name="X805f51a49558d99dd213aa2caf7536f3628407f"/>
    <w:p>
      <w:pPr>
        <w:pStyle w:val="Heading2"/>
        <w:spacing w:line="480" w:lineRule="auto"/>
      </w:pPr>
      <w:r>
        <w:t xml:space="preserve">6.1 Cox Proportional-Hazards Estimate of Time to First Major Anomaly</w:t>
      </w:r>
    </w:p>
    <w:bookmarkStart w:id="113" w:name="sample-and-event-structure"/>
    <w:p>
      <w:pPr>
        <w:pStyle w:val="Heading3"/>
        <w:spacing w:line="480" w:lineRule="auto"/>
      </w:pPr>
      <w:r>
        <w:t xml:space="preserve">6.1.1 Sample and Event Structure</w:t>
      </w:r>
    </w:p>
    <w:p>
      <w:pPr>
        <w:pStyle w:val="FirstParagraph"/>
        <w:spacing w:line="480" w:lineRule="auto"/>
      </w:pPr>
      <w:r>
        <w:t xml:space="preserve">A panel of twenty-eight NASA robotic missions feeds the first estimator. Twenty-five of them experienced a documented major anomaly within the observation window, and three are right-censored: the two GRAIL probes and MAVEN. The high event ratio, twenty-five events on twenty-eight risk-set entries, is unusual in survival work, where censoring fractions of one-third or more are typical. It fits here because the unit of analysis is a publicly documented robotic mission and the dependent process is the first publicly reported major anomaly, a frequently observed event by construction. For inference this means the partial likelihood is well populated and the principal threat to power is the cross-sectional cell count, not the event count. The sample is small in absolute terms, and that constraint shapes the interpretation of every coefficient that follows.</w:t>
      </w:r>
    </w:p>
    <w:bookmarkEnd w:id="113"/>
    <w:bookmarkStart w:id="114" w:name="coefficient-on-stack-diversity"/>
    <w:p>
      <w:pPr>
        <w:pStyle w:val="Heading3"/>
        <w:spacing w:line="480" w:lineRule="auto"/>
      </w:pPr>
      <w:r>
        <w:t xml:space="preserve">6.1.2 Coefficient on Stack Diversity</w:t>
      </w:r>
    </w:p>
    <w:p>
      <w:pPr>
        <w:pStyle w:val="FirstParagraph"/>
        <w:spacing w:line="480" w:lineRule="auto"/>
      </w:pPr>
      <w:r>
        <w:t xml:space="preserve">Stack diversity carries a fitted coefficient of zero point one zero six eight, with a standard error of zero point four eight three nine and a p-value of zero point eight two five two. Reported on the log-hazard scale, that coefficient implies a hazard ratio equal to its exponential, approximately one point one one three. Read plainly: a one-unit increase in the count of independently developed major flight-software components is associated, in this sample and conditional on autonomy level and log mass, with a roughly eleven percent increase in the instantaneous hazard of a first major anomaly. Three properties of this estimate deserve emphasis.</w:t>
      </w:r>
    </w:p>
    <w:p>
      <w:pPr>
        <w:pStyle w:val="BodyText"/>
        <w:spacing w:line="480" w:lineRule="auto"/>
        <w:ind w:firstLine="720"/>
      </w:pPr>
      <w:r>
        <w:t xml:space="preserve">First, the sign is positive rather than negative. The resilience hypothesis set out in the prospectus and grounded in the agent-based and fault-management literatures [5, 10, 11] predicts a negative sign. Heterogeneous components should provide cross-checks that catch faults a monolithic stack would miss, and the hazard should fall as the count of independently developed components rises. The fitted point estimate runs the other way. The honest reading is that, within the publicly documented NASA robotic fleet, combining independently developed flight-software components does not by itself depress the anomaly hazard. That direction is consistent with the brittleness limb of the framing that opens the prospectus. Integration surface area is itself a fault generator, and a count of components is not the same construct as a count of independent fault-management modes. The implication is that the resilience claim, if it survives, must be cashed out in explicit cross-checking architectures rather than component multiplicity per se [10, 11].</w:t>
      </w:r>
    </w:p>
    <w:p>
      <w:pPr>
        <w:pStyle w:val="BodyText"/>
        <w:spacing w:line="480" w:lineRule="auto"/>
        <w:ind w:firstLine="720"/>
      </w:pPr>
      <w:r>
        <w:t xml:space="preserve">Second, on the log-hazard scale the magnitude is small in absolute terms. A coefficient of zero point one zero six eight puts the hazard ratio inside the band between zero point eight and one point five for plausible perturbations within one standard error. No sharp departure from the null emerges. This matters, because the policy reading differs qualitatively when the true effect is near zero versus when it is a large positive number masquerading as small under sampling noise. At the sample size on hand the estimator cannot tell those cases apart.</w:t>
      </w:r>
    </w:p>
    <w:p>
      <w:pPr>
        <w:pStyle w:val="BodyText"/>
        <w:spacing w:line="480" w:lineRule="auto"/>
        <w:ind w:firstLine="720"/>
      </w:pPr>
      <w:r>
        <w:t xml:space="preserve">Third, the standard error of zero point four eight three nine dwarfs the point estimate. Coefficient over standard error comes to roughly zero point two two one, which yields a p-value of zero point eight two five two on a standard normal reference distribution. By any conventional threshold, the null of no association between stack diversity and first-anomaly hazard cannot be rejected.</w:t>
      </w:r>
    </w:p>
    <w:p>
      <w:pPr>
        <w:pStyle w:val="BodyText"/>
        <w:spacing w:line="480" w:lineRule="auto"/>
        <w:ind w:firstLine="720"/>
      </w:pPr>
      <w:r>
        <w:t xml:space="preserve">The width of the confidence band traces straight to the cell count. Twenty-eight missions are not enough risk-set entries to produce a tight estimate when three covariates compete for partial-likelihood weight. So the result is mixed. The point estimate is small and runs against theory, and the data support no strong claim in either direction.</w:t>
      </w:r>
    </w:p>
    <w:p>
      <w:pPr>
        <w:pStyle w:val="BodyText"/>
        <w:spacing w:line="480" w:lineRule="auto"/>
        <w:ind w:firstLine="720"/>
      </w:pPr>
      <w:r>
        <w:t xml:space="preserve">The prospectus is not refuted. Its main effect prediction is simply not supported.</w:t>
      </w:r>
    </w:p>
    <w:bookmarkEnd w:id="114"/>
    <w:bookmarkStart w:id="115" w:name="coefficient-on-autonomy-level"/>
    <w:p>
      <w:pPr>
        <w:pStyle w:val="Heading3"/>
        <w:spacing w:line="480" w:lineRule="auto"/>
      </w:pPr>
      <w:r>
        <w:t xml:space="preserve">6.1.3 Coefficient on Autonomy Level</w:t>
      </w:r>
    </w:p>
    <w:p>
      <w:pPr>
        <w:pStyle w:val="FirstParagraph"/>
        <w:spacing w:line="480" w:lineRule="auto"/>
      </w:pPr>
      <w:r>
        <w:t xml:space="preserve">Autonomy level carries a fitted coefficient of zero point three six three two, with a standard error of zero point five one two five and a p-value of zero point four seven eight four. Its implied hazard ratio, the exponential of the coefficient, is approximately one point four three eight. A one-step increase in the ordinal autonomy index from one to four is associated, in this sample and conditional on stack diversity and log mass, with a roughly forty-four percent increase in the instantaneous hazard of a first major anomaly. The sign is what matters most in this estimate.</w:t>
      </w:r>
    </w:p>
    <w:p>
      <w:pPr>
        <w:pStyle w:val="BodyText"/>
        <w:spacing w:line="480" w:lineRule="auto"/>
        <w:ind w:firstLine="720"/>
      </w:pPr>
      <w:r>
        <w:t xml:space="preserve">The positive sign on autonomy level fits the brittleness reading of the autonomy literature [4, 5, 6]. Autonomous trajectory optimization, supervised-learning-based orbital maintenance, and agent-based mission management all move decision authority from the ground to the flight software [4, 6, 29]. That transfer cuts operator dependence, and it concentrates decision authority inside a stack that may carry no independent cross-check. The fitted coefficient says that, on average within this fleet, the marginal autonomy step has come with a higher rather than a lower anomaly hazard. The mechanism cannot be pinned down from the partial-likelihood estimate alone. Even so, the direction fits the hypothesis that autonomy raises the consequences of any single defect rather than lowering them. It also fits the historical record of mission-loss investigations, where unit conversion failures, descent-engine cutoff logic, and untested autonomy modes have repeatedly been named as proximate causes [12, 13].</w:t>
      </w:r>
    </w:p>
    <w:p>
      <w:pPr>
        <w:pStyle w:val="BodyText"/>
        <w:spacing w:line="480" w:lineRule="auto"/>
        <w:ind w:firstLine="720"/>
      </w:pPr>
      <w:r>
        <w:t xml:space="preserve">The p-value of zero point four seven eight four permits no strong inferential claim.</w:t>
      </w:r>
    </w:p>
    <w:p>
      <w:pPr>
        <w:pStyle w:val="BodyText"/>
        <w:spacing w:line="480" w:lineRule="auto"/>
        <w:ind w:firstLine="720"/>
      </w:pPr>
      <w:r>
        <w:t xml:space="preserve">The estimator cannot reject the null that autonomy level is uncorrelated with first-anomaly hazard at any conventional threshold. The coefficient-to-standard-error ratio is approximately zero point seven zero nine, and the upper end of a one-standard-error band on the hazard ratio reaches roughly two point four while the lower end is close to zero point eight seven. The interval is wide. The substantive reading is that the data are directionally consistent with the brittleness limb of the framing, that the magnitude of the implied hazard ratio is large enough to matter for policy if true, and that the sample is too small to confirm the effect at conventional significance. The autonomy coefficient is the result of greatest policy interest in this estimator, and it is also the result where additional data would most change the inference.</w:t>
      </w:r>
    </w:p>
    <w:bookmarkEnd w:id="115"/>
    <w:bookmarkStart w:id="116" w:name="coefficient-on-log-mass"/>
    <w:p>
      <w:pPr>
        <w:pStyle w:val="Heading3"/>
        <w:spacing w:line="480" w:lineRule="auto"/>
      </w:pPr>
      <w:r>
        <w:t xml:space="preserve">6.1.4 Coefficient on Log Mass</w:t>
      </w:r>
    </w:p>
    <w:p>
      <w:pPr>
        <w:pStyle w:val="FirstParagraph"/>
        <w:spacing w:line="480" w:lineRule="auto"/>
      </w:pPr>
      <w:r>
        <w:t xml:space="preserve">Log wet mass carries a fitted coefficient of negative zero point zero seven four, with a standard error of zero point one five seven two and a p-value of zero point six three seven seven. Its implied hazard ratio, the exponential of the coefficient, is approximately zero point nine two nine. A unit increase in log mass, equivalent to multiplying mass by a factor of e, is associated with a roughly seven percent decrease in the instantaneous hazard of a first major anomaly. The sign is negative, the magnitude is small, and the standard error is wide enough that the null cannot be rejected.</w:t>
      </w:r>
    </w:p>
    <w:p>
      <w:pPr>
        <w:pStyle w:val="BodyText"/>
        <w:spacing w:line="480" w:lineRule="auto"/>
        <w:ind w:firstLine="720"/>
      </w:pPr>
      <w:r>
        <w:t xml:space="preserve">The negative sign fits the confounder reading set out in the framing chapter and in the literature on cost and reliability scaling [3, 16, 30]. Larger missions tend to carry more redundancy, more independent verification cycles, and more institutional investment in pre-launch test, so the marginal larger mission presents a marginally lower first-anomaly hazard. The fitted coefficient tracks that pattern and is not statistically distinguishable from zero. Mass is doing the work of a control here, not a driver, which is the role the prospectus and the radiation-hardness-assurance literature assign it</w:t>
      </w:r>
      <w:r>
        <w:t xml:space="preserve"> </w:t>
      </w:r>
      <w:hyperlink w:anchor="ref-30">
        <w:r>
          <w:rPr>
            <w:rStyle w:val="Hyperlink"/>
          </w:rPr>
          <w:t xml:space="preserve">[30]</w:t>
        </w:r>
      </w:hyperlink>
      <w:r>
        <w:t xml:space="preserve">. The null result on log mass is not a finding of interest in its own right. It is a check, and the check passes: the other two coefficients are not absorbing a mass confound.</w:t>
      </w:r>
    </w:p>
    <w:bookmarkEnd w:id="116"/>
    <w:bookmarkStart w:id="117" w:name="overall-fit-and-diagnostic-reading"/>
    <w:p>
      <w:pPr>
        <w:pStyle w:val="Heading3"/>
        <w:spacing w:line="480" w:lineRule="auto"/>
      </w:pPr>
      <w:r>
        <w:t xml:space="preserve">6.1.5 Overall Fit and Diagnostic Reading</w:t>
      </w:r>
    </w:p>
    <w:p>
      <w:pPr>
        <w:pStyle w:val="FirstParagraph"/>
        <w:spacing w:line="480" w:lineRule="auto"/>
      </w:pPr>
      <w:r>
        <w:t xml:space="preserve">Twenty-eight observations and twenty-five events populate the fitted Cox model. Partial-likelihood returns no single goodness-of-fit scalar comparable to an R-squared, and the engine reports the event count and the sample count as the fit summary. The diagnostic reading is that the model converges, that all three coefficients carry interpretable signs, and that none of the three reaches conventional significance at the five percent level. The Schoenfeld-residual test of the proportional-hazards assumption is recorded in Appendix A. The principal threat to the inference is the cell count rather than the event count, and the principal substantive finding is that the point estimates run in directions that are consistent with the brittleness limb of the prospectus and inconsistent with the resilience limb. The honest summary is that the resilience claim, framed as a main effect of stack diversity on first-anomaly hazard, is not supported in the publicly documented NASA robotic fleet. The framing chapter anticipated this possibility and reserved the interaction-effect specification, between autonomy and diversity, for the dissertation’s primary estimator on the wider constellation panel. The first paper does not refute the resilience claim, but it shifts the empirical burden onto designs that pair diversity with explicit cross-checking architectures of the kind described in the hybrid-fault-management literature [10, 11].</w:t>
      </w:r>
    </w:p>
    <w:bookmarkEnd w:id="117"/>
    <w:bookmarkEnd w:id="118"/>
    <w:bookmarkStart w:id="124" w:name="Xc02dfd901109aa5190c5b2bf20b5c02d1ba2bcd"/>
    <w:p>
      <w:pPr>
        <w:pStyle w:val="Heading2"/>
        <w:spacing w:line="480" w:lineRule="auto"/>
      </w:pPr>
      <w:r>
        <w:t xml:space="preserve">6.2 Wright’s Law Estimate of Per-Spacecraft Unit-Cost Elasticity</w:t>
      </w:r>
    </w:p>
    <w:bookmarkStart w:id="119" w:name="sample-and-specification"/>
    <w:p>
      <w:pPr>
        <w:pStyle w:val="Heading3"/>
        <w:spacing w:line="480" w:lineRule="auto"/>
      </w:pPr>
      <w:r>
        <w:t xml:space="preserve">6.2.1 Sample and Specification</w:t>
      </w:r>
    </w:p>
    <w:p>
      <w:pPr>
        <w:pStyle w:val="FirstParagraph"/>
        <w:spacing w:line="480" w:lineRule="auto"/>
      </w:pPr>
      <w:r>
        <w:t xml:space="preserve">The second estimator is a heteroskedasticity-robust log-log ordinary least squares regression. Its dependent variable is the natural logarithm of per-spacecraft unit cost in millions of US dollars at the observation year, and its single regressor is the natural logarithm of cumulative units produced as of the observation date. The fit spans thirty-nine observations across thirteen program blocks and seven operators, with standard errors under HC1. The intercept sits on the log scale, and the slope coefficient is the elasticity of per-spacecraft unit cost with respect to cumulative units produced. Exponentiating that slope under base two gives the implied progress ratio, the fraction of unit cost retained when cumulative output doubles. This is the standard parametrization of Wright’s Law as applied across the airframe, launch-vehicle, and constellation literatures [1, 2, 3].</w:t>
      </w:r>
    </w:p>
    <w:bookmarkEnd w:id="119"/>
    <w:bookmarkStart w:id="120" w:name="X90ccc0bd0a494edec1857f58d3966e36770e379"/>
    <w:p>
      <w:pPr>
        <w:pStyle w:val="Heading3"/>
        <w:spacing w:line="480" w:lineRule="auto"/>
      </w:pPr>
      <w:r>
        <w:t xml:space="preserve">6.2.2 Slope Coefficient and Implied Progress Ratio</w:t>
      </w:r>
    </w:p>
    <w:p>
      <w:pPr>
        <w:pStyle w:val="FirstParagraph"/>
        <w:spacing w:line="480" w:lineRule="auto"/>
      </w:pPr>
      <w:r>
        <w:t xml:space="preserve">The slope coefficient comes out at negative zero point five nine five two, with an HC1 standard error of zero point one one zero five and a p-value of zero point zero zero zero zero to four decimal places. Its implied progress ratio under base two is zero point six six one nine. On the pooled cross-program evidence, each doubling of cumulative units produced retains approximately sixty-six percent of the prior per-spacecraft unit cost. Put the other way, each doubling cuts unit cost by roughly thirty-four percent.</w:t>
      </w:r>
    </w:p>
    <w:p>
      <w:pPr>
        <w:pStyle w:val="BodyText"/>
        <w:spacing w:line="480" w:lineRule="auto"/>
        <w:ind w:firstLine="720"/>
      </w:pPr>
      <w:r>
        <w:t xml:space="preserve">Three features of this estimate matter for the dissertation. The sign is negative, the predicted direction under the Wright’s-Law framing, and the point estimate is bounded away from zero by a margin the standard error cannot absorb at any conventional confidence threshold. The coefficient-to-standard-error ratio is approximately negative five point three nine, which yields a p-value indistinguishable from zero at four decimal places. The null of no scaling is rejected at high confidence. The magnitude is also large in absolute terms. A progress ratio of zero point six six sits at the steep end of the historical airframe range, which has clustered between zero point seven five and zero point nine, and is comparable to the progress ratios reported for launch-vehicle manufacture in the recent commercial cycle. So the cost gradient driving operators toward larger production runs is neither small nor speculative. It is a large and statistically robust feature of the public data. And the estimated elasticity is consistent with the qualitative claims advanced in the constellation-economics and space-traffic literatures [1, 14, 16, 25] and with the forecasting literature on the broader space economy [2, 15].</w:t>
      </w:r>
    </w:p>
    <w:p>
      <w:pPr>
        <w:pStyle w:val="BodyText"/>
        <w:spacing w:line="480" w:lineRule="auto"/>
        <w:ind w:firstLine="720"/>
      </w:pPr>
      <w:r>
        <w:t xml:space="preserve">What the dissertation cashes out of this estimate is an asymmetry between the cost side and the survivability side of the monoculture question. A thirty-four percent unit-cost reduction per doubling of output is a strong economic incentive to converge on a single bus design, a single flight-software baseline, and a single autonomy stack, because the savings concentrate in repeated-build engineering and in software amortization across a homogenous fleet. Operators capture the learning rent by repeating themselves. That same repetition is the mechanism by which a single software defect propagates to many vehicles at once, which is the survivability exposure the prospectus interrogates. So the second paper prices the lower-bound case for stack convergence on real public data and sets the gradient against which the dissertation will price the upper-bound survivability cost of the same convergence.</w:t>
      </w:r>
    </w:p>
    <w:bookmarkEnd w:id="120"/>
    <w:bookmarkStart w:id="121" w:name="intercept"/>
    <w:p>
      <w:pPr>
        <w:pStyle w:val="Heading3"/>
        <w:spacing w:line="480" w:lineRule="auto"/>
      </w:pPr>
      <w:r>
        <w:t xml:space="preserve">6.2.3 Intercept</w:t>
      </w:r>
    </w:p>
    <w:p>
      <w:pPr>
        <w:pStyle w:val="FirstParagraph"/>
        <w:spacing w:line="480" w:lineRule="auto"/>
      </w:pPr>
      <w:r>
        <w:t xml:space="preserve">On the logarithmic scale the intercept is three point five zero seven, with a standard error of zero point five nine eight five and a p-value of zero point zero zero zero zero to four decimal places. Exponentiated, it gives the implied per-spacecraft unit cost in millions of US dollars at one cumulative unit produced, approximately thirty-three point three. On the pooled cross-program evidence and absent any production scaling, the implied per-unit cost of the first manufactured spacecraft in a program block is on the order of thirty-three million US dollars. That figure sits roughly consistent with the public record on first-of-a-kind small and medium spacecraft acquisition over the sample period, and it functions in the model as the level around which the learning curve compresses subsequent units. The intercept is statistically distinguishable from zero at high confidence. Its principal use in the dissertation is to anchor the level of the implied cost trajectory in dollars, not to support an inferential claim about first-unit cost in any single program. The program blocks differ substantially in mission class, orbital regime, and operator, and the pooled level is an average across that heterogeneity.</w:t>
      </w:r>
    </w:p>
    <w:bookmarkEnd w:id="121"/>
    <w:bookmarkStart w:id="122" w:name="overall-fit-and-diagnostic-reading-1"/>
    <w:p>
      <w:pPr>
        <w:pStyle w:val="Heading3"/>
        <w:spacing w:line="480" w:lineRule="auto"/>
      </w:pPr>
      <w:r>
        <w:t xml:space="preserve">6.2.4 Overall Fit and Diagnostic Reading</w:t>
      </w:r>
    </w:p>
    <w:p>
      <w:pPr>
        <w:pStyle w:val="FirstParagraph"/>
        <w:spacing w:line="480" w:lineRule="auto"/>
      </w:pPr>
      <w:r>
        <w:t xml:space="preserve">R-squared for the fitted log-log regression is zero point three seven eight. Program-level cumulative production scale, entered in logarithms and unaccompanied by operator fixed effects, mission-class indicators, or orbital-regime controls, explains roughly thirty-eight percent of the cross-program variation in log unit cost. That is a non-trivial share, the more so because the specification absorbs no operator-level confounding. The residual variation, slightly more than sixty-two percent of the variance in log unit cost, is consistent with the heterogeneity the prospectus assigns to operator effects, mission-class effects, and orbital-regime effects [14, 16]. That residual belongs to the dissertation’s primary survival model, where operator fixed effects and orbital regime strata enter the specification directly, rather than to this pooled scaling estimate.</w:t>
      </w:r>
    </w:p>
    <w:p>
      <w:pPr>
        <w:pStyle w:val="BodyText"/>
        <w:spacing w:line="480" w:lineRule="auto"/>
        <w:ind w:firstLine="720"/>
      </w:pPr>
      <w:r>
        <w:t xml:space="preserve">HC1 standard errors are reported to address the chance that the variance of the regression residuals scales with the level of the regressor, the standard concern in learning-curve work where small program blocks contribute one or two observations and large blocks contribute many. The estimator returns no evidence that heteroskedasticity is destabilizing the inference, and the p-value on the slope coefficient is robust to the HC1 correction. The principal threat is not heteroskedasticity but the pooled specification, which treats every program block as drawn from the same learning curve. That assumption is right for the cross-program scope of the present claim, that a learning curve exists in the data. It is not right for operator-specific or block-specific learning rates, which the dissertation reserves for a later operator-fixed-effects extension.</w:t>
      </w:r>
    </w:p>
    <w:bookmarkEnd w:id="122"/>
    <w:bookmarkStart w:id="123" w:name="joint-reading-with-the-first-estimator"/>
    <w:p>
      <w:pPr>
        <w:pStyle w:val="Heading3"/>
        <w:spacing w:line="480" w:lineRule="auto"/>
      </w:pPr>
      <w:r>
        <w:t xml:space="preserve">6.2.5 Joint Reading with the First Estimator</w:t>
      </w:r>
    </w:p>
    <w:p>
      <w:pPr>
        <w:pStyle w:val="FirstParagraph"/>
        <w:spacing w:line="480" w:lineRule="auto"/>
      </w:pPr>
      <w:r>
        <w:t xml:space="preserve">The two estimators are not built to combine into a single likelihood, and the chapter does not pool them. They are built to characterize the two sides of the policy trade the prospectus interrogates. The first finds that, within the publicly documented NASA robotic fleet, stack diversity produces no measurable survival advantage as a main effect, that autonomy level is directionally consistent with the brittleness reading, and that neither effect reaches conventional significance at twenty-eight observations. The second finds that, across the thirteen constellation program blocks, the per-spacecraft unit-cost elasticity with respect to cumulative units produced is negative zero point five nine five two and statistically distinguishable from zero at high confidence, implying a progress ratio of zero point six six one nine and a per-doubling cost reduction of approximately thirty-four percent. The two findings sit consistently with the framing the prospectus advances. The cost gradient pushing operators toward stack convergence is real and quantitatively large, and the survivability dividend that would justify resisting it is not yet visible in the small-sample NASA estimator. The dissertation’s principal contribution, developed in the chapters that follow, is to sharpen the survivability estimator with operator fixed effects, orbital regime strata, an interaction term between autonomy and diversity, and the wider panel of public and commercial constellations the cost estimator establishes as economically consequential [1, 2, 3, 14, 25].</w:t>
      </w:r>
    </w:p>
    <w:bookmarkEnd w:id="123"/>
    <w:bookmarkEnd w:id="124"/>
    <w:bookmarkStart w:id="125" w:name="summary-of-findings"/>
    <w:p>
      <w:pPr>
        <w:pStyle w:val="Heading2"/>
        <w:spacing w:line="480" w:lineRule="auto"/>
      </w:pPr>
      <w:r>
        <w:t xml:space="preserve">6.3 Summary of Findings</w:t>
      </w:r>
    </w:p>
    <w:p>
      <w:pPr>
        <w:pStyle w:val="FirstParagraph"/>
        <w:spacing w:line="480" w:lineRule="auto"/>
      </w:pPr>
      <w:r>
        <w:t xml:space="preserve">Findings are reported here transparently and without reinterpretation of the underlying estimator output. The Cox proportional-hazards estimator on twenty-eight NASA robotic missions returns a stack-diversity coefficient of zero point one zero six eight with a standard error of zero point four eight three nine and a p-value of zero point eight two five two, an autonomy-level coefficient of zero point three six three two with a standard error of zero point five one two five and a p-value of zero point four seven eight four, and a log-mass coefficient of negative zero point zero seven four with a standard error of zero point one five seven two and a p-value of zero point six three seven seven, on twenty-five events from twenty-eight risk-set entries. The Wright’s-Law log-log estimator on thirty-nine production-milestone observations returns a slope coefficient of negative zero point five nine five two with an HC1 standard error of zero point one one zero five and a p-value below zero point zero zero zero one, an intercept of three point five zero seven with a standard error of zero point five nine eight five and a p-value below zero point zero zero zero one, an R-squared of zero point three seven eight, and an implied progress ratio of zero point six six one nine. The first estimator does not support the main-effect resilience claim and is directionally consistent with the brittleness limb of the framing. The second estimator supports the cost-scaling claim at high confidence and prices the economic gradient that motivates stack convergence. The full tables, formulas, charts, and underlying data are reproduced in Appendix A.</w:t>
      </w:r>
    </w:p>
    <w:bookmarkEnd w:id="125"/>
    <w:bookmarkEnd w:id="126"/>
    <w:bookmarkStart w:id="133" w:name="X21322cb5e29cbf4eb576afddcad42f86ace4e0d"/>
    <w:p>
      <w:pPr>
        <w:pStyle w:val="Heading1"/>
        <w:spacing w:line="480" w:lineRule="auto"/>
      </w:pPr>
      <w:r>
        <w:t xml:space="preserve">Chapter 7. Discussion and Governance Implications</w:t>
      </w:r>
    </w:p>
    <w:bookmarkStart w:id="127" w:name="Xd8972626f4de1e4ce76e1eb115a563415936a05"/>
    <w:p>
      <w:pPr>
        <w:pStyle w:val="Heading2"/>
        <w:spacing w:line="480" w:lineRule="auto"/>
      </w:pPr>
      <w:r>
        <w:t xml:space="preserve">7.1 Restatement of the Empirical Result and Its Boundary Conditions</w:t>
      </w:r>
    </w:p>
    <w:p>
      <w:pPr>
        <w:pStyle w:val="FirstParagraph"/>
        <w:spacing w:line="480" w:lineRule="auto"/>
      </w:pPr>
      <w:r>
        <w:t xml:space="preserve">The two empirical papers that anchor this dissertation deliver a result uncomfortable for the prevailing rhetoric of resilience and consequential for how the National Aeronautics and Space Administration manages its robotic exploration portfolio. The Cox proportional hazards estimation on twenty eight NASA robotic missions returned a hazard ratio coefficient on stack diversity of 0.107 with a p value of 0.825, a coefficient on autonomy level of 0.363 with a p value of 0.478, and a coefficient on log wet mass of negative 0.074 with a p value of 0.638. None of the three reached conventional significance at the 0.05 threshold. The companion log log estimation of Wright’s Law on thirteen constellation program blocks observed at thirty nine production milestones returned an elasticity of negative 0.595 with a heteroskedasticity robust standard error of 0.110 and an implied progress ratio of 0.662.</w:t>
      </w:r>
    </w:p>
    <w:p>
      <w:pPr>
        <w:pStyle w:val="BodyText"/>
        <w:spacing w:line="480" w:lineRule="auto"/>
        <w:ind w:firstLine="720"/>
      </w:pPr>
      <w:r>
        <w:t xml:space="preserve">The two results sit in tension. Unit cost scaling pushes constellation operators toward stack convergence with a cost gradient of approximately thirty four percent per doubling of cumulative output, and the survival evidence from the publicly documented NASA robotic fleet does not detect the offsetting resilience dividend that would justify the integration cost of deliberately diverse stacks. The honest reading is that the resilience claim, in the strong main effect form usually advanced in the autonomy literature [5, 29] and in the agent based mission management surveys that catalogue the convergence on a narrow set of planning frameworks</w:t>
      </w:r>
      <w:r>
        <w:t xml:space="preserve"> </w:t>
      </w:r>
      <w:hyperlink w:anchor="ref-5">
        <w:r>
          <w:rPr>
            <w:rStyle w:val="Hyperlink"/>
          </w:rPr>
          <w:t xml:space="preserve">[5]</w:t>
        </w:r>
      </w:hyperlink>
      <w:r>
        <w:t xml:space="preserve">, is not supported by the publicly available data at the sample size achievable from the NASA robotic record.</w:t>
      </w:r>
    </w:p>
    <w:p>
      <w:pPr>
        <w:pStyle w:val="BodyText"/>
        <w:spacing w:line="480" w:lineRule="auto"/>
        <w:ind w:firstLine="720"/>
      </w:pPr>
      <w:r>
        <w:t xml:space="preserve">This null is a finding, not a non result.</w:t>
      </w:r>
    </w:p>
    <w:p>
      <w:pPr>
        <w:pStyle w:val="BodyText"/>
        <w:spacing w:line="480" w:lineRule="auto"/>
        <w:ind w:firstLine="720"/>
      </w:pPr>
      <w:r>
        <w:t xml:space="preserve">The wider literature on constellation survivability concentrates on kinetic and debris insults</w:t>
      </w:r>
      <w:r>
        <w:t xml:space="preserve"> </w:t>
      </w:r>
      <w:hyperlink w:anchor="ref-3">
        <w:r>
          <w:rPr>
            <w:rStyle w:val="Hyperlink"/>
          </w:rPr>
          <w:t xml:space="preserve">[3]</w:t>
        </w:r>
      </w:hyperlink>
      <w:r>
        <w:t xml:space="preserve"> </w:t>
      </w:r>
      <w:r>
        <w:t xml:space="preserve">and on the deterrence and economic statecraft implications of orbital continuity [1, 2, 7], with software supply chain heterogeneity entering only as an enabling assumption. The Cox estimate developed in Paper 1 is, to the candidate’s knowledge, the first attempt to isolate stack diversity as a survival covariate on the documented NASA robotic record. That it produces no measurable main effect is informative for NASA program management, precisely because a missing dividend forces explicit justification of diversity investments rather than presumption of their value.</w:t>
      </w:r>
    </w:p>
    <w:bookmarkEnd w:id="127"/>
    <w:bookmarkStart w:id="128" w:name="implications-for-nasa-program-management"/>
    <w:p>
      <w:pPr>
        <w:pStyle w:val="Heading2"/>
        <w:spacing w:line="480" w:lineRule="auto"/>
      </w:pPr>
      <w:r>
        <w:t xml:space="preserve">7.2 Implications for NASA Program Management</w:t>
      </w:r>
    </w:p>
    <w:p>
      <w:pPr>
        <w:pStyle w:val="FirstParagraph"/>
        <w:spacing w:line="480" w:lineRule="auto"/>
      </w:pPr>
      <w:r>
        <w:t xml:space="preserve">A first implication concerns the burden of proof in mission concept reviews and key decision point gates. Within the institutional culture of the Major Project Assessment process the Government Accountability Office documents annually [9, 19, 20], stack diversity has been treated either as an unmeasured residual or as a presumptive virtue that need not be defended on its own terms. The Mars Climate Orbiter loss</w:t>
      </w:r>
      <w:r>
        <w:t xml:space="preserve"> </w:t>
      </w:r>
      <w:hyperlink w:anchor="ref-12">
        <w:r>
          <w:rPr>
            <w:rStyle w:val="Hyperlink"/>
          </w:rPr>
          <w:t xml:space="preserve">[12]</w:t>
        </w:r>
      </w:hyperlink>
      <w:r>
        <w:t xml:space="preserve"> </w:t>
      </w:r>
      <w:r>
        <w:t xml:space="preserve">and the Mars Polar Lander and Deep Space 2 mishaps</w:t>
      </w:r>
      <w:r>
        <w:t xml:space="preserve"> </w:t>
      </w:r>
      <w:hyperlink w:anchor="ref-13">
        <w:r>
          <w:rPr>
            <w:rStyle w:val="Hyperlink"/>
          </w:rPr>
          <w:t xml:space="preserve">[13]</w:t>
        </w:r>
      </w:hyperlink>
      <w:r>
        <w:t xml:space="preserve"> </w:t>
      </w:r>
      <w:r>
        <w:t xml:space="preserve">both produced institutional commitments to redundancy in software interfaces and to independent verification of safety critical computations, and those commitments have carried forward as cultural defaults. The Paper 1 estimate does not refute their value. It does suggest that the marginal stack diversity dollar, beyond the specific interface verification corrections the mishap boards prescribed, buys no survival dividend the publicly documented record can detect. So NASA program managers preparing acquisition strategy documents and life cycle cost estimates should be required to name the specific fault management mechanism by which any incremental diversity investment is expected to reduce hazard, rather than lean on the general claim that more diversity yields more survival.</w:t>
      </w:r>
    </w:p>
    <w:p>
      <w:pPr>
        <w:pStyle w:val="BodyText"/>
        <w:spacing w:line="480" w:lineRule="auto"/>
        <w:ind w:firstLine="720"/>
      </w:pPr>
      <w:r>
        <w:t xml:space="preserve">A second implication concerns the positive point estimate on autonomy level. The Cox coefficient of 0.363 on the ordinal autonomy index, though not statistically significant, points in the direction the brittleness limb of the theoretical framing predicts. Within the sample, higher autonomy comes with a higher instantaneous hazard of first major anomaly. That direction tracks the qualitative argument in the hybrid fault detection literature [10, 11, 26], which has held throughout that combining model based reasoning with independent machine learning monitors catches faults any single mode misses. The Stottler line of work puts it sharply: autonomy without independent cross checking is a hazard multiplier, not a hazard reducer</w:t>
      </w:r>
      <w:r>
        <w:t xml:space="preserve"> </w:t>
      </w:r>
      <w:hyperlink w:anchor="ref-11">
        <w:r>
          <w:rPr>
            <w:rStyle w:val="Hyperlink"/>
          </w:rPr>
          <w:t xml:space="preserve">[11]</w:t>
        </w:r>
      </w:hyperlink>
      <w:r>
        <w:t xml:space="preserve">. For NASA program management the consequence is concrete. Incremental autonomy upgrades on heritage flight software baselines should carry an explicit fault management justification at the Preliminary Design Review and Critical Design Review gates, with documented evidence of independent cross checking between the autonomous reasoning layer and a heritage rule based monitor. The Starling formation flying mission catalogued by the NASA Ames team and EraDrive collaborators</w:t>
      </w:r>
      <w:r>
        <w:t xml:space="preserve"> </w:t>
      </w:r>
      <w:hyperlink w:anchor="ref-22">
        <w:r>
          <w:rPr>
            <w:rStyle w:val="Hyperlink"/>
          </w:rPr>
          <w:t xml:space="preserve">[22]</w:t>
        </w:r>
      </w:hyperlink>
      <w:r>
        <w:t xml:space="preserve"> </w:t>
      </w:r>
      <w:r>
        <w:t xml:space="preserve">shows what such cross checking looks like in practice, because it instruments multiple independent navigation and relative state estimation pathways and treats their disagreement as a first class diagnostic signal.</w:t>
      </w:r>
    </w:p>
    <w:p>
      <w:pPr>
        <w:pStyle w:val="BodyText"/>
        <w:spacing w:line="480" w:lineRule="auto"/>
        <w:ind w:firstLine="720"/>
      </w:pPr>
      <w:r>
        <w:t xml:space="preserve">A third implication concerns the institutional reporting infrastructure any future survival analysis will lean on. The Paper 1 estimate is capped by the small sample of twenty eight publicly documented robotic missions and by anomaly records scattered across mishap investigation reports [12, 13], Major Project Assessment reports [9, 19, 20], and the NASA Lessons Learned system. No consolidated public ledger of software attributed anomalies on NASA robotic missions exists, and that gap is itself a governance failure. NASA program management would gain from a standing requirement that each major project file a structured software anomaly disclosure at end of mission and at each anomaly closure, on a fixed taxonomy capturing the component, the autonomy mode active during the anomaly, the diversity of independent components that took part in detection, and the recovery pathway invoked. Sturza and colleagues’ constellation resilience analysis</w:t>
      </w:r>
      <w:r>
        <w:t xml:space="preserve"> </w:t>
      </w:r>
      <w:hyperlink w:anchor="ref-3">
        <w:r>
          <w:rPr>
            <w:rStyle w:val="Hyperlink"/>
          </w:rPr>
          <w:t xml:space="preserve">[3]</w:t>
        </w:r>
      </w:hyperlink>
      <w:r>
        <w:t xml:space="preserve"> </w:t>
      </w:r>
      <w:r>
        <w:t xml:space="preserve">and OneWeb’s self reporting work on space traffic management performance</w:t>
      </w:r>
      <w:r>
        <w:t xml:space="preserve"> </w:t>
      </w:r>
      <w:hyperlink w:anchor="ref-25">
        <w:r>
          <w:rPr>
            <w:rStyle w:val="Hyperlink"/>
          </w:rPr>
          <w:t xml:space="preserve">[25]</w:t>
        </w:r>
      </w:hyperlink>
      <w:r>
        <w:t xml:space="preserve"> </w:t>
      </w:r>
      <w:r>
        <w:t xml:space="preserve">together show that operator self reporting at structured granularity is feasible and that the resulting evidence base sharpens the precision of downstream statistical estimation. NASA is well placed to demand the same standard of its prime contractors and to share the resulting data set with academic researchers under an appropriate provenance gate.</w:t>
      </w:r>
    </w:p>
    <w:p>
      <w:pPr>
        <w:pStyle w:val="BodyText"/>
        <w:spacing w:line="480" w:lineRule="auto"/>
        <w:ind w:firstLine="720"/>
      </w:pPr>
      <w:r>
        <w:t xml:space="preserve">A fourth implication concerns the Wright’s Law elasticity recovered in Paper 2. The estimated progress ratio of 0.662 establishes that the cost gradient pushing operators toward stack convergence is real and quantitatively large. For NASA program management this bears on the recurring tension between heritage reuse, which captures the learning rent, and clean sheet redesign, which forgoes it. The same architectural transformation literature that documents the cost reduction mechanism [15, 16] also documents the diffusion of common autonomy frameworks [4, 5, 33, 34] across distributed space systems. A NASA program that reuses a heritage flight software baseline across multiple missions captures a measurable cost reduction at each doubling of the deployed instance count, and it concentrates exposure to any latent defect in that baseline across the affected mission portfolio. The current sample detects no measurable survival penalty for that concentration. A missing penalty in a sample of twenty eight is not evidence of safety.</w:t>
      </w:r>
    </w:p>
    <w:p>
      <w:pPr>
        <w:pStyle w:val="BodyText"/>
        <w:spacing w:line="480" w:lineRule="auto"/>
        <w:ind w:firstLine="720"/>
      </w:pPr>
      <w:r>
        <w:t xml:space="preserve">Program managers should treat heritage reuse as a cost reducing choice that carries a portfolio level concentration risk, and should require that the concentration be tracked at the directorate level rather than absorbed silently within mission level cost estimates.</w:t>
      </w:r>
    </w:p>
    <w:bookmarkEnd w:id="128"/>
    <w:bookmarkStart w:id="129" w:name="X334381f70f471a769cd5eb2c118d65c8c173fd0"/>
    <w:p>
      <w:pPr>
        <w:pStyle w:val="Heading2"/>
        <w:spacing w:line="480" w:lineRule="auto"/>
      </w:pPr>
      <w:r>
        <w:t xml:space="preserve">7.3 Implications for Jet Propulsion Laboratory Decision Making</w:t>
      </w:r>
    </w:p>
    <w:p>
      <w:pPr>
        <w:pStyle w:val="FirstParagraph"/>
        <w:spacing w:line="480" w:lineRule="auto"/>
      </w:pPr>
      <w:r>
        <w:t xml:space="preserve">The Jet Propulsion Laboratory holds a distinctive position in the NASA architecture. It concentrates flight software expertise across the planetary, astrophysics, and Earth science portfolios, and the institutional knowledge encoded in its heritage stacks materially shapes the diversity index Paper 1 attempts to measure. The mishap reports on Mars Climate Orbiter</w:t>
      </w:r>
      <w:r>
        <w:t xml:space="preserve"> </w:t>
      </w:r>
      <w:hyperlink w:anchor="ref-12">
        <w:r>
          <w:rPr>
            <w:rStyle w:val="Hyperlink"/>
          </w:rPr>
          <w:t xml:space="preserve">[12]</w:t>
        </w:r>
      </w:hyperlink>
      <w:r>
        <w:t xml:space="preserve"> </w:t>
      </w:r>
      <w:r>
        <w:t xml:space="preserve">and on Mars Polar Lander and Deep Space 2</w:t>
      </w:r>
      <w:r>
        <w:t xml:space="preserve"> </w:t>
      </w:r>
      <w:hyperlink w:anchor="ref-13">
        <w:r>
          <w:rPr>
            <w:rStyle w:val="Hyperlink"/>
          </w:rPr>
          <w:t xml:space="preserve">[13]</w:t>
        </w:r>
      </w:hyperlink>
      <w:r>
        <w:t xml:space="preserve"> </w:t>
      </w:r>
      <w:r>
        <w:t xml:space="preserve">are JPL documents, and the corrective actions they prescribed live on in JPL flight software development practice. The Cox estimate does not imply those corrective actions were misconceived. The targeted interface verification and independent peer review provisions of those reports address specific failure modes the dissertation’s stack diversity index does not separately identify. What it implies is that JPL decision making about future mission architectures should turn on a distinction: between targeted diversity investment, of the kind the mishap boards prescribed, and broad diversity investment of the kind the dissertation’s index measures.</w:t>
      </w:r>
    </w:p>
    <w:p>
      <w:pPr>
        <w:pStyle w:val="BodyText"/>
        <w:spacing w:line="480" w:lineRule="auto"/>
        <w:ind w:firstLine="720"/>
      </w:pPr>
      <w:r>
        <w:t xml:space="preserve">For JPL acquisition decisions, that distinction carries three operational consequences. In mission concept review and at the Phase A to Phase B transition, JPL should require that any flight software architecture proposal name the specific fault management mechanism by which independent component diversity is expected to detect or contain the failure modes historical lessons learned identify as dominant in the relevant mission class. The Stottler hybrid fault detection line of work [10, 11, 26] offers a defensible template here, since it lays out the model based and machine learning components and the cross checking interface that joins them. A second consequence follows from the sign on autonomy that Paper 1 recovered. At each autonomy upgrade decision, JPL should require an explicit assessment of whether the heritage cross checking infrastructure scales to the new mode, reading the coefficient direction as the warning it is. Both the supervised learning target point approach surveyed by Fu and Soldini</w:t>
      </w:r>
      <w:r>
        <w:t xml:space="preserve"> </w:t>
      </w:r>
      <w:hyperlink w:anchor="ref-34">
        <w:r>
          <w:rPr>
            <w:rStyle w:val="Hyperlink"/>
          </w:rPr>
          <w:t xml:space="preserve">[34]</w:t>
        </w:r>
      </w:hyperlink>
      <w:r>
        <w:t xml:space="preserve"> </w:t>
      </w:r>
      <w:r>
        <w:t xml:space="preserve">and the consensus based swarm control work surveyed by Asri and Zhu</w:t>
      </w:r>
      <w:r>
        <w:t xml:space="preserve"> </w:t>
      </w:r>
      <w:hyperlink w:anchor="ref-31">
        <w:r>
          <w:rPr>
            <w:rStyle w:val="Hyperlink"/>
          </w:rPr>
          <w:t xml:space="preserve">[31]</w:t>
        </w:r>
      </w:hyperlink>
      <w:r>
        <w:t xml:space="preserve"> </w:t>
      </w:r>
      <w:r>
        <w:t xml:space="preserve">load cross checking burdens onto stacks that classical autonomy was never engineered to bear. A third consequence is procedural. JPL should stand up a periodic review of how concentrated heritage flight software components have become across the institutional mission portfolio, and that review should yield a Herfindahl style concentration measure analogous to the diversity index the prospectus advances. The recompete environment makes the review timely, because partner capability assessments now hinge on the ability to document and defend the diversity and redundancy posture of the heritage portfolio.</w:t>
      </w:r>
    </w:p>
    <w:p>
      <w:pPr>
        <w:pStyle w:val="BodyText"/>
        <w:spacing w:line="480" w:lineRule="auto"/>
        <w:ind w:firstLine="720"/>
      </w:pPr>
      <w:r>
        <w:t xml:space="preserve">JPL decision making about uncrewed exploration acquisition also meets the broader space traffic management environment, where constellation operators self report risk</w:t>
      </w:r>
      <w:r>
        <w:t xml:space="preserve"> </w:t>
      </w:r>
      <w:hyperlink w:anchor="ref-25">
        <w:r>
          <w:rPr>
            <w:rStyle w:val="Hyperlink"/>
          </w:rPr>
          <w:t xml:space="preserve">[25]</w:t>
        </w:r>
      </w:hyperlink>
      <w:r>
        <w:t xml:space="preserve"> </w:t>
      </w:r>
      <w:r>
        <w:t xml:space="preserve">and space situational awareness systems increasingly lean on autonomous reasoning across heterogeneous sensor networks [21, 23, 28]. The SNARE decentralized sensor tasking work</w:t>
      </w:r>
      <w:r>
        <w:t xml:space="preserve"> </w:t>
      </w:r>
      <w:hyperlink w:anchor="ref-21">
        <w:r>
          <w:rPr>
            <w:rStyle w:val="Hyperlink"/>
          </w:rPr>
          <w:t xml:space="preserve">[21]</w:t>
        </w:r>
      </w:hyperlink>
      <w:r>
        <w:t xml:space="preserve"> </w:t>
      </w:r>
      <w:r>
        <w:t xml:space="preserve">and the uncorrelated track processing benchmarking work</w:t>
      </w:r>
      <w:r>
        <w:t xml:space="preserve"> </w:t>
      </w:r>
      <w:hyperlink w:anchor="ref-23">
        <w:r>
          <w:rPr>
            <w:rStyle w:val="Hyperlink"/>
          </w:rPr>
          <w:t xml:space="preserve">[23]</w:t>
        </w:r>
      </w:hyperlink>
      <w:r>
        <w:t xml:space="preserve"> </w:t>
      </w:r>
      <w:r>
        <w:t xml:space="preserve">both establish that distributed autonomous reasoning systems benefit measurably from heterogeneity in the sensing and processing layers. Those results do not contradict the Paper 1 null. They pertain to the ground based detection layer rather than the onboard flight software layer the Cox estimate isolates. For JPL the implication splits cleanly. Diversity is empirically valuable in the sensing and tracking layer of the wider space traffic management architecture, and it is not yet measurably valuable in the flight software layer of the robotic exploration portfolio. JPL decisions about how its exploration missions interact with the broader space situational awareness ecosystem should proceed on the assumption that ground side diversity has documented value, while onboard diversity remains under evaluated and awaits the structured anomaly reporting infrastructure described in section 7.2 to support future estimation.</w:t>
      </w:r>
    </w:p>
    <w:p>
      <w:pPr>
        <w:pStyle w:val="BodyText"/>
        <w:spacing w:line="480" w:lineRule="auto"/>
        <w:ind w:firstLine="720"/>
      </w:pPr>
      <w:r>
        <w:t xml:space="preserve">Radiation hardness assurance</w:t>
      </w:r>
      <w:r>
        <w:t xml:space="preserve"> </w:t>
      </w:r>
      <w:hyperlink w:anchor="ref-30">
        <w:r>
          <w:rPr>
            <w:rStyle w:val="Hyperlink"/>
          </w:rPr>
          <w:t xml:space="preserve">[30]</w:t>
        </w:r>
      </w:hyperlink>
      <w:r>
        <w:t xml:space="preserve"> </w:t>
      </w:r>
      <w:r>
        <w:t xml:space="preserve">further informs JPL acquisition decisions, because the heritage flight software baseline interacts with the radiation hardness posture of the underlying avionics. A diversity investment at the software layer that is not matched by a corresponding heterogeneity in radiation assurance pathways may deliver no survival dividend at all, because in many deep space environments the dominant failure mode is upstream of the software layer. JPL should require, at the Critical Design Review gate, that flight software diversity proposals be paired with a documented analysis of the avionics radiation hardness pathway and that the joint posture be assessed against the relevant mission class radiation profile.</w:t>
      </w:r>
    </w:p>
    <w:bookmarkEnd w:id="129"/>
    <w:bookmarkStart w:id="130" w:name="limitations-of-the-estimation"/>
    <w:p>
      <w:pPr>
        <w:pStyle w:val="Heading2"/>
        <w:spacing w:line="480" w:lineRule="auto"/>
      </w:pPr>
      <w:r>
        <w:t xml:space="preserve">7.4 Limitations of the Estimation</w:t>
      </w:r>
    </w:p>
    <w:p>
      <w:pPr>
        <w:pStyle w:val="FirstParagraph"/>
        <w:spacing w:line="480" w:lineRule="auto"/>
      </w:pPr>
      <w:r>
        <w:t xml:space="preserve">Five limitations of the empirical work warrant explicit treatment before the chapter turns to its future research agenda. The first is statistical power. The sample of twenty eight NASA robotic missions, twenty five of which experienced the event during the observation window, yields standard errors wide enough that the Cox estimator cannot reject the null on any of the three covariates. The point estimate on stack diversity is positive rather than negative, and the eighty two percent p value means the data are entirely consistent with a negative true coefficient of substantial magnitude. So the chapter’s caution about treating the null as evidence of no effect is essential. The prospectus committed to expanding the analytical frame to constellation level data, where the Union of Concerned Scientists Satellite Database provides a substantially larger universe and where Federal Communications Commission Part 25 filings and European Union Agency for the Space Programme procurement notices document stack composition at the operator level. The full dissertation will execute that expansion. Until it does, the conclusions of section 7.2 and section 7.3 stay conditional on a sample whose limitations are documented.</w:t>
      </w:r>
    </w:p>
    <w:p>
      <w:pPr>
        <w:pStyle w:val="BodyText"/>
        <w:spacing w:line="480" w:lineRule="auto"/>
        <w:ind w:firstLine="720"/>
      </w:pPr>
      <w:r>
        <w:t xml:space="preserve">A second limitation is measurement of stack diversity. The Paper 1 index counts independently developed major flight software components from public descriptions of flight software architecture. Public descriptions systematically understate proprietary heterogeneity, because operators and prime contractors do not disclose internal component partitions that are not externally visible. That measurement error biases the diversity covariate toward zero, which in turn biases the estimated hazard ratio toward unity and against detection of an effect. The dissertation’s commitment to substitute prime contractor level coarsening where filings redact specific component identities does not remove this bias, though it does bound it. For NASA and JPL governance the implication is that any future structured anomaly reporting requirement should be paired with a structured component disclosure requirement at the prime contractor level, so the diversity index is measured at the granularity at which it actually varies.</w:t>
      </w:r>
    </w:p>
    <w:p>
      <w:pPr>
        <w:pStyle w:val="BodyText"/>
        <w:spacing w:line="480" w:lineRule="auto"/>
        <w:ind w:firstLine="720"/>
      </w:pPr>
      <w:r>
        <w:t xml:space="preserve">A third limitation is the censoring structure. Three of the twenty eight missions in Paper 1 are right censored, the two GRAIL probes and the MAVEN mission among them. The Cox partial likelihood handles right censoring correctly, and the inferential power of the estimate is still bounded by the number of observed events. A longer observation window would surface additional events for the surviving missions and clarify whether the apparent insensitivity to stack diversity reflects a true null or a latent vulnerability that has not yet manifested. The dissertation will revisit the Paper 1 estimate as the observation window extends.</w:t>
      </w:r>
    </w:p>
    <w:p>
      <w:pPr>
        <w:pStyle w:val="BodyText"/>
        <w:spacing w:line="480" w:lineRule="auto"/>
        <w:ind w:firstLine="720"/>
      </w:pPr>
      <w:r>
        <w:t xml:space="preserve">A fourth limitation is the definition of the outage event. Paper 1 uses the first publicly reported major anomaly as the event of interest, which buys comparability across missions at the cost of conflating anomalies that are software attributed with anomalies that are not. The dissertation prospectus committed to defining the dependent process for the constellation level analysis as a correlated multi vehicle outage cluster, with two or more vehicles of the same operator entering an off nominal state within a seventy two hour window. The constellation level definition is closer to the theoretical construct of correlated software failure than the mission level definition that Paper 1 uses, and the chapter’s interpretation of section 7.2 and section 7.3 should be read with the understanding that the mission level event is a proxy for the construct rather than a direct measurement of it.</w:t>
      </w:r>
    </w:p>
    <w:p>
      <w:pPr>
        <w:pStyle w:val="BodyText"/>
        <w:spacing w:line="480" w:lineRule="auto"/>
        <w:ind w:firstLine="720"/>
      </w:pPr>
      <w:r>
        <w:t xml:space="preserve">A fifth limitation is generalization beyond the NASA robotic fleet. Paper 1 is restricted to twenty eight publicly documented NASA robotic missions launched between 1998 and 2022. The results do not transfer mechanically to the European Space Agency portfolio, to the Japan Aerospace Exploration Agency portfolio, or to the commercial constellation operators whose unit cost scaling Paper 2 documents. The commercial constellation environment differs from the NASA robotic environment in autonomy level distribution, in software supply chain structure, in regulatory disclosure regime, and in the institutional treatment of anomalies. The dissertation’s constellation level analysis will address the commercial environment directly, but the cross domain transfer of the NASA result remains uncertain.</w:t>
      </w:r>
    </w:p>
    <w:bookmarkEnd w:id="130"/>
    <w:bookmarkStart w:id="131" w:name="future-research"/>
    <w:p>
      <w:pPr>
        <w:pStyle w:val="Heading2"/>
        <w:spacing w:line="480" w:lineRule="auto"/>
      </w:pPr>
      <w:r>
        <w:t xml:space="preserve">7.5 Future Research</w:t>
      </w:r>
    </w:p>
    <w:p>
      <w:pPr>
        <w:pStyle w:val="FirstParagraph"/>
        <w:spacing w:line="480" w:lineRule="auto"/>
      </w:pPr>
      <w:r>
        <w:t xml:space="preserve">A future research agenda follows from the limitations and from the unresolved tensions in the empirical record. Five lines of work warrant explicit treatment.</w:t>
      </w:r>
    </w:p>
    <w:p>
      <w:pPr>
        <w:pStyle w:val="BodyText"/>
        <w:spacing w:line="480" w:lineRule="auto"/>
        <w:ind w:firstLine="720"/>
      </w:pPr>
      <w:r>
        <w:t xml:space="preserve">One line is the expansion of the survival analysis to the constellation level data frame that the dissertation prospectus advances. The Union of Concerned Scientists Satellite Database, joined to Federal Communications Commission Part 25 filings and to the SpaceTrack on orbit anomaly catalog, provides a substantially larger universe than the twenty eight NASA robotic mission sample of Paper 1. The dissertation will execute the Cox proportional hazards estimation on the vehicle quarter unit of analysis, with stack concentration entered as a time varying covariate computed from the public disclosure record. The OneWeb self reporting work</w:t>
      </w:r>
      <w:r>
        <w:t xml:space="preserve"> </w:t>
      </w:r>
      <w:hyperlink w:anchor="ref-25">
        <w:r>
          <w:rPr>
            <w:rStyle w:val="Hyperlink"/>
          </w:rPr>
          <w:t xml:space="preserve">[25]</w:t>
        </w:r>
      </w:hyperlink>
      <w:r>
        <w:t xml:space="preserve"> </w:t>
      </w:r>
      <w:r>
        <w:t xml:space="preserve">and the constellation resilience analysis of Sturza and colleagues</w:t>
      </w:r>
      <w:r>
        <w:t xml:space="preserve"> </w:t>
      </w:r>
      <w:hyperlink w:anchor="ref-3">
        <w:r>
          <w:rPr>
            <w:rStyle w:val="Hyperlink"/>
          </w:rPr>
          <w:t xml:space="preserve">[3]</w:t>
        </w:r>
      </w:hyperlink>
      <w:r>
        <w:t xml:space="preserve"> </w:t>
      </w:r>
      <w:r>
        <w:t xml:space="preserve">provide the institutional template for the data construction. The expected statistical power gain is large because the universe contains thousands of vehicles rather than twenty eight missions, and the constellation level definition of the outage event is closer to the construct of correlated software failure than the mission level definition that Paper 1 uses.</w:t>
      </w:r>
    </w:p>
    <w:p>
      <w:pPr>
        <w:pStyle w:val="BodyText"/>
        <w:spacing w:line="480" w:lineRule="auto"/>
        <w:ind w:firstLine="720"/>
      </w:pPr>
      <w:r>
        <w:t xml:space="preserve">A second line is the explicit modeling of the interaction between autonomy level and stack diversity. Paper 1 entered the two covariates as main effects only, and the discussion section of that paper noted that the resilience theory predicts an interaction rather than a main effect. The hybrid fault detection literature [10, 11, 26] is clear that diversity delivers a survival dividend only when independent components are configured to cross check each other, and that the cross checking requirement scales with autonomy level. The dissertation’s main estimator will include the autonomy by diversity interaction, and the interpretation will distinguish autonomy without cross checking, which the theory predicts as a hazard multiplier, from autonomy with cross checking, which the theory predicts as a hazard reducer. The supervised learning target point work of Fu and Soldini</w:t>
      </w:r>
      <w:r>
        <w:t xml:space="preserve"> </w:t>
      </w:r>
      <w:hyperlink w:anchor="ref-34">
        <w:r>
          <w:rPr>
            <w:rStyle w:val="Hyperlink"/>
          </w:rPr>
          <w:t xml:space="preserve">[34]</w:t>
        </w:r>
      </w:hyperlink>
      <w:r>
        <w:t xml:space="preserve"> </w:t>
      </w:r>
      <w:r>
        <w:t xml:space="preserve">and the bioinspired consensus based swarm control work of Asri and Zhu</w:t>
      </w:r>
      <w:r>
        <w:t xml:space="preserve"> </w:t>
      </w:r>
      <w:hyperlink w:anchor="ref-31">
        <w:r>
          <w:rPr>
            <w:rStyle w:val="Hyperlink"/>
          </w:rPr>
          <w:t xml:space="preserve">[31]</w:t>
        </w:r>
      </w:hyperlink>
      <w:r>
        <w:t xml:space="preserve"> </w:t>
      </w:r>
      <w:r>
        <w:t xml:space="preserve">both provide concrete autonomy architectures against which the cross checking requirement can be operationalized.</w:t>
      </w:r>
    </w:p>
    <w:p>
      <w:pPr>
        <w:pStyle w:val="BodyText"/>
        <w:spacing w:line="480" w:lineRule="auto"/>
        <w:ind w:firstLine="720"/>
      </w:pPr>
      <w:r>
        <w:t xml:space="preserve">A third line is the integration of the cost side of the analysis with the survival side. Paper 2 establishes the Wright’s Law elasticity that pushes operators toward stack convergence, and Paper 1 fails to detect the offsetting survival dividend that would justify the integration cost of deliberately diverse stacks. The dissertation will integrate the two estimates into a joint expected cost framework that prices stack convergence at the operator level, with the cost reduction per doubling of cumulative output netted against the expected survival cost of the implied portfolio concentration. The architectural transformation literature [15, 16] and the constellation economics literature [14, 25] both inform the joint specification. The integrated estimate will allow NASA program management and JPL acquisition decision makers to evaluate stack convergence proposals against a transparent expected cost criterion rather than against a presumptive virtue argument.</w:t>
      </w:r>
    </w:p>
    <w:p>
      <w:pPr>
        <w:pStyle w:val="BodyText"/>
        <w:spacing w:line="480" w:lineRule="auto"/>
        <w:ind w:firstLine="720"/>
      </w:pPr>
      <w:r>
        <w:t xml:space="preserve">A fourth line is the extension of the analysis to the ground side of the autonomy architecture. The current dissertation focuses on the onboard flight software layer, but the wider literature on space situational awareness [17, 21, 23, 24, 28], on space weather impact monitoring</w:t>
      </w:r>
      <w:r>
        <w:t xml:space="preserve"> </w:t>
      </w:r>
      <w:hyperlink w:anchor="ref-18">
        <w:r>
          <w:rPr>
            <w:rStyle w:val="Hyperlink"/>
          </w:rPr>
          <w:t xml:space="preserve">[18]</w:t>
        </w:r>
      </w:hyperlink>
      <w:r>
        <w:t xml:space="preserve">, and on virtualized ground station infrastructure</w:t>
      </w:r>
      <w:r>
        <w:t xml:space="preserve"> </w:t>
      </w:r>
      <w:hyperlink w:anchor="ref-17">
        <w:r>
          <w:rPr>
            <w:rStyle w:val="Hyperlink"/>
          </w:rPr>
          <w:t xml:space="preserve">[17]</w:t>
        </w:r>
      </w:hyperlink>
      <w:r>
        <w:t xml:space="preserve"> </w:t>
      </w:r>
      <w:r>
        <w:t xml:space="preserve">establishes that the ground side autonomy layer increasingly carries decision authority that historically resided onboard. The Reglero Andres and colleagues work on virtualized ground stations and machine learning</w:t>
      </w:r>
      <w:r>
        <w:t xml:space="preserve"> </w:t>
      </w:r>
      <w:hyperlink w:anchor="ref-17">
        <w:r>
          <w:rPr>
            <w:rStyle w:val="Hyperlink"/>
          </w:rPr>
          <w:t xml:space="preserve">[17]</w:t>
        </w:r>
      </w:hyperlink>
      <w:r>
        <w:t xml:space="preserve"> </w:t>
      </w:r>
      <w:r>
        <w:t xml:space="preserve">and the SNARE decentralized sensor tasking work</w:t>
      </w:r>
      <w:r>
        <w:t xml:space="preserve"> </w:t>
      </w:r>
      <w:hyperlink w:anchor="ref-21">
        <w:r>
          <w:rPr>
            <w:rStyle w:val="Hyperlink"/>
          </w:rPr>
          <w:t xml:space="preserve">[21]</w:t>
        </w:r>
      </w:hyperlink>
      <w:r>
        <w:t xml:space="preserve"> </w:t>
      </w:r>
      <w:r>
        <w:t xml:space="preserve">both demonstrate that ground side diversity is consequential for the end to end survivability of the space service. The dissertation’s primary estimator focuses on the onboard layer because that is where the data are most readily structured, but the chapter’s governance recommendations for NASA and JPL should be read as covering the ground side autonomy layer as well, and the future research agenda will extend the empirical work to that layer.</w:t>
      </w:r>
    </w:p>
    <w:p>
      <w:pPr>
        <w:pStyle w:val="BodyText"/>
        <w:spacing w:line="480" w:lineRule="auto"/>
        <w:ind w:firstLine="720"/>
      </w:pPr>
      <w:r>
        <w:t xml:space="preserve">A fifth line is the development of the structured anomaly reporting infrastructure that section 7.2 identifies as a precondition for any future survival analysis at adequate precision. The dissertation’s institutional contribution will include a proposed taxonomy for software attributed anomaly reporting at the NASA major project level, with the taxonomy grounded in the historical anomaly record [12, 13] and aligned with the Stottler hybrid fault detection categories [10, 11]. The taxonomy will be designed to support both the candidate’s downstream survival estimation and the wider community’s evidence base on correlated failure modes in distributed space systems. The dissertation will solicit institutional feedback on the proposed taxonomy from NASA Office of Safety and Mission Assurance and from the Government Accountability Office Science, Technology Assessment and Analytics team, and will report the institutional response as part of the dissertation’s contribution to the policy literature.</w:t>
      </w:r>
    </w:p>
    <w:bookmarkEnd w:id="131"/>
    <w:bookmarkStart w:id="132" w:name="concluding-synthesis"/>
    <w:p>
      <w:pPr>
        <w:pStyle w:val="Heading2"/>
        <w:spacing w:line="480" w:lineRule="auto"/>
      </w:pPr>
      <w:r>
        <w:t xml:space="preserve">7.6 Concluding Synthesis</w:t>
      </w:r>
    </w:p>
    <w:p>
      <w:pPr>
        <w:pStyle w:val="FirstParagraph"/>
        <w:spacing w:line="480" w:lineRule="auto"/>
      </w:pPr>
      <w:r>
        <w:t xml:space="preserve">The dissertation set out to test whether diversity in autonomy and software stacks buys survivability for space infrastructure. The two empirical papers that anchor the work return a complementary pair of estimates that sharpen the question rather than answer it. Paper 2 establishes that unit cost scaling pushes operators toward stack convergence with a measured progress ratio of 0.662, a thirty four percent unit cost reduction per doubling of cumulative output. Paper 1 detects no offsetting survival dividend in the publicly documented NASA robotic record, with a Cox coefficient on stack diversity of 0.107 and a p value of 0.825.</w:t>
      </w:r>
    </w:p>
    <w:p>
      <w:pPr>
        <w:pStyle w:val="BodyText"/>
        <w:spacing w:line="480" w:lineRule="auto"/>
        <w:ind w:firstLine="720"/>
      </w:pPr>
      <w:r>
        <w:t xml:space="preserve">The honest synthesis is twofold. The resilience claim in its strong main effect form is not supported by the available data, and the brittleness concern raised by the positive point estimate on autonomy level and by the Wright’s Law cost gradient is grounded enough to warrant explicit governance attention. NASA program management and JPL acquisition decision making should treat stack diversity as a cost incurring investment that requires explicit fault management justification rather than a presumptive virtue, should treat autonomy upgrades on heritage baselines as requiring documented cross checking infrastructure rather than a presumption of improvement, and should institutionalize the structured anomaly reporting infrastructure on which any future survival analysis at adequate precision will depend. The full dissertation will execute the constellation level expansion, the autonomy by diversity interaction modeling, the joint cost and survival estimation, the extension to the ground side autonomy layer, and the development of the structured anomaly taxonomy the present chapter names as the principal preconditions for the next round of empirical work on this question.</w:t>
      </w:r>
    </w:p>
    <w:bookmarkEnd w:id="132"/>
    <w:bookmarkEnd w:id="133"/>
    <w:bookmarkStart w:id="192" w:name="chapter-8.-conclusion"/>
    <w:p>
      <w:pPr>
        <w:pStyle w:val="Heading1"/>
        <w:spacing w:line="480" w:lineRule="auto"/>
      </w:pPr>
      <w:r>
        <w:t xml:space="preserve">Chapter 8. Conclusion</w:t>
      </w:r>
    </w:p>
    <w:bookmarkStart w:id="134" w:name="restatement-of-the-question"/>
    <w:p>
      <w:pPr>
        <w:pStyle w:val="Heading2"/>
        <w:spacing w:line="480" w:lineRule="auto"/>
      </w:pPr>
      <w:r>
        <w:t xml:space="preserve">8.1 Restatement of the Question</w:t>
      </w:r>
    </w:p>
    <w:p>
      <w:pPr>
        <w:pStyle w:val="FirstParagraph"/>
        <w:spacing w:line="480" w:lineRule="auto"/>
      </w:pPr>
      <w:r>
        <w:t xml:space="preserve">The dissertation opened with a single question. Does diversity in the autonomy and software stacks that fly modern spacecraft confer measurable survivability on space infrastructure, relative to the monocultural deployments that learning curve economics now reward. The question is neither rhetorical nor abstract. Space services have become a load bearing layer of the global economy, with material financial dependence on continuity of orbital operations documented across the Fortune 500 and Fortune 100 [1, 2], and with confidence in space services treated as a macroeconomic and security variable in the broader space economy and statecraft literature [2, 7, 15]. Alongside that, the engineering literature has documented a convergence on a small number of planning, swarm control, and target tracking architectures across operators [5, 8, 24, 29], amplified by the diffusion of supervised learning based onboard controllers [6, 34] and bioinspired consensus protocols for swarm autonomy</w:t>
      </w:r>
      <w:r>
        <w:t xml:space="preserve"> </w:t>
      </w:r>
      <w:hyperlink w:anchor="ref-31">
        <w:r>
          <w:rPr>
            <w:rStyle w:val="Hyperlink"/>
          </w:rPr>
          <w:t xml:space="preserve">[31]</w:t>
        </w:r>
      </w:hyperlink>
      <w:r>
        <w:t xml:space="preserve">. The dissertation has asked whether that convergence is bought at a survivability price operators, insurers, and regulators have not yet quantified.</w:t>
      </w:r>
    </w:p>
    <w:bookmarkEnd w:id="134"/>
    <w:bookmarkStart w:id="135" w:name="synthesis-of-the-argument"/>
    <w:p>
      <w:pPr>
        <w:pStyle w:val="Heading2"/>
        <w:spacing w:line="480" w:lineRule="auto"/>
      </w:pPr>
      <w:r>
        <w:t xml:space="preserve">8.2 Synthesis of the Argument</w:t>
      </w:r>
    </w:p>
    <w:p>
      <w:pPr>
        <w:pStyle w:val="FirstParagraph"/>
        <w:spacing w:line="480" w:lineRule="auto"/>
      </w:pPr>
      <w:r>
        <w:t xml:space="preserve">The argument has moved in three movements, each carried by an independent empirical paper and tied back to the unified estimator described in the prospectus.</w:t>
      </w:r>
    </w:p>
    <w:p>
      <w:pPr>
        <w:pStyle w:val="BodyText"/>
        <w:spacing w:line="480" w:lineRule="auto"/>
        <w:ind w:firstLine="720"/>
      </w:pPr>
      <w:r>
        <w:t xml:space="preserve">The first movement, developed in the Wright’s Law paper, established that the cost gradient pushing operators toward stack convergence is real, large, and quantitatively documented on public data. The pooled log log estimate returned an elasticity of per spacecraft unit cost with respect to cumulative units produced of negative zero point five nine five with an HC1 standard error of zero point one one zero, implying a progress ratio of zero point six six two and a per doubling cost reduction of approximately thirty four percent. That estimate lands inside the historical range reported for airframe and launch vehicle learning curves and squares with the qualitative claims of the constellation economics literature [14, 15, 16]. What matters is not the precise progress ratio but its sign and order of magnitude. The gradient is steep enough that no rational operator would forgo it without a concrete countervailing survivability case. The dissertation has supplied the language in which that case can be priced.</w:t>
      </w:r>
    </w:p>
    <w:p>
      <w:pPr>
        <w:pStyle w:val="BodyText"/>
        <w:spacing w:line="480" w:lineRule="auto"/>
        <w:ind w:firstLine="720"/>
      </w:pPr>
      <w:r>
        <w:t xml:space="preserve">A second movement, developed in the Cox survival paper on twenty eight NASA robotic missions launched between 1998 and 2022, tested whether stack diversity by itself purchases a longer anomaly free interval. In this sample it did not. The estimated hazard ratio coefficient on stack diversity was zero point one zero seven with a p value of zero point eight two five, the coefficient on autonomy level was zero point three six three with a p value of zero point four seven eight, and the coefficient on log mass was negative zero point zero seven four with a p value of zero point six three eight. None reached conventional significance. Two readings follow. The point estimate on autonomy was positive, consistent with the brittleness limb of the theory advanced in the prospectus and with the hybrid fault management literature that has long argued for combining independent reasoning modes [10, 11, 26]. And the wide standard errors are themselves a substantive finding. The publicly documented NASA robotic fleet is small, the anomaly record is dispersed across mishap reports, GAO assessments, and lessons learned entries [9, 12, 13], and the honest reading is that diversity as a main effect is invisible in this sample without explicit cross checking between components.</w:t>
      </w:r>
    </w:p>
    <w:p>
      <w:pPr>
        <w:pStyle w:val="BodyText"/>
        <w:spacing w:line="480" w:lineRule="auto"/>
        <w:ind w:firstLine="720"/>
      </w:pPr>
      <w:r>
        <w:t xml:space="preserve">A third movement, anticipated in the prospectus and partially evidenced across the empirical papers, is the synthesis. Cost gradient and brittleness gradient run in opposite directions. The cost gradient rewards convergence on a single bus, a single flight software baseline, and a single autonomy stack, because the learning rent concentrates in repeated build engineering and software amortization [14, 15, 16]. The brittleness gradient penalizes that same convergence, because the repetition that delivered the cost reduction also propagated any latent defect to thousands of vehicles at once. The prospectus hypothesizes that the brittleness penalty can be measured as a hazard ratio on a Herfindahl Hirschman index of stack concentration in a Cox proportional hazards specification on a panel of vehicle quarters, with operator fixed effects, orbital regime strata, and calendar time controls. The two empirical papers neither falsify nor confirm that joint claim at scale. They bound it. Wright’s Law establishes that the cost side of the trade is real, and the NASA fleet survival estimate establishes that the survivability side, measured naively as a main effect on a small heritage fleet, is not free. The synthesis is plain. Diversity must be paired with explicit, verifiable cross checking between independent components if it is to deliver the survivability dividend the resilience literature has implicitly promised [4, 5, 10, 11, 31].</w:t>
      </w:r>
    </w:p>
    <w:bookmarkEnd w:id="135"/>
    <w:bookmarkStart w:id="136"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to the literature on space systems engineering, space economics, and space statecraft is fourfold.</w:t>
      </w:r>
    </w:p>
    <w:p>
      <w:pPr>
        <w:pStyle w:val="BodyText"/>
        <w:spacing w:line="480" w:lineRule="auto"/>
        <w:ind w:firstLine="720"/>
      </w:pPr>
      <w:r>
        <w:t xml:space="preserve">First, the dissertation has reframed the survivability question in language that prices stack monoculture as an explicit risk factor rather than an unmeasured residual. The constellation resilience literature has treated survivability as a function of vehicle count, replenishment cadence, and exposure to debris generating events [3, 14], with software entering only as enabling technology [17, 18]. The autonomy and agent based mission management literature has documented the spread of common planning, swarm control, and target tracking software [5, 8, 24, 29] and the verification burden that follows</w:t>
      </w:r>
      <w:r>
        <w:t xml:space="preserve"> </w:t>
      </w:r>
      <w:hyperlink w:anchor="ref-30">
        <w:r>
          <w:rPr>
            <w:rStyle w:val="Hyperlink"/>
          </w:rPr>
          <w:t xml:space="preserve">[30]</w:t>
        </w:r>
      </w:hyperlink>
      <w:r>
        <w:t xml:space="preserve">, and has stopped short of quantifying correlated failure risk. The space economy and statecraft literature has established that confidence in space services is a macroeconomic variable [1, 2, 7, 15] and has abstracted away from the software supply chain that produces those services. By specifying a Herfindahl style index of stack concentration as a time varying covariate in a Cox proportional hazards model, the dissertation supplies the missing joint specification. Whether or not the eventual full panel estimate rejects the null, the specification itself is a contribution, because it lets insurers, regulators, and operators write down the brittleness risk in the same units they already use for kinetic and debris risk.</w:t>
      </w:r>
    </w:p>
    <w:p>
      <w:pPr>
        <w:pStyle w:val="BodyText"/>
        <w:spacing w:line="480" w:lineRule="auto"/>
        <w:ind w:firstLine="720"/>
      </w:pPr>
      <w:r>
        <w:t xml:space="preserve">Second, the dissertation has supplied the cost side of the trade in transparent and replicable form. The pooled Wright’s Law estimate on thirteen program blocks and thirty nine production milestones rests on 10-K capital expenditure schedules, S-1 prospectuses, FCC Part 25 filings, prime contractor press releases, and the relevant GAO Major Project Assessments for the GPS blocks [19, 20], with three illustrative observations flagged and the rest traceable to primary filings. That estimate places the constellation industry inside the historical band of learning curve elasticities established for airframe and launch vehicle production, and it works from data assembled out of sources publicly available without paid subscription. The replication package therefore drops the marginal cost of further academic and regulatory work on the same question.</w:t>
      </w:r>
    </w:p>
    <w:p>
      <w:pPr>
        <w:pStyle w:val="BodyText"/>
        <w:spacing w:line="480" w:lineRule="auto"/>
        <w:ind w:firstLine="720"/>
      </w:pPr>
      <w:r>
        <w:t xml:space="preserve">Third, the dissertation has documented, on the NASA robotic fleet, that diversity as a main effect yields no measurable survival advantage in a small sample once autonomy level and mission scale are held in the model. This is a constructive negative result. It pushes the burden of proof toward architectures that pair diversity with explicit cross checking between independent components, in the manner of the hybrid fault management designs Stottler and colleagues have refined over two AMOS papers [10, 11, 26]. It also surfaces an underappreciated implication for GAO and NASA Major Project Assessment review teams: where the point estimate on autonomy level is positive in this sample, incremental autonomy upgrades on heritage stacks deserve an explicit fault management justification rather than a presumption of improvement. That implication carries straight into how GPS III and successor navigation programs are assessed</w:t>
      </w:r>
      <w:r>
        <w:t xml:space="preserve"> </w:t>
      </w:r>
      <w:hyperlink w:anchor="ref-19">
        <w:r>
          <w:rPr>
            <w:rStyle w:val="Hyperlink"/>
          </w:rPr>
          <w:t xml:space="preserve">[19]</w:t>
        </w:r>
      </w:hyperlink>
      <w:r>
        <w:t xml:space="preserve"> </w:t>
      </w:r>
      <w:r>
        <w:t xml:space="preserve">and how the broader Department of Defense weapon systems portfolio is reviewed</w:t>
      </w:r>
      <w:r>
        <w:t xml:space="preserve"> </w:t>
      </w:r>
      <w:hyperlink w:anchor="ref-20">
        <w:r>
          <w:rPr>
            <w:rStyle w:val="Hyperlink"/>
          </w:rPr>
          <w:t xml:space="preserve">[20]</w:t>
        </w:r>
      </w:hyperlink>
      <w:r>
        <w:t xml:space="preserve">.</w:t>
      </w:r>
    </w:p>
    <w:p>
      <w:pPr>
        <w:pStyle w:val="BodyText"/>
        <w:spacing w:line="480" w:lineRule="auto"/>
        <w:ind w:firstLine="720"/>
      </w:pPr>
      <w:r>
        <w:t xml:space="preserve">Fourth, the dissertation has tied the technical and economic argument to the strategic frame. The space economy and integrated deterrence literature holds that trusted, continuous space services are an instrument of statecraft as well as a commercial good [1, 2, 7]. The architectural transformation literature holds that mass production of small satellites is the mechanism by which acquisition cost falls</w:t>
      </w:r>
      <w:r>
        <w:t xml:space="preserve"> </w:t>
      </w:r>
      <w:hyperlink w:anchor="ref-16">
        <w:r>
          <w:rPr>
            <w:rStyle w:val="Hyperlink"/>
          </w:rPr>
          <w:t xml:space="preserve">[16]</w:t>
        </w:r>
      </w:hyperlink>
      <w:r>
        <w:t xml:space="preserve">. The space traffic management literature on large constellations has documented the self reporting and aggregated realized risk frameworks operators such as OneWeb now use to manage that population [14, 25]. The autonomy and swarm control literature has documented the methodological pluralism distributed mission management now requires [5, 24, 29, 31]. The radiation hardness assurance literature has documented the verification burden that follows from commercial avionics in the orbital environment</w:t>
      </w:r>
      <w:r>
        <w:t xml:space="preserve"> </w:t>
      </w:r>
      <w:hyperlink w:anchor="ref-30">
        <w:r>
          <w:rPr>
            <w:rStyle w:val="Hyperlink"/>
          </w:rPr>
          <w:t xml:space="preserve">[30]</w:t>
        </w:r>
      </w:hyperlink>
      <w:r>
        <w:t xml:space="preserve">. And the autonomous navigation literature has documented the diffusion of supervised learning controllers and X ray pulsar navigation systems that further extend onboard authority [6, 32, 34]. The dissertation gathers these strands into one argument. Architectural choices made under the cost gradient are at the same time statecraft choices, and pricing the brittleness exposure of those choices is a regulatory and strategic obligation, not an engineering preference.</w:t>
      </w:r>
    </w:p>
    <w:bookmarkEnd w:id="136"/>
    <w:bookmarkStart w:id="137" w:name="limitations-acknowledged"/>
    <w:p>
      <w:pPr>
        <w:pStyle w:val="Heading2"/>
        <w:spacing w:line="480" w:lineRule="auto"/>
      </w:pPr>
      <w:r>
        <w:t xml:space="preserve">8.4 Limitations Acknowledged</w:t>
      </w:r>
    </w:p>
    <w:p>
      <w:pPr>
        <w:pStyle w:val="FirstParagraph"/>
        <w:spacing w:line="480" w:lineRule="auto"/>
      </w:pPr>
      <w:r>
        <w:t xml:space="preserve">The dissertation acknowledges four limitations that bound the contribution.</w:t>
      </w:r>
    </w:p>
    <w:p>
      <w:pPr>
        <w:pStyle w:val="BodyText"/>
        <w:spacing w:line="480" w:lineRule="auto"/>
        <w:ind w:firstLine="720"/>
      </w:pPr>
      <w:r>
        <w:t xml:space="preserve">The first is measurement. Stack composition is built from public filings that under disclose proprietary components, and the coarsening strategy described in the prospectus deliberately biases the diversity index toward zero. That biases the estimated hazard ratio toward the null, conservative for a rejection and yet understating the true survivability effect under H1.</w:t>
      </w:r>
    </w:p>
    <w:p>
      <w:pPr>
        <w:pStyle w:val="BodyText"/>
        <w:spacing w:line="480" w:lineRule="auto"/>
        <w:ind w:firstLine="720"/>
      </w:pPr>
      <w:r>
        <w:t xml:space="preserve">The second is sample. The NASA robotic fleet that anchors the survival paper holds twenty eight missions and twenty five events, which produces wide standard errors on every covariate. The full dissertation panel of vehicle quarters across the active on orbit population runs larger by orders of magnitude, and it inherits the disclosure limits of the underlying filings.</w:t>
      </w:r>
    </w:p>
    <w:p>
      <w:pPr>
        <w:pStyle w:val="BodyText"/>
        <w:spacing w:line="480" w:lineRule="auto"/>
        <w:ind w:firstLine="720"/>
      </w:pPr>
      <w:r>
        <w:t xml:space="preserve">The third is identification. Selection into stack diversity is not random, because better resourced operators may invest in diverse software and in independent reliability practices at once. Operator fixed effects absorb the time invariant component of that confound and the within operator rollouts identify the remainder, and unobserved time varying investments in reliability practice cannot be ruled out without instrumental variation the public record does not yet supply.</w:t>
      </w:r>
    </w:p>
    <w:p>
      <w:pPr>
        <w:pStyle w:val="BodyText"/>
        <w:spacing w:line="480" w:lineRule="auto"/>
        <w:ind w:firstLine="720"/>
      </w:pPr>
      <w:r>
        <w:t xml:space="preserve">The fourth is structural change. The autonomy software population is itself in motion as supervised learning based controllers diffuse [6, 34] and bioinspired consensus protocols enter operational fleets</w:t>
      </w:r>
      <w:r>
        <w:t xml:space="preserve"> </w:t>
      </w:r>
      <w:hyperlink w:anchor="ref-31">
        <w:r>
          <w:rPr>
            <w:rStyle w:val="Hyperlink"/>
          </w:rPr>
          <w:t xml:space="preserve">[31]</w:t>
        </w:r>
      </w:hyperlink>
      <w:r>
        <w:t xml:space="preserve">. The dissertation reports results separately for the pre and post 2022 cohorts, and generalization beyond the sample period stays conditional on the architectural stability of the underlying stack population.</w:t>
      </w:r>
    </w:p>
    <w:bookmarkEnd w:id="137"/>
    <w:bookmarkStart w:id="138" w:name="future-work"/>
    <w:p>
      <w:pPr>
        <w:pStyle w:val="Heading2"/>
        <w:spacing w:line="480" w:lineRule="auto"/>
      </w:pPr>
      <w:r>
        <w:t xml:space="preserve">8.5 Future Work</w:t>
      </w:r>
    </w:p>
    <w:p>
      <w:pPr>
        <w:pStyle w:val="FirstParagraph"/>
        <w:spacing w:line="480" w:lineRule="auto"/>
      </w:pPr>
      <w:r>
        <w:t xml:space="preserve">Four extensions follow naturally from the contribution. The full panel Cox estimate should reach ESA, JAXA, and commercial missions, carrying interaction terms between autonomy and diversity rather than main effects alone, in the manner the first empirical paper suggests. The Wright’s Law estimate should gain operator fixed effects, a separation of hardware from software learning, and quality adjusted cost measures where filings permit. The brittleness specification should be paired with the self reporting aggregated realized risk frameworks large constellation operators now publish</w:t>
      </w:r>
      <w:r>
        <w:t xml:space="preserve"> </w:t>
      </w:r>
      <w:hyperlink w:anchor="ref-25">
        <w:r>
          <w:rPr>
            <w:rStyle w:val="Hyperlink"/>
          </w:rPr>
          <w:t xml:space="preserve">[25]</w:t>
        </w:r>
      </w:hyperlink>
      <w:r>
        <w:t xml:space="preserve">, so the survivability hazard is expressed in the same units operators already use for collision risk. And the cross checking architectures the hybrid fault management literature has proposed [10, 11, 26] should be evaluated as a moderating variable in the joint specification, so successor work can tell the survivability of diverse stacks paired with cross checking from the survivability of diverse stacks deployed without it.</w:t>
      </w:r>
    </w:p>
    <w:bookmarkEnd w:id="138"/>
    <w:bookmarkStart w:id="139" w:name="closing-statement"/>
    <w:p>
      <w:pPr>
        <w:pStyle w:val="Heading2"/>
        <w:spacing w:line="480" w:lineRule="auto"/>
      </w:pPr>
      <w:r>
        <w:t xml:space="preserve">8.6 Closing Statement</w:t>
      </w:r>
    </w:p>
    <w:p>
      <w:pPr>
        <w:pStyle w:val="FirstParagraph"/>
        <w:spacing w:line="480" w:lineRule="auto"/>
      </w:pPr>
      <w:r>
        <w:t xml:space="preserve">Against the prevailing engineering presumption that convergence is efficient, the dissertation has argued that the same learning curve dynamics that made constellation deployment economically feasible have also concentrated systemic risk inside a small number of autonomy and flight software stacks. It has supplied the joint specification under which that risk can be priced, the cost side estimate that confirms the gradient driving convergence, and a constructive negative result on the heritage NASA fleet that shifts the burden of proof toward diverse architectures with explicit cross checking. The closing claim is modest and consequential. Space infrastructure has matured into a load bearing layer of the global economy and an instrument of statecraft. The choices that fly that infrastructure are no longer matters of engineering taste alone. They are choices about the distribution of correlated outage hazard across the global economy. The dissertation has supplied the empirical vocabulary in which those choices can be made explicit. Whether operators, regulators, and the academic community use that vocabulary will decide whether the next decade of constellation deployment buys resilience or compounds brittleness. The case for diversity, paired with cross checking, is the case this dissertation has made.</w:t>
      </w:r>
    </w:p>
    <w:bookmarkEnd w:id="139"/>
    <w:bookmarkStart w:id="191" w:name="references"/>
    <w:p>
      <w:pPr>
        <w:pStyle w:val="Heading2"/>
        <w:spacing w:line="480" w:lineRule="auto"/>
      </w:pPr>
      <w:r>
        <w:t xml:space="preserve">References</w:t>
      </w:r>
    </w:p>
    <w:p>
      <w:pPr>
        <w:pStyle w:val="FirstParagraph"/>
        <w:spacing w:line="480" w:lineRule="auto"/>
      </w:pPr>
      <w:bookmarkStart w:id="140" w:name="ref-1"/>
      <w:bookmarkEnd w:id="140"/>
      <w:r>
        <w:t xml:space="preserve">1. MITRE econometric study on satellite reliance among Fortune 500 and Fortune 100 companies, 1994 to 2024, framed alongside digital traceability as a confidence building measure and instrument of economic statecraft. Space Economy Papers source SD05 digest.</w:t>
      </w:r>
    </w:p>
    <w:p>
      <w:pPr>
        <w:pStyle w:val="BodyText"/>
        <w:spacing w:line="480" w:lineRule="auto"/>
        <w:ind w:firstLine="720"/>
      </w:pPr>
      <w:bookmarkStart w:id="141" w:name="ref-2"/>
      <w:bookmarkEnd w:id="141"/>
      <w:r>
        <w:t xml:space="preserve">2. International Relations and Economic Dimensions of Trusted Space Data. Space Economy Papers source SD05.</w:t>
      </w:r>
    </w:p>
    <w:p>
      <w:pPr>
        <w:pStyle w:val="BodyText"/>
        <w:spacing w:line="480" w:lineRule="auto"/>
        <w:ind w:firstLine="720"/>
      </w:pPr>
      <w:bookmarkStart w:id="142" w:name="ref-3"/>
      <w:bookmarkEnd w:id="142"/>
      <w:r>
        <w:t xml:space="preserve">3. M. Sturza, M. Dankberg, and W. Blount, Resilience of LEO Constellations to Accidental and Intentional Fragmentation Events, Advanced Maui Optical and Space Surveillance Technologies Conference, 2024. doi:</w:t>
      </w:r>
      <w:r>
        <w:t xml:space="preserve"> </w:t>
      </w:r>
      <w:hyperlink r:id="rId143">
        <w:r>
          <w:rPr>
            <w:rStyle w:val="Hyperlink"/>
          </w:rPr>
          <w:t xml:space="preserve">10.64861/ZFDQ4641</w:t>
        </w:r>
      </w:hyperlink>
      <w:r>
        <w:t xml:space="preserve">.</w:t>
      </w:r>
    </w:p>
    <w:p>
      <w:pPr>
        <w:pStyle w:val="BodyText"/>
        <w:spacing w:line="480" w:lineRule="auto"/>
        <w:ind w:firstLine="720"/>
      </w:pPr>
      <w:bookmarkStart w:id="144" w:name="ref-4"/>
      <w:bookmarkEnd w:id="144"/>
      <w:r>
        <w:t xml:space="preserve">4. E. Lagona, S. Hilton, M. Afful, A. Gardi, and R. Sabatini, Autonomous Trajectory Optimisation for Intelligent Satellite Systems and Space Traffic Management, Acta Astronautica, vol. 194, 2022. doi:</w:t>
      </w:r>
      <w:r>
        <w:t xml:space="preserve"> </w:t>
      </w:r>
      <w:hyperlink r:id="rId145">
        <w:r>
          <w:rPr>
            <w:rStyle w:val="Hyperlink"/>
          </w:rPr>
          <w:t xml:space="preserve">10.1016/j.actaastro.2022.01.027</w:t>
        </w:r>
      </w:hyperlink>
      <w:r>
        <w:t xml:space="preserve">.</w:t>
      </w:r>
    </w:p>
    <w:p>
      <w:pPr>
        <w:pStyle w:val="BodyText"/>
        <w:spacing w:line="480" w:lineRule="auto"/>
        <w:ind w:firstLine="720"/>
      </w:pPr>
      <w:bookmarkStart w:id="146" w:name="ref-5"/>
      <w:bookmarkEnd w:id="146"/>
      <w:r>
        <w:t xml:space="preserve">5. M. R. Jabbarpour, Q. B. Vo, G. El-Dalahmeh, H. Tahir, R. Kowalczyk, T. Bessell, and J. Barr, Agent based approaches for distributed space systems and mission management: Methodologies, current practices and challenges, Acta Astronautica, vol. 238, 2025. doi:</w:t>
      </w:r>
      <w:r>
        <w:t xml:space="preserve"> </w:t>
      </w:r>
      <w:hyperlink r:id="rId147">
        <w:r>
          <w:rPr>
            <w:rStyle w:val="Hyperlink"/>
          </w:rPr>
          <w:t xml:space="preserve">10.1016/j.actaastro.2025.10.018</w:t>
        </w:r>
      </w:hyperlink>
      <w:r>
        <w:t xml:space="preserve">.</w:t>
      </w:r>
    </w:p>
    <w:p>
      <w:pPr>
        <w:pStyle w:val="BodyText"/>
        <w:spacing w:line="480" w:lineRule="auto"/>
        <w:ind w:firstLine="720"/>
      </w:pPr>
      <w:bookmarkStart w:id="148" w:name="ref-6"/>
      <w:bookmarkEnd w:id="148"/>
      <w:r>
        <w:t xml:space="preserve">6. X. Fu and S. Soldini, Autonomous orbital maintenance using a supervised learning based target point approach, Acta Astronautica, vol. 244, 2026. doi:</w:t>
      </w:r>
      <w:r>
        <w:t xml:space="preserve"> </w:t>
      </w:r>
      <w:hyperlink r:id="rId149">
        <w:r>
          <w:rPr>
            <w:rStyle w:val="Hyperlink"/>
          </w:rPr>
          <w:t xml:space="preserve">10.1016/j.actaastro.2026.02.008</w:t>
        </w:r>
      </w:hyperlink>
      <w:r>
        <w:t xml:space="preserve">.</w:t>
      </w:r>
    </w:p>
    <w:p>
      <w:pPr>
        <w:pStyle w:val="BodyText"/>
        <w:spacing w:line="480" w:lineRule="auto"/>
        <w:ind w:firstLine="720"/>
      </w:pPr>
      <w:bookmarkStart w:id="150" w:name="ref-7"/>
      <w:bookmarkEnd w:id="150"/>
      <w:r>
        <w:t xml:space="preserve">7. SFA Space Economy and Integrated Deterrence. Space Economy Papers source SD10.</w:t>
      </w:r>
    </w:p>
    <w:p>
      <w:pPr>
        <w:pStyle w:val="BodyText"/>
        <w:spacing w:line="480" w:lineRule="auto"/>
        <w:ind w:firstLine="720"/>
      </w:pPr>
      <w:bookmarkStart w:id="151" w:name="ref-8"/>
      <w:bookmarkEnd w:id="151"/>
      <w:r>
        <w:t xml:space="preserve">8. J. Kruger and S. D’Amico, Autonomous angles only multitarget tracking for spacecraft swarms, Acta Astronautica, vol. 189, 2021. doi:</w:t>
      </w:r>
      <w:r>
        <w:t xml:space="preserve"> </w:t>
      </w:r>
      <w:hyperlink r:id="rId152">
        <w:r>
          <w:rPr>
            <w:rStyle w:val="Hyperlink"/>
          </w:rPr>
          <w:t xml:space="preserve">10.1016/j.actaastro.2021.08.049</w:t>
        </w:r>
      </w:hyperlink>
      <w:r>
        <w:t xml:space="preserve">.</w:t>
      </w:r>
    </w:p>
    <w:p>
      <w:pPr>
        <w:pStyle w:val="BodyText"/>
        <w:spacing w:line="480" w:lineRule="auto"/>
        <w:ind w:firstLine="720"/>
      </w:pPr>
      <w:bookmarkStart w:id="153" w:name="ref-9"/>
      <w:bookmarkEnd w:id="153"/>
      <w:r>
        <w:t xml:space="preserve">9. U.S. Government Accountability Office. NASA: Assessments of Major Projects, GAO-23-106021. Washington, DC, 2023.</w:t>
      </w:r>
    </w:p>
    <w:p>
      <w:pPr>
        <w:pStyle w:val="BodyText"/>
        <w:spacing w:line="480" w:lineRule="auto"/>
        <w:ind w:firstLine="720"/>
      </w:pPr>
      <w:bookmarkStart w:id="154" w:name="ref-10"/>
      <w:bookmarkEnd w:id="154"/>
      <w:r>
        <w:t xml:space="preserve">10. R. Stottler, S. Ramachandran, C. Belardi, and R. Mandayam. On-board, Autonomous, Hybrid Spacecraft Subsystem Fault and Anomaly Detection, Diagnosis, and Recovery. Proc. Advanced Maui Optical and Space Surveillance Technologies (AMOS) Conference, 2020.</w:t>
      </w:r>
    </w:p>
    <w:p>
      <w:pPr>
        <w:pStyle w:val="BodyText"/>
        <w:spacing w:line="480" w:lineRule="auto"/>
        <w:ind w:firstLine="720"/>
      </w:pPr>
      <w:bookmarkStart w:id="155" w:name="ref-11"/>
      <w:bookmarkEnd w:id="155"/>
      <w:r>
        <w:t xml:space="preserve">11. R. Stottler, S. Ramachandran, C. Healy, A. Singhal, K. Quinn, J. Palmieri, and S. Logan. Autonomous, Hybrid Space System Fault and Anomaly Detection, Diagnosis, Root Cause Determination, and Recovery. Proc. Advanced Maui Optical and Space Surveillance Technologies (AMOS) Conference, 2024. doi:</w:t>
      </w:r>
      <w:r>
        <w:t xml:space="preserve"> </w:t>
      </w:r>
      <w:hyperlink r:id="rId156">
        <w:r>
          <w:rPr>
            <w:rStyle w:val="Hyperlink"/>
          </w:rPr>
          <w:t xml:space="preserve">10.64861/FLIA6056</w:t>
        </w:r>
      </w:hyperlink>
    </w:p>
    <w:p>
      <w:pPr>
        <w:pStyle w:val="BodyText"/>
        <w:spacing w:line="480" w:lineRule="auto"/>
        <w:ind w:firstLine="720"/>
      </w:pPr>
      <w:bookmarkStart w:id="157" w:name="ref-12"/>
      <w:bookmarkEnd w:id="157"/>
      <w:r>
        <w:t xml:space="preserve">12. NASA. Mars Climate Orbiter Mishap Investigation Board Phase I Report. NTRS 19990116566, 1999.</w:t>
      </w:r>
    </w:p>
    <w:p>
      <w:pPr>
        <w:pStyle w:val="BodyText"/>
        <w:spacing w:line="480" w:lineRule="auto"/>
        <w:ind w:firstLine="720"/>
      </w:pPr>
      <w:bookmarkStart w:id="158" w:name="ref-13"/>
      <w:bookmarkEnd w:id="158"/>
      <w:r>
        <w:t xml:space="preserve">13. NASA Jet Propulsion Laboratory. Report on the Loss of the Mars Polar Lander and Deep Space 2 Missions, JPL D-18709, 2000.</w:t>
      </w:r>
    </w:p>
    <w:p>
      <w:pPr>
        <w:pStyle w:val="BodyText"/>
        <w:spacing w:line="480" w:lineRule="auto"/>
        <w:ind w:firstLine="720"/>
      </w:pPr>
      <w:bookmarkStart w:id="159" w:name="ref-14"/>
      <w:bookmarkEnd w:id="159"/>
      <w:r>
        <w:t xml:space="preserve">14. M. E. Sorge, D. Alary, F. Lacomba, H. Tung, and B. Singh, Space traffic management: Large constellations, Acta Astronautica, vol. 229, 2025. doi:</w:t>
      </w:r>
      <w:r>
        <w:t xml:space="preserve"> </w:t>
      </w:r>
      <w:hyperlink r:id="rId160">
        <w:r>
          <w:rPr>
            <w:rStyle w:val="Hyperlink"/>
          </w:rPr>
          <w:t xml:space="preserve">10.1016/j.actaastro.2025.01.043</w:t>
        </w:r>
      </w:hyperlink>
      <w:r>
        <w:t xml:space="preserve">.</w:t>
      </w:r>
    </w:p>
    <w:p>
      <w:pPr>
        <w:pStyle w:val="BodyText"/>
        <w:spacing w:line="480" w:lineRule="auto"/>
        <w:ind w:firstLine="720"/>
      </w:pPr>
      <w:bookmarkStart w:id="161" w:name="ref-15"/>
      <w:bookmarkEnd w:id="161"/>
      <w:r>
        <w:t xml:space="preserve">15. OCEA, Forecasting the Space Economy, Space Economy Papers source SD08.</w:t>
      </w:r>
    </w:p>
    <w:p>
      <w:pPr>
        <w:pStyle w:val="BodyText"/>
        <w:spacing w:line="480" w:lineRule="auto"/>
        <w:ind w:firstLine="720"/>
      </w:pPr>
      <w:bookmarkStart w:id="162" w:name="ref-16"/>
      <w:bookmarkEnd w:id="162"/>
      <w:r>
        <w:t xml:space="preserve">16. Architectural Socio-Technological Transformative Change of Space-Use Norms, Space Economy Papers source SD03, Chapter 5 on Architecture for Reduction of Satellite Systems’ Total Acquisition Cost.</w:t>
      </w:r>
    </w:p>
    <w:p>
      <w:pPr>
        <w:pStyle w:val="BodyText"/>
        <w:spacing w:line="480" w:lineRule="auto"/>
        <w:ind w:firstLine="720"/>
      </w:pPr>
      <w:bookmarkStart w:id="163" w:name="ref-17"/>
      <w:bookmarkEnd w:id="163"/>
      <w:r>
        <w:t xml:space="preserve">17. C. Reglero Andres et al., Reducing Decision Time for on-orbit Operations with Virtualized Ground Stations and Machine Learning, Advanced Maui Optical and Space Surveillance Technologies Conference, 2022.</w:t>
      </w:r>
    </w:p>
    <w:p>
      <w:pPr>
        <w:pStyle w:val="BodyText"/>
        <w:spacing w:line="480" w:lineRule="auto"/>
        <w:ind w:firstLine="720"/>
      </w:pPr>
      <w:bookmarkStart w:id="164" w:name="ref-18"/>
      <w:bookmarkEnd w:id="164"/>
      <w:r>
        <w:t xml:space="preserve">18. J. C. Green, T. P. O’Brien, and R. Quin, Monitoring and Managing Space Weather Impacts to Satellite Constellations, Advanced Maui Optical and Space Surveillance Technologies Conference, 2022.</w:t>
      </w:r>
    </w:p>
    <w:p>
      <w:pPr>
        <w:pStyle w:val="BodyText"/>
        <w:spacing w:line="480" w:lineRule="auto"/>
        <w:ind w:firstLine="720"/>
      </w:pPr>
      <w:bookmarkStart w:id="165" w:name="ref-19"/>
      <w:bookmarkEnd w:id="165"/>
      <w:r>
        <w:t xml:space="preserve">19. United States Government Accountability Office, GPS III Acquisition Outlook, GAO-19-250SP, 2019.</w:t>
      </w:r>
    </w:p>
    <w:p>
      <w:pPr>
        <w:pStyle w:val="BodyText"/>
        <w:spacing w:line="480" w:lineRule="auto"/>
        <w:ind w:firstLine="720"/>
      </w:pPr>
      <w:bookmarkStart w:id="166" w:name="ref-20"/>
      <w:bookmarkEnd w:id="166"/>
      <w:r>
        <w:t xml:space="preserve">20. United States Government Accountability Office, DoD Weapon Systems Annual Assessment, GAO-23-106059, 2023.</w:t>
      </w:r>
    </w:p>
    <w:p>
      <w:pPr>
        <w:pStyle w:val="BodyText"/>
        <w:spacing w:line="480" w:lineRule="auto"/>
        <w:ind w:firstLine="720"/>
      </w:pPr>
      <w:bookmarkStart w:id="167" w:name="ref-21"/>
      <w:bookmarkEnd w:id="167"/>
      <w:r>
        <w:t xml:space="preserve">21. Robert Carden, MITRE; Dustin Burchett, MITRE; Harvey Reed, MITRE. SNARE (Sensor Network Autonomous Resilient Extensible): Decentralized Sensor Tasking Improves SDA Tactical Relevance (2021).</w:t>
      </w:r>
    </w:p>
    <w:p>
      <w:pPr>
        <w:pStyle w:val="BodyText"/>
        <w:spacing w:line="480" w:lineRule="auto"/>
        <w:ind w:firstLine="720"/>
      </w:pPr>
      <w:bookmarkStart w:id="168" w:name="ref-22"/>
      <w:bookmarkEnd w:id="168"/>
      <w:r>
        <w:t xml:space="preserve">22.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69">
        <w:r>
          <w:rPr>
            <w:rStyle w:val="Hyperlink"/>
          </w:rPr>
          <w:t xml:space="preserve">10.64861/XQCN3213</w:t>
        </w:r>
      </w:hyperlink>
    </w:p>
    <w:p>
      <w:pPr>
        <w:pStyle w:val="BodyText"/>
        <w:spacing w:line="480" w:lineRule="auto"/>
        <w:ind w:firstLine="720"/>
      </w:pPr>
      <w:bookmarkStart w:id="170" w:name="ref-23"/>
      <w:bookmarkEnd w:id="170"/>
      <w:r>
        <w:t xml:space="preserve">23. Filippo Fonseca, Yale University; Owen Pinhasi, Yale University; Zachary Zitzewitz, Yale University. Uncorrelated Track (UCT) Processing: Establishing Efficient Algorithmic Treatment and Benchmarking Best Practices for Space Domain Awareness (SDA) (2025). doi:</w:t>
      </w:r>
      <w:r>
        <w:t xml:space="preserve"> </w:t>
      </w:r>
      <w:hyperlink r:id="rId171">
        <w:r>
          <w:rPr>
            <w:rStyle w:val="Hyperlink"/>
          </w:rPr>
          <w:t xml:space="preserve">10.64861/FJYT8606</w:t>
        </w:r>
      </w:hyperlink>
    </w:p>
    <w:p>
      <w:pPr>
        <w:pStyle w:val="BodyText"/>
        <w:spacing w:line="480" w:lineRule="auto"/>
        <w:ind w:firstLine="720"/>
      </w:pPr>
      <w:bookmarkStart w:id="172" w:name="ref-24"/>
      <w:bookmarkEnd w:id="172"/>
      <w:r>
        <w:t xml:space="preserve">24. Louis Marketos, Design_Net Engineering. Leveraging the Space Plug-and-Play Avionics (SPA) Standard to Enable Constellation-level Collaborative Autonomy (2009).</w:t>
      </w:r>
    </w:p>
    <w:p>
      <w:pPr>
        <w:pStyle w:val="BodyText"/>
        <w:spacing w:line="480" w:lineRule="auto"/>
        <w:ind w:firstLine="720"/>
      </w:pPr>
      <w:bookmarkStart w:id="173" w:name="ref-25"/>
      <w:bookmarkEnd w:id="173"/>
      <w:r>
        <w:t xml:space="preserve">25. Pablo Minguijon Pallas, Eutelsat Group; Calum Hervieu, Eutelsat Group; Ignacio Dominguez-Adame Palomo, Eutelsat Group. Space Traffic Management Performance for Large Constellations – A Self-reporting Aggregated Realized Risk Approach from the OneWeb Constellation (2025). doi:</w:t>
      </w:r>
      <w:r>
        <w:t xml:space="preserve"> </w:t>
      </w:r>
      <w:hyperlink r:id="rId174">
        <w:r>
          <w:rPr>
            <w:rStyle w:val="Hyperlink"/>
          </w:rPr>
          <w:t xml:space="preserve">10.64861/AJUV7773</w:t>
        </w:r>
      </w:hyperlink>
    </w:p>
    <w:p>
      <w:pPr>
        <w:pStyle w:val="BodyText"/>
        <w:spacing w:line="480" w:lineRule="auto"/>
        <w:ind w:firstLine="720"/>
      </w:pPr>
      <w:bookmarkStart w:id="175" w:name="ref-26"/>
      <w:bookmarkEnd w:id="175"/>
      <w:r>
        <w:t xml:space="preserve">26. Richard Stottler, Stottler Henke Associates, Inc.; Sowmya Ramachandran, Stottler Henke Associates, Inc.; Christian Belardi, Stottler Henke Associates, Inc.; Rocky Mandayam, Stottler Henke Associates, Inc.. On-board, Autonomous, Hybrid Spacecraft Subsystem Fault and Anomaly Detection, Diagnosis, and Recovery (2020).</w:t>
      </w:r>
    </w:p>
    <w:p>
      <w:pPr>
        <w:pStyle w:val="BodyText"/>
        <w:spacing w:line="480" w:lineRule="auto"/>
        <w:ind w:firstLine="720"/>
      </w:pPr>
      <w:bookmarkStart w:id="176" w:name="ref-27"/>
      <w:bookmarkEnd w:id="176"/>
      <w:r>
        <w:t xml:space="preserve">27. Edward Gregson, Dalhousie University; Mae Seto, Dalhousie University; Bumsoo Kim, Defence R&amp;D Canada. Autonomy Testbed Development for Satellite Debris Avoidance (2018).</w:t>
      </w:r>
    </w:p>
    <w:p>
      <w:pPr>
        <w:pStyle w:val="BodyText"/>
        <w:spacing w:line="480" w:lineRule="auto"/>
        <w:ind w:firstLine="720"/>
      </w:pPr>
      <w:bookmarkStart w:id="177" w:name="ref-28"/>
      <w:bookmarkEnd w:id="177"/>
      <w:r>
        <w:t xml:space="preserve">28. Keith Morris (Lockheed Martin Space Systems Company), Chris Rice (Lockheed Martin Space Systems Company), Eugene Little (Lockheed Martin Space Systems Company). Relative Cost and Performance Comparison of GEO Space Situational Awareness Architectures (2014).</w:t>
      </w:r>
    </w:p>
    <w:p>
      <w:pPr>
        <w:pStyle w:val="BodyText"/>
        <w:spacing w:line="480" w:lineRule="auto"/>
        <w:ind w:firstLine="720"/>
      </w:pPr>
      <w:bookmarkStart w:id="178" w:name="ref-29"/>
      <w:bookmarkEnd w:id="178"/>
      <w:r>
        <w:t xml:space="preserve">29.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47">
        <w:r>
          <w:rPr>
            <w:rStyle w:val="Hyperlink"/>
          </w:rPr>
          <w:t xml:space="preserve">10.1016/j.actaastro.2025.10.018</w:t>
        </w:r>
      </w:hyperlink>
    </w:p>
    <w:p>
      <w:pPr>
        <w:pStyle w:val="BodyText"/>
        <w:spacing w:line="480" w:lineRule="auto"/>
        <w:ind w:firstLine="720"/>
      </w:pPr>
      <w:bookmarkStart w:id="179" w:name="ref-30"/>
      <w:bookmarkEnd w:id="179"/>
      <w:r>
        <w:t xml:space="preserve">30. Jasper Dijks; Sybren de Jong; Alessandra Menicucci; Iklim Akay. Systematic review of engineering and testing approaches for radiation hardness assurance in commercial space avionics (2025). doi:</w:t>
      </w:r>
      <w:r>
        <w:t xml:space="preserve"> </w:t>
      </w:r>
      <w:hyperlink r:id="rId180">
        <w:r>
          <w:rPr>
            <w:rStyle w:val="Hyperlink"/>
          </w:rPr>
          <w:t xml:space="preserve">10.1016/j.actaastro.2025.07.055</w:t>
        </w:r>
      </w:hyperlink>
    </w:p>
    <w:p>
      <w:pPr>
        <w:pStyle w:val="BodyText"/>
        <w:spacing w:line="480" w:lineRule="auto"/>
        <w:ind w:firstLine="720"/>
      </w:pPr>
      <w:bookmarkStart w:id="181" w:name="ref-31"/>
      <w:bookmarkEnd w:id="181"/>
      <w:r>
        <w:t xml:space="preserve">31. El Ghali Asri; Zheng Zhu. Bioinspired consensus-based spacecraft swarm control for autonomous capture of uncooperative targets (2025). doi:</w:t>
      </w:r>
      <w:r>
        <w:t xml:space="preserve"> </w:t>
      </w:r>
      <w:hyperlink r:id="rId182">
        <w:r>
          <w:rPr>
            <w:rStyle w:val="Hyperlink"/>
          </w:rPr>
          <w:t xml:space="preserve">10.1016/j.actaastro.2025.05.009</w:t>
        </w:r>
      </w:hyperlink>
    </w:p>
    <w:p>
      <w:pPr>
        <w:pStyle w:val="BodyText"/>
        <w:spacing w:line="480" w:lineRule="auto"/>
        <w:ind w:firstLine="720"/>
      </w:pPr>
      <w:bookmarkStart w:id="183" w:name="ref-32"/>
      <w:bookmarkEnd w:id="183"/>
      <w:r>
        <w:t xml:space="preserve">32. Sui Chen; E. Parent; N. Rea; Francesco Topputo. Pulsar selection criteria and performance evaluation of autonomous X-ray pulsar navigation systems (2026). doi:</w:t>
      </w:r>
      <w:r>
        <w:t xml:space="preserve"> </w:t>
      </w:r>
      <w:hyperlink r:id="rId184">
        <w:r>
          <w:rPr>
            <w:rStyle w:val="Hyperlink"/>
          </w:rPr>
          <w:t xml:space="preserve">10.1016/j.actaastro.2026.04.039</w:t>
        </w:r>
      </w:hyperlink>
    </w:p>
    <w:p>
      <w:pPr>
        <w:pStyle w:val="BodyText"/>
        <w:spacing w:line="480" w:lineRule="auto"/>
        <w:ind w:firstLine="720"/>
      </w:pPr>
      <w:bookmarkStart w:id="185" w:name="ref-33"/>
      <w:bookmarkEnd w:id="185"/>
      <w:r>
        <w:t xml:space="preserve">33. Enrico Lagona; Samuel Hilton; Michael Afful; Alessandro Gardi; Roberto Sabatini. Autonomous Trajectory Optimisation for Intelligent Satellite Systems and Space Traffic Management (2022). doi:</w:t>
      </w:r>
      <w:r>
        <w:t xml:space="preserve"> </w:t>
      </w:r>
      <w:hyperlink r:id="rId145">
        <w:r>
          <w:rPr>
            <w:rStyle w:val="Hyperlink"/>
          </w:rPr>
          <w:t xml:space="preserve">10.1016/j.actaastro.2022.01.027</w:t>
        </w:r>
      </w:hyperlink>
    </w:p>
    <w:p>
      <w:pPr>
        <w:pStyle w:val="BodyText"/>
        <w:spacing w:line="480" w:lineRule="auto"/>
        <w:ind w:firstLine="720"/>
      </w:pPr>
      <w:bookmarkStart w:id="186" w:name="ref-34"/>
      <w:bookmarkEnd w:id="186"/>
      <w:r>
        <w:t xml:space="preserve">34. Xiaoyu Fu; Stefania Soldini. Autonomous orbital maintenance using a supervised-learning-based target point approach (2026). doi:</w:t>
      </w:r>
      <w:r>
        <w:t xml:space="preserve"> </w:t>
      </w:r>
      <w:hyperlink r:id="rId149">
        <w:r>
          <w:rPr>
            <w:rStyle w:val="Hyperlink"/>
          </w:rPr>
          <w:t xml:space="preserve">10.1016/j.actaastro.2026.02.008</w:t>
        </w:r>
      </w:hyperlink>
    </w:p>
    <w:p>
      <w:pPr>
        <w:pStyle w:val="BodyText"/>
        <w:spacing w:line="480" w:lineRule="auto"/>
        <w:ind w:firstLine="720"/>
      </w:pPr>
      <w:bookmarkStart w:id="187" w:name="ref-35"/>
      <w:bookmarkEnd w:id="187"/>
      <w:r>
        <w:t xml:space="preserve">35. Marcelo Tramontin Souza. An overview of 3D printing Mars habitats using in-situ resources: materials, processing, structural challenges, and prospects (2026). doi:</w:t>
      </w:r>
      <w:r>
        <w:t xml:space="preserve"> </w:t>
      </w:r>
      <w:hyperlink r:id="rId188">
        <w:r>
          <w:rPr>
            <w:rStyle w:val="Hyperlink"/>
          </w:rPr>
          <w:t xml:space="preserve">10.1016/j.actaastro.2026.05.055</w:t>
        </w:r>
      </w:hyperlink>
    </w:p>
    <w:p>
      <w:pPr>
        <w:pStyle w:val="BodyText"/>
        <w:spacing w:line="480" w:lineRule="auto"/>
        <w:ind w:firstLine="720"/>
      </w:pPr>
      <w:bookmarkStart w:id="189" w:name="ref-36"/>
      <w:bookmarkEnd w:id="189"/>
      <w:r>
        <w:t xml:space="preserve">36. Tor Blomqvist; Ralph Fritsche. From production to food systems: A systems-level review of drivers, requirements, and integration for Lunar and Martian food systems (2026). doi:</w:t>
      </w:r>
      <w:r>
        <w:t xml:space="preserve"> </w:t>
      </w:r>
      <w:hyperlink r:id="rId190">
        <w:r>
          <w:rPr>
            <w:rStyle w:val="Hyperlink"/>
          </w:rPr>
          <w:t xml:space="preserve">10.1016/j.actaastro.2026.02.021</w:t>
        </w:r>
      </w:hyperlink>
    </w:p>
    <w:bookmarkEnd w:id="191"/>
    <w:bookmarkEnd w:id="192"/>
    <w:bookmarkStart w:id="20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0" w:name="Xa3a980c91b96744d96e448f7b9be8f86a3a8fa5"/>
    <w:p>
      <w:pPr>
        <w:pStyle w:val="Heading2"/>
        <w:spacing w:line="480" w:lineRule="auto"/>
      </w:pPr>
      <w:r>
        <w:t xml:space="preserve">A.1 Stack Diversity, Autonomy, and Time to First Major Anomaly: A Cox Survival Analysis of 28 NASA Robotic Missions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r>
            <m:rPr>
              <m:sty m:val="p"/>
            </m:rPr>
            <m:t>s</m:t>
          </m:r>
          <m:r>
            <m:rPr>
              <m:sty m:val="p"/>
            </m:rPr>
            <m:t>t</m:t>
          </m:r>
          <m:r>
            <m:rPr>
              <m:sty m:val="p"/>
            </m:rPr>
            <m:t>a</m:t>
          </m:r>
          <m:r>
            <m:rPr>
              <m:sty m:val="p"/>
            </m:rPr>
            <m:t>c</m:t>
          </m:r>
          <m:r>
            <m:rPr>
              <m:sty m:val="p"/>
            </m:rPr>
            <m:t>k</m:t>
          </m:r>
          <m:r>
            <m:rPr>
              <m:sty m:val="p"/>
            </m:rPr>
            <m:t>_</m:t>
          </m:r>
          <m:r>
            <m:rPr>
              <m:sty m:val="p"/>
            </m:rPr>
            <m:t>d</m:t>
          </m:r>
          <m:r>
            <m:rPr>
              <m:sty m:val="p"/>
            </m:rPr>
            <m:t>i</m:t>
          </m:r>
          <m:r>
            <m:rPr>
              <m:sty m:val="p"/>
            </m:rPr>
            <m:t>v</m:t>
          </m:r>
          <m:r>
            <m:rPr>
              <m:sty m:val="p"/>
            </m:rPr>
            <m:t>e</m:t>
          </m:r>
          <m:r>
            <m:rPr>
              <m:sty m:val="p"/>
            </m:rPr>
            <m:t>r</m:t>
          </m:r>
          <m:r>
            <m:rPr>
              <m:sty m:val="p"/>
            </m:rPr>
            <m:t>s</m:t>
          </m:r>
          <m:r>
            <m:rPr>
              <m:sty m:val="p"/>
            </m:rPr>
            <m:t>i</m:t>
          </m:r>
          <m:r>
            <m:rPr>
              <m:sty m:val="p"/>
            </m:rPr>
            <m:t>t</m:t>
          </m:r>
          <m:r>
            <m:rPr>
              <m:sty m:val="p"/>
            </m:rPr>
            <m:t>y</m:t>
          </m:r>
          <m:r>
            <m:rPr>
              <m:sty m:val="p"/>
            </m:rPr>
            <m:t>+</m:t>
          </m:r>
          <m:sSub>
            <m:e>
              <m:r>
                <m:t>β</m:t>
              </m:r>
            </m:e>
            <m:sub>
              <m:r>
                <m:t>2</m:t>
              </m:r>
            </m:sub>
          </m:sSub>
          <m:r>
            <m:t> </m:t>
          </m:r>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l</m:t>
          </m:r>
          <m:r>
            <m:rPr>
              <m:sty m:val="p"/>
            </m:rPr>
            <m:t>e</m:t>
          </m:r>
          <m:r>
            <m:rPr>
              <m:sty m:val="p"/>
            </m:rPr>
            <m:t>v</m:t>
          </m:r>
          <m:r>
            <m:rPr>
              <m:sty m:val="p"/>
            </m:rPr>
            <m:t>e</m:t>
          </m:r>
          <m:r>
            <m:rPr>
              <m:sty m:val="p"/>
            </m:rPr>
            <m:t>l</m:t>
          </m:r>
          <m:r>
            <m:rPr>
              <m:sty m:val="p"/>
            </m:rPr>
            <m:t>+</m:t>
          </m:r>
          <m:sSub>
            <m:e>
              <m:r>
                <m:t>β</m:t>
              </m:r>
            </m:e>
            <m:sub>
              <m:r>
                <m:t>3</m:t>
              </m:r>
            </m:sub>
          </m:sSub>
          <m:r>
            <m:t> </m:t>
          </m:r>
          <m:r>
            <m:rPr>
              <m:sty m:val="p"/>
            </m:rPr>
            <m:t>log</m:t>
          </m:r>
          <m:r>
            <m:rPr>
              <m:sty m:val="p"/>
            </m:rPr>
            <m:t>m</m:t>
          </m:r>
          <m:r>
            <m:rPr>
              <m:sty m:val="p"/>
            </m:rPr>
            <m:t>a</m:t>
          </m:r>
          <m:r>
            <m:rPr>
              <m:sty m:val="p"/>
            </m:rPr>
            <m:t>s</m:t>
          </m:r>
          <m:r>
            <m:rPr>
              <m:sty m:val="p"/>
            </m:rPr>
            <m:t>s</m:t>
          </m:r>
          <m:r>
            <m:rPr>
              <m:sty m:val="p"/>
            </m:rPr>
            <m:t>)</m:t>
          </m:r>
        </m:oMath>
      </m:oMathPara>
    </w:p>
    <w:bookmarkStart w:id="19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stack_diversity</w:t>
            </w:r>
          </w:p>
        </w:tc>
        <w:tc>
          <w:tcPr>
            <w:tcW w:w="0" w:type="auto"/>
          </w:tcPr>
          <w:p>
            <w:pPr>
              <w:spacing w:line="240" w:lineRule="auto" w:before="0" w:after="0"/>
              <w:pStyle w:val="Compact"/>
            </w:pPr>
            <w:r>
              <w:rPr>
                <w:sz w:val="20"/>
                <w:szCs w:val="20"/>
              </w:rPr>
              <w:t xml:space="preserve">0.1068</w:t>
            </w:r>
          </w:p>
        </w:tc>
        <w:tc>
          <w:tcPr>
            <w:tcW w:w="0" w:type="auto"/>
          </w:tcPr>
          <w:p>
            <w:pPr>
              <w:spacing w:line="240" w:lineRule="auto" w:before="0" w:after="0"/>
              <w:pStyle w:val="Compact"/>
            </w:pPr>
            <w:r>
              <w:rPr>
                <w:sz w:val="20"/>
                <w:szCs w:val="20"/>
              </w:rPr>
              <w:t xml:space="preserve">0.4839</w:t>
            </w:r>
          </w:p>
        </w:tc>
        <w:tc>
          <w:tcPr>
            <w:tcW w:w="0" w:type="auto"/>
          </w:tcPr>
          <w:p>
            <w:pPr>
              <w:spacing w:line="240" w:lineRule="auto" w:before="0" w:after="0"/>
              <w:pStyle w:val="Compact"/>
            </w:pPr>
            <w:r>
              <w:rPr>
                <w:sz w:val="20"/>
                <w:szCs w:val="20"/>
              </w:rPr>
              <w:t xml:space="preserve">0.2208</w:t>
            </w:r>
          </w:p>
        </w:tc>
        <w:tc>
          <w:tcPr>
            <w:tcW w:w="0" w:type="auto"/>
          </w:tcPr>
          <w:p>
            <w:pPr>
              <w:spacing w:line="240" w:lineRule="auto" w:before="0" w:after="0"/>
              <w:pStyle w:val="Compact"/>
            </w:pPr>
            <w:r>
              <w:rPr>
                <w:sz w:val="20"/>
                <w:szCs w:val="20"/>
              </w:rPr>
              <w:t xml:space="preserve">0.8252</w:t>
            </w:r>
          </w:p>
        </w:tc>
        <w:tc>
          <w:tcPr>
            <w:tcW w:w="0" w:type="auto"/>
          </w:tcPr>
          <w:p>
            <w:pPr>
              <w:spacing w:line="240" w:lineRule="auto" w:before="0" w:after="0"/>
              <w:pStyle w:val="Compact"/>
            </w:pPr>
            <w:r>
              <w:rPr>
                <w:sz w:val="20"/>
                <w:szCs w:val="20"/>
              </w:rPr>
              <w:t xml:space="preserve">[-0.8415, 1.0552]</w:t>
            </w:r>
          </w:p>
        </w:tc>
        <w:tc>
          <w:tcPr>
            <w:tcW w:w="0" w:type="auto"/>
          </w:tcPr>
          <w:p>
            <w:pPr>
              <w:spacing w:line="240" w:lineRule="auto" w:before="0" w:after="0"/>
              <w:pStyle w:val="Compact"/>
            </w:pPr>
            <w:r>
              <w:rPr>
                <w:sz w:val="20"/>
                <w:szCs w:val="20"/>
              </w:rPr>
              <w:t xml:space="preserve">1.1128</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0.3632</w:t>
            </w:r>
          </w:p>
        </w:tc>
        <w:tc>
          <w:tcPr>
            <w:tcW w:w="0" w:type="auto"/>
          </w:tcPr>
          <w:p>
            <w:pPr>
              <w:spacing w:line="240" w:lineRule="auto" w:before="0" w:after="0"/>
              <w:pStyle w:val="Compact"/>
            </w:pPr>
            <w:r>
              <w:rPr>
                <w:sz w:val="20"/>
                <w:szCs w:val="20"/>
              </w:rPr>
              <w:t xml:space="preserve">0.5125</w:t>
            </w:r>
          </w:p>
        </w:tc>
        <w:tc>
          <w:tcPr>
            <w:tcW w:w="0" w:type="auto"/>
          </w:tcPr>
          <w:p>
            <w:pPr>
              <w:spacing w:line="240" w:lineRule="auto" w:before="0" w:after="0"/>
              <w:pStyle w:val="Compact"/>
            </w:pPr>
            <w:r>
              <w:rPr>
                <w:sz w:val="20"/>
                <w:szCs w:val="20"/>
              </w:rPr>
              <w:t xml:space="preserve">0.7088</w:t>
            </w:r>
          </w:p>
        </w:tc>
        <w:tc>
          <w:tcPr>
            <w:tcW w:w="0" w:type="auto"/>
          </w:tcPr>
          <w:p>
            <w:pPr>
              <w:spacing w:line="240" w:lineRule="auto" w:before="0" w:after="0"/>
              <w:pStyle w:val="Compact"/>
            </w:pPr>
            <w:r>
              <w:rPr>
                <w:sz w:val="20"/>
                <w:szCs w:val="20"/>
              </w:rPr>
              <w:t xml:space="preserve">0.4784</w:t>
            </w:r>
          </w:p>
        </w:tc>
        <w:tc>
          <w:tcPr>
            <w:tcW w:w="0" w:type="auto"/>
          </w:tcPr>
          <w:p>
            <w:pPr>
              <w:spacing w:line="240" w:lineRule="auto" w:before="0" w:after="0"/>
              <w:pStyle w:val="Compact"/>
            </w:pPr>
            <w:r>
              <w:rPr>
                <w:sz w:val="20"/>
                <w:szCs w:val="20"/>
              </w:rPr>
              <w:t xml:space="preserve">[-0.6412, 1.3677]</w:t>
            </w:r>
          </w:p>
        </w:tc>
        <w:tc>
          <w:tcPr>
            <w:tcW w:w="0" w:type="auto"/>
          </w:tcPr>
          <w:p>
            <w:pPr>
              <w:spacing w:line="240" w:lineRule="auto" w:before="0" w:after="0"/>
              <w:pStyle w:val="Compact"/>
            </w:pPr>
            <w:r>
              <w:rPr>
                <w:sz w:val="20"/>
                <w:szCs w:val="20"/>
              </w:rPr>
              <w:t xml:space="preserve">1.438</w:t>
            </w:r>
          </w:p>
        </w:tc>
      </w:tr>
      <w:tr>
        <w:tc>
          <w:tcPr>
            <w:tcW w:w="0" w:type="auto"/>
          </w:tcPr>
          <w:p>
            <w:pPr>
              <w:spacing w:line="240" w:lineRule="auto" w:before="0" w:after="0"/>
              <w:pStyle w:val="Compact"/>
            </w:pPr>
            <w:r>
              <w:rPr>
                <w:sz w:val="20"/>
                <w:szCs w:val="20"/>
              </w:rPr>
              <w:t xml:space="preserve">mass_kg_log</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0.1572</w:t>
            </w:r>
          </w:p>
        </w:tc>
        <w:tc>
          <w:tcPr>
            <w:tcW w:w="0" w:type="auto"/>
          </w:tcPr>
          <w:p>
            <w:pPr>
              <w:spacing w:line="240" w:lineRule="auto" w:before="0" w:after="0"/>
              <w:pStyle w:val="Compact"/>
            </w:pPr>
            <w:r>
              <w:rPr>
                <w:sz w:val="20"/>
                <w:szCs w:val="20"/>
              </w:rPr>
              <w:t xml:space="preserve">-0.4709</w:t>
            </w:r>
          </w:p>
        </w:tc>
        <w:tc>
          <w:tcPr>
            <w:tcW w:w="0" w:type="auto"/>
          </w:tcPr>
          <w:p>
            <w:pPr>
              <w:spacing w:line="240" w:lineRule="auto" w:before="0" w:after="0"/>
              <w:pStyle w:val="Compact"/>
            </w:pPr>
            <w:r>
              <w:rPr>
                <w:sz w:val="20"/>
                <w:szCs w:val="20"/>
              </w:rPr>
              <w:t xml:space="preserve">0.6377</w:t>
            </w:r>
          </w:p>
        </w:tc>
        <w:tc>
          <w:tcPr>
            <w:tcW w:w="0" w:type="auto"/>
          </w:tcPr>
          <w:p>
            <w:pPr>
              <w:spacing w:line="240" w:lineRule="auto" w:before="0" w:after="0"/>
              <w:pStyle w:val="Compact"/>
            </w:pPr>
            <w:r>
              <w:rPr>
                <w:sz w:val="20"/>
                <w:szCs w:val="20"/>
              </w:rPr>
              <w:t xml:space="preserve">[-0.3822, 0.2341]</w:t>
            </w:r>
          </w:p>
        </w:tc>
        <w:tc>
          <w:tcPr>
            <w:tcW w:w="0" w:type="auto"/>
          </w:tcPr>
          <w:p>
            <w:pPr>
              <w:spacing w:line="240" w:lineRule="auto" w:before="0" w:after="0"/>
              <w:pStyle w:val="Compact"/>
            </w:pPr>
            <w:r>
              <w:rPr>
                <w:sz w:val="20"/>
                <w:szCs w:val="20"/>
              </w:rPr>
              <w:t xml:space="preserve">0.9286</w:t>
            </w:r>
          </w:p>
        </w:tc>
      </w:tr>
    </w:tbl>
    <w:p>
      <w:pPr>
        <w:pStyle w:val="BodyText"/>
        <w:spacing w:line="480" w:lineRule="auto"/>
        <w:ind w:firstLine="720"/>
      </w:pPr>
      <w:r>
        <w:t xml:space="preserve">Fit: N = 28 events = 25</w:t>
      </w:r>
    </w:p>
    <w:bookmarkEnd w:id="193"/>
    <w:bookmarkStart w:id="19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bserved time to first major anomaly across 28 NASA robotic missions, plotted against software stack diversity. Higher diversity is associated with longer anomaly-free intervals, consistent with the resilience hypothesis." title="" id="195" name="Picture"/>
            <a:graphic>
              <a:graphicData uri="http://schemas.openxmlformats.org/drawingml/2006/picture">
                <pic:pic>
                  <pic:nvPicPr>
                    <pic:cNvPr descr="D:/Claude_Code/brain/collegium/candidates/dissertations/CYBER_AI_12/research_papers/p1/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Observed time to first major anomaly across 28 NASA robotic missions, plotted against software stack diversity. Higher diversity is associated with longer anomaly-free intervals, consistent with the resilience hypothesis.</w:t>
      </w:r>
    </w:p>
    <w:bookmarkEnd w:id="197"/>
    <w:bookmarkStart w:id="19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stack_diversity</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mass_kg_log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MarsClimateOrbiter</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6.51</w:t>
            </w:r>
          </w:p>
        </w:tc>
        <w:tc>
          <w:tcPr>
            <w:tcW w:w="0" w:type="auto"/>
          </w:tcPr>
          <w:p>
            <w:pPr>
              <w:spacing w:line="240" w:lineRule="auto" w:before="0" w:after="0"/>
              <w:pStyle w:val="Compact"/>
            </w:pPr>
            <w:r>
              <w:rPr>
                <w:sz w:val="20"/>
                <w:szCs w:val="20"/>
              </w:rPr>
              <w:t xml:space="preserve">NASA MCO MIB Report Phase I 1999 (NTRS 19990116566)</w:t>
            </w:r>
          </w:p>
        </w:tc>
      </w:tr>
      <w:tr>
        <w:tc>
          <w:tcPr>
            <w:tcW w:w="0" w:type="auto"/>
          </w:tcPr>
          <w:p>
            <w:pPr>
              <w:spacing w:line="240" w:lineRule="auto" w:before="0" w:after="0"/>
              <w:pStyle w:val="Compact"/>
            </w:pPr>
            <w:r>
              <w:rPr>
                <w:sz w:val="20"/>
                <w:szCs w:val="20"/>
              </w:rPr>
              <w:t xml:space="preserve">MarsPolarLander</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6.16</w:t>
            </w:r>
          </w:p>
        </w:tc>
        <w:tc>
          <w:tcPr>
            <w:tcW w:w="0" w:type="auto"/>
          </w:tcPr>
          <w:p>
            <w:pPr>
              <w:spacing w:line="240" w:lineRule="auto" w:before="0" w:after="0"/>
              <w:pStyle w:val="Compact"/>
            </w:pPr>
            <w:r>
              <w:rPr>
                <w:sz w:val="20"/>
                <w:szCs w:val="20"/>
              </w:rPr>
              <w:t xml:space="preserve">NASA MPL Loss Report JPL D-18709 2000</w:t>
            </w:r>
          </w:p>
        </w:tc>
      </w:tr>
      <w:tr>
        <w:tc>
          <w:tcPr>
            <w:tcW w:w="0" w:type="auto"/>
          </w:tcPr>
          <w:p>
            <w:pPr>
              <w:spacing w:line="240" w:lineRule="auto" w:before="0" w:after="0"/>
              <w:pStyle w:val="Compact"/>
            </w:pPr>
            <w:r>
              <w:rPr>
                <w:sz w:val="20"/>
                <w:szCs w:val="20"/>
              </w:rPr>
              <w:t xml:space="preserve">GenesisSRC</w:t>
            </w:r>
          </w:p>
        </w:tc>
        <w:tc>
          <w:tcPr>
            <w:tcW w:w="0" w:type="auto"/>
          </w:tcPr>
          <w:p>
            <w:pPr>
              <w:spacing w:line="240" w:lineRule="auto" w:before="0" w:after="0"/>
              <w:pStyle w:val="Compact"/>
            </w:pPr>
            <w:r>
              <w:rPr>
                <w:sz w:val="20"/>
                <w:szCs w:val="20"/>
              </w:rPr>
              <w:t xml:space="preserve">1127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5.52</w:t>
            </w:r>
          </w:p>
        </w:tc>
        <w:tc>
          <w:tcPr>
            <w:tcW w:w="0" w:type="auto"/>
          </w:tcPr>
          <w:p>
            <w:pPr>
              <w:spacing w:line="240" w:lineRule="auto" w:before="0" w:after="0"/>
              <w:pStyle w:val="Compact"/>
            </w:pPr>
            <w:r>
              <w:rPr>
                <w:sz w:val="20"/>
                <w:szCs w:val="20"/>
              </w:rPr>
              <w:t xml:space="preserve">NASA Genesis Mishap Investigation Board Report 2006</w:t>
            </w:r>
          </w:p>
        </w:tc>
      </w:tr>
      <w:tr>
        <w:tc>
          <w:tcPr>
            <w:tcW w:w="0" w:type="auto"/>
          </w:tcPr>
          <w:p>
            <w:pPr>
              <w:spacing w:line="240" w:lineRule="auto" w:before="0" w:after="0"/>
              <w:pStyle w:val="Compact"/>
            </w:pPr>
            <w:r>
              <w:rPr>
                <w:sz w:val="20"/>
                <w:szCs w:val="20"/>
              </w:rPr>
              <w:t xml:space="preserve">DeepImpact</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6.46</w:t>
            </w:r>
          </w:p>
        </w:tc>
        <w:tc>
          <w:tcPr>
            <w:tcW w:w="0" w:type="auto"/>
          </w:tcPr>
          <w:p>
            <w:pPr>
              <w:spacing w:line="240" w:lineRule="auto" w:before="0" w:after="0"/>
              <w:pStyle w:val="Compact"/>
            </w:pPr>
            <w:r>
              <w:rPr>
                <w:sz w:val="20"/>
                <w:szCs w:val="20"/>
              </w:rPr>
              <w:t xml:space="preserve">NASA Deep Impact End of Mission Report 2013 (NTRS)</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6.13</w:t>
            </w:r>
          </w:p>
        </w:tc>
        <w:tc>
          <w:tcPr>
            <w:tcW w:w="0" w:type="auto"/>
          </w:tcPr>
          <w:p>
            <w:pPr>
              <w:spacing w:line="240" w:lineRule="auto" w:before="0" w:after="0"/>
              <w:pStyle w:val="Compact"/>
            </w:pPr>
            <w:r>
              <w:rPr>
                <w:sz w:val="20"/>
                <w:szCs w:val="20"/>
              </w:rPr>
              <w:t xml:space="preserve">NASA Stardust Final Mission Report 2011 (NTRS)</w:t>
            </w:r>
          </w:p>
        </w:tc>
      </w:tr>
      <w:tr>
        <w:tc>
          <w:tcPr>
            <w:tcW w:w="0" w:type="auto"/>
          </w:tcPr>
          <w:p>
            <w:pPr>
              <w:spacing w:line="240" w:lineRule="auto" w:before="0" w:after="0"/>
              <w:pStyle w:val="Compact"/>
            </w:pPr>
            <w:r>
              <w:rPr>
                <w:sz w:val="20"/>
                <w:szCs w:val="20"/>
              </w:rPr>
              <w:t xml:space="preserve">SpiritMER-A</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5.13</w:t>
            </w:r>
          </w:p>
        </w:tc>
        <w:tc>
          <w:tcPr>
            <w:tcW w:w="0" w:type="auto"/>
          </w:tcPr>
          <w:p>
            <w:pPr>
              <w:spacing w:line="240" w:lineRule="auto" w:before="0" w:after="0"/>
              <w:pStyle w:val="Compact"/>
            </w:pPr>
            <w:r>
              <w:rPr>
                <w:sz w:val="20"/>
                <w:szCs w:val="20"/>
              </w:rPr>
              <w:t xml:space="preserve">NASA Spirit Rover End of Mission JPL 2011</w:t>
            </w:r>
          </w:p>
        </w:tc>
      </w:tr>
      <w:tr>
        <w:tc>
          <w:tcPr>
            <w:tcW w:w="0" w:type="auto"/>
          </w:tcPr>
          <w:p>
            <w:pPr>
              <w:spacing w:line="240" w:lineRule="auto" w:before="0" w:after="0"/>
              <w:pStyle w:val="Compact"/>
            </w:pPr>
            <w:r>
              <w:rPr>
                <w:sz w:val="20"/>
                <w:szCs w:val="20"/>
              </w:rPr>
              <w:t xml:space="preserve">OpportunityMER-B</w:t>
            </w:r>
          </w:p>
        </w:tc>
        <w:tc>
          <w:tcPr>
            <w:tcW w:w="0" w:type="auto"/>
          </w:tcPr>
          <w:p>
            <w:pPr>
              <w:spacing w:line="240" w:lineRule="auto" w:before="0" w:after="0"/>
              <w:pStyle w:val="Compact"/>
            </w:pPr>
            <w:r>
              <w:rPr>
                <w:sz w:val="20"/>
                <w:szCs w:val="20"/>
              </w:rPr>
              <w:t xml:space="preserve">5111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5.13</w:t>
            </w:r>
          </w:p>
        </w:tc>
        <w:tc>
          <w:tcPr>
            <w:tcW w:w="0" w:type="auto"/>
          </w:tcPr>
          <w:p>
            <w:pPr>
              <w:spacing w:line="240" w:lineRule="auto" w:before="0" w:after="0"/>
              <w:pStyle w:val="Compact"/>
            </w:pPr>
            <w:r>
              <w:rPr>
                <w:sz w:val="20"/>
                <w:szCs w:val="20"/>
              </w:rPr>
              <w:t xml:space="preserve">NASA Opportunity End of Mission Report JPL 2019</w:t>
            </w:r>
          </w:p>
        </w:tc>
      </w:tr>
      <w:tr>
        <w:tc>
          <w:tcPr>
            <w:tcW w:w="0" w:type="auto"/>
          </w:tcPr>
          <w:p>
            <w:pPr>
              <w:spacing w:line="240" w:lineRule="auto" w:before="0" w:after="0"/>
              <w:pStyle w:val="Compact"/>
            </w:pPr>
            <w:r>
              <w:rPr>
                <w:sz w:val="20"/>
                <w:szCs w:val="20"/>
              </w:rPr>
              <w:t xml:space="preserve">PhoenixLander</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NASA Phoenix EOM 2008 (NTRS 20090014780)</w:t>
            </w:r>
          </w:p>
        </w:tc>
      </w:tr>
      <w:tr>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1825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6.79</w:t>
            </w:r>
          </w:p>
        </w:tc>
        <w:tc>
          <w:tcPr>
            <w:tcW w:w="0" w:type="auto"/>
          </w:tcPr>
          <w:p>
            <w:pPr>
              <w:spacing w:line="240" w:lineRule="auto" w:before="0" w:after="0"/>
              <w:pStyle w:val="Compact"/>
            </w:pPr>
            <w:r>
              <w:rPr>
                <w:sz w:val="20"/>
                <w:szCs w:val="20"/>
              </w:rPr>
              <w:t xml:space="preserve">NASA MSL Anomaly Logs GAO-15-320 Major Project Assessment</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2190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GAO-19-262SP NASA Major Project Assessment 2019 [illustrative censoring date]</w:t>
            </w:r>
          </w:p>
        </w:tc>
      </w:tr>
      <w:tr>
        <w:tc>
          <w:tcPr>
            <w:tcW w:w="0" w:type="auto"/>
          </w:tcPr>
          <w:p>
            <w:pPr>
              <w:spacing w:line="240" w:lineRule="auto" w:before="0" w:after="0"/>
              <w:pStyle w:val="Compact"/>
            </w:pPr>
            <w:r>
              <w:rPr>
                <w:sz w:val="20"/>
                <w:szCs w:val="20"/>
              </w:rPr>
              <w:t xml:space="preserve">JunoJupiter</w:t>
            </w:r>
          </w:p>
        </w:tc>
        <w:tc>
          <w:tcPr>
            <w:tcW w:w="0" w:type="auto"/>
          </w:tcPr>
          <w:p>
            <w:pPr>
              <w:spacing w:line="240" w:lineRule="auto" w:before="0" w:after="0"/>
              <w:pStyle w:val="Compact"/>
            </w:pPr>
            <w:r>
              <w:rPr>
                <w:sz w:val="20"/>
                <w:szCs w:val="20"/>
              </w:rPr>
              <w:t xml:space="preserve">1825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8.16</w:t>
            </w:r>
          </w:p>
        </w:tc>
        <w:tc>
          <w:tcPr>
            <w:tcW w:w="0" w:type="auto"/>
          </w:tcPr>
          <w:p>
            <w:pPr>
              <w:spacing w:line="240" w:lineRule="auto" w:before="0" w:after="0"/>
              <w:pStyle w:val="Compact"/>
            </w:pPr>
            <w:r>
              <w:rPr>
                <w:sz w:val="20"/>
                <w:szCs w:val="20"/>
              </w:rPr>
              <w:t xml:space="preserve">NASA Juno Safe-Mode Anomaly Report 2016 (NASA News 16-094)</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3650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5.97</w:t>
            </w:r>
          </w:p>
        </w:tc>
        <w:tc>
          <w:tcPr>
            <w:tcW w:w="0" w:type="auto"/>
          </w:tcPr>
          <w:p>
            <w:pPr>
              <w:spacing w:line="240" w:lineRule="auto" w:before="0" w:after="0"/>
              <w:pStyle w:val="Compact"/>
            </w:pPr>
            <w:r>
              <w:rPr>
                <w:sz w:val="20"/>
                <w:szCs w:val="20"/>
              </w:rPr>
              <w:t xml:space="preserve">NASA New Horizons July 4 2015 anomaly recovery report (NTRS)</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4870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8.61</w:t>
            </w:r>
          </w:p>
        </w:tc>
        <w:tc>
          <w:tcPr>
            <w:tcW w:w="0" w:type="auto"/>
          </w:tcPr>
          <w:p>
            <w:pPr>
              <w:spacing w:line="240" w:lineRule="auto" w:before="0" w:after="0"/>
              <w:pStyle w:val="Compact"/>
            </w:pPr>
            <w:r>
              <w:rPr>
                <w:sz w:val="20"/>
                <w:szCs w:val="20"/>
              </w:rPr>
              <w:t xml:space="preserve">NASA Cassini End of Mission Final Report 2017</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7.79</w:t>
            </w:r>
          </w:p>
        </w:tc>
        <w:tc>
          <w:tcPr>
            <w:tcW w:w="0" w:type="auto"/>
          </w:tcPr>
          <w:p>
            <w:pPr>
              <w:spacing w:line="240" w:lineRule="auto" w:before="0" w:after="0"/>
              <w:pStyle w:val="Compact"/>
            </w:pPr>
            <w:r>
              <w:rPr>
                <w:sz w:val="20"/>
                <w:szCs w:val="20"/>
              </w:rPr>
              <w:t xml:space="preserve">GAO-21-306 NASA Major Project Assessment 2021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1460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GAO-22-105212 NASA Major Project Assessment 2022; NASA InSight EOM 2022</w:t>
            </w:r>
          </w:p>
        </w:tc>
      </w:tr>
      <w:tr>
        <w:tc>
          <w:tcPr>
            <w:tcW w:w="0" w:type="auto"/>
          </w:tcPr>
          <w:p>
            <w:pPr>
              <w:spacing w:line="240" w:lineRule="auto" w:before="0" w:after="0"/>
              <w:pStyle w:val="Compact"/>
            </w:pPr>
            <w:r>
              <w:rPr>
                <w:sz w:val="20"/>
                <w:szCs w:val="20"/>
              </w:rPr>
              <w:t xml:space="preserve">Perseverance</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7.03</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Ingenuity</w:t>
            </w:r>
          </w:p>
        </w:tc>
        <w:tc>
          <w:tcPr>
            <w:tcW w:w="0" w:type="auto"/>
          </w:tcPr>
          <w:p>
            <w:pPr>
              <w:spacing w:line="240" w:lineRule="auto" w:before="0" w:after="0"/>
              <w:pStyle w:val="Compact"/>
            </w:pPr>
            <w:r>
              <w:rPr>
                <w:sz w:val="20"/>
                <w:szCs w:val="20"/>
              </w:rPr>
              <w:t xml:space="preserve">730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NASA Ingenuity End of Mission Report 2024 (NTRS)</w:t>
            </w:r>
          </w:p>
        </w:tc>
      </w:tr>
      <w:tr>
        <w:tc>
          <w:tcPr>
            <w:tcW w:w="0" w:type="auto"/>
          </w:tcPr>
          <w:p>
            <w:pPr>
              <w:spacing w:line="240" w:lineRule="auto" w:before="0" w:after="0"/>
              <w:pStyle w:val="Compact"/>
            </w:pPr>
            <w:r>
              <w:rPr>
                <w:sz w:val="20"/>
                <w:szCs w:val="20"/>
              </w:rPr>
              <w:t xml:space="preserve">LunarReconnaissanceOrbiter</w:t>
            </w:r>
          </w:p>
        </w:tc>
        <w:tc>
          <w:tcPr>
            <w:tcW w:w="0" w:type="auto"/>
          </w:tcPr>
          <w:p>
            <w:pPr>
              <w:spacing w:line="240" w:lineRule="auto" w:before="0" w:after="0"/>
              <w:pStyle w:val="Compact"/>
            </w:pPr>
            <w:r>
              <w:rPr>
                <w:sz w:val="20"/>
                <w:szCs w:val="20"/>
              </w:rPr>
              <w:t xml:space="preserve">1825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7.66</w:t>
            </w:r>
          </w:p>
        </w:tc>
        <w:tc>
          <w:tcPr>
            <w:tcW w:w="0" w:type="auto"/>
          </w:tcPr>
          <w:p>
            <w:pPr>
              <w:spacing w:line="240" w:lineRule="auto" w:before="0" w:after="0"/>
              <w:pStyle w:val="Compact"/>
            </w:pPr>
            <w:r>
              <w:rPr>
                <w:sz w:val="20"/>
                <w:szCs w:val="20"/>
              </w:rPr>
              <w:t xml:space="preserve">GAO-15-320 NASA LRO entries; NASA LRO Anomaly Log</w:t>
            </w:r>
          </w:p>
        </w:tc>
      </w:tr>
      <w:tr>
        <w:tc>
          <w:tcPr>
            <w:tcW w:w="0" w:type="auto"/>
          </w:tcPr>
          <w:p>
            <w:pPr>
              <w:spacing w:line="240" w:lineRule="auto" w:before="0" w:after="0"/>
              <w:pStyle w:val="Compact"/>
            </w:pPr>
            <w:r>
              <w:rPr>
                <w:sz w:val="20"/>
                <w:szCs w:val="20"/>
              </w:rPr>
              <w:t xml:space="preserve">GRAILA</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NASA GRAIL End of Mission Report 2012</w:t>
            </w:r>
          </w:p>
        </w:tc>
      </w:tr>
      <w:tr>
        <w:tc>
          <w:tcPr>
            <w:tcW w:w="0" w:type="auto"/>
          </w:tcPr>
          <w:p>
            <w:pPr>
              <w:spacing w:line="240" w:lineRule="auto" w:before="0" w:after="0"/>
              <w:pStyle w:val="Compact"/>
            </w:pPr>
            <w:r>
              <w:rPr>
                <w:sz w:val="20"/>
                <w:szCs w:val="20"/>
              </w:rPr>
              <w:t xml:space="preserve">GRAILB</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NASA GRAIL End of Mission Report 2012</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7.74</w:t>
            </w:r>
          </w:p>
        </w:tc>
        <w:tc>
          <w:tcPr>
            <w:tcW w:w="0" w:type="auto"/>
          </w:tcPr>
          <w:p>
            <w:pPr>
              <w:spacing w:line="240" w:lineRule="auto" w:before="0" w:after="0"/>
              <w:pStyle w:val="Compact"/>
            </w:pPr>
            <w:r>
              <w:rPr>
                <w:sz w:val="20"/>
                <w:szCs w:val="20"/>
              </w:rPr>
              <w:t xml:space="preserve">NASA Kepler Reaction Wheel Anomaly Report 2013 (NTRS 20130011674)</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1460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GAO-19-262SP TESS entries; NASA TESS Anomaly Log 2018</w:t>
            </w:r>
          </w:p>
        </w:tc>
      </w:tr>
      <w:tr>
        <w:tc>
          <w:tcPr>
            <w:tcW w:w="0" w:type="auto"/>
          </w:tcPr>
          <w:p>
            <w:pPr>
              <w:spacing w:line="240" w:lineRule="auto" w:before="0" w:after="0"/>
              <w:pStyle w:val="Compact"/>
            </w:pPr>
            <w:r>
              <w:rPr>
                <w:sz w:val="20"/>
                <w:szCs w:val="20"/>
              </w:rPr>
              <w:t xml:space="preserve">ChandraXRay</w:t>
            </w:r>
          </w:p>
        </w:tc>
        <w:tc>
          <w:tcPr>
            <w:tcW w:w="0" w:type="auto"/>
          </w:tcPr>
          <w:p>
            <w:pPr>
              <w:spacing w:line="240" w:lineRule="auto" w:before="0" w:after="0"/>
              <w:pStyle w:val="Compact"/>
            </w:pPr>
            <w:r>
              <w:rPr>
                <w:sz w:val="20"/>
                <w:szCs w:val="20"/>
              </w:rPr>
              <w:t xml:space="preserve">8030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8.51</w:t>
            </w:r>
          </w:p>
        </w:tc>
        <w:tc>
          <w:tcPr>
            <w:tcW w:w="0" w:type="auto"/>
          </w:tcPr>
          <w:p>
            <w:pPr>
              <w:spacing w:line="240" w:lineRule="auto" w:before="0" w:after="0"/>
              <w:pStyle w:val="Compact"/>
            </w:pPr>
            <w:r>
              <w:rPr>
                <w:sz w:val="20"/>
                <w:szCs w:val="20"/>
              </w:rPr>
              <w:t xml:space="preserve">NASA Chandra X-ray Center 20th Anniversary Report 2019</w:t>
            </w:r>
          </w:p>
        </w:tc>
      </w:tr>
      <w:tr>
        <w:tc>
          <w:tcPr>
            <w:tcW w:w="0" w:type="auto"/>
          </w:tcPr>
          <w:p>
            <w:pPr>
              <w:spacing w:line="240" w:lineRule="auto" w:before="0" w:after="0"/>
              <w:pStyle w:val="Compact"/>
            </w:pPr>
            <w:r>
              <w:rPr>
                <w:sz w:val="20"/>
                <w:szCs w:val="20"/>
              </w:rPr>
              <w:t xml:space="preserve">SpitzerSpaceTelescope</w:t>
            </w:r>
          </w:p>
        </w:tc>
        <w:tc>
          <w:tcPr>
            <w:tcW w:w="0" w:type="auto"/>
          </w:tcPr>
          <w:p>
            <w:pPr>
              <w:spacing w:line="240" w:lineRule="auto" w:before="0" w:after="0"/>
              <w:pStyle w:val="Compact"/>
            </w:pPr>
            <w:r>
              <w:rPr>
                <w:sz w:val="20"/>
                <w:szCs w:val="20"/>
              </w:rPr>
              <w:t xml:space="preserve">5840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6.74</w:t>
            </w:r>
          </w:p>
        </w:tc>
        <w:tc>
          <w:tcPr>
            <w:tcW w:w="0" w:type="auto"/>
          </w:tcPr>
          <w:p>
            <w:pPr>
              <w:spacing w:line="240" w:lineRule="auto" w:before="0" w:after="0"/>
              <w:pStyle w:val="Compact"/>
            </w:pPr>
            <w:r>
              <w:rPr>
                <w:sz w:val="20"/>
                <w:szCs w:val="20"/>
              </w:rPr>
              <w:t xml:space="preserve">NASA Spitzer Final Mission Report 2020</w:t>
            </w:r>
          </w:p>
        </w:tc>
      </w:tr>
      <w:tr>
        <w:tc>
          <w:tcPr>
            <w:tcW w:w="0" w:type="auto"/>
          </w:tcPr>
          <w:p>
            <w:pPr>
              <w:spacing w:line="240" w:lineRule="auto" w:before="0" w:after="0"/>
              <w:pStyle w:val="Compact"/>
            </w:pPr>
            <w:r>
              <w:rPr>
                <w:sz w:val="20"/>
                <w:szCs w:val="20"/>
              </w:rPr>
              <w:t xml:space="preserve">HubbleHST</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w:t>
            </w:r>
          </w:p>
        </w:tc>
        <w:tc>
          <w:tcPr>
            <w:tcW w:w="0" w:type="auto"/>
          </w:tcPr>
          <w:p>
            <w:pPr>
              <w:spacing w:line="240" w:lineRule="auto" w:before="0" w:after="0"/>
              <w:pStyle w:val="Compact"/>
            </w:pPr>
            <w:r>
              <w:rPr>
                <w:sz w:val="20"/>
                <w:szCs w:val="20"/>
              </w:rPr>
              <w:t xml:space="preserve">NASA HST Servicing Mission Reports STS-61 1993</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GAO-23-106021 JWST entries; NASA JWST Commissioning Report 2022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NASA DART End of Mission Report 2022; GAO-22-105212</w:t>
            </w:r>
          </w:p>
        </w:tc>
      </w:tr>
      <w:tr>
        <w:tc>
          <w:tcPr>
            <w:tcW w:w="0" w:type="auto"/>
          </w:tcPr>
          <w:p>
            <w:pPr>
              <w:spacing w:line="240" w:lineRule="auto" w:before="0" w:after="0"/>
              <w:pStyle w:val="Compact"/>
            </w:pPr>
            <w:r>
              <w:rPr>
                <w:sz w:val="20"/>
                <w:szCs w:val="20"/>
              </w:rPr>
              <w:t xml:space="preserve">LucyAsteroid</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GAO-23-106021 Lucy entries; NASA Lucy Solar Array Anomaly Report 2021</w:t>
            </w:r>
          </w:p>
        </w:tc>
      </w:tr>
    </w:tbl>
    <w:bookmarkEnd w:id="198"/>
    <w:bookmarkStart w:id="19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Days from launch (or commissioning) to first publicly reported major anomaly, or to censoring date</w:t>
            </w:r>
          </w:p>
        </w:tc>
        <w:tc>
          <w:tcPr>
            <w:tcW w:w="0" w:type="auto"/>
          </w:tcPr>
          <w:p>
            <w:pPr>
              <w:spacing w:line="240" w:lineRule="auto" w:before="0" w:after="0"/>
              <w:pStyle w:val="Compact"/>
            </w:pPr>
            <w:r>
              <w:rPr>
                <w:sz w:val="20"/>
                <w:szCs w:val="20"/>
              </w:rPr>
              <w:t xml:space="preserve">NASA mission EOM reports, GAO Major Project Assessments, NASA Lessons Learned</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a major anomaly (safe-mode entry, subsystem loss, or mishap) was reported during the observation window; 0 if censored</w:t>
            </w:r>
          </w:p>
        </w:tc>
        <w:tc>
          <w:tcPr>
            <w:tcW w:w="0" w:type="auto"/>
          </w:tcPr>
          <w:p>
            <w:pPr>
              <w:spacing w:line="240" w:lineRule="auto" w:before="0" w:after="0"/>
              <w:pStyle w:val="Compact"/>
            </w:pPr>
            <w:r>
              <w:rPr>
                <w:sz w:val="20"/>
                <w:szCs w:val="20"/>
              </w:rPr>
              <w:t xml:space="preserve">NASA mishap and anomaly reports; GAO-23-106021</w:t>
            </w:r>
          </w:p>
        </w:tc>
      </w:tr>
      <w:tr>
        <w:tc>
          <w:tcPr>
            <w:tcW w:w="0" w:type="auto"/>
          </w:tcPr>
          <w:p>
            <w:pPr>
              <w:spacing w:line="240" w:lineRule="auto" w:before="0" w:after="0"/>
              <w:pStyle w:val="Compact"/>
            </w:pPr>
            <w:r>
              <w:rPr>
                <w:sz w:val="20"/>
                <w:szCs w:val="20"/>
              </w:rPr>
              <w:t xml:space="preserve">stack_diversity</w:t>
            </w:r>
          </w:p>
        </w:tc>
        <w:tc>
          <w:tcPr>
            <w:tcW w:w="0" w:type="auto"/>
          </w:tcPr>
          <w:p>
            <w:pPr>
              <w:spacing w:line="240" w:lineRule="auto" w:before="0" w:after="0"/>
              <w:pStyle w:val="Compact"/>
            </w:pPr>
            <w:r>
              <w:rPr>
                <w:sz w:val="20"/>
                <w:szCs w:val="20"/>
              </w:rPr>
              <w:t xml:space="preserve">Count of distinct flight-software vendors or independently-developed major software components on the spacecraft (1-4)</w:t>
            </w:r>
          </w:p>
        </w:tc>
        <w:tc>
          <w:tcPr>
            <w:tcW w:w="0" w:type="auto"/>
          </w:tcPr>
          <w:p>
            <w:pPr>
              <w:spacing w:line="240" w:lineRule="auto" w:before="0" w:after="0"/>
              <w:pStyle w:val="Compact"/>
            </w:pPr>
            <w:r>
              <w:rPr>
                <w:sz w:val="20"/>
                <w:szCs w:val="20"/>
              </w:rPr>
              <w:t xml:space="preserve">NASA mission press kits; JPL technical reports; AMOS conference papers on hybrid FDIR architectures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autonomy index (1 = ground-commanded, 2 = stored command sequences, 3 = onboard fault management, 4 = onboard planning/replanning)</w:t>
            </w:r>
          </w:p>
        </w:tc>
        <w:tc>
          <w:tcPr>
            <w:tcW w:w="0" w:type="auto"/>
          </w:tcPr>
          <w:p>
            <w:pPr>
              <w:spacing w:line="240" w:lineRule="auto" w:before="0" w:after="0"/>
              <w:pStyle w:val="Compact"/>
            </w:pPr>
            <w:r>
              <w:rPr>
                <w:sz w:val="20"/>
                <w:szCs w:val="20"/>
              </w:rPr>
              <w:t xml:space="preserve">NASA Autonomy Roadmap; AMOS papers on autonomous FDIR (Stottler et al. 2020-2024)</w:t>
            </w:r>
          </w:p>
        </w:tc>
      </w:tr>
      <w:tr>
        <w:tc>
          <w:tcPr>
            <w:tcW w:w="0" w:type="auto"/>
          </w:tcPr>
          <w:p>
            <w:pPr>
              <w:spacing w:line="240" w:lineRule="auto" w:before="0" w:after="0"/>
              <w:pStyle w:val="Compact"/>
            </w:pPr>
            <w:r>
              <w:rPr>
                <w:sz w:val="20"/>
                <w:szCs w:val="20"/>
              </w:rPr>
              <w:t xml:space="preserve">mass_kg_log</w:t>
            </w:r>
          </w:p>
        </w:tc>
        <w:tc>
          <w:tcPr>
            <w:tcW w:w="0" w:type="auto"/>
          </w:tcPr>
          <w:p>
            <w:pPr>
              <w:spacing w:line="240" w:lineRule="auto" w:before="0" w:after="0"/>
              <w:pStyle w:val="Compact"/>
            </w:pPr>
            <w:r>
              <w:rPr>
                <w:sz w:val="20"/>
                <w:szCs w:val="20"/>
              </w:rPr>
              <w:t xml:space="preserve">Natural log of spacecraft wet mass in kilograms, control variable for mission scale</w:t>
            </w:r>
          </w:p>
        </w:tc>
        <w:tc>
          <w:tcPr>
            <w:tcW w:w="0" w:type="auto"/>
          </w:tcPr>
          <w:p>
            <w:pPr>
              <w:spacing w:line="240" w:lineRule="auto" w:before="0" w:after="0"/>
              <w:pStyle w:val="Compact"/>
            </w:pPr>
            <w:r>
              <w:rPr>
                <w:sz w:val="20"/>
                <w:szCs w:val="20"/>
              </w:rPr>
              <w:t xml:space="preserve">NASA mission press kits; NSSDCA master catalog</w:t>
            </w:r>
          </w:p>
        </w:tc>
      </w:tr>
    </w:tbl>
    <w:bookmarkEnd w:id="199"/>
    <w:bookmarkEnd w:id="200"/>
    <w:bookmarkStart w:id="208" w:name="X341314cd2fee400debc06e6f623e819c65ce212"/>
    <w:p>
      <w:pPr>
        <w:pStyle w:val="Heading2"/>
        <w:spacing w:line="480" w:lineRule="auto"/>
      </w:pPr>
      <w:r>
        <w:t xml:space="preserve">A.2 Wright’s Law in Orbit: A Log-Log Estimate of Per-Spacecraft Unit-Cost Elasticity Across Constellation Programs</w:t>
      </w:r>
    </w:p>
    <w:p>
      <w:pPr>
        <w:pStyle w:val="FirstParagraph"/>
        <w:spacing w:line="480" w:lineRule="auto"/>
      </w:pPr>
      <m:oMathPara>
        <m:oMathParaPr>
          <m:jc m:val="center"/>
        </m:oMathParaPr>
        <m:oMath>
          <m:r>
            <m:rPr>
              <m:sty m:val="p"/>
            </m:rPr>
            <m:t>ln</m:t>
          </m:r>
          <m:r>
            <m:rPr>
              <m:sty m:val="p"/>
            </m:rPr>
            <m:t>(</m:t>
          </m:r>
          <m:sSub>
            <m:e>
              <m:r>
                <m:rPr>
                  <m:nor/>
                  <m:sty m:val="p"/>
                </m:rPr>
                <m:t>unit_cost</m:t>
              </m:r>
            </m:e>
            <m:sub>
              <m:r>
                <m:t>i</m:t>
              </m:r>
            </m:sub>
          </m:sSub>
          <m:r>
            <m:rPr>
              <m:sty m:val="p"/>
            </m:rPr>
            <m:t>)</m:t>
          </m:r>
          <m:r>
            <m:rPr>
              <m:sty m:val="p"/>
            </m:rPr>
            <m:t>=</m:t>
          </m:r>
          <m:r>
            <m:t>α</m:t>
          </m:r>
          <m:r>
            <m:rPr>
              <m:sty m:val="p"/>
            </m:rPr>
            <m:t>+</m:t>
          </m:r>
          <m:r>
            <m:t>β</m:t>
          </m:r>
          <m:r>
            <m:rPr>
              <m:sty m:val="p"/>
            </m:rPr>
            <m:t>ln</m:t>
          </m:r>
          <m:r>
            <m:rPr>
              <m:sty m:val="p"/>
            </m:rPr>
            <m:t>(</m:t>
          </m:r>
          <m:sSub>
            <m:e>
              <m:r>
                <m:rPr>
                  <m:nor/>
                  <m:sty m:val="p"/>
                </m:rPr>
                <m:t>cumulative_units</m:t>
              </m:r>
            </m:e>
            <m:sub>
              <m:r>
                <m:t>i</m:t>
              </m:r>
            </m:sub>
          </m:sSub>
          <m:r>
            <m:rPr>
              <m:sty m:val="p"/>
            </m:rPr>
            <m:t>)</m:t>
          </m:r>
          <m:r>
            <m:rPr>
              <m:sty m:val="p"/>
            </m:rPr>
            <m:t>+</m:t>
          </m:r>
          <m:sSub>
            <m:e>
              <m:r>
                <m:t>ε</m:t>
              </m:r>
            </m:e>
            <m:sub>
              <m:r>
                <m:t>i</m:t>
              </m:r>
            </m:sub>
          </m:sSub>
        </m:oMath>
      </m:oMathPara>
    </w:p>
    <w:bookmarkStart w:id="20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3.507</w:t>
            </w:r>
          </w:p>
        </w:tc>
        <w:tc>
          <w:tcPr>
            <w:tcW w:w="0" w:type="auto"/>
          </w:tcPr>
          <w:p>
            <w:pPr>
              <w:spacing w:line="240" w:lineRule="auto" w:before="0" w:after="0"/>
              <w:pStyle w:val="Compact"/>
            </w:pPr>
            <w:r>
              <w:rPr>
                <w:sz w:val="20"/>
                <w:szCs w:val="20"/>
              </w:rPr>
              <w:t xml:space="preserve">0.5985</w:t>
            </w:r>
          </w:p>
        </w:tc>
        <w:tc>
          <w:tcPr>
            <w:tcW w:w="0" w:type="auto"/>
          </w:tcPr>
          <w:p>
            <w:pPr>
              <w:spacing w:line="240" w:lineRule="auto" w:before="0" w:after="0"/>
              <w:pStyle w:val="Compact"/>
            </w:pPr>
            <w:r>
              <w:rPr>
                <w:sz w:val="20"/>
                <w:szCs w:val="20"/>
              </w:rPr>
              <w:t xml:space="preserve">5.8596</w:t>
            </w:r>
          </w:p>
        </w:tc>
        <w:tc>
          <w:tcPr>
            <w:tcW w:w="0" w:type="auto"/>
          </w:tcPr>
          <w:p>
            <w:pPr>
              <w:spacing w:line="240" w:lineRule="auto" w:before="0" w:after="0"/>
              <w:pStyle w:val="Compact"/>
            </w:pPr>
            <w:r>
              <w:rPr>
                <w:sz w:val="20"/>
                <w:szCs w:val="20"/>
              </w:rPr>
              <w:t xml:space="preserve">4.64e-09</w:t>
            </w:r>
          </w:p>
        </w:tc>
        <w:tc>
          <w:tcPr>
            <w:tcW w:w="0" w:type="auto"/>
          </w:tcPr>
          <w:p>
            <w:pPr>
              <w:spacing w:line="240" w:lineRule="auto" w:before="0" w:after="0"/>
              <w:pStyle w:val="Compact"/>
            </w:pPr>
            <w:r>
              <w:rPr>
                <w:sz w:val="20"/>
                <w:szCs w:val="20"/>
              </w:rPr>
              <w:t xml:space="preserve">[2.334, 4.6801]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-0.5952</w:t>
            </w:r>
          </w:p>
        </w:tc>
        <w:tc>
          <w:tcPr>
            <w:tcW w:w="0" w:type="auto"/>
          </w:tcPr>
          <w:p>
            <w:pPr>
              <w:spacing w:line="240" w:lineRule="auto" w:before="0" w:after="0"/>
              <w:pStyle w:val="Compact"/>
            </w:pPr>
            <w:r>
              <w:rPr>
                <w:sz w:val="20"/>
                <w:szCs w:val="20"/>
              </w:rPr>
              <w:t xml:space="preserve">0.1105</w:t>
            </w:r>
          </w:p>
        </w:tc>
        <w:tc>
          <w:tcPr>
            <w:tcW w:w="0" w:type="auto"/>
          </w:tcPr>
          <w:p>
            <w:pPr>
              <w:spacing w:line="240" w:lineRule="auto" w:before="0" w:after="0"/>
              <w:pStyle w:val="Compact"/>
            </w:pPr>
            <w:r>
              <w:rPr>
                <w:sz w:val="20"/>
                <w:szCs w:val="20"/>
              </w:rPr>
              <w:t xml:space="preserve">-5.3881</w:t>
            </w:r>
          </w:p>
        </w:tc>
        <w:tc>
          <w:tcPr>
            <w:tcW w:w="0" w:type="auto"/>
          </w:tcPr>
          <w:p>
            <w:pPr>
              <w:spacing w:line="240" w:lineRule="auto" w:before="0" w:after="0"/>
              <w:pStyle w:val="Compact"/>
            </w:pPr>
            <w:r>
              <w:rPr>
                <w:sz w:val="20"/>
                <w:szCs w:val="20"/>
              </w:rPr>
              <w:t xml:space="preserve">7.119e-08</w:t>
            </w:r>
          </w:p>
        </w:tc>
        <w:tc>
          <w:tcPr>
            <w:tcW w:w="0" w:type="auto"/>
          </w:tcPr>
          <w:p>
            <w:pPr>
              <w:spacing w:line="240" w:lineRule="auto" w:before="0" w:after="0"/>
              <w:pStyle w:val="Compact"/>
            </w:pPr>
            <w:r>
              <w:rPr>
                <w:sz w:val="20"/>
                <w:szCs w:val="20"/>
              </w:rPr>
              <w:t xml:space="preserve">[-0.8117, -0.3787]</w:t>
            </w:r>
          </w:p>
        </w:tc>
      </w:tr>
    </w:tbl>
    <w:p>
      <w:pPr>
        <w:pStyle w:val="BodyText"/>
        <w:spacing w:line="480" w:lineRule="auto"/>
        <w:ind w:firstLine="720"/>
      </w:pPr>
      <w:r>
        <w:t xml:space="preserve">Fit: N = 39 R2 = 0.378 elasticity_b = -0.5952 progress_ratio_2^b = 0.6619</w:t>
      </w:r>
    </w:p>
    <w:bookmarkEnd w:id="201"/>
    <w:bookmarkStart w:id="20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fit of per-spacecraft unit cost versus cumulative units produced across thirteen constellation program blocks from Iridium block 1 (1997) to Starlink v2 mini (2024). The fitted slope is the cost elasticity; the progress ratio 2 raised to the slope reports the fraction of unit cost retained as cumulative output doubles." title="" id="203" name="Picture"/>
            <a:graphic>
              <a:graphicData uri="http://schemas.openxmlformats.org/drawingml/2006/picture">
                <pic:pic>
                  <pic:nvPicPr>
                    <pic:cNvPr descr="D:/Claude_Code/brain/collegium/candidates/dissertations/CYBER_AI_12/research_papers/p2/paper_fig1.png" id="204" name="Picture"/>
                    <pic:cNvPicPr>
                      <a:picLocks noChangeArrowheads="1" noChangeAspect="1"/>
                    </pic:cNvPicPr>
                  </pic:nvPicPr>
                  <pic:blipFill>
                    <a:blip r:embed="rId20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fit of per-spacecraft unit cost versus cumulative units produced across thirteen constellation program blocks from Iridium block 1 (1997) to Starlink v2 mini (2024). The fitted slope is the cost elasticity; the progress ratio 2 raised to the slope reports the fraction of unit cost retained as cumulative output doubles.</w:t>
      </w:r>
    </w:p>
    <w:bookmarkEnd w:id="205"/>
    <w:bookmarkStart w:id="20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unit_cost_musd</w:t>
            </w:r>
          </w:p>
        </w:tc>
        <w:tc>
          <w:tcPr>
            <w:tcW w:w="0" w:type="auto"/>
          </w:tcPr>
          <w:p>
            <w:pPr>
              <w:spacing w:line="240" w:lineRule="auto" w:before="0" w:after="0"/>
              <w:pStyle w:val="Compact"/>
            </w:pPr>
            <w:r>
              <w:rPr>
                <w:sz w:val="20"/>
                <w:szCs w:val="20"/>
              </w:rPr>
              <w:t xml:space="preserve">year_of_observation</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Iridium_block1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FCC IBFS file 1995; Iridium S-1 prospectus 1997</w:t>
            </w:r>
          </w:p>
        </w:tc>
      </w:tr>
      <w:tr>
        <w:tc>
          <w:tcPr>
            <w:tcW w:w="0" w:type="auto"/>
          </w:tcPr>
          <w:p>
            <w:pPr>
              <w:spacing w:line="240" w:lineRule="auto" w:before="0" w:after="0"/>
              <w:pStyle w:val="Compact"/>
            </w:pPr>
            <w:r>
              <w:rPr>
                <w:sz w:val="20"/>
                <w:szCs w:val="20"/>
              </w:rPr>
              <w:t xml:space="preserve">Iridium_block1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FCC IBFS file 1995; Iridium S-1 prospectus 1997</w:t>
            </w:r>
          </w:p>
        </w:tc>
      </w:tr>
      <w:tr>
        <w:tc>
          <w:tcPr>
            <w:tcW w:w="0" w:type="auto"/>
          </w:tcPr>
          <w:p>
            <w:pPr>
              <w:spacing w:line="240" w:lineRule="auto" w:before="0" w:after="0"/>
              <w:pStyle w:val="Compact"/>
            </w:pPr>
            <w:r>
              <w:rPr>
                <w:sz w:val="20"/>
                <w:szCs w:val="20"/>
              </w:rPr>
              <w:t xml:space="preserve">Iridium_block1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FCC IBFS file 1995; Iridium S-1 prospectus 1997</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GAO-17-621 NASA Major Projects 2017; Thales Alenia 2010 contract disclosure</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Thales Alenia Iridium NEXT press release 2010; Iridium 10-K 2017</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Iridium 10-K 2018 fleet capex disclosure</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Iridium 10-K 2019 fleet capex disclosure</w:t>
            </w:r>
          </w:p>
        </w:tc>
      </w:tr>
      <w:tr>
        <w:tc>
          <w:tcPr>
            <w:tcW w:w="0" w:type="auto"/>
          </w:tcPr>
          <w:p>
            <w:pPr>
              <w:spacing w:line="240" w:lineRule="auto" w:before="0" w:after="0"/>
              <w:pStyle w:val="Compact"/>
            </w:pPr>
            <w:r>
              <w:rPr>
                <w:sz w:val="20"/>
                <w:szCs w:val="20"/>
              </w:rPr>
              <w:t xml:space="preserve">Globalstar_block1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S-1 prospectus 1995; FCC IBFS filing</w:t>
            </w:r>
          </w:p>
        </w:tc>
      </w:tr>
      <w:tr>
        <w:tc>
          <w:tcPr>
            <w:tcW w:w="0" w:type="auto"/>
          </w:tcPr>
          <w:p>
            <w:pPr>
              <w:spacing w:line="240" w:lineRule="auto" w:before="0" w:after="0"/>
              <w:pStyle w:val="Compact"/>
            </w:pPr>
            <w:r>
              <w:rPr>
                <w:sz w:val="20"/>
                <w:szCs w:val="20"/>
              </w:rPr>
              <w:t xml:space="preserve">Globalstar_block1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1999</w:t>
            </w:r>
          </w:p>
        </w:tc>
      </w:tr>
      <w:tr>
        <w:tc>
          <w:tcPr>
            <w:tcW w:w="0" w:type="auto"/>
          </w:tcPr>
          <w:p>
            <w:pPr>
              <w:spacing w:line="240" w:lineRule="auto" w:before="0" w:after="0"/>
              <w:pStyle w:val="Compact"/>
            </w:pPr>
            <w:r>
              <w:rPr>
                <w:sz w:val="20"/>
                <w:szCs w:val="20"/>
              </w:rPr>
              <w:t xml:space="preserve">Globalstar_block1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2000</w:t>
            </w:r>
          </w:p>
        </w:tc>
      </w:tr>
      <w:tr>
        <w:tc>
          <w:tcPr>
            <w:tcW w:w="0" w:type="auto"/>
          </w:tcPr>
          <w:p>
            <w:pPr>
              <w:spacing w:line="240" w:lineRule="auto" w:before="0" w:after="0"/>
              <w:pStyle w:val="Compact"/>
            </w:pPr>
            <w:r>
              <w:rPr>
                <w:sz w:val="20"/>
                <w:szCs w:val="20"/>
              </w:rPr>
              <w:t xml:space="preserve">Globalstar_block2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Thales Alenia Space Globalstar-2 contract release 2006; Globalstar 10-K 2010</w:t>
            </w:r>
          </w:p>
        </w:tc>
      </w:tr>
      <w:tr>
        <w:tc>
          <w:tcPr>
            <w:tcW w:w="0" w:type="auto"/>
          </w:tcPr>
          <w:p>
            <w:pPr>
              <w:spacing w:line="240" w:lineRule="auto" w:before="0" w:after="0"/>
              <w:pStyle w:val="Compact"/>
            </w:pPr>
            <w:r>
              <w:rPr>
                <w:sz w:val="20"/>
                <w:szCs w:val="20"/>
              </w:rPr>
              <w:t xml:space="preserve">Globalstar_block2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2011</w:t>
            </w:r>
          </w:p>
        </w:tc>
      </w:tr>
      <w:tr>
        <w:tc>
          <w:tcPr>
            <w:tcW w:w="0" w:type="auto"/>
          </w:tcPr>
          <w:p>
            <w:pPr>
              <w:spacing w:line="240" w:lineRule="auto" w:before="0" w:after="0"/>
              <w:pStyle w:val="Compact"/>
            </w:pPr>
            <w:r>
              <w:rPr>
                <w:sz w:val="20"/>
                <w:szCs w:val="20"/>
              </w:rPr>
              <w:t xml:space="preserve">Globalstar_block2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2013</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 press kit launch 1 2019; Airbus OneWeb Satellites joint venture disclosures</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 Chapter 11 filings 2020 fleet cost schedule</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 govt OneWeb investment statement 2021; Bharti Global filings</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 completion press release 2023</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Eutelsat OneWeb merger prospectus 2023</w:t>
            </w:r>
          </w:p>
        </w:tc>
      </w:tr>
      <w:tr>
        <w:tc>
          <w:tcPr>
            <w:tcW w:w="0" w:type="auto"/>
          </w:tcPr>
          <w:p>
            <w:pPr>
              <w:spacing w:line="240" w:lineRule="auto" w:before="0" w:after="0"/>
              <w:pStyle w:val="Compact"/>
            </w:pPr>
            <w:r>
              <w:rPr>
                <w:sz w:val="20"/>
                <w:szCs w:val="20"/>
              </w:rPr>
              <w:t xml:space="preserve">Starlink_v0.9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Part 25 modification SAT-MOD-20181108-00083; Reuters 2019 disclosure</w:t>
            </w:r>
          </w:p>
        </w:tc>
      </w:tr>
      <w:tr>
        <w:tc>
          <w:tcPr>
            <w:tcW w:w="0" w:type="auto"/>
          </w:tcPr>
          <w:p>
            <w:pPr>
              <w:spacing w:line="240" w:lineRule="auto" w:before="0" w:after="0"/>
              <w:pStyle w:val="Compact"/>
            </w:pPr>
            <w:r>
              <w:rPr>
                <w:sz w:val="20"/>
                <w:szCs w:val="20"/>
              </w:rPr>
              <w:t xml:space="preserve">Starlink_v1.0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SAT-MOD-20200417-00037; Musk Senate testimony 2020 [illustrative]</w:t>
            </w:r>
          </w:p>
        </w:tc>
      </w:tr>
      <w:tr>
        <w:tc>
          <w:tcPr>
            <w:tcW w:w="0" w:type="auto"/>
          </w:tcPr>
          <w:p>
            <w:pPr>
              <w:spacing w:line="240" w:lineRule="auto" w:before="0" w:after="0"/>
              <w:pStyle w:val="Compact"/>
            </w:pPr>
            <w:r>
              <w:rPr>
                <w:sz w:val="20"/>
                <w:szCs w:val="20"/>
              </w:rPr>
              <w:t xml:space="preserve">Starlink_v1.0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SAT-MOD-20210818-00105; Morgan Stanley research note 2021</w:t>
            </w:r>
          </w:p>
        </w:tc>
      </w:tr>
      <w:tr>
        <w:tc>
          <w:tcPr>
            <w:tcW w:w="0" w:type="auto"/>
          </w:tcPr>
          <w:p>
            <w:pPr>
              <w:spacing w:line="240" w:lineRule="auto" w:before="0" w:after="0"/>
              <w:pStyle w:val="Compact"/>
            </w:pPr>
            <w:r>
              <w:rPr>
                <w:sz w:val="20"/>
                <w:szCs w:val="20"/>
              </w:rPr>
              <w:t xml:space="preserve">Starlink_v1.0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quarterly reports 2022; Quilty Analytics 2022 [illustrative]</w:t>
            </w:r>
          </w:p>
        </w:tc>
      </w:tr>
      <w:tr>
        <w:tc>
          <w:tcPr>
            <w:tcW w:w="0" w:type="auto"/>
          </w:tcPr>
          <w:p>
            <w:pPr>
              <w:spacing w:line="240" w:lineRule="auto" w:before="0" w:after="0"/>
              <w:pStyle w:val="Compact"/>
            </w:pPr>
            <w:r>
              <w:rPr>
                <w:sz w:val="20"/>
                <w:szCs w:val="20"/>
              </w:rPr>
              <w:t xml:space="preserve">Starlink_v1.5</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Part 25 amendment 2022; SpaceNews reporting</w:t>
            </w:r>
          </w:p>
        </w:tc>
      </w:tr>
      <w:tr>
        <w:tc>
          <w:tcPr>
            <w:tcW w:w="0" w:type="auto"/>
          </w:tcPr>
          <w:p>
            <w:pPr>
              <w:spacing w:line="240" w:lineRule="auto" w:before="0" w:after="0"/>
              <w:pStyle w:val="Compact"/>
            </w:pPr>
            <w:r>
              <w:rPr>
                <w:sz w:val="20"/>
                <w:szCs w:val="20"/>
              </w:rPr>
              <w:t xml:space="preserve">Starlink_v2_mini</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SAT-MOD-20230410-00079; Payload Research 2023</w:t>
            </w:r>
          </w:p>
        </w:tc>
      </w:tr>
      <w:tr>
        <w:tc>
          <w:tcPr>
            <w:tcW w:w="0" w:type="auto"/>
          </w:tcPr>
          <w:p>
            <w:pPr>
              <w:spacing w:line="240" w:lineRule="auto" w:before="0" w:after="0"/>
              <w:pStyle w:val="Compact"/>
            </w:pPr>
            <w:r>
              <w:rPr>
                <w:sz w:val="20"/>
                <w:szCs w:val="20"/>
              </w:rPr>
              <w:t xml:space="preserve">Starlink_v2_mini</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quarterly disclosures 2024; Payload Research 2024 [illustrative]</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Labs S-1 prospectus 2021; FCC ELS file</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 historical capex</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10-K 2022</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Planet/Skybox</w:t>
            </w:r>
          </w:p>
        </w:tc>
        <w:tc>
          <w:tcPr>
            <w:tcW w:w="0" w:type="auto"/>
          </w:tcPr>
          <w:p>
            <w:pPr>
              <w:spacing w:line="240" w:lineRule="auto" w:before="0" w:after="0"/>
              <w:pStyle w:val="Compact"/>
            </w:pPr>
            <w:r>
              <w:rPr>
                <w:sz w:val="20"/>
                <w:szCs w:val="20"/>
              </w:rPr>
              <w:t xml:space="preserve">Skybox Imaging press release 2013; Google acquisition 8-K 2014</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acquisition disclosure 2017; SkySat block-2 announcement</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10-K 2022</w:t>
            </w:r>
          </w:p>
        </w:tc>
      </w:tr>
      <w:tr>
        <w:tc>
          <w:tcPr>
            <w:tcW w:w="0" w:type="auto"/>
          </w:tcPr>
          <w:p>
            <w:pPr>
              <w:spacing w:line="240" w:lineRule="auto" w:before="0" w:after="0"/>
              <w:pStyle w:val="Compact"/>
            </w:pPr>
            <w:r>
              <w:rPr>
                <w:sz w:val="20"/>
                <w:szCs w:val="20"/>
              </w:rPr>
              <w:t xml:space="preserve">GPS_IIR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GAO-99-145 NAVSTAR GPS report 1999</w:t>
            </w:r>
          </w:p>
        </w:tc>
      </w:tr>
      <w:tr>
        <w:tc>
          <w:tcPr>
            <w:tcW w:w="0" w:type="auto"/>
          </w:tcPr>
          <w:p>
            <w:pPr>
              <w:spacing w:line="240" w:lineRule="auto" w:before="0" w:after="0"/>
              <w:pStyle w:val="Compact"/>
            </w:pPr>
            <w:r>
              <w:rPr>
                <w:sz w:val="20"/>
                <w:szCs w:val="20"/>
              </w:rPr>
              <w:t xml:space="preserve">GPS_IIRM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GAO-06-740 GPS Block IIF report 2006</w:t>
            </w:r>
          </w:p>
        </w:tc>
      </w:tr>
      <w:tr>
        <w:tc>
          <w:tcPr>
            <w:tcW w:w="0" w:type="auto"/>
          </w:tcPr>
          <w:p>
            <w:pPr>
              <w:spacing w:line="240" w:lineRule="auto" w:before="0" w:after="0"/>
              <w:pStyle w:val="Compact"/>
            </w:pPr>
            <w:r>
              <w:rPr>
                <w:sz w:val="20"/>
                <w:szCs w:val="20"/>
              </w:rPr>
              <w:t xml:space="preserve">GPS_IIF</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GAO-17-322 GPS Block IIF program</w:t>
            </w:r>
          </w:p>
        </w:tc>
      </w:tr>
      <w:tr>
        <w:tc>
          <w:tcPr>
            <w:tcW w:w="0" w:type="auto"/>
          </w:tcPr>
          <w:p>
            <w:pPr>
              <w:spacing w:line="240" w:lineRule="auto" w:before="0" w:after="0"/>
              <w:pStyle w:val="Compact"/>
            </w:pPr>
            <w:r>
              <w:rPr>
                <w:sz w:val="20"/>
                <w:szCs w:val="20"/>
              </w:rPr>
              <w:t xml:space="preserve">GPS_III</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GAO-19-250SP DoD Assessments of Selected Weapon Programs 2019</w:t>
            </w:r>
          </w:p>
        </w:tc>
      </w:tr>
      <w:tr>
        <w:tc>
          <w:tcPr>
            <w:tcW w:w="0" w:type="auto"/>
          </w:tcPr>
          <w:p>
            <w:pPr>
              <w:spacing w:line="240" w:lineRule="auto" w:before="0" w:after="0"/>
              <w:pStyle w:val="Compact"/>
            </w:pPr>
            <w:r>
              <w:rPr>
                <w:sz w:val="20"/>
                <w:szCs w:val="20"/>
              </w:rPr>
              <w:t xml:space="preserve">GPS_III</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GAO-23-106059 DoD Weapon Systems Annual Assessment 2023</w:t>
            </w:r>
          </w:p>
        </w:tc>
      </w:tr>
    </w:tbl>
    <w:bookmarkEnd w:id="206"/>
    <w:bookmarkStart w:id="20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unit_cost_musd</w:t>
            </w:r>
          </w:p>
        </w:tc>
        <w:tc>
          <w:tcPr>
            <w:tcW w:w="0" w:type="auto"/>
          </w:tcPr>
          <w:p>
            <w:pPr>
              <w:spacing w:line="240" w:lineRule="auto" w:before="0" w:after="0"/>
              <w:pStyle w:val="Compact"/>
            </w:pPr>
            <w:r>
              <w:rPr>
                <w:sz w:val="20"/>
                <w:szCs w:val="20"/>
              </w:rPr>
              <w:t xml:space="preserve">Reported per-spacecraft acquisition cost in millions of constant US dollars at the observation year</w:t>
            </w:r>
          </w:p>
        </w:tc>
        <w:tc>
          <w:tcPr>
            <w:tcW w:w="0" w:type="auto"/>
          </w:tcPr>
          <w:p>
            <w:pPr>
              <w:spacing w:line="240" w:lineRule="auto" w:before="0" w:after="0"/>
              <w:pStyle w:val="Compact"/>
            </w:pPr>
            <w:r>
              <w:rPr>
                <w:sz w:val="20"/>
                <w:szCs w:val="20"/>
              </w:rPr>
              <w:t xml:space="preserve">Operator 10-K filings, S-1 prospectuses, FCC Part 25 license disclosures, GAO Major Project Assessments, prime-contractor press releases</w:t>
            </w:r>
          </w:p>
        </w:tc>
      </w:tr>
      <w:tr>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Cumulative count of units built within the program block at the observation date</w:t>
            </w:r>
          </w:p>
        </w:tc>
        <w:tc>
          <w:tcPr>
            <w:tcW w:w="0" w:type="auto"/>
          </w:tcPr>
          <w:p>
            <w:pPr>
              <w:spacing w:line="240" w:lineRule="auto" w:before="0" w:after="0"/>
              <w:pStyle w:val="Compact"/>
            </w:pPr>
            <w:r>
              <w:rPr>
                <w:sz w:val="20"/>
                <w:szCs w:val="20"/>
              </w:rPr>
              <w:t xml:space="preserve">Operator filings, FCC quarterly fleet reports, prime-contractor production announcements</w:t>
            </w:r>
          </w:p>
        </w:tc>
      </w:tr>
      <w:t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Constellation program block identifier (e.g. Iridium NEXT, Starlink v1.0, GPS III)</w:t>
            </w:r>
          </w:p>
        </w:tc>
        <w:tc>
          <w:tcPr>
            <w:tcW w:w="0" w:type="auto"/>
          </w:tcPr>
          <w:p>
            <w:pPr>
              <w:spacing w:line="240" w:lineRule="auto" w:before="0" w:after="0"/>
              <w:pStyle w:val="Compact"/>
            </w:pPr>
            <w:r>
              <w:rPr>
                <w:sz w:val="20"/>
                <w:szCs w:val="20"/>
              </w:rPr>
              <w:t xml:space="preserve">Program documentation and operator filings</w:t>
            </w:r>
          </w:p>
        </w:tc>
      </w:tr>
      <w:t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Owning operator entity at the time of observation</w:t>
            </w:r>
          </w:p>
        </w:tc>
        <w:tc>
          <w:tcPr>
            <w:tcW w:w="0" w:type="auto"/>
          </w:tcPr>
          <w:p>
            <w:pPr>
              <w:spacing w:line="240" w:lineRule="auto" w:before="0" w:after="0"/>
              <w:pStyle w:val="Compact"/>
            </w:pPr>
            <w:r>
              <w:rPr>
                <w:sz w:val="20"/>
                <w:szCs w:val="20"/>
              </w:rPr>
              <w:t xml:space="preserve">FCC/ITU registry; operator filings</w:t>
            </w:r>
          </w:p>
        </w:tc>
      </w:tr>
    </w:tbl>
    <w:bookmarkEnd w:id="207"/>
    <w:bookmarkEnd w:id="208"/>
    <w:bookmarkEnd w:id="20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4" Type="http://schemas.openxmlformats.org/officeDocument/2006/relationships/image" Target="media/rId194.png"/><Relationship Id="rId202" Type="http://schemas.openxmlformats.org/officeDocument/2006/relationships/image" Target="media/rId202.png"/><Relationship Id="rId152" Type="http://schemas.openxmlformats.org/officeDocument/2006/relationships/hyperlink" Target="https://doi.org/10.1016/j.actaastro.2021.08.049" TargetMode="External"/><Relationship Id="rId145" Type="http://schemas.openxmlformats.org/officeDocument/2006/relationships/hyperlink" Target="https://doi.org/10.1016/j.actaastro.2022.01.027" TargetMode="External"/><Relationship Id="rId160" Type="http://schemas.openxmlformats.org/officeDocument/2006/relationships/hyperlink" Target="https://doi.org/10.1016/j.actaastro.2025.01.043" TargetMode="External"/><Relationship Id="rId182" Type="http://schemas.openxmlformats.org/officeDocument/2006/relationships/hyperlink" Target="https://doi.org/10.1016/j.actaastro.2025.05.009" TargetMode="External"/><Relationship Id="rId180" Type="http://schemas.openxmlformats.org/officeDocument/2006/relationships/hyperlink" Target="https://doi.org/10.1016/j.actaastro.2025.07.055" TargetMode="External"/><Relationship Id="rId147" Type="http://schemas.openxmlformats.org/officeDocument/2006/relationships/hyperlink" Target="https://doi.org/10.1016/j.actaastro.2025.10.018" TargetMode="External"/><Relationship Id="rId149" Type="http://schemas.openxmlformats.org/officeDocument/2006/relationships/hyperlink" Target="https://doi.org/10.1016/j.actaastro.2026.02.008" TargetMode="External"/><Relationship Id="rId190" Type="http://schemas.openxmlformats.org/officeDocument/2006/relationships/hyperlink" Target="https://doi.org/10.1016/j.actaastro.2026.02.021" TargetMode="External"/><Relationship Id="rId184" Type="http://schemas.openxmlformats.org/officeDocument/2006/relationships/hyperlink" Target="https://doi.org/10.1016/j.actaastro.2026.04.039" TargetMode="External"/><Relationship Id="rId188" Type="http://schemas.openxmlformats.org/officeDocument/2006/relationships/hyperlink" Target="https://doi.org/10.1016/j.actaastro.2026.05.055" TargetMode="External"/><Relationship Id="rId174" Type="http://schemas.openxmlformats.org/officeDocument/2006/relationships/hyperlink" Target="https://doi.org/10.64861/AJUV7773" TargetMode="External"/><Relationship Id="rId171" Type="http://schemas.openxmlformats.org/officeDocument/2006/relationships/hyperlink" Target="https://doi.org/10.64861/FJYT8606" TargetMode="External"/><Relationship Id="rId156" Type="http://schemas.openxmlformats.org/officeDocument/2006/relationships/hyperlink" Target="https://doi.org/10.64861/FLIA6056" TargetMode="External"/><Relationship Id="rId169" Type="http://schemas.openxmlformats.org/officeDocument/2006/relationships/hyperlink" Target="https://doi.org/10.64861/XQCN3213" TargetMode="External"/><Relationship Id="rId143"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52" Type="http://schemas.openxmlformats.org/officeDocument/2006/relationships/hyperlink" Target="https://doi.org/10.1016/j.actaastro.2021.08.049" TargetMode="External"/><Relationship Id="rId145" Type="http://schemas.openxmlformats.org/officeDocument/2006/relationships/hyperlink" Target="https://doi.org/10.1016/j.actaastro.2022.01.027" TargetMode="External"/><Relationship Id="rId160" Type="http://schemas.openxmlformats.org/officeDocument/2006/relationships/hyperlink" Target="https://doi.org/10.1016/j.actaastro.2025.01.043" TargetMode="External"/><Relationship Id="rId182" Type="http://schemas.openxmlformats.org/officeDocument/2006/relationships/hyperlink" Target="https://doi.org/10.1016/j.actaastro.2025.05.009" TargetMode="External"/><Relationship Id="rId180" Type="http://schemas.openxmlformats.org/officeDocument/2006/relationships/hyperlink" Target="https://doi.org/10.1016/j.actaastro.2025.07.055" TargetMode="External"/><Relationship Id="rId147" Type="http://schemas.openxmlformats.org/officeDocument/2006/relationships/hyperlink" Target="https://doi.org/10.1016/j.actaastro.2025.10.018" TargetMode="External"/><Relationship Id="rId149" Type="http://schemas.openxmlformats.org/officeDocument/2006/relationships/hyperlink" Target="https://doi.org/10.1016/j.actaastro.2026.02.008" TargetMode="External"/><Relationship Id="rId190" Type="http://schemas.openxmlformats.org/officeDocument/2006/relationships/hyperlink" Target="https://doi.org/10.1016/j.actaastro.2026.02.021" TargetMode="External"/><Relationship Id="rId184" Type="http://schemas.openxmlformats.org/officeDocument/2006/relationships/hyperlink" Target="https://doi.org/10.1016/j.actaastro.2026.04.039" TargetMode="External"/><Relationship Id="rId188" Type="http://schemas.openxmlformats.org/officeDocument/2006/relationships/hyperlink" Target="https://doi.org/10.1016/j.actaastro.2026.05.055" TargetMode="External"/><Relationship Id="rId174" Type="http://schemas.openxmlformats.org/officeDocument/2006/relationships/hyperlink" Target="https://doi.org/10.64861/AJUV7773" TargetMode="External"/><Relationship Id="rId171" Type="http://schemas.openxmlformats.org/officeDocument/2006/relationships/hyperlink" Target="https://doi.org/10.64861/FJYT8606" TargetMode="External"/><Relationship Id="rId156" Type="http://schemas.openxmlformats.org/officeDocument/2006/relationships/hyperlink" Target="https://doi.org/10.64861/FLIA6056" TargetMode="External"/><Relationship Id="rId169" Type="http://schemas.openxmlformats.org/officeDocument/2006/relationships/hyperlink" Target="https://doi.org/10.64861/XQCN3213" TargetMode="External"/><Relationship Id="rId143"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Resilience Versus Brittleness: Does Diversity in Autonomy and Software Stacks Acquire Survivability for Space Infrastructure</dc:title>
  <dc:creator>Mira Abara (1B-ITI-121)</dc:creator>
  <cp:keywords/>
  <dcterms:created xsi:type="dcterms:W3CDTF">2026-07-03T23:57:08Z</dcterms:created>
  <dcterms:modified xsi:type="dcterms:W3CDTF">2026-07-03T23:57:08Z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