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b77c1cc890aabe58ec5ac6d35b325c2e1df3293"/>
    <w:p>
      <w:pPr>
        <w:pStyle w:val="Heading1"/>
      </w:pPr>
      <w:r>
        <w:t xml:space="preserve">Signal Intensity in The Encryption Adoption Gap Why Do Commercial and Civil Satellite Command Links: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Ibrahim Nilsson (1B-ITI-192) and the dissertation project</w:t>
      </w:r>
      <w:r>
        <w:t xml:space="preserve"> </w:t>
      </w:r>
      <w:r>
        <w:rPr>
          <w:i/>
          <w:iCs/>
        </w:rPr>
        <w:t xml:space="preserve">The Encryption Adoption Gap: Why Do Commercial and Civil Satellite Command Links</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R2=0.04709336664267472, R2_adj=-0.06285739874470897, F=0.44248010619741, F_p=0.7246103582364543. The exact term summary is: const coef=3.217351868040487 p=0.027004741432319183; recency_index coef=-0.006352605247772945 p=0.9511712584083457; cites_num coef=0.03393707011552134 p=0.4076011289606837; venue_score coef=-0.33770404410687493 p=0.37993500284929405.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Ammy Cardona, Space Systems Center, Development Corps; Anthony Rosati, Space Systems Center Special Programs Advanced Integration; Donn Murray, Space Systems Center, Special Programs Space Based Optical; Janelle Moran, Science Applications International Corporation (SAIC); Heather Ginsburgh, Emolbi. Space Systems Center Special Programs Advanced Technology Integration Future Space Domain Awareness Hosted Payloads (2021). [AMOS]</w:t>
      </w:r>
      <w:r>
        <w:t xml:space="preserve"> </w:t>
      </w:r>
      <w:bookmarkStart w:id="68" w:name="ref-2"/>
      <w:bookmarkEnd w:id="68"/>
      <w:r>
        <w:t xml:space="preserve">2. Rohit Mital, SGT KBRwyle; Jack de La Beaujardiere, University of Maryland; Rohan Mital, University of Colorado; Marge Cole, NASA ESTO and SGT KBRwyle; Charles Norton, NASA Headquarters. Blockchain Application Within a Multi-Sensor Satellite Architecture (2018). [AMOS]</w:t>
      </w:r>
      <w:r>
        <w:t xml:space="preserve"> </w:t>
      </w:r>
      <w:bookmarkStart w:id="69" w:name="ref-3"/>
      <w:bookmarkEnd w:id="69"/>
      <w:r>
        <w:t xml:space="preserve">3. Chelsea Wright, Ferris State University. A Collaborative Cybersecurity Training Policy for Future Space Endeavors (2023). doi:</w:t>
      </w:r>
      <w:r>
        <w:t xml:space="preserve"> </w:t>
      </w:r>
      <w:hyperlink r:id="rId70">
        <w:r>
          <w:rPr>
            <w:rStyle w:val="Hyperlink"/>
          </w:rPr>
          <w:t xml:space="preserve">10.64861/WXIJ8208</w:t>
        </w:r>
      </w:hyperlink>
      <w:r>
        <w:t xml:space="preserve"> </w:t>
      </w:r>
      <w:bookmarkStart w:id="71" w:name="ref-4"/>
      <w:bookmarkEnd w:id="71"/>
      <w:r>
        <w:t xml:space="preserve">4. Carmen Reglero Andres, Amazon Web Services; Eloy Salcedo de Zarraga, Amazon Web Services; Shayn Hawthorne, Amazon Web Services; Margaret Cote, Amazon Web Services; Nicholas Ansell, Amazon Web Services; Yudhajeet Dasgupta, Amazon Web Services. Reducing Decision Time for on-orbit Operations with Virtualized Ground Stations and Machine Learning (2022). [AMOS]</w:t>
      </w:r>
      <w:r>
        <w:t xml:space="preserve"> </w:t>
      </w:r>
      <w:bookmarkStart w:id="72" w:name="ref-5"/>
      <w:bookmarkEnd w:id="72"/>
      <w:r>
        <w:t xml:space="preserve">5. Francis Bennet, Australian National University; Oliver Thearle, Australian National University; Lyle Roberts, Australian National University; Jordan Smith, Australian National University; James Spollard, Australian National University; Daniel Shaddock, Australian National University; Ping Koy Lam, Australian National University. Free-space Quantum Communication Link with Adaptive Optics (2018). [AMOS]</w:t>
      </w:r>
      <w:r>
        <w:t xml:space="preserve"> </w:t>
      </w:r>
      <w:bookmarkStart w:id="73" w:name="ref-6"/>
      <w:bookmarkEnd w:id="73"/>
      <w:r>
        <w:t xml:space="preserve">6. Bhavya Lal, IDA Science and Technology Policy Institute, Sara A. Carioscia, IDA Science and Technology Policy Institute. Evaluating Options for Civil Space Situational Awareness (SSA) (2017). [AMOS]</w:t>
      </w:r>
      <w:r>
        <w:t xml:space="preserve"> </w:t>
      </w:r>
      <w:bookmarkStart w:id="74" w:name="ref-7"/>
      <w:bookmarkEnd w:id="74"/>
      <w:r>
        <w:t xml:space="preserve">7. Elozor Plotke, LinQuest Corporation; Peter C. Lai, LinQuest Corporation; Yingwai (Andy) Chan, United States Space Force SSC; Roberta M. Ewart, United States Space Force SSC; Kyle Miller, Ball Aerospace; Jacob Griesbach, Ball Aerospace. Dual Use Star Tracker and Space Domain Awareness Sensor In-Space Test (2021). [AMOS]</w:t>
      </w:r>
      <w:r>
        <w:t xml:space="preserve"> </w:t>
      </w:r>
      <w:bookmarkStart w:id="75" w:name="ref-8"/>
      <w:bookmarkEnd w:id="75"/>
      <w:r>
        <w:t xml:space="preserve">8. Marcus Holzinger (University of Colorado at Boulder), Daniel Scheeres (University of Colorado at Boulder). Object Correlation and Maneuver Detection Using Optimal Control Performance Metrics (2010). [AMOS]</w:t>
      </w:r>
    </w:p>
    <w:bookmarkEnd w:id="76"/>
    <w:bookmarkStart w:id="77"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3.2174</w:t>
            </w:r>
          </w:p>
        </w:tc>
        <w:tc>
          <w:tcPr>
            <w:tcW w:w="0" w:type="auto"/>
          </w:tcPr>
          <w:p>
            <w:pPr>
              <w:spacing w:line="240" w:lineRule="auto" w:before="0" w:after="0"/>
              <w:pStyle w:val="Compact"/>
            </w:pPr>
            <w:r>
              <w:rPr>
                <w:sz w:val="20"/>
                <w:szCs w:val="20"/>
              </w:rPr>
              <w:t xml:space="preserve">1.4549</w:t>
            </w:r>
          </w:p>
        </w:tc>
        <w:tc>
          <w:tcPr>
            <w:tcW w:w="0" w:type="auto"/>
          </w:tcPr>
          <w:p>
            <w:pPr>
              <w:spacing w:line="240" w:lineRule="auto" w:before="0" w:after="0"/>
              <w:pStyle w:val="Compact"/>
            </w:pPr>
            <w:r>
              <w:rPr>
                <w:sz w:val="20"/>
                <w:szCs w:val="20"/>
              </w:rPr>
              <w:t xml:space="preserve">2.2114</w:t>
            </w:r>
          </w:p>
        </w:tc>
        <w:tc>
          <w:tcPr>
            <w:tcW w:w="0" w:type="auto"/>
          </w:tcPr>
          <w:p>
            <w:pPr>
              <w:spacing w:line="240" w:lineRule="auto" w:before="0" w:after="0"/>
              <w:pStyle w:val="Compact"/>
            </w:pPr>
            <w:r>
              <w:rPr>
                <w:sz w:val="20"/>
                <w:szCs w:val="20"/>
              </w:rPr>
              <w:t xml:space="preserve">0.027</w:t>
            </w:r>
          </w:p>
        </w:tc>
        <w:tc>
          <w:tcPr>
            <w:tcW w:w="0" w:type="auto"/>
          </w:tcPr>
          <w:p>
            <w:pPr>
              <w:spacing w:line="240" w:lineRule="auto" w:before="0" w:after="0"/>
              <w:pStyle w:val="Compact"/>
            </w:pPr>
            <w:r>
              <w:rPr>
                <w:sz w:val="20"/>
                <w:szCs w:val="20"/>
              </w:rPr>
              <w:t xml:space="preserve">[0.3659, 6.0688]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0.1037</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0.9512</w:t>
            </w:r>
          </w:p>
        </w:tc>
        <w:tc>
          <w:tcPr>
            <w:tcW w:w="0" w:type="auto"/>
          </w:tcPr>
          <w:p>
            <w:pPr>
              <w:spacing w:line="240" w:lineRule="auto" w:before="0" w:after="0"/>
              <w:pStyle w:val="Compact"/>
            </w:pPr>
            <w:r>
              <w:rPr>
                <w:sz w:val="20"/>
                <w:szCs w:val="20"/>
              </w:rPr>
              <w:t xml:space="preserve">[-0.2097, 0.197]</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0.0339</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0.8281</w:t>
            </w:r>
          </w:p>
        </w:tc>
        <w:tc>
          <w:tcPr>
            <w:tcW w:w="0" w:type="auto"/>
          </w:tcPr>
          <w:p>
            <w:pPr>
              <w:spacing w:line="240" w:lineRule="auto" w:before="0" w:after="0"/>
              <w:pStyle w:val="Compact"/>
            </w:pPr>
            <w:r>
              <w:rPr>
                <w:sz w:val="20"/>
                <w:szCs w:val="20"/>
              </w:rPr>
              <w:t xml:space="preserve">0.4076</w:t>
            </w:r>
          </w:p>
        </w:tc>
        <w:tc>
          <w:tcPr>
            <w:tcW w:w="0" w:type="auto"/>
          </w:tcPr>
          <w:p>
            <w:pPr>
              <w:spacing w:line="240" w:lineRule="auto" w:before="0" w:after="0"/>
              <w:pStyle w:val="Compact"/>
            </w:pPr>
            <w:r>
              <w:rPr>
                <w:sz w:val="20"/>
                <w:szCs w:val="20"/>
              </w:rPr>
              <w:t xml:space="preserve">[-0.0464, 0.1143]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-0.3377</w:t>
            </w:r>
          </w:p>
        </w:tc>
        <w:tc>
          <w:tcPr>
            <w:tcW w:w="0" w:type="auto"/>
          </w:tcPr>
          <w:p>
            <w:pPr>
              <w:spacing w:line="240" w:lineRule="auto" w:before="0" w:after="0"/>
              <w:pStyle w:val="Compact"/>
            </w:pPr>
            <w:r>
              <w:rPr>
                <w:sz w:val="20"/>
                <w:szCs w:val="20"/>
              </w:rPr>
              <w:t xml:space="preserve">0.3846</w:t>
            </w:r>
          </w:p>
        </w:tc>
        <w:tc>
          <w:tcPr>
            <w:tcW w:w="0" w:type="auto"/>
          </w:tcPr>
          <w:p>
            <w:pPr>
              <w:spacing w:line="240" w:lineRule="auto" w:before="0" w:after="0"/>
              <w:pStyle w:val="Compact"/>
            </w:pPr>
            <w:r>
              <w:rPr>
                <w:sz w:val="20"/>
                <w:szCs w:val="20"/>
              </w:rPr>
              <w:t xml:space="preserve">-0.878</w:t>
            </w:r>
          </w:p>
        </w:tc>
        <w:tc>
          <w:tcPr>
            <w:tcW w:w="0" w:type="auto"/>
          </w:tcPr>
          <w:p>
            <w:pPr>
              <w:spacing w:line="240" w:lineRule="auto" w:before="0" w:after="0"/>
              <w:pStyle w:val="Compact"/>
            </w:pPr>
            <w:r>
              <w:rPr>
                <w:sz w:val="20"/>
                <w:szCs w:val="20"/>
              </w:rPr>
              <w:t xml:space="preserve">0.3799</w:t>
            </w:r>
          </w:p>
        </w:tc>
        <w:tc>
          <w:tcPr>
            <w:tcW w:w="0" w:type="auto"/>
          </w:tcPr>
          <w:p>
            <w:pPr>
              <w:spacing w:line="240" w:lineRule="auto" w:before="0" w:after="0"/>
              <w:pStyle w:val="Compact"/>
            </w:pPr>
            <w:r>
              <w:rPr>
                <w:sz w:val="20"/>
                <w:szCs w:val="20"/>
              </w:rPr>
              <w:t xml:space="preserve">[-1.0915, 0.4161]</w:t>
            </w:r>
          </w:p>
        </w:tc>
      </w:tr>
    </w:tbl>
    <w:p>
      <w:pPr>
        <w:pStyle w:val="BodyText"/>
      </w:pPr>
      <w:r>
        <w:t xml:space="preserve">Fit: N = 30 R2 = 0.0471 R2_adj = -0.0629 F = 0.4425 F_p = 0.7246</w:t>
      </w:r>
    </w:p>
    <w:p>
      <w:pPr>
        <w:pStyle w:val="CaptionedFigure"/>
      </w:pPr>
      <w:r>
        <w:drawing>
          <wp:inline>
            <wp:extent cx="5669280" cy="3657600"/>
            <wp:effectExtent b="0" l="0" r="0" t="0"/>
            <wp:docPr descr="Figure 1. Topic-signal score by publication recency, conditioning on citation attention and venue family." title="" id="79" name="Picture"/>
            <a:graphic>
              <a:graphicData uri="http://schemas.openxmlformats.org/drawingml/2006/picture">
                <pic:pic>
                  <pic:nvPicPr>
                    <pic:cNvPr descr="D:\Claude_Code\brain\collegium\candidates\dissertations\CYBER_AI_11\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https://amostech.space/year/2021/space-systems-center-special-programs-advanced-technology-integration-future-space-domain-awareness-hosted-payloads/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https://amostech.space/year/2018/blockchain-application-within-a-multi-sensor-satellite-architecture/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10.64861/WXIJ8208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https://amostech.space/year/2022/reducing-decision-time-for-on-orbit-operations-with-virtualized-ground-stations-and-machine-learning/</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https://amostech.space/year/2018/free-space-quantum-communication-link-with-adaptive-optics/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https://amostech.space/year/2021/dual-use-star-tracker-and-space-domain-awareness-sensor-in-space-test/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https://amostech.space/year/2010/object-correlation-and-maneuver-detection-using-optimal-control-performance-metrics/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https://amostech.space/year/2018/laser-beam-for-external-position-control-and-traffic-management-of-on-orbit-satellites/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10.64861/QAOZ6812</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https://amostech.space/year/2012/data-handling-and-protection-of-need-to-know-data-in-a-need-to-share-net-centric-enterprise/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10.1016/j.actaastro.2020.11.036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10.1016/j.actaastro.2018.06.005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10.1016/j.actaastro.2025.12.003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10.1016/j.actaastro.2025.04.038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10.1016/j.actaastro.2022.03.032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10.1016/j.actaastro.2023.06.001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3.2174</w:t>
            </w:r>
          </w:p>
        </w:tc>
        <w:tc>
          <w:tcPr>
            <w:tcW w:w="0" w:type="auto"/>
          </w:tcPr>
          <w:p>
            <w:pPr>
              <w:spacing w:line="240" w:lineRule="auto" w:before="0" w:after="0"/>
              <w:pStyle w:val="Compact"/>
            </w:pPr>
            <w:r>
              <w:rPr>
                <w:sz w:val="20"/>
                <w:szCs w:val="20"/>
              </w:rPr>
              <w:t xml:space="preserve">1.4549</w:t>
            </w:r>
          </w:p>
        </w:tc>
        <w:tc>
          <w:tcPr>
            <w:tcW w:w="0" w:type="auto"/>
          </w:tcPr>
          <w:p>
            <w:pPr>
              <w:spacing w:line="240" w:lineRule="auto" w:before="0" w:after="0"/>
              <w:pStyle w:val="Compact"/>
            </w:pPr>
            <w:r>
              <w:rPr>
                <w:sz w:val="20"/>
                <w:szCs w:val="20"/>
              </w:rPr>
              <w:t xml:space="preserve">2.2114</w:t>
            </w:r>
          </w:p>
        </w:tc>
        <w:tc>
          <w:tcPr>
            <w:tcW w:w="0" w:type="auto"/>
          </w:tcPr>
          <w:p>
            <w:pPr>
              <w:spacing w:line="240" w:lineRule="auto" w:before="0" w:after="0"/>
              <w:pStyle w:val="Compact"/>
            </w:pPr>
            <w:r>
              <w:rPr>
                <w:sz w:val="20"/>
                <w:szCs w:val="20"/>
              </w:rPr>
              <w:t xml:space="preserve">0.027</w:t>
            </w:r>
          </w:p>
        </w:tc>
        <w:tc>
          <w:tcPr>
            <w:tcW w:w="0" w:type="auto"/>
          </w:tcPr>
          <w:p>
            <w:pPr>
              <w:spacing w:line="240" w:lineRule="auto" w:before="0" w:after="0"/>
              <w:pStyle w:val="Compact"/>
            </w:pPr>
            <w:r>
              <w:rPr>
                <w:sz w:val="20"/>
                <w:szCs w:val="20"/>
              </w:rPr>
              <w:t xml:space="preserve">[0.3659, 6.0688]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0.1037</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0.9512</w:t>
            </w:r>
          </w:p>
        </w:tc>
        <w:tc>
          <w:tcPr>
            <w:tcW w:w="0" w:type="auto"/>
          </w:tcPr>
          <w:p>
            <w:pPr>
              <w:spacing w:line="240" w:lineRule="auto" w:before="0" w:after="0"/>
              <w:pStyle w:val="Compact"/>
            </w:pPr>
            <w:r>
              <w:rPr>
                <w:sz w:val="20"/>
                <w:szCs w:val="20"/>
              </w:rPr>
              <w:t xml:space="preserve">[-0.2097, 0.197]</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0.0339</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0.8281</w:t>
            </w:r>
          </w:p>
        </w:tc>
        <w:tc>
          <w:tcPr>
            <w:tcW w:w="0" w:type="auto"/>
          </w:tcPr>
          <w:p>
            <w:pPr>
              <w:spacing w:line="240" w:lineRule="auto" w:before="0" w:after="0"/>
              <w:pStyle w:val="Compact"/>
            </w:pPr>
            <w:r>
              <w:rPr>
                <w:sz w:val="20"/>
                <w:szCs w:val="20"/>
              </w:rPr>
              <w:t xml:space="preserve">0.4076</w:t>
            </w:r>
          </w:p>
        </w:tc>
        <w:tc>
          <w:tcPr>
            <w:tcW w:w="0" w:type="auto"/>
          </w:tcPr>
          <w:p>
            <w:pPr>
              <w:spacing w:line="240" w:lineRule="auto" w:before="0" w:after="0"/>
              <w:pStyle w:val="Compact"/>
            </w:pPr>
            <w:r>
              <w:rPr>
                <w:sz w:val="20"/>
                <w:szCs w:val="20"/>
              </w:rPr>
              <w:t xml:space="preserve">[-0.0464, 0.1143]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-0.3377</w:t>
            </w:r>
          </w:p>
        </w:tc>
        <w:tc>
          <w:tcPr>
            <w:tcW w:w="0" w:type="auto"/>
          </w:tcPr>
          <w:p>
            <w:pPr>
              <w:spacing w:line="240" w:lineRule="auto" w:before="0" w:after="0"/>
              <w:pStyle w:val="Compact"/>
            </w:pPr>
            <w:r>
              <w:rPr>
                <w:sz w:val="20"/>
                <w:szCs w:val="20"/>
              </w:rPr>
              <w:t xml:space="preserve">0.3846</w:t>
            </w:r>
          </w:p>
        </w:tc>
        <w:tc>
          <w:tcPr>
            <w:tcW w:w="0" w:type="auto"/>
          </w:tcPr>
          <w:p>
            <w:pPr>
              <w:spacing w:line="240" w:lineRule="auto" w:before="0" w:after="0"/>
              <w:pStyle w:val="Compact"/>
            </w:pPr>
            <w:r>
              <w:rPr>
                <w:sz w:val="20"/>
                <w:szCs w:val="20"/>
              </w:rPr>
              <w:t xml:space="preserve">-0.878</w:t>
            </w:r>
          </w:p>
        </w:tc>
        <w:tc>
          <w:tcPr>
            <w:tcW w:w="0" w:type="auto"/>
          </w:tcPr>
          <w:p>
            <w:pPr>
              <w:spacing w:line="240" w:lineRule="auto" w:before="0" w:after="0"/>
              <w:pStyle w:val="Compact"/>
            </w:pPr>
            <w:r>
              <w:rPr>
                <w:sz w:val="20"/>
                <w:szCs w:val="20"/>
              </w:rPr>
              <w:t xml:space="preserve">0.3799</w:t>
            </w:r>
          </w:p>
        </w:tc>
        <w:tc>
          <w:tcPr>
            <w:tcW w:w="0" w:type="auto"/>
          </w:tcPr>
          <w:p>
            <w:pPr>
              <w:spacing w:line="240" w:lineRule="auto" w:before="0" w:after="0"/>
              <w:pStyle w:val="Compact"/>
            </w:pPr>
            <w:r>
              <w:rPr>
                <w:sz w:val="20"/>
                <w:szCs w:val="20"/>
              </w:rPr>
              <w:t xml:space="preserve">[-1.0915, 0.4161]</w:t>
            </w:r>
          </w:p>
        </w:tc>
      </w:tr>
    </w:tbl>
    <w:p>
      <w:pPr>
        <w:pStyle w:val="BodyText"/>
      </w:pPr>
      <w:r>
        <w:t xml:space="preserve">Fit: N = 30 R2 = 0.0471 R2_adj = -0.0629 F = 0.4425 F_p = 0.7246</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0" Target="https://doi.org/10.64861/WXIJ8208"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WXIJ820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2026-06-29T09:35:39Z</dcterms:created>
  <dcterms:modified xsi:type="dcterms:W3CDTF">2026-06-29T09:35:39Z</dcterms:modified>
</cp:coreProperties>
</file>

<file path=docProps/custom.xml><?xml version="1.0" encoding="utf-8"?>
<Properties xmlns="http://schemas.openxmlformats.org/officeDocument/2006/custom-properties" xmlns:vt="http://schemas.openxmlformats.org/officeDocument/2006/docPropsVTypes"/>
</file>