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ENCRYPTION ADOPTION GAP: WHY DO COMMERCIAL AND CIVIL SATELLITE COMMAND LINKS</w:t>
      </w:r>
    </w:p>
    <w:p>
      <w:pPr>
        <w:jc w:val="center"/>
      </w:pPr>
    </w:p>
    <w:p>
      <w:pPr>
        <w:jc w:val="center"/>
      </w:pPr>
      <w:r>
        <w:rPr>
          <w:rFonts w:ascii="Times New Roman" w:hAnsi="Times New Roman"/>
          <w:sz w:val="24"/>
        </w:rPr>
        <w:t>by</w:t>
      </w:r>
    </w:p>
    <w:p>
      <w:pPr>
        <w:jc w:val="center"/>
      </w:pPr>
      <w:r>
        <w:rPr>
          <w:rFonts w:ascii="Times New Roman" w:hAnsi="Times New Roman"/>
          <w:b/>
          <w:sz w:val="28"/>
        </w:rPr>
        <w:t>Ibrahim Nilsson</w:t>
      </w:r>
    </w:p>
    <w:p>
      <w:pPr>
        <w:jc w:val="center"/>
      </w:pPr>
      <w:r>
        <w:rPr>
          <w:rFonts w:ascii="Times New Roman" w:hAnsi="Times New Roman"/>
          <w:sz w:val="24"/>
        </w:rPr>
        <w:t>1B-ITI-192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A satellite command link is the thread that lets an operator on the ground tell a spacecraft where to point, when to fire a thruster, and what telemetry to dump. When that thread carries no encryption, anyone within radio reach of the downlink geometry who can reconstruct the command format is able, in principle, to speak to the spacecraft as though they owned it. The engineering community has understood this exposure for years, and cryptographic protection of the command and control path is not an exotic research frontier but a known control with known implementations. A stubborn fraction of commercial and civil satellite operators nonetheless fly command links that are either unencrypted or protected only by obscurity, and that gap between what is technically available and what is actually adopted is the subject of this dissertation.</w:t>
      </w:r>
    </w:p>
    <w:p>
      <w:pPr>
        <w:pStyle w:val="BodyText"/>
        <w:spacing w:line="480" w:lineRule="auto"/>
        <w:ind w:firstLine="720"/>
      </w:pPr>
      <w:r>
        <w:t xml:space="preserve">What puzzles is not the workings of encryption but the lag in taking it up. Ferris State University work on collaborative cybersecurity training for future space endeavors reads the shortfall as workforce and policy trouble more than pure engineering, holding that shared training regimes, not fresh algorithms, form the binding constraint</w:t>
      </w:r>
      <w:r>
        <w:t xml:space="preserve"> </w:t>
      </w:r>
      <w:hyperlink w:anchor="ref-3">
        <w:r>
          <w:rPr>
            <w:rStyle w:val="Hyperlink"/>
          </w:rPr>
          <w:t xml:space="preserve">[3]</w:t>
        </w:r>
      </w:hyperlink>
      <w:r>
        <w:t xml:space="preserve">. Governance scholarship arrives at a kindred conclusion by another road, noting that as cyber and space commands start to divide authority over on-orbit systems, the institutional rules for who must protect what stay unsettled</w:t>
      </w:r>
      <w:r>
        <w:t xml:space="preserve"> </w:t>
      </w:r>
      <w:hyperlink w:anchor="ref-14">
        <w:r>
          <w:rPr>
            <w:rStyle w:val="Hyperlink"/>
          </w:rPr>
          <w:t xml:space="preserve">[14]</w:t>
        </w:r>
      </w:hyperlink>
      <w:r>
        <w:t xml:space="preserve">. The technology is not in doubt, nor is the threat. What stays uncertain lives in the gap between what an operator can do and what it does, and that gap is where a governance-relevant question takes root.</w:t>
      </w:r>
    </w:p>
    <w:p>
      <w:pPr>
        <w:pStyle w:val="BodyText"/>
        <w:spacing w:line="480" w:lineRule="auto"/>
        <w:ind w:firstLine="720"/>
      </w:pPr>
      <w:r>
        <w:t xml:space="preserve">This dissertation works at the design stage, and it claims neither a survey of every operator nor an audit of every command link aloft. Its move is narrower, and more honest, than either. It asks whether the encryption adoption gap, taken as a research topic, leaves a trace one can measure in the documentary and bibliometric record that a candidate can genuinely pull down and examine. A topic both real and rising ought to press its mark into the timing, the citation attention, and the venue structure of the sources discussing it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6">
        <w:r>
          <w:rPr>
            <w:rStyle w:val="Hyperlink"/>
          </w:rPr>
          <w:t xml:space="preserve">[6]</w:t>
        </w:r>
      </w:hyperlink>
      <w:r>
        <w:t xml:space="preserve">. Should that mark come back faint or missing, the honest verdict is that the retrieved record cannot yet carry a strong causal story, and the dissertation says exactly that.</w:t>
      </w:r>
    </w:p>
    <w:bookmarkStart w:id="61" w:name="the-stakes"/>
    <w:p>
      <w:pPr>
        <w:pStyle w:val="Heading2"/>
        <w:spacing w:line="480" w:lineRule="auto"/>
      </w:pPr>
      <w:r>
        <w:t xml:space="preserve">1.1 The stakes</w:t>
      </w:r>
    </w:p>
    <w:p>
      <w:pPr>
        <w:pStyle w:val="FirstParagraph"/>
        <w:spacing w:line="480" w:lineRule="auto"/>
      </w:pPr>
      <w:r>
        <w:t xml:space="preserve">Uplink protection is no niche worry. Year over year, more spacecraft ride on exposed uplinks, and the hands at the controls belong more often to companies than to governments. Falling barriers have opened orbit to cubesat and smallsat builders, and that opening trails behind it a long line of operators who never built the security depth a national agency takes for granted. Investigators pursue quantum key distribution from cubesats because they read the same future, one in which cryptographic protection reaches even the lightest bus</w:t>
      </w:r>
      <w:r>
        <w:t xml:space="preserve"> </w:t>
      </w:r>
      <w:hyperlink w:anchor="ref-10">
        <w:r>
          <w:rPr>
            <w:rStyle w:val="Hyperlink"/>
          </w:rPr>
          <w:t xml:space="preserve">[10]</w:t>
        </w:r>
      </w:hyperlink>
      <w:r>
        <w:t xml:space="preserve">; the parallel effort to mine hardware bit flips for entropy makes the identical bet from the silicon upward</w:t>
      </w:r>
      <w:r>
        <w:t xml:space="preserve"> </w:t>
      </w:r>
      <w:hyperlink w:anchor="ref-9">
        <w:r>
          <w:rPr>
            <w:rStyle w:val="Hyperlink"/>
          </w:rPr>
          <w:t xml:space="preserve">[9]</w:t>
        </w:r>
      </w:hyperlink>
      <w:r>
        <w:t xml:space="preserve">. Demand for the fix shows through in the research plainly enough. Uptake of it, judged by the same evidence, trails behind.</w:t>
      </w:r>
    </w:p>
    <w:p>
      <w:pPr>
        <w:pStyle w:val="BodyText"/>
        <w:spacing w:line="480" w:lineRule="auto"/>
        <w:ind w:firstLine="720"/>
      </w:pPr>
      <w:r>
        <w:t xml:space="preserve">Let a command link fall, and the damage does not stay small. Whoever seizes one spacecraft can steer it toward a conjunction, mute or hijack its payload, and watch the lost custody spread outward through the traffic environment every operator has to live in</w:t>
      </w:r>
      <w:r>
        <w:t xml:space="preserve"> </w:t>
      </w:r>
      <w:hyperlink w:anchor="ref-12">
        <w:r>
          <w:rPr>
            <w:rStyle w:val="Hyperlink"/>
          </w:rPr>
          <w:t xml:space="preserve">[12]</w:t>
        </w:r>
      </w:hyperlink>
      <w:r>
        <w:t xml:space="preserve">. Those who study the near-earth congestion problem read each operator’s conduct as a lever on shared risk rather than a private matter settled behind one company’s doors</w:t>
      </w:r>
      <w:r>
        <w:t xml:space="preserve"> </w:t>
      </w:r>
      <w:hyperlink w:anchor="ref-12">
        <w:r>
          <w:rPr>
            <w:rStyle w:val="Hyperlink"/>
          </w:rPr>
          <w:t xml:space="preserve">[12]</w:t>
        </w:r>
      </w:hyperlink>
      <w:r>
        <w:t xml:space="preserve">. Add militarization and autonomous systems to that same crowded band, and protecting the uplink ceases to be a commercial courtesy and turns into a question of strategic stability</w:t>
      </w:r>
      <w:r>
        <w:t xml:space="preserve"> </w:t>
      </w:r>
      <w:hyperlink w:anchor="ref-13">
        <w:r>
          <w:rPr>
            <w:rStyle w:val="Hyperlink"/>
          </w:rPr>
          <w:t xml:space="preserve">[13]</w:t>
        </w:r>
      </w:hyperlink>
      <w:r>
        <w:t xml:space="preserve">. What is at stake is at once economic and geopolitical, and the weight of it grows heavier as more objects crowd the orbit.</w:t>
      </w:r>
    </w:p>
    <w:p>
      <w:pPr>
        <w:pStyle w:val="BodyText"/>
        <w:spacing w:line="480" w:lineRule="auto"/>
        <w:ind w:firstLine="720"/>
      </w:pPr>
      <w:r>
        <w:t xml:space="preserve">Lay the imbalance out and it reads plainly. Whoever pays for link encryption absorbs a sure, immediate, private bill: engineering hours, the overhead of managing keys, fresh failure points to test and keep running. Set against that sure bill is a lowered chance of a rare, catastrophic event that may never land during this operator’s tenure and, should it land, may be written off as misfortune rather than neglect. People weigh doubtful future losses lightly against certain present outlays, so with no regulator to make the future loss a sure penalty, the sums come out in favor of inaction. Ignorance, then, is not what drives the adoption gap; the gap is what that arithmetic leaves behind, worked out the same way by hundreds of operators arriving at the same private answer.</w:t>
      </w:r>
    </w:p>
    <w:p>
      <w:pPr>
        <w:pStyle w:val="BodyText"/>
        <w:spacing w:line="480" w:lineRule="auto"/>
        <w:ind w:firstLine="720"/>
      </w:pPr>
      <w:r>
        <w:t xml:space="preserve">What makes the space case distinctive is that the private conclusion is collectively wrong. A terrestrial firm that runs weak security mostly endangers itself and its own customers, whereas an orbital operator that runs an unprotected command link endangers a shared environment, because a hijacked spacecraft can be driven into the paths of others</w:t>
      </w:r>
      <w:r>
        <w:t xml:space="preserve"> </w:t>
      </w:r>
      <w:hyperlink w:anchor="ref-12">
        <w:r>
          <w:rPr>
            <w:rStyle w:val="Hyperlink"/>
          </w:rPr>
          <w:t xml:space="preserve">[12]</w:t>
        </w:r>
      </w:hyperlink>
      <w:r>
        <w:t xml:space="preserve">. That externality is the reason the adoption gap is a governance problem rather than a procurement preference. Left to private incentives, protection will be under-supplied relative to the collective optimum, which is the classic signature of a coordination failure that only an external authority can correct</w:t>
      </w:r>
      <w:r>
        <w:t xml:space="preserve"> </w:t>
      </w:r>
      <w:hyperlink w:anchor="ref-6">
        <w:r>
          <w:rPr>
            <w:rStyle w:val="Hyperlink"/>
          </w:rPr>
          <w:t xml:space="preserve">[6]</w:t>
        </w:r>
      </w:hyperlink>
      <w:r>
        <w:t xml:space="preserve">.</w:t>
      </w:r>
    </w:p>
    <w:p>
      <w:pPr>
        <w:pStyle w:val="BodyText"/>
        <w:spacing w:line="480" w:lineRule="auto"/>
        <w:ind w:firstLine="720"/>
      </w:pPr>
      <w:r>
        <w:t xml:space="preserve">A second twist compounds the imbalance, and it slips past easy notice. The operator with the deepest pockets for protection is frequently not the one whose loose link supplies most of the shared danger. A flagship program with money to spare can afford strong protection and generally flies it, while a cash-starved entrant lofting a swarm of small buses can generate custody risk far beyond its size, precisely because trimming the security corner was how it reached the pad at all. Protection’s cost and the externality’s source thus land on separate balance sheets, and that split is the very condition under which voluntary coordination breaks down and an assigned duty becomes the sole lever that touches the operators making the risk</w:t>
      </w:r>
      <w:r>
        <w:t xml:space="preserve"> </w:t>
      </w:r>
      <w:hyperlink w:anchor="ref-3">
        <w:r>
          <w:rPr>
            <w:rStyle w:val="Hyperlink"/>
          </w:rPr>
          <w:t xml:space="preserve">[3]</w:t>
        </w:r>
      </w:hyperlink>
      <w:r>
        <w:t xml:space="preserve"> </w:t>
      </w:r>
      <w:hyperlink w:anchor="ref-13">
        <w:r>
          <w:rPr>
            <w:rStyle w:val="Hyperlink"/>
          </w:rPr>
          <w:t xml:space="preserve">[13]</w:t>
        </w:r>
      </w:hyperlink>
      <w:r>
        <w:t xml:space="preserve">. Seen from here, the engineering work that drives protection onto the smallest platforms is an effort to cut the cost for exactly the operators whose refusal costs everyone else the most</w:t>
      </w:r>
      <w:r>
        <w:t xml:space="preserve"> </w:t>
      </w:r>
      <w:hyperlink w:anchor="ref-9">
        <w:r>
          <w:rPr>
            <w:rStyle w:val="Hyperlink"/>
          </w:rPr>
          <w:t xml:space="preserve">[9]</w:t>
        </w:r>
      </w:hyperlink>
      <w:r>
        <w:t xml:space="preserve">.</w:t>
      </w:r>
    </w:p>
    <w:bookmarkEnd w:id="61"/>
    <w:bookmarkStart w:id="62" w:name="the-one-falsifiable-contribution"/>
    <w:p>
      <w:pPr>
        <w:pStyle w:val="Heading2"/>
        <w:spacing w:line="480" w:lineRule="auto"/>
      </w:pPr>
      <w:r>
        <w:t xml:space="preserve">1.2 The one falsifiable contribution</w:t>
      </w:r>
    </w:p>
    <w:p>
      <w:pPr>
        <w:pStyle w:val="FirstParagraph"/>
        <w:spacing w:line="480" w:lineRule="auto"/>
      </w:pPr>
      <w:r>
        <w:t xml:space="preserve">Most dissertations pledge more than their evidence can honor. This one pledges less, and on purpose. Its lone falsifiable contribution is a test at the document level of one question: does the encryption-adoption topic hold together in the retrieved literature, or does it scatter into noise? Cast as competing hypotheses:</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That is the entire bet, kept small by design. Anyone who doubts the author can rebuild a test this tightly bounded straight from the retained records, and here the capacity to reproduce counts for more than the ambition to reach. The prospectus poses the wide policy question; what this contribution answers is only the sliver of it that thirty auditable source records can actually decide.</w:t>
      </w:r>
    </w:p>
    <w:bookmarkEnd w:id="62"/>
    <w:bookmarkStart w:id="63" w:name="Xdf6fe8b652a70b88e91cf6679c17f93eb5d28f2"/>
    <w:p>
      <w:pPr>
        <w:pStyle w:val="Heading2"/>
        <w:spacing w:line="480" w:lineRule="auto"/>
      </w:pPr>
      <w:r>
        <w:t xml:space="preserve">1.3 Why command links and not the whole security stack</w:t>
      </w:r>
    </w:p>
    <w:p>
      <w:pPr>
        <w:pStyle w:val="FirstParagraph"/>
        <w:spacing w:line="480" w:lineRule="auto"/>
      </w:pPr>
      <w:r>
        <w:t xml:space="preserve">A spacecraft offers an attacker many ways in. Someone can tap the payload data downlink, break the ground segment as they would any corporate network, or corrupt the supply chain before the vehicle ever leaves the ground. This dissertation fixes on a single one of those ways, the command uplink, for one reason: it is where a breach hands physical control of the asset to the adversary. Pulling telemetry without leave breaks confidentiality; sending commands without leave forfeits custody. That second harm is in a worse class than the first, and an unguarded command link is precisely what opens the door to it.</w:t>
      </w:r>
    </w:p>
    <w:p>
      <w:pPr>
        <w:pStyle w:val="BodyText"/>
        <w:spacing w:line="480" w:lineRule="auto"/>
        <w:ind w:firstLine="720"/>
      </w:pPr>
      <w:r>
        <w:t xml:space="preserve">The choice to narrow is also empirical. Whether a command link is protected is a discrete fact one can observe: the uplink is encrypted or it is not, and that binary makes adoption far cleaner to reason about than the smeared posture of a whole security program. The research mirrors this sharpness, since work on cubesat encryption and quantum key distribution aims squarely at the command and key-exchange path, that being where a compact, well-defined cryptographic control buys the deepest cut in catastrophic risk</w:t>
      </w:r>
      <w:r>
        <w:t xml:space="preserve"> </w:t>
      </w:r>
      <w:hyperlink w:anchor="ref-9">
        <w:r>
          <w:rPr>
            <w:rStyle w:val="Hyperlink"/>
          </w:rPr>
          <w:t xml:space="preserve">[9]</w:t>
        </w:r>
      </w:hyperlink>
      <w:r>
        <w:t xml:space="preserve"> </w:t>
      </w:r>
      <w:hyperlink w:anchor="ref-10">
        <w:r>
          <w:rPr>
            <w:rStyle w:val="Hyperlink"/>
          </w:rPr>
          <w:t xml:space="preserve">[10]</w:t>
        </w:r>
      </w:hyperlink>
      <w:r>
        <w:t xml:space="preserve">. Preferring a crisp outcome to a blurred one is what lets the dissertation frame a falsifiable hypothesis in the first place.</w:t>
      </w:r>
    </w:p>
    <w:p>
      <w:pPr>
        <w:pStyle w:val="BodyText"/>
        <w:spacing w:line="480" w:lineRule="auto"/>
        <w:ind w:firstLine="720"/>
      </w:pPr>
      <w:r>
        <w:t xml:space="preserve">Narrowing exacts a price, and honesty means naming it. Training the study on the command link leaves aside genuine weaknesses in the ground segment and the supply chain that a full security account would have to take up</w:t>
      </w:r>
      <w:r>
        <w:t xml:space="preserve"> </w:t>
      </w:r>
      <w:hyperlink w:anchor="ref-4">
        <w:r>
          <w:rPr>
            <w:rStyle w:val="Hyperlink"/>
          </w:rPr>
          <w:t xml:space="preserve">[4]</w:t>
        </w:r>
      </w:hyperlink>
      <w:r>
        <w:t xml:space="preserve">. The defense is straightforward: to test anything rigorously a dissertation has to fence off its object, and of all the surfaces in the stack the command link carries the heaviest consequence and yields the cleanest measurement. Reach for the whole stack and you would measure none of it well.</w:t>
      </w:r>
    </w:p>
    <w:bookmarkEnd w:id="63"/>
    <w:bookmarkStart w:id="64" w:name="the-empirical-spine"/>
    <w:p>
      <w:pPr>
        <w:pStyle w:val="Heading2"/>
        <w:spacing w:line="480" w:lineRule="auto"/>
      </w:pPr>
      <w:r>
        <w:t xml:space="preserve">1.4 The empirical spine</w:t>
      </w:r>
    </w:p>
    <w:p>
      <w:pPr>
        <w:pStyle w:val="FirstParagraph"/>
        <w:spacing w:line="480" w:lineRule="auto"/>
      </w:pPr>
      <w:r>
        <w:t xml:space="preserve">Two estimators hold up the argument. The first fits topic-signal intensity by ordinary least squares against publication recency, reported citation count, and an ordinal venue-family score, posing a cross-sectional question: is the topic sharper in recent work, in heavily cited work, or in higher-tier venues? The second is a log-log learning-curve fit of citation accumulation on article age, posing a question about time: does attention to these records pile up in a pattern that tracks age in any measurable way?</w:t>
      </w:r>
    </w:p>
    <w:p>
      <w:pPr>
        <w:pStyle w:val="BodyText"/>
        <w:spacing w:line="480" w:lineRule="auto"/>
        <w:ind w:firstLine="720"/>
      </w:pPr>
      <w:r>
        <w:t xml:space="preserve">Each model draws on the same thirty retrieved records, and each states its findings plainly, without dressing them up. The pairing earns its place because the two probe different structures: one takes the corpus at a fixed instant, the other traces it along the axis of age. A result that holds up under one lens alone is the weaker for it, next to one that survives both, and admitting that openly belongs to the method itself. Chapter 6 lays out the full results, which are modest, and the dissertation reads that modesty as information rather than shortfall</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64"/>
    <w:bookmarkStart w:id="65" w:name="scope-and-posture"/>
    <w:p>
      <w:pPr>
        <w:pStyle w:val="Heading2"/>
        <w:spacing w:line="480" w:lineRule="auto"/>
      </w:pPr>
      <w:r>
        <w:t xml:space="preserve">1.5 Scope and posture</w:t>
      </w:r>
    </w:p>
    <w:p>
      <w:pPr>
        <w:pStyle w:val="FirstParagraph"/>
        <w:spacing w:line="480" w:lineRule="auto"/>
      </w:pPr>
      <w:r>
        <w:t xml:space="preserve">Something is owed on what this dissertation is not. It surveys no operator practice, since not one operator turns up in its data. It evaluates no cipher, key-exchange scheme, or protocol on technical grounds, because the estimators probe documentary structure rather than cryptographic strength. And it analyzes no particular licensing regime as a matter of law, though it draws on the governance scholarship such analysis leans on</w:t>
      </w:r>
      <w:r>
        <w:t xml:space="preserve"> </w:t>
      </w:r>
      <w:hyperlink w:anchor="ref-3">
        <w:r>
          <w:rPr>
            <w:rStyle w:val="Hyperlink"/>
          </w:rPr>
          <w:t xml:space="preserve">[3]</w:t>
        </w:r>
      </w:hyperlink>
      <w:r>
        <w:t xml:space="preserve"> </w:t>
      </w:r>
      <w:hyperlink w:anchor="ref-14">
        <w:r>
          <w:rPr>
            <w:rStyle w:val="Hyperlink"/>
          </w:rPr>
          <w:t xml:space="preserve">[14]</w:t>
        </w:r>
      </w:hyperlink>
      <w:r>
        <w:t xml:space="preserve">. Setting these exclusions out at the start is a matter of intellectual hygiene, because a reader who sees the edge of a claim can weigh it fairly, while a reader left guessing at that edge will either put too much faith in the result or too little.</w:t>
      </w:r>
    </w:p>
    <w:p>
      <w:pPr>
        <w:pStyle w:val="BodyText"/>
        <w:spacing w:line="480" w:lineRule="auto"/>
        <w:ind w:firstLine="720"/>
      </w:pPr>
      <w:r>
        <w:t xml:space="preserve">The study holds its own evidence at arm’s length. Where a coefficient comes back precise and carries the sign theory called for, the dissertation records a supported association within the retrieved corpus. Where a coefficient comes back fuzzy, it records that the corpus will not bear the claim, and it declines the temptation to dress a faint result as a firm one. None of this is false modesty. It is the fitting stance for a study standing on thirty records, and it is what allows the negative findings of Chapter 6 to serve as usable knowledge instead of an awkwardness to be talked around</w:t>
      </w:r>
      <w:r>
        <w:t xml:space="preserve"> </w:t>
      </w:r>
      <w:hyperlink w:anchor="ref-4">
        <w:r>
          <w:rPr>
            <w:rStyle w:val="Hyperlink"/>
          </w:rPr>
          <w:t xml:space="preserve">[4]</w:t>
        </w:r>
      </w:hyperlink>
      <w:r>
        <w:t xml:space="preserve">.</w:t>
      </w:r>
    </w:p>
    <w:p>
      <w:pPr>
        <w:pStyle w:val="BodyText"/>
        <w:spacing w:line="480" w:lineRule="auto"/>
        <w:ind w:firstLine="720"/>
      </w:pPr>
      <w:r>
        <w:t xml:space="preserve">In this domain there is good reason to favor a small honest test over a large loose one. Debates about space governance tip easily into confident assertion running ahead of evidence, because the systems sit far away, the incidents stay classified or unreported, and the field studying them is small enough that one striking anecdote can pass for data. A dissertation that binds its claims tightly, and that shows precisely how far the data will carry them, offers the debate something it lacks: a worked instance of disciplined inference on a topic where hunches usually fill in for measurement</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bookmarkEnd w:id="65"/>
    <w:bookmarkStart w:id="66" w:name="X9b1188942ddc15a61ad078ae25ba6f762a4ee8c"/>
    <w:p>
      <w:pPr>
        <w:pStyle w:val="Heading2"/>
        <w:spacing w:line="480" w:lineRule="auto"/>
      </w:pPr>
      <w:r>
        <w:t xml:space="preserve">1.6 The reader this dissertation is written for</w:t>
      </w:r>
    </w:p>
    <w:p>
      <w:pPr>
        <w:pStyle w:val="FirstParagraph"/>
        <w:spacing w:line="480" w:lineRule="auto"/>
      </w:pPr>
      <w:r>
        <w:t xml:space="preserve">Three audiences hold a stake in this question, and the argument is shaped to serve each without flattering any. First comes the program manager who signs the paperwork on a satellite bus and has to judge whether command-link encryption is a line item worth holding against schedule pressure; that reader wants to learn whether the risk is genuine, whether the fix is mature, and whether anyone will call the program to account for leaving it out. Second comes the policy analyst charged with writing or amending a licensing rule, who needs to gauge whether the problem is scattered enough to warrant a requirement or bounded enough to leave to the market. Third comes the methodologist, less interested in satellites than in whether a documentary screen can fairly triage a governance topic before a larger study draws funding.</w:t>
      </w:r>
    </w:p>
    <w:p>
      <w:pPr>
        <w:pStyle w:val="BodyText"/>
        <w:spacing w:line="480" w:lineRule="auto"/>
        <w:ind w:firstLine="720"/>
      </w:pPr>
      <w:r>
        <w:t xml:space="preserve">Serving three readers at once enforces a discipline of its own. No claim may hide in the in-house jargon of one community, and every inference must survive being carried across the engineering, policy, and measurement frames. The training-centered governance argument helps here for exactly that reason, since it already talks across the divide, casting the adoption shortfall as a shared institutional problem rather than the possession of one discipline</w:t>
      </w:r>
      <w:r>
        <w:t xml:space="preserve"> </w:t>
      </w:r>
      <w:hyperlink w:anchor="ref-3">
        <w:r>
          <w:rPr>
            <w:rStyle w:val="Hyperlink"/>
          </w:rPr>
          <w:t xml:space="preserve">[3]</w:t>
        </w:r>
      </w:hyperlink>
      <w:r>
        <w:t xml:space="preserve">. The dissertation takes up that cross-frame stance and works to hold it start to finish, so that a coefficient in Chapter 6 registers for a policymaker and a governance claim in Chapter 7 registers for an engineer.</w:t>
      </w:r>
    </w:p>
    <w:p>
      <w:pPr>
        <w:pStyle w:val="BodyText"/>
        <w:spacing w:line="480" w:lineRule="auto"/>
        <w:ind w:firstLine="720"/>
      </w:pPr>
      <w:r>
        <w:t xml:space="preserve">Answering to three readers at once has its price: none of them walks away with the fullest version of the study they might have hoped for. No protocol evaluation for the engineer, no fleet-level adoption rate for the policymaker, no large corpus for the methodologist. Each takes away instead a plainly bounded result tied to the others, plus a map of what a later study would need to supply to meet the demand this one leaves open on purpose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66"/>
    <w:bookmarkStart w:id="67" w:name="why-now"/>
    <w:p>
      <w:pPr>
        <w:pStyle w:val="Heading2"/>
        <w:spacing w:line="480" w:lineRule="auto"/>
      </w:pPr>
      <w:r>
        <w:t xml:space="preserve">1.7 Why now</w:t>
      </w:r>
    </w:p>
    <w:p>
      <w:pPr>
        <w:pStyle w:val="FirstParagraph"/>
        <w:spacing w:line="480" w:lineRule="auto"/>
      </w:pPr>
      <w:r>
        <w:t xml:space="preserve">When the question is asked matters. A decade ago command-link security would have been a smaller concern, back when the operator population ran to a handful of deep-pocketed government and flagship commercial programs that swallowed the cost of protection without a second thought. The population is no longer that. Orbit is easier to reach, launch prices have dropped, and a long tail of small operators now flies buses that a generation earlier only national agencies could have flown. Research on paring cryptographic protection down to cubesat scale exists because the field foresees exactly this slide of capability, and of exposure, down the size class</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shared environment is shifting too. Near-earth traffic keeps climbing, and analysts treat that regime as a commons in which one actor’s failure spreads outward into conjunction and custody risk for all the rest</w:t>
      </w:r>
      <w:r>
        <w:t xml:space="preserve"> </w:t>
      </w:r>
      <w:hyperlink w:anchor="ref-12">
        <w:r>
          <w:rPr>
            <w:rStyle w:val="Hyperlink"/>
          </w:rPr>
          <w:t xml:space="preserve">[12]</w:t>
        </w:r>
      </w:hyperlink>
      <w:r>
        <w:t xml:space="preserve">. Once militarization and autonomous systems move into the same band, guarding the command path is no longer a private operational taste but a feed into strategic stability</w:t>
      </w:r>
      <w:r>
        <w:t xml:space="preserve"> </w:t>
      </w:r>
      <w:hyperlink w:anchor="ref-13">
        <w:r>
          <w:rPr>
            <w:rStyle w:val="Hyperlink"/>
          </w:rPr>
          <w:t xml:space="preserve">[13]</w:t>
        </w:r>
      </w:hyperlink>
      <w:r>
        <w:t xml:space="preserve">. A growing operator population, a hardening threat picture, and a governance apparatus still unsettled all arriving together is what keeps the adoption gap an open question rather than a closed one, and it is why a design-stage screen of the topic pays to run now instead of later.</w:t>
      </w:r>
    </w:p>
    <w:bookmarkEnd w:id="67"/>
    <w:bookmarkStart w:id="68" w:name="roadmap"/>
    <w:p>
      <w:pPr>
        <w:pStyle w:val="Heading2"/>
        <w:spacing w:line="480" w:lineRule="auto"/>
      </w:pPr>
      <w:r>
        <w:t xml:space="preserve">1.8 Roadmap</w:t>
      </w:r>
    </w:p>
    <w:p>
      <w:pPr>
        <w:pStyle w:val="FirstParagraph"/>
        <w:spacing w:line="480" w:lineRule="auto"/>
      </w:pPr>
      <w:r>
        <w:t xml:space="preserve">What follows runs from context through evidence into interpretation. Chapter 2 sets the encryption adoption gap against the technical, governance, and measurement literatures, marking the line between what prior work settles and what it leaves open</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4">
        <w:r>
          <w:rPr>
            <w:rStyle w:val="Hyperlink"/>
          </w:rPr>
          <w:t xml:space="preserve">[14]</w:t>
        </w:r>
      </w:hyperlink>
      <w:r>
        <w:t xml:space="preserve">. Chapter 3 lays out the mechanism driving the gap and pulls from it the testable predictions the two estimators are built to check. Chapter 4 works through the methodology and the identification logic, spelling out what each estimator can and cannot recover from documentary data. Chapter 5 walks through the dataset: how the thirty records were retrieved, how each variable was built, and where every row’s provenance is kept. Chapter 6 sets down the exact estimator output and reads the signs and magnitudes. Chapter 7 opens the discussion and the limits, naming the threats to validity a design-stage study cannot wave off. Chapter 8 ends on the contribution, its governance and program relevance, and the next step in data collection a follow-on study would have to take</w:t>
      </w:r>
      <w:r>
        <w:t xml:space="preserve"> </w:t>
      </w:r>
      <w:hyperlink w:anchor="ref-6">
        <w:r>
          <w:rPr>
            <w:rStyle w:val="Hyperlink"/>
          </w:rPr>
          <w:t xml:space="preserve">[6]</w:t>
        </w:r>
      </w:hyperlink>
      <w:r>
        <w:t xml:space="preserve">.</w:t>
      </w:r>
    </w:p>
    <w:bookmarkEnd w:id="68"/>
    <w:bookmarkEnd w:id="69"/>
    <w:bookmarkStart w:id="79" w:name="chapter-2.-literature-review"/>
    <w:p>
      <w:pPr>
        <w:pStyle w:val="Heading1"/>
        <w:spacing w:line="480" w:lineRule="auto"/>
      </w:pPr>
      <w:r>
        <w:t xml:space="preserve">Chapter 2. Literature Review</w:t>
      </w:r>
    </w:p>
    <w:p>
      <w:pPr>
        <w:pStyle w:val="FirstParagraph"/>
        <w:spacing w:line="480" w:lineRule="auto"/>
      </w:pPr>
      <w:r>
        <w:t xml:space="preserve">Writing on satellite command-link security is scattered rather than gathered. Three communities hold it among them and seldom cite one another with any care: the systems engineers who build the links, the governance scholars who draft the rules, and the bibliometric analysts who track how a field’s attention drifts across a problem. This chapter reads all three together, since the encryption adoption gap belongs to none of them by itself. From the engineers comes an account of what protection is feasible. From the governance writers comes an account of why obligation stays loose. From the measurement literature come the instruments this dissertation uses to ask whether the topic holds together at all.</w:t>
      </w:r>
    </w:p>
    <w:bookmarkStart w:id="70" w:name="Xd83963d8fe6c68d9867623d37c80a7247b811a3"/>
    <w:p>
      <w:pPr>
        <w:pStyle w:val="Heading2"/>
        <w:spacing w:line="480" w:lineRule="auto"/>
      </w:pPr>
      <w:r>
        <w:t xml:space="preserve">2.1 The technical layer: protection is available</w:t>
      </w:r>
    </w:p>
    <w:p>
      <w:pPr>
        <w:pStyle w:val="FirstParagraph"/>
        <w:spacing w:line="480" w:lineRule="auto"/>
      </w:pPr>
      <w:r>
        <w:t xml:space="preserve">Start where nobody argues. At the level of primitives, cryptographic protection for spacecraft command paths is engineering already solved. Efforts to carry quantum key distribution onto cubesat platforms establish that even the lightest satellites can host strong key exchange, and the mere fact that such demonstrations reach orbit signals a field that expects protection to slide down the size class</w:t>
      </w:r>
      <w:r>
        <w:t xml:space="preserve"> </w:t>
      </w:r>
      <w:hyperlink w:anchor="ref-10">
        <w:r>
          <w:rPr>
            <w:rStyle w:val="Hyperlink"/>
          </w:rPr>
          <w:t xml:space="preserve">[10]</w:t>
        </w:r>
      </w:hyperlink>
      <w:r>
        <w:t xml:space="preserve">. A complementary line reads the physical layer as an asset rather than a burden, mining hardware bit flips for the entropy an onboard cipher needs</w:t>
      </w:r>
      <w:r>
        <w:t xml:space="preserve"> </w:t>
      </w:r>
      <w:hyperlink w:anchor="ref-9">
        <w:r>
          <w:rPr>
            <w:rStyle w:val="Hyperlink"/>
          </w:rPr>
          <w:t xml:space="preserve">[9]</w:t>
        </w:r>
      </w:hyperlink>
      <w:r>
        <w:t xml:space="preserve">. Neither line sets out to invent security. Both set out to shrink existing security in cost and size until the operators now skipping it can carry it.</w:t>
      </w:r>
    </w:p>
    <w:p>
      <w:pPr>
        <w:pStyle w:val="BodyText"/>
        <w:spacing w:line="480" w:lineRule="auto"/>
        <w:ind w:firstLine="720"/>
      </w:pPr>
      <w:r>
        <w:t xml:space="preserve">Neighboring systems work backs the claim that the command and control architecture is where the security decisions that matter get made. Studies of virtualized ground stations coupled with machine learning to squeeze decision time out of on-orbit operations sketch a control environment growing more automated and more networked by the year</w:t>
      </w:r>
      <w:r>
        <w:t xml:space="preserve"> </w:t>
      </w:r>
      <w:hyperlink w:anchor="ref-4">
        <w:r>
          <w:rPr>
            <w:rStyle w:val="Hyperlink"/>
          </w:rPr>
          <w:t xml:space="preserve">[4]</w:t>
        </w:r>
      </w:hyperlink>
      <w:r>
        <w:t xml:space="preserve">. Automating the uplink raises the price of leaving it exposed, because an automated pipeline will run a forged command as dutifully as a genuine one. Work on near-real-time on-orbit communication through commercial constellations traces the same arc: command paths turning faster, more continuous, and more commercially brokered</w:t>
      </w:r>
      <w:r>
        <w:t xml:space="preserve"> </w:t>
      </w:r>
      <w:hyperlink w:anchor="ref-15">
        <w:r>
          <w:rPr>
            <w:rStyle w:val="Hyperlink"/>
          </w:rPr>
          <w:t xml:space="preserve">[15]</w:t>
        </w:r>
      </w:hyperlink>
      <w:r>
        <w:t xml:space="preserve">. Every one of these gains stretches wider the attack surface encryption was meant to seal.</w:t>
      </w:r>
    </w:p>
    <w:p>
      <w:pPr>
        <w:pStyle w:val="BodyText"/>
        <w:spacing w:line="480" w:lineRule="auto"/>
        <w:ind w:firstLine="720"/>
      </w:pPr>
      <w:r>
        <w:t xml:space="preserve">Blockchain-flavored proposals for multi-sensor satellite architectures occupy an interesting middle position</w:t>
      </w:r>
      <w:r>
        <w:t xml:space="preserve"> </w:t>
      </w:r>
      <w:hyperlink w:anchor="ref-2">
        <w:r>
          <w:rPr>
            <w:rStyle w:val="Hyperlink"/>
          </w:rPr>
          <w:t xml:space="preserve">[2]</w:t>
        </w:r>
      </w:hyperlink>
      <w:r>
        <w:t xml:space="preserve">. They accept that the command and data environment needs integrity guarantees, yet they reach for a distributed-ledger construction rather than conventional link encryption, and whether that construction is the right tool is a separate debate this dissertation leaves open. The relevant observation here is simpler: the technical community keeps generating security proposals for the command environment, which means it perceives an unmet need. Supply of solutions is not the constraint.</w:t>
      </w:r>
    </w:p>
    <w:bookmarkEnd w:id="70"/>
    <w:bookmarkStart w:id="71" w:name="X69403a9debb76566a49808639798d8a5a196385"/>
    <w:p>
      <w:pPr>
        <w:pStyle w:val="Heading2"/>
        <w:spacing w:line="480" w:lineRule="auto"/>
      </w:pPr>
      <w:r>
        <w:t xml:space="preserve">2.2 The governance layer: obligation is unsettled</w:t>
      </w:r>
    </w:p>
    <w:p>
      <w:pPr>
        <w:pStyle w:val="FirstParagraph"/>
        <w:spacing w:line="480" w:lineRule="auto"/>
      </w:pPr>
      <w:r>
        <w:t xml:space="preserve">With protection on the shelf, why does adoption stay partial? Here the governance literature gives the crispest answers. Ferris State University work on collaborative cybersecurity training for future space endeavors holds that the binding constraint is institutional, not algorithmic: what operators lack is shared training, shared standards, and shared expectations about who owns the job of securing what</w:t>
      </w:r>
      <w:r>
        <w:t xml:space="preserve"> </w:t>
      </w:r>
      <w:hyperlink w:anchor="ref-3">
        <w:r>
          <w:rPr>
            <w:rStyle w:val="Hyperlink"/>
          </w:rPr>
          <w:t xml:space="preserve">[3]</w:t>
        </w:r>
      </w:hyperlink>
      <w:r>
        <w:t xml:space="preserve">. That shift in framing does real work. It lifts the adoption gap out of the engineering budget and drops it into policy design, where the levers are norms and requirements rather than sharper ciphers.</w:t>
      </w:r>
    </w:p>
    <w:p>
      <w:pPr>
        <w:pStyle w:val="BodyText"/>
        <w:spacing w:line="480" w:lineRule="auto"/>
        <w:ind w:firstLine="720"/>
      </w:pPr>
      <w:r>
        <w:t xml:space="preserve">Recent scholarship on establishing governance for cyber operations in outer space sharpens the institutional picture further, describing the jurisdictional friction that arises when space commands and cyber commands both claim authority over the same on-orbit systems</w:t>
      </w:r>
      <w:r>
        <w:t xml:space="preserve"> </w:t>
      </w:r>
      <w:hyperlink w:anchor="ref-14">
        <w:r>
          <w:rPr>
            <w:rStyle w:val="Hyperlink"/>
          </w:rPr>
          <w:t xml:space="preserve">[14]</w:t>
        </w:r>
      </w:hyperlink>
      <w:r>
        <w:t xml:space="preserve">. Contested responsibility diffuses obligation, and diffuse obligation is a plausible mechanism for partial adoption, because an operator unsure whether anyone will hold it accountable for an unencrypted link has weaker incentive to invest in protecting it. The governance literature thus supplies the theory of the gap that the technical literature cannot.</w:t>
      </w:r>
    </w:p>
    <w:p>
      <w:pPr>
        <w:pStyle w:val="BodyText"/>
        <w:spacing w:line="480" w:lineRule="auto"/>
        <w:ind w:firstLine="720"/>
      </w:pPr>
      <w:r>
        <w:t xml:space="preserve">Two policy-adjacent strands push the frame wider still. Analysis of options for civil space situational awareness casts the security and custody of on-orbit assets as a public-good problem, one where the scattered choices of individual operators sum into collective risk</w:t>
      </w:r>
      <w:r>
        <w:t xml:space="preserve"> </w:t>
      </w:r>
      <w:hyperlink w:anchor="ref-6">
        <w:r>
          <w:rPr>
            <w:rStyle w:val="Hyperlink"/>
          </w:rPr>
          <w:t xml:space="preserve">[6]</w:t>
        </w:r>
      </w:hyperlink>
      <w:r>
        <w:t xml:space="preserve">. Work on the legal implications of autonomous weapons and the militarization of outer space lifts the stakes higher, showing command-link integrity to be not merely a commercial concern but a lever on strategic stability once adversarial systems share the orbit</w:t>
      </w:r>
      <w:r>
        <w:t xml:space="preserve"> </w:t>
      </w:r>
      <w:hyperlink w:anchor="ref-13">
        <w:r>
          <w:rPr>
            <w:rStyle w:val="Hyperlink"/>
          </w:rPr>
          <w:t xml:space="preserve">[13]</w:t>
        </w:r>
      </w:hyperlink>
      <w:r>
        <w:t xml:space="preserve">. Read as a whole, the governance verdict is that the adoption gap is a coordination failure rather than a technology failure.</w:t>
      </w:r>
    </w:p>
    <w:bookmarkEnd w:id="71"/>
    <w:bookmarkStart w:id="72" w:name="what-automation-does-to-the-argument"/>
    <w:p>
      <w:pPr>
        <w:pStyle w:val="Heading2"/>
        <w:spacing w:line="480" w:lineRule="auto"/>
      </w:pPr>
      <w:r>
        <w:t xml:space="preserve">2.3 What automation does to the argument</w:t>
      </w:r>
    </w:p>
    <w:p>
      <w:pPr>
        <w:pStyle w:val="FirstParagraph"/>
        <w:spacing w:line="480" w:lineRule="auto"/>
      </w:pPr>
      <w:r>
        <w:t xml:space="preserve">One thread in the technical literature warrants separate handling: automation remakes the very nature of the risk. Back when a human sat in the loop for every command, a forged instruction had to pass a person’s eye before it ran. That check was imperfect, yet it was there. Automate the command pipeline and the check falls away. Work on virtualized ground stations paired with machine learning describes a control environment built on purpose to lift humans off the fast path, so decisions land in seconds instead of minutes</w:t>
      </w:r>
      <w:r>
        <w:t xml:space="preserve"> </w:t>
      </w:r>
      <w:hyperlink w:anchor="ref-4">
        <w:r>
          <w:rPr>
            <w:rStyle w:val="Hyperlink"/>
          </w:rPr>
          <w:t xml:space="preserve">[4]</w:t>
        </w:r>
      </w:hyperlink>
      <w:r>
        <w:t xml:space="preserve">. The efficiency is genuine. The security cost is just as genuine.</w:t>
      </w:r>
    </w:p>
    <w:p>
      <w:pPr>
        <w:pStyle w:val="BodyText"/>
        <w:spacing w:line="480" w:lineRule="auto"/>
        <w:ind w:firstLine="720"/>
      </w:pPr>
      <w:r>
        <w:t xml:space="preserve">An automated uplink executes a well-formed command because it is well-formed, not because it is legitimate, since the pipeline holds no independent notion of intent. Let an adversary forge the command format and an automated system will carry out the forgery faithfully and quickly, which is precisely the property the operator was trying to buy. Near-real-time communication through commercial constellations extends this exposure by making the command path continuous rather than intermittent, so the window for injection is no longer a brief pass but a persistent connection</w:t>
      </w:r>
      <w:r>
        <w:t xml:space="preserve"> </w:t>
      </w:r>
      <w:hyperlink w:anchor="ref-15">
        <w:r>
          <w:rPr>
            <w:rStyle w:val="Hyperlink"/>
          </w:rPr>
          <w:t xml:space="preserve">[15]</w:t>
        </w:r>
      </w:hyperlink>
      <w:r>
        <w:t xml:space="preserve">. Automation and continuity together mean that encryption stops being a nicety and becomes the last remaining check on command authenticity.</w:t>
      </w:r>
    </w:p>
    <w:p>
      <w:pPr>
        <w:pStyle w:val="BodyText"/>
        <w:spacing w:line="480" w:lineRule="auto"/>
        <w:ind w:firstLine="720"/>
      </w:pPr>
      <w:r>
        <w:t xml:space="preserve">This bears on the adoption argument in one precise way. The operators keenest to automate, cost-sensitive commercial newcomers chasing operational efficiency, tend to be the very operators who never put money into link encryption. The two choices work against each other. Automating the uplink and leaving it in the clear piles risk onto exactly the population least able to carry it, which strengthens the governance case for treating encryption as a precondition of automation rather than an optional companion to it</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72"/>
    <w:bookmarkStart w:id="73" w:name="X0a4571502c1f862ea1bb8e1efdb0e12e8950250"/>
    <w:p>
      <w:pPr>
        <w:pStyle w:val="Heading2"/>
        <w:spacing w:line="480" w:lineRule="auto"/>
      </w:pPr>
      <w:r>
        <w:t xml:space="preserve">2.5 The environmental layer: why the gap is collective</w:t>
      </w:r>
    </w:p>
    <w:p>
      <w:pPr>
        <w:pStyle w:val="FirstParagraph"/>
        <w:spacing w:line="480" w:lineRule="auto"/>
      </w:pPr>
      <w:r>
        <w:t xml:space="preserve">A third body of work sets out why one operator’s slack security is a problem for all. Studies of coming activity in near-earth space, written against a backdrop of traffic climbing without pause, cast the orbital environment as a shared commons in which any one actor’s failure travels outward</w:t>
      </w:r>
      <w:r>
        <w:t xml:space="preserve"> </w:t>
      </w:r>
      <w:hyperlink w:anchor="ref-12">
        <w:r>
          <w:rPr>
            <w:rStyle w:val="Hyperlink"/>
          </w:rPr>
          <w:t xml:space="preserve">[12]</w:t>
        </w:r>
      </w:hyperlink>
      <w:r>
        <w:t xml:space="preserve">. A hijacked or lost spacecraft will not stay penned inside its owner’s balance sheet; it turns into a conjunction risk and a custody problem for the entire population. Work framing space as an enabler of sustainable digital transformation places this commons inside a sector commercializing fast, one filling with new entrants who carry no deep security culture</w:t>
      </w:r>
      <w:r>
        <w:t xml:space="preserve"> </w:t>
      </w:r>
      <w:hyperlink w:anchor="ref-11">
        <w:r>
          <w:rPr>
            <w:rStyle w:val="Hyperlink"/>
          </w:rPr>
          <w:t xml:space="preserve">[11]</w:t>
        </w:r>
      </w:hyperlink>
      <w:r>
        <w:t xml:space="preserve">. That mix is precisely the setting in which an adoption gap turns dangerous: a swelling population, protection spread unevenly, consequences held in common.</w:t>
      </w:r>
    </w:p>
    <w:p>
      <w:pPr>
        <w:pStyle w:val="BodyText"/>
        <w:spacing w:line="480" w:lineRule="auto"/>
        <w:ind w:firstLine="720"/>
      </w:pPr>
      <w:r>
        <w:t xml:space="preserve">Some history of the systems fills out the environmental reading. Foundational work on object correlation and maneuver detection through optimal control performance metrics showed, more than a decade back, that anomalous spacecraft behavior could be caught from the ground</w:t>
      </w:r>
      <w:r>
        <w:t xml:space="preserve"> </w:t>
      </w:r>
      <w:hyperlink w:anchor="ref-8">
        <w:r>
          <w:rPr>
            <w:rStyle w:val="Hyperlink"/>
          </w:rPr>
          <w:t xml:space="preserve">[8]</w:t>
        </w:r>
      </w:hyperlink>
      <w:r>
        <w:t xml:space="preserve">. Catching is not preventing, but it sets the observational floor above which a command-link compromise would register. Studies of dual-use star trackers pressed into service as space domain awareness sensors show that same detecting power moving onto operational platforms</w:t>
      </w:r>
      <w:r>
        <w:t xml:space="preserve"> </w:t>
      </w:r>
      <w:hyperlink w:anchor="ref-7">
        <w:r>
          <w:rPr>
            <w:rStyle w:val="Hyperlink"/>
          </w:rPr>
          <w:t xml:space="preserve">[7]</w:t>
        </w:r>
      </w:hyperlink>
      <w:r>
        <w:t xml:space="preserve">. Space domain awareness hosted-payload work carries the migration further, into distributed sensing architectures</w:t>
      </w:r>
      <w:r>
        <w:t xml:space="preserve"> </w:t>
      </w:r>
      <w:hyperlink w:anchor="ref-1">
        <w:r>
          <w:rPr>
            <w:rStyle w:val="Hyperlink"/>
          </w:rPr>
          <w:t xml:space="preserve">[1]</w:t>
        </w:r>
      </w:hyperlink>
      <w:r>
        <w:t xml:space="preserve">. The environment, in a word, is watched more closely every year, which means a compromised command link grows ever likelier to leave a visible trace the operator never meant to leave.</w:t>
      </w:r>
    </w:p>
    <w:bookmarkEnd w:id="73"/>
    <w:bookmarkStart w:id="74" w:name="where-the-three-layers-fail-to-meet"/>
    <w:p>
      <w:pPr>
        <w:pStyle w:val="Heading2"/>
        <w:spacing w:line="480" w:lineRule="auto"/>
      </w:pPr>
      <w:r>
        <w:t xml:space="preserve">2.6 Where the three layers fail to meet</w:t>
      </w:r>
    </w:p>
    <w:p>
      <w:pPr>
        <w:pStyle w:val="FirstParagraph"/>
        <w:spacing w:line="480" w:lineRule="auto"/>
      </w:pPr>
      <w:r>
        <w:t xml:space="preserve">The three bodies of work described so far are individually strong yet collectively disjoint. Engineers publish protection schemes without modeling why operators decline to adopt them, governance scholars diagnose the obligation failure without quantifying how widespread the unprotected population actually is, and environmental analysts model the commons risk without connecting it back to the individual security decision that generates that risk. Each community answers its own question well and leaves the seams between questions unstitched. The adoption gap lives precisely in those seams.</w:t>
      </w:r>
    </w:p>
    <w:p>
      <w:pPr>
        <w:pStyle w:val="BodyText"/>
        <w:spacing w:line="480" w:lineRule="auto"/>
        <w:ind w:firstLine="720"/>
      </w:pPr>
      <w:r>
        <w:t xml:space="preserve">This disjointness is no accident of citation habits; it reflects a genuine methodological divide. The technical work is experimental and platform-specific, validated by demonstration</w:t>
      </w:r>
      <w:r>
        <w:t xml:space="preserve"> </w:t>
      </w:r>
      <w:hyperlink w:anchor="ref-10">
        <w:r>
          <w:rPr>
            <w:rStyle w:val="Hyperlink"/>
          </w:rPr>
          <w:t xml:space="preserve">[10]</w:t>
        </w:r>
      </w:hyperlink>
      <w:r>
        <w:t xml:space="preserve">. The governance work is interpretive and institutional, validated by argument and case reading</w:t>
      </w:r>
      <w:r>
        <w:t xml:space="preserve"> </w:t>
      </w:r>
      <w:hyperlink w:anchor="ref-14">
        <w:r>
          <w:rPr>
            <w:rStyle w:val="Hyperlink"/>
          </w:rPr>
          <w:t xml:space="preserve">[14]</w:t>
        </w:r>
      </w:hyperlink>
      <w:r>
        <w:t xml:space="preserve">. The environmental work is model-based, validated by simulation of traffic and conjunction dynamics</w:t>
      </w:r>
      <w:r>
        <w:t xml:space="preserve"> </w:t>
      </w:r>
      <w:hyperlink w:anchor="ref-12">
        <w:r>
          <w:rPr>
            <w:rStyle w:val="Hyperlink"/>
          </w:rPr>
          <w:t xml:space="preserve">[12]</w:t>
        </w:r>
      </w:hyperlink>
      <w:r>
        <w:t xml:space="preserve">. Three epistemologies rarely produce a shared dataset, and absent a shared dataset the adoption gap cannot be measured across the divide. What has been missing is a common empirical object that any of the three communities could inspect and dispute on the same terms.</w:t>
      </w:r>
    </w:p>
    <w:p>
      <w:pPr>
        <w:pStyle w:val="BodyText"/>
        <w:spacing w:line="480" w:lineRule="auto"/>
        <w:ind w:firstLine="720"/>
      </w:pPr>
      <w:r>
        <w:t xml:space="preserve">A corpus of documents is one candidate for that shared object. All three communities publish, cite, and get indexed, so their combined output leaves one measurable trace even where their methods diverge. Reading that trace as data, and not as background reading, is the methodological bet this dissertation places. Were the adoption gap a coherent problem all three communities circle, the union of their publications ought to reveal structure. Were the topic instead a label pasted on after the fact, the union ought to read as noise. The bet is testable, and running that test is the contribution the standing literature has left untried</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74"/>
    <w:bookmarkStart w:id="75" w:name="X7fe3713f394da34f55b9d642cf6973d849cfb39"/>
    <w:p>
      <w:pPr>
        <w:pStyle w:val="Heading2"/>
        <w:spacing w:line="480" w:lineRule="auto"/>
      </w:pPr>
      <w:r>
        <w:t xml:space="preserve">2.7 The measurement layer and the gap this study fills</w:t>
      </w:r>
    </w:p>
    <w:p>
      <w:pPr>
        <w:pStyle w:val="FirstParagraph"/>
        <w:spacing w:line="480" w:lineRule="auto"/>
      </w:pPr>
      <w:r>
        <w:t xml:space="preserve">The three substantive layers meet at one shared limit. None of them settles whether the encryption-adoption topic really coheres as a research object, or whether it is a loose scatter of papers a reviewer has fitted after the fact with a theme. That is a measurement question, and answering it is where this dissertation makes its move. Bibliometric reasoning holds that a genuine, rising topic should carry structure in its recency, its citation attention, and the venue families that house it. A study of free-space quantum communication with adaptive optics shows the kind of specialized, venue-bound work whose attention profile can be followed</w:t>
      </w:r>
      <w:r>
        <w:t xml:space="preserve"> </w:t>
      </w:r>
      <w:hyperlink w:anchor="ref-5">
        <w:r>
          <w:rPr>
            <w:rStyle w:val="Hyperlink"/>
          </w:rPr>
          <w:t xml:space="preserve">[5]</w:t>
        </w:r>
      </w:hyperlink>
      <w:r>
        <w:t xml:space="preserve">. Behaving like a real topic, the adoption-gap corpus should betray as much in its metadata. Failing to, the honest conclusion is that the retrieved evidence runs too thin to bear a strong causal claim.</w:t>
      </w:r>
    </w:p>
    <w:p>
      <w:pPr>
        <w:pStyle w:val="BodyText"/>
        <w:spacing w:line="480" w:lineRule="auto"/>
        <w:ind w:firstLine="720"/>
      </w:pPr>
      <w:r>
        <w:t xml:space="preserve">The gap this dissertation fills is therefore narrow and specific. Prior work establishes that protection is available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that obligation is unsettled</w:t>
      </w:r>
      <w:r>
        <w:t xml:space="preserve"> </w:t>
      </w:r>
      <w:hyperlink w:anchor="ref-3">
        <w:r>
          <w:rPr>
            <w:rStyle w:val="Hyperlink"/>
          </w:rPr>
          <w:t xml:space="preserve">[3]</w:t>
        </w:r>
      </w:hyperlink>
      <w:r>
        <w:t xml:space="preserve"> </w:t>
      </w:r>
      <w:hyperlink w:anchor="ref-14">
        <w:r>
          <w:rPr>
            <w:rStyle w:val="Hyperlink"/>
          </w:rPr>
          <w:t xml:space="preserve">[14]</w:t>
        </w:r>
      </w:hyperlink>
      <w:r>
        <w:t xml:space="preserve">, and that consequences fall collectively</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What prior work has not done is submit the topic’s own documentary footprint to a falsifiable structural test. This study does exactly that, running two estimators on a single auditable set of retrieved records. The contribution is not a new theory of the adoption gap but a disciplined check on whether the retrieved evidence can support any theory at all.</w:t>
      </w:r>
    </w:p>
    <w:bookmarkEnd w:id="75"/>
    <w:bookmarkStart w:id="76" w:name="X3f50062585894ffa0fa5059f0cfc65844659861"/>
    <w:p>
      <w:pPr>
        <w:pStyle w:val="Heading2"/>
        <w:spacing w:line="480" w:lineRule="auto"/>
      </w:pPr>
      <w:r>
        <w:t xml:space="preserve">2.8 Positioning against bibliometric practice</w:t>
      </w:r>
    </w:p>
    <w:p>
      <w:pPr>
        <w:pStyle w:val="FirstParagraph"/>
        <w:spacing w:line="480" w:lineRule="auto"/>
      </w:pPr>
      <w:r>
        <w:t xml:space="preserve">Reading a literature as data belongs to an established tradition, and this dissertation is better placed inside it than sold as a novelty. Bibliometric analysis routinely turns recency, citation counts, and venue characteristics into a portrait of how a field grows, consolidates, or splinters. The usual finding is that maturing fields concentrate: recent work pulls citation attention faster, and output gathers into recognizable venues. A specialized subfield like free-space quantum communication with adaptive optics displays that concentration plainly, its narrow technical focus throwing off a legible, venue-bound attention profile</w:t>
      </w:r>
      <w:r>
        <w:t xml:space="preserve"> </w:t>
      </w:r>
      <w:hyperlink w:anchor="ref-5">
        <w:r>
          <w:rPr>
            <w:rStyle w:val="Hyperlink"/>
          </w:rPr>
          <w:t xml:space="preserve">[5]</w:t>
        </w:r>
      </w:hyperlink>
      <w:r>
        <w:t xml:space="preserve">. The expectation this dissertation carries into its own data comes straight out of that tradition.</w:t>
      </w:r>
    </w:p>
    <w:p>
      <w:pPr>
        <w:pStyle w:val="BodyText"/>
        <w:spacing w:line="480" w:lineRule="auto"/>
        <w:ind w:firstLine="720"/>
      </w:pPr>
      <w:r>
        <w:t xml:space="preserve">Two breaks from standard practice matter. The first is scale. Most bibliometric studies run on hundreds or thousands of records, a size at which even faint structure turns statistically visible. This study runs on thirty, by design, since the aim is a design-stage screen rather than a settled map of the field, and thirty records is what one candidate can retrieve and audit down to the row. Imprecision is therefore to be expected, and the study folds that expectation into how it reads a null. The second break is the topic-signal score. Instead of counting every retrieved record as an equal member of the field, the design weights each by how firmly its metadata touch the adoption-gap theme, turning a flat corpus into a graded one. That grading is what the cross-sectional model regresses on, and it is what sets this analysis apart from a bare count of publications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76"/>
    <w:bookmarkStart w:id="77" w:name="X31708346297495d72fb1b735c7371a0c7baa159"/>
    <w:p>
      <w:pPr>
        <w:pStyle w:val="Heading2"/>
        <w:spacing w:line="480" w:lineRule="auto"/>
      </w:pPr>
      <w:r>
        <w:t xml:space="preserve">2.9 The encryption strand read on its own terms</w:t>
      </w:r>
    </w:p>
    <w:p>
      <w:pPr>
        <w:pStyle w:val="FirstParagraph"/>
        <w:spacing w:line="480" w:lineRule="auto"/>
      </w:pPr>
      <w:r>
        <w:t xml:space="preserve">The papers speaking most directly to the command-link cipher deserve isolating, since they hold down the technical end of the argument and behave unlike the governance work. Two records bear most of that load. The cubesat encryption entropy study treats generating randomness as the practical bottleneck, mining hardware bit flips so that even a resource-poor platform can turn out keys of usable quality</w:t>
      </w:r>
      <w:r>
        <w:t xml:space="preserve"> </w:t>
      </w:r>
      <w:hyperlink w:anchor="ref-9">
        <w:r>
          <w:rPr>
            <w:rStyle w:val="Hyperlink"/>
          </w:rPr>
          <w:t xml:space="preserve">[9]</w:t>
        </w:r>
      </w:hyperlink>
      <w:r>
        <w:t xml:space="preserve">. The quantum key distribution cubesat demonstration comes at the same problem from the exchange side, proving that a small satellite can stand as a node in a key-distribution architecture</w:t>
      </w:r>
      <w:r>
        <w:t xml:space="preserve"> </w:t>
      </w:r>
      <w:hyperlink w:anchor="ref-10">
        <w:r>
          <w:rPr>
            <w:rStyle w:val="Hyperlink"/>
          </w:rPr>
          <w:t xml:space="preserve">[10]</w:t>
        </w:r>
      </w:hyperlink>
      <w:r>
        <w:t xml:space="preserve">. Set side by side, these two records advance one specific claim: the excuses an operator once had for skipping protection, too heavy, too power-hungry, too complex for a small bus, are falling one demonstration at a time.</w:t>
      </w:r>
    </w:p>
    <w:p>
      <w:pPr>
        <w:pStyle w:val="BodyText"/>
        <w:spacing w:line="480" w:lineRule="auto"/>
        <w:ind w:firstLine="720"/>
      </w:pPr>
      <w:r>
        <w:t xml:space="preserve">Read together, the two records relocate the problem: the cipher is nearly solved, while the obligation to fly it is not. That relocation matters for how the adoption gap should be theorized. Were protection still genuinely infeasible at cubesat scale, the gap would be a technology problem and the correct response would be more engineering. The technical literature says the opposite, reporting that feasibility is arriving, which moves the binding constraint away from the physics and toward the institutions, exactly where the governance work places it</w:t>
      </w:r>
      <w:r>
        <w:t xml:space="preserve"> </w:t>
      </w:r>
      <w:hyperlink w:anchor="ref-3">
        <w:r>
          <w:rPr>
            <w:rStyle w:val="Hyperlink"/>
          </w:rPr>
          <w:t xml:space="preserve">[3]</w:t>
        </w:r>
      </w:hyperlink>
      <w:r>
        <w:t xml:space="preserve"> </w:t>
      </w:r>
      <w:hyperlink w:anchor="ref-14">
        <w:r>
          <w:rPr>
            <w:rStyle w:val="Hyperlink"/>
          </w:rPr>
          <w:t xml:space="preserve">[14]</w:t>
        </w:r>
      </w:hyperlink>
      <w:r>
        <w:t xml:space="preserve">. On this point the technical and governance strands are not in tension. Both agree that the cipher is the easy part and the obligation to fly it is the hard one.</w:t>
      </w:r>
    </w:p>
    <w:p>
      <w:pPr>
        <w:pStyle w:val="BodyText"/>
        <w:spacing w:line="480" w:lineRule="auto"/>
        <w:ind w:firstLine="720"/>
      </w:pPr>
      <w:r>
        <w:t xml:space="preserve">A quieter point rests inside the same two records. The entropy study and the key-distribution demonstration alike appear as research, not as fielded standards, so the road from a working demonstration to a required operational control remains unpaved</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demonstration proves a thing can be done. It does not render that thing routine, cheap to certify, or mandatory. The stretch between the last demonstration and the first requirement is exactly the ground the governance literature is trying to cover, and it is the ground the adoption gap sits on.</w:t>
      </w:r>
    </w:p>
    <w:bookmarkEnd w:id="77"/>
    <w:bookmarkStart w:id="78" w:name="Xbec49e2cf82a8116287cd0dddbdbbab43dda5cc"/>
    <w:p>
      <w:pPr>
        <w:pStyle w:val="Heading2"/>
        <w:spacing w:line="480" w:lineRule="auto"/>
      </w:pPr>
      <w:r>
        <w:t xml:space="preserve">2.10 Method literatures the study borrows from</w:t>
      </w:r>
    </w:p>
    <w:p>
      <w:pPr>
        <w:pStyle w:val="FirstParagraph"/>
        <w:spacing w:line="480" w:lineRule="auto"/>
      </w:pPr>
      <w:r>
        <w:t xml:space="preserve">Past the substantive strands, this dissertation borrows a way of reading a literature as data, and that stance has a lineage worth naming. Treating recency, citation counts, and venue characteristics as measurable features of a field, rather than incidental metadata, is routine in bibliometric analysis, and the expectation that a maturing field concentrates its attention comes out of that routine. A tightly bounded technical subfield like free-space quantum communication with adaptive optics shows the legible attention profile a coherent specialty throws off, and it furnishes the contrast case by which a diffuse topic can be told apart</w:t>
      </w:r>
      <w:r>
        <w:t xml:space="preserve"> </w:t>
      </w:r>
      <w:hyperlink w:anchor="ref-5">
        <w:r>
          <w:rPr>
            <w:rStyle w:val="Hyperlink"/>
          </w:rPr>
          <w:t xml:space="preserve">[5]</w:t>
        </w:r>
      </w:hyperlink>
      <w:r>
        <w:t xml:space="preserve">. The systems literature lends a second borrowed lens: work on virtualized ground stations and machine-mediated operations casts the command environment as an information system with measurable properties, and that framing licenses the step from qualitative worry to quantitative screen</w:t>
      </w:r>
      <w:r>
        <w:t xml:space="preserve"> </w:t>
      </w:r>
      <w:hyperlink w:anchor="ref-4">
        <w:r>
          <w:rPr>
            <w:rStyle w:val="Hyperlink"/>
          </w:rPr>
          <w:t xml:space="preserve">[4]</w:t>
        </w:r>
      </w:hyperlink>
      <w:r>
        <w:t xml:space="preserve">.</w:t>
      </w:r>
    </w:p>
    <w:p>
      <w:pPr>
        <w:pStyle w:val="BodyText"/>
        <w:spacing w:line="480" w:lineRule="auto"/>
        <w:ind w:firstLine="720"/>
      </w:pPr>
      <w:r>
        <w:t xml:space="preserve">Borrowing across these method traditions costs something. A bibliometric reader wants a large corpus and would recoil at thirty records; a systems reader wants operational data and would recoil at documents standing in for behavior. Neither expectation can be met in full, and the dissertation does not pretend to meet it. From each tradition it takes a disciplined way of turning a soft topic into a measurable object, and to each it returns an honest reckoning of where thirty records leave that measurement short</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Taken whole, the literature hands the dissertation a clear inheritance and a clear task. The inheritance is a rich, three-community grasp of why the adoption gap should exist and why it matters. The task is to check, honestly and reproducibly, whether the documentary evidence for that gap holds enough structure to build on. What follows takes up that task without presuming its answer</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78"/>
    <w:bookmarkEnd w:id="79"/>
    <w:bookmarkStart w:id="90"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Why would a known control sit unused? This chapter constructs the mechanism that would account for the encryption adoption gap, then turns that mechanism into predictions documentary evidence can actually test. The theory is spare on purpose. It stands on one behavioral claim: an operator adopts link encryption once the perceived cost of protection drops beneath the perceived, and enforced, cost of exposure. Misjudge either term, or strip out enforcement, and adoption stalls. The remainder of the chapter opens that claim up and works out what it implies for the trace a rising topic should leave behind in the literature.</w:t>
      </w:r>
    </w:p>
    <w:bookmarkStart w:id="80" w:name="Xebb9511dc1aff3aea8b1a91b7cb4ed3a9716639"/>
    <w:p>
      <w:pPr>
        <w:pStyle w:val="Heading2"/>
        <w:spacing w:line="480" w:lineRule="auto"/>
      </w:pPr>
      <w:r>
        <w:t xml:space="preserve">3.1 The mechanism: cost, salience, and enforced obligation</w:t>
      </w:r>
    </w:p>
    <w:p>
      <w:pPr>
        <w:pStyle w:val="FirstParagraph"/>
        <w:spacing w:line="480" w:lineRule="auto"/>
      </w:pPr>
      <w:r>
        <w:t xml:space="preserve">Three forces fix an operator’s adoption decision, and the first is what protection costs. To a national space agency, building command-link encryption into a mission barely registers against the total bill. To a university cubesat team or a cash-thin commercial newcomer, that same build is a real line item in engineering hours, key management, and operational tangle. Research bent on paring cryptographic protection down to cubesat scale exists to attack this very cost term, and its existence tells us the field reads cost as the live barrier</w:t>
      </w:r>
      <w:r>
        <w:t xml:space="preserve"> </w:t>
      </w:r>
      <w:hyperlink w:anchor="ref-9">
        <w:r>
          <w:rPr>
            <w:rStyle w:val="Hyperlink"/>
          </w:rPr>
          <w:t xml:space="preserve">[9]</w:t>
        </w:r>
      </w:hyperlink>
      <w:r>
        <w:t xml:space="preserve"> </w:t>
      </w:r>
      <w:hyperlink w:anchor="ref-10">
        <w:r>
          <w:rPr>
            <w:rStyle w:val="Hyperlink"/>
          </w:rPr>
          <w:t xml:space="preserve">[10]</w:t>
        </w:r>
      </w:hyperlink>
      <w:r>
        <w:t xml:space="preserve">. Cut the cost of protection while all else holds still, and adoption ought to climb.</w:t>
      </w:r>
    </w:p>
    <w:p>
      <w:pPr>
        <w:pStyle w:val="BodyText"/>
        <w:spacing w:line="480" w:lineRule="auto"/>
        <w:ind w:firstLine="720"/>
      </w:pPr>
      <w:r>
        <w:t xml:space="preserve">The second force is salience. No operator can put a price on a risk it has not registered, and salience climbs only as the threat turns concrete, through a publicized hijack, a governance body writing command-link security into a requirement, or a training regime that makes engineers face the exposure head-on. The claim that shared cybersecurity training is the binding constraint is, at root, a salience claim: training builds the awareness that an unprotected uplink is intolerable</w:t>
      </w:r>
      <w:r>
        <w:t xml:space="preserve"> </w:t>
      </w:r>
      <w:hyperlink w:anchor="ref-3">
        <w:r>
          <w:rPr>
            <w:rStyle w:val="Hyperlink"/>
          </w:rPr>
          <w:t xml:space="preserve">[3]</w:t>
        </w:r>
      </w:hyperlink>
      <w:r>
        <w:t xml:space="preserve">. Where salience runs low, operators under-invest for sound reasons, since from where they stand the expected loss looks slight.</w:t>
      </w:r>
    </w:p>
    <w:p>
      <w:pPr>
        <w:pStyle w:val="BodyText"/>
        <w:spacing w:line="480" w:lineRule="auto"/>
        <w:ind w:firstLine="720"/>
      </w:pPr>
      <w:r>
        <w:t xml:space="preserve">The third force is enforced obligation, the one the governance literature calls most broken. What an operator weighs is not the bare chance of compromise but the chance that compromise, or even the plain fact of an unprotected link, draws a penalty from some authority. Let jurisdiction over on-orbit cyber risk stay contested between space and cyber commands, and no authority reliably owns enforcement, so the expected penalty falls away toward zero</w:t>
      </w:r>
      <w:r>
        <w:t xml:space="preserve"> </w:t>
      </w:r>
      <w:hyperlink w:anchor="ref-14">
        <w:r>
          <w:rPr>
            <w:rStyle w:val="Hyperlink"/>
          </w:rPr>
          <w:t xml:space="preserve">[14]</w:t>
        </w:r>
      </w:hyperlink>
      <w:r>
        <w:t xml:space="preserve">. A penalty term that has collapsed yields the exact pattern on view: protection sits ready, the threat is real, and adoption stays partial all the same. The gap is the predictable equilibrium of a system whose obligation is diffuse.</w:t>
      </w:r>
    </w:p>
    <w:bookmarkEnd w:id="80"/>
    <w:bookmarkStart w:id="81" w:name="the-three-forces-as-an-equilibrium"/>
    <w:p>
      <w:pPr>
        <w:pStyle w:val="Heading2"/>
        <w:spacing w:line="480" w:lineRule="auto"/>
      </w:pPr>
      <w:r>
        <w:t xml:space="preserve">3.2 The three forces as an equilibrium</w:t>
      </w:r>
    </w:p>
    <w:p>
      <w:pPr>
        <w:pStyle w:val="FirstParagraph"/>
        <w:spacing w:line="480" w:lineRule="auto"/>
      </w:pPr>
      <w:r>
        <w:t xml:space="preserve">The three forces work not one at a time but as a product. An operator adopts once the expected penalty from exposure, the chance of a bad event times the chance that the event or the exposure draws punishment, rises above the certain cost of protection. Salience feeds the first chance, since an operator that never registered the threat pins that chance near zero. Enforced obligation feeds the second, since contested authority pins the punishment chance near zero. Let either term collapse and the product collapses with it, and no quantity of the other force will pull adoption back. This is why cheaper encryption on its own leaves the gap open: cutting the protection cost cannot offset a punishment chance that has dropped to nothing</w:t>
      </w:r>
      <w:r>
        <w:t xml:space="preserve"> </w:t>
      </w:r>
      <w:hyperlink w:anchor="ref-3">
        <w:r>
          <w:rPr>
            <w:rStyle w:val="Hyperlink"/>
          </w:rPr>
          <w:t xml:space="preserve">[3]</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Seen this way, the adoption gap is an equilibrium rather than a mistake, since each operator behaves sensibly given the incentives it faces and the failure is systemic, located in the incentive structure rather than in any individual operator’s judgment. That framing carries a policy corollary the dissertation returns to in Chapter 8, where the effective lever is the one that raises the enforced-obligation term, because that term is both the most depressed and the most responsive to a governance intervention. Subsidizing protection addresses the weakest lever; assigning clear enforcement authority addresses the strongest</w:t>
      </w:r>
      <w:r>
        <w:t xml:space="preserve"> </w:t>
      </w:r>
      <w:hyperlink w:anchor="ref-6">
        <w:r>
          <w:rPr>
            <w:rStyle w:val="Hyperlink"/>
          </w:rPr>
          <w:t xml:space="preserve">[6]</w:t>
        </w:r>
      </w:hyperlink>
      <w:r>
        <w:t xml:space="preserve">.</w:t>
      </w:r>
    </w:p>
    <w:bookmarkEnd w:id="81"/>
    <w:bookmarkStart w:id="82" w:name="Xfaab728e604de975d365ecaca9cc625012e4c92"/>
    <w:p>
      <w:pPr>
        <w:pStyle w:val="Heading2"/>
        <w:spacing w:line="480" w:lineRule="auto"/>
      </w:pPr>
      <w:r>
        <w:t xml:space="preserve">3.3 From mechanism to a documentary prediction</w:t>
      </w:r>
    </w:p>
    <w:p>
      <w:pPr>
        <w:pStyle w:val="FirstParagraph"/>
        <w:spacing w:line="480" w:lineRule="auto"/>
      </w:pPr>
      <w:r>
        <w:t xml:space="preserve">The mechanism above turns on operator behavior, which this dissertation cannot watch directly at fleet scale. What it can watch is the research literature trailing the problem. Spanning the two is an assumption about how research attention answers a live, rising governance problem. When a problem is genuinely sharpening, the field studying it turns out more work, more of it recent, gathered into tighter venues, and that work pulls citation attention as the problem matures. A topic that is only a label stuck onto unrelated papers carries none of that structure.</w:t>
      </w:r>
    </w:p>
    <w:p>
      <w:pPr>
        <w:pStyle w:val="BodyText"/>
        <w:spacing w:line="480" w:lineRule="auto"/>
        <w:ind w:firstLine="720"/>
      </w:pPr>
      <w:r>
        <w:t xml:space="preserve">Here the dissertation gets its testable target. Should the encryption adoption gap be real and rising, its retrieved footprint should carry structure across observable metadata dimensions: recency, citation attention, and venue family. Specialized, venue-concentrated research such as free-space quantum communication shows that a coherent subfield stamps a legible attention signature onto exactly these dimensions</w:t>
      </w:r>
      <w:r>
        <w:t xml:space="preserve"> </w:t>
      </w:r>
      <w:hyperlink w:anchor="ref-5">
        <w:r>
          <w:rPr>
            <w:rStyle w:val="Hyperlink"/>
          </w:rPr>
          <w:t xml:space="preserve">[5]</w:t>
        </w:r>
      </w:hyperlink>
      <w:r>
        <w:t xml:space="preserve">. The prediction does not demand a strong signal; it demands that a coherent topic leave a signal detectable and signed the way theory expects.</w:t>
      </w:r>
    </w:p>
    <w:bookmarkEnd w:id="82"/>
    <w:bookmarkStart w:id="83" w:name="hypotheses-for-the-cross-sectional-model"/>
    <w:p>
      <w:pPr>
        <w:pStyle w:val="Heading2"/>
        <w:spacing w:line="480" w:lineRule="auto"/>
      </w:pPr>
      <w:r>
        <w:t xml:space="preserve">3.4 Hypotheses for the cross-sectional model</w:t>
      </w:r>
    </w:p>
    <w:p>
      <w:pPr>
        <w:pStyle w:val="FirstParagraph"/>
        <w:spacing w:line="480" w:lineRule="auto"/>
      </w:pPr>
      <w:r>
        <w:t xml:space="preserve">The first estimator probes cross-sectional structure. It regresses a composite topic-signal score onto three predictors: a recency index, a reported citation count, and an ordinal venue-family score. Theory has a rising topic clustering in recent, well-attended, higher-tier work, so the signed predictions put positive coefficients on recency and on citation attention.</w:t>
      </w:r>
    </w:p>
    <w:p>
      <w:pPr>
        <w:pStyle w:val="BodyText"/>
        <w:spacing w:line="480" w:lineRule="auto"/>
        <w:ind w:firstLine="720"/>
      </w:pPr>
      <w:r>
        <w:t xml:space="preserve">H1-0 (null): the topic-signal score is unrelated to publication recency, citation attention, and venue family in the retrieved corpus.</w:t>
      </w:r>
    </w:p>
    <w:p>
      <w:pPr>
        <w:pStyle w:val="BodyText"/>
        <w:spacing w:line="480" w:lineRule="auto"/>
        <w:ind w:firstLine="720"/>
      </w:pPr>
      <w:r>
        <w:t xml:space="preserve">H1-1 (alternative): the topic-signal score is systematically related to those predictors, with recency and citation attention entering positively.</w:t>
      </w:r>
    </w:p>
    <w:p>
      <w:pPr>
        <w:pStyle w:val="BodyText"/>
        <w:spacing w:line="480" w:lineRule="auto"/>
        <w:ind w:firstLine="720"/>
      </w:pPr>
      <w:r>
        <w:t xml:space="preserve">A precise positive coefficient on recency would mark the topic as newly arrived. A precise positive coefficient on citation attention would mark a field engaging the topic, not just publishing on it. A signed venue coefficient would mark the topic clustering in one tier of venue. Fuzzy coefficients tell in the opposite direction: they would say the retrieved record runs too thin or too noisy to show the structure the mechanism predicts, and the honest reading then is that the corpus cannot yet carry a strong claim</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3"/>
    <w:bookmarkStart w:id="84" w:name="hypotheses-for-the-temporal-model"/>
    <w:p>
      <w:pPr>
        <w:pStyle w:val="Heading2"/>
        <w:spacing w:line="480" w:lineRule="auto"/>
      </w:pPr>
      <w:r>
        <w:t xml:space="preserve">3.5 Hypotheses for the temporal model</w:t>
      </w:r>
    </w:p>
    <w:p>
      <w:pPr>
        <w:pStyle w:val="FirstParagraph"/>
        <w:spacing w:line="480" w:lineRule="auto"/>
      </w:pPr>
      <w:r>
        <w:t xml:space="preserve">The second estimator poses a different question. In place of a look across the corpus at fixed predictors, it looks along the axis of age, modeling how citation accumulation ties to article age through a log-log learning-curve specification. The learning-curve form earns its place because attention accumulation, like production learning, tends to scale as a power of the underlying quantity, which makes a constant elasticity the natural functional target.</w:t>
      </w:r>
    </w:p>
    <w:p>
      <w:pPr>
        <w:pStyle w:val="BodyText"/>
        <w:spacing w:line="480" w:lineRule="auto"/>
        <w:ind w:firstLine="720"/>
      </w:pPr>
      <w:r>
        <w:t xml:space="preserve">H2-0 (null): citation accumulation is unrelated to article age in the retrieved topic literature.</w:t>
      </w:r>
    </w:p>
    <w:p>
      <w:pPr>
        <w:pStyle w:val="BodyText"/>
        <w:spacing w:line="480" w:lineRule="auto"/>
        <w:ind w:firstLine="720"/>
      </w:pPr>
      <w:r>
        <w:t xml:space="preserve">H2-1 (alternative): citation accumulation follows a measurable age-based attention curve.</w:t>
      </w:r>
    </w:p>
    <w:p>
      <w:pPr>
        <w:pStyle w:val="BodyText"/>
        <w:spacing w:line="480" w:lineRule="auto"/>
        <w:ind w:firstLine="720"/>
      </w:pPr>
      <w:r>
        <w:t xml:space="preserve">The sign on the age elasticity carries the reading. A positive elasticity would say older records gather more attention, the plain result of longer exposure. A negative one would say recent records pull attention out of proportion, the mark of a topic whose salience is climbing fast enough to overturn age’s usual exposure edge. Either signed outcome reads clearly against the theory. A fuzzy elasticity, once more, hands back the cautious verdict that the retrieved record holds no measurable temporal shape.</w:t>
      </w:r>
    </w:p>
    <w:bookmarkEnd w:id="84"/>
    <w:bookmarkStart w:id="85" w:name="scope-conditions-and-rival-explanations"/>
    <w:p>
      <w:pPr>
        <w:pStyle w:val="Heading2"/>
        <w:spacing w:line="480" w:lineRule="auto"/>
      </w:pPr>
      <w:r>
        <w:t xml:space="preserve">3.6 Scope conditions and rival explanations</w:t>
      </w:r>
    </w:p>
    <w:p>
      <w:pPr>
        <w:pStyle w:val="FirstParagraph"/>
        <w:spacing w:line="480" w:lineRule="auto"/>
      </w:pPr>
      <w:r>
        <w:t xml:space="preserve">Every mechanism has scope conditions, and naming them keeps the theory from being tested where it was never meant to apply. The cost-salience-obligation account presumes operators able to adopt encryption if they so chose. It says nothing of operators for whom protection is technically out of reach on some legacy platform, and nothing of the rare operator barred by export or jurisdictional rules from certain cryptography. Such cases are real, but they sit at the edges, and the mechanism sets out to explain only the typical operator who could adopt and does not. Fencing the claim this way keeps it falsifiable instead of letting it swallow every observation.</w:t>
      </w:r>
    </w:p>
    <w:p>
      <w:pPr>
        <w:pStyle w:val="BodyText"/>
        <w:spacing w:line="480" w:lineRule="auto"/>
        <w:ind w:firstLine="720"/>
      </w:pPr>
      <w:r>
        <w:t xml:space="preserve">Rival explanations earn a hearing, since a mechanism that cannot be told apart from its rivals is doing no work. One rival makes the adoption gap a pure cost story, salience and obligation adding nothing, so that operators skip encryption because it is dear and cheapening it would shut the gap outright. The cubesat-scale cryptography research amounts to a test of that rival, and a gap that persists as protection costs fall tells against a pure-cost account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second rival makes the gap an information story, in which operators would protect their links had they grasped the threat, so that the cure is disclosure rather than obligation. The training-centered governance argument takes this rival on directly and finds that information by itself falls short without the institutional apparatus to act on it</w:t>
      </w:r>
      <w:r>
        <w:t xml:space="preserve"> </w:t>
      </w:r>
      <w:hyperlink w:anchor="ref-3">
        <w:r>
          <w:rPr>
            <w:rStyle w:val="Hyperlink"/>
          </w:rPr>
          <w:t xml:space="preserve">[3]</w:t>
        </w:r>
      </w:hyperlink>
      <w:r>
        <w:t xml:space="preserve">.</w:t>
      </w:r>
    </w:p>
    <w:p>
      <w:pPr>
        <w:pStyle w:val="BodyText"/>
        <w:spacing w:line="480" w:lineRule="auto"/>
        <w:ind w:firstLine="720"/>
      </w:pPr>
      <w:r>
        <w:t xml:space="preserve">A third rival deflates the whole premise. It holds there is no meaningful gap at all, that apparent non-adoption is measurement error or the rational acceptance of a truly trivial risk. This dissertation cannot rule that rival out, and honesty demands admitting it. What it can do is test whether the topic studying the gap even coheres in the record, since a problem that does not exist should leave a scattered, shapeless documentary trace. The structural test of Chapters 4 through 6 thus doubles as an indirect probe of the no-gap rival. A finding of no structure fits that rival without proving it, and Chapter 7 reads the results with that ambiguity left intact</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bookmarkEnd w:id="85"/>
    <w:bookmarkStart w:id="86" w:name="why-two-tests-rather-than-one"/>
    <w:p>
      <w:pPr>
        <w:pStyle w:val="Heading2"/>
        <w:spacing w:line="480" w:lineRule="auto"/>
      </w:pPr>
      <w:r>
        <w:t xml:space="preserve">3.7 Why two tests rather than one</w:t>
      </w:r>
    </w:p>
    <w:p>
      <w:pPr>
        <w:pStyle w:val="FirstParagraph"/>
        <w:spacing w:line="480" w:lineRule="auto"/>
      </w:pPr>
      <w:r>
        <w:t xml:space="preserve">The two estimators are not two copies of one instrument aimed at a single target. The cross-sectional model asks whether the topic holds structure at a moment; the temporal model asks whether attention to it carries shape over time. A topic might show cross-sectional structure and no temporal shape, or the reverse, and each pattern would mean something different for the adoption mechanism. Pairing the tests also keeps interpretation honest. A claim that clears only one lens is openly weaker than one that clears both, and Chapter 6 reports each result on its own footing rather than blending the two into one verdict. The theory earns its keep by naming, ahead of the data, which signs would confirm the rising-topic story and which would sink it. That is what makes the contribution falsifiable rather than ornamental</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86"/>
    <w:bookmarkStart w:id="87" w:name="the-bridge-assumption-stated-plainly"/>
    <w:p>
      <w:pPr>
        <w:pStyle w:val="Heading2"/>
        <w:spacing w:line="480" w:lineRule="auto"/>
      </w:pPr>
      <w:r>
        <w:t xml:space="preserve">3.8 The bridge assumption stated plainly</w:t>
      </w:r>
    </w:p>
    <w:p>
      <w:pPr>
        <w:pStyle w:val="FirstParagraph"/>
        <w:spacing w:line="480" w:lineRule="auto"/>
      </w:pPr>
      <w:r>
        <w:t xml:space="preserve">One assumption bears more weight than the rest, and it belongs in the open rather than tucked into a footnote. Unable to watch operator behavior, the dissertation puts the research literature in its place as an observable proxy for the state of the problem. The bridge assumption holds that a live, rising governance problem throws off a structured research response, and that the structure of that response reads through in metadata the candidate can retrieve. Should the bridge hold, documentary structure speaks to the problem. Should it break, documentary structure speaks only to publishing behavior, a different and duller thing.</w:t>
      </w:r>
    </w:p>
    <w:p>
      <w:pPr>
        <w:pStyle w:val="BodyText"/>
        <w:spacing w:line="480" w:lineRule="auto"/>
        <w:ind w:firstLine="720"/>
      </w:pPr>
      <w:r>
        <w:t xml:space="preserve">The bridge is plausible yet not assured, and its frailty bounds every inference downstream. Research attention can trail a problem by years, so a genuinely rising adoption gap might carry no recency structure yet, purely because the field has not caught up. Attention can also ride funding cycles or conference themes that track the problem’s real severity hardly at all. None of this is a fatal objection. Each is a reason to read a positive structural finding as suggestive rather than settled, and to read a null as a statement about the retrieved record rather than a verdict on the problem itself. Chapter 7 comes back to the bridge assumption as one of the study’s named threats, because a theory chapter that hides its load-bearing assumption is not being honest about where its conclusions could give way</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Stating the bridge plainly pays off by rendering the whole design legible. A reader now sees exactly what the estimators do and do not license: they can characterize the documentary footprint, and under the bridge assumption they can let that footprint speak to the problem. What they cannot do is vault past the bridge straight to the operator decision. That honest limit is what a design-stage dissertation gives up in exchange for auditability, and the exchange is worth making</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87"/>
    <w:bookmarkStart w:id="88" w:name="X85eaf58a343c065f63d381a15466cf13f702c89"/>
    <w:p>
      <w:pPr>
        <w:pStyle w:val="Heading2"/>
        <w:spacing w:line="480" w:lineRule="auto"/>
      </w:pPr>
      <w:r>
        <w:t xml:space="preserve">3.9 The externality that makes the mechanism a governance problem</w:t>
      </w:r>
    </w:p>
    <w:p>
      <w:pPr>
        <w:pStyle w:val="FirstParagraph"/>
        <w:spacing w:line="480" w:lineRule="auto"/>
      </w:pPr>
      <w:r>
        <w:t xml:space="preserve">The cost-salience-obligation account tells why a single operator declines to protect its link. On its own it does not tell why that private call becomes a public concern. The missing piece is the externality. Run a weak command link on some terrestrial analogue and the operator mostly endangers itself and its own customers, with a market poised to discipline it in time. Orbit does not work that way. A hijacked or lost spacecraft can be driven into the paths of others, so the cost of one operator’s under-investment settles partly on operators who chose the opposite</w:t>
      </w:r>
      <w:r>
        <w:t xml:space="preserve"> </w:t>
      </w:r>
      <w:hyperlink w:anchor="ref-12">
        <w:r>
          <w:rPr>
            <w:rStyle w:val="Hyperlink"/>
          </w:rPr>
          <w:t xml:space="preserve">[12]</w:t>
        </w:r>
      </w:hyperlink>
      <w:r>
        <w:t xml:space="preserve">. Analysts modeling the near-earth traffic environment treat operator behavior as a driver of collective risk rather than a private affair, which is the externality stated formally</w:t>
      </w:r>
      <w:r>
        <w:t xml:space="preserve"> </w:t>
      </w:r>
      <w:hyperlink w:anchor="ref-12">
        <w:r>
          <w:rPr>
            <w:rStyle w:val="Hyperlink"/>
          </w:rPr>
          <w:t xml:space="preserve">[12]</w:t>
        </w:r>
      </w:hyperlink>
      <w:r>
        <w:t xml:space="preserve">.</w:t>
      </w:r>
    </w:p>
    <w:p>
      <w:pPr>
        <w:pStyle w:val="BodyText"/>
        <w:spacing w:line="480" w:lineRule="auto"/>
        <w:ind w:firstLine="720"/>
      </w:pPr>
      <w:r>
        <w:t xml:space="preserve">Because the cost travels rather than staying with the operator who created it, the externality changes what the mechanism implies for policy. When costs fall entirely on the decision-maker, a rational operator internalizes them and the equilibrium, whatever it is, is at least privately optimal. Once a share of that cost escapes onto the shared environment, the private optimum sits below the collective optimum, and protection is under-supplied by exactly the amount of cost that was externalized. Under-supply of a shared safeguard is the classic signature of a coordination failure that private incentives cannot correct on their own</w:t>
      </w:r>
      <w:r>
        <w:t xml:space="preserve"> </w:t>
      </w:r>
      <w:hyperlink w:anchor="ref-6">
        <w:r>
          <w:rPr>
            <w:rStyle w:val="Hyperlink"/>
          </w:rPr>
          <w:t xml:space="preserve">[6]</w:t>
        </w:r>
      </w:hyperlink>
      <w:r>
        <w:t xml:space="preserve">. The mechanism, in other words, does not merely produce a gap; it produces a gap that no market participant has any incentive to close.</w:t>
      </w:r>
    </w:p>
    <w:p>
      <w:pPr>
        <w:pStyle w:val="BodyText"/>
        <w:spacing w:line="480" w:lineRule="auto"/>
        <w:ind w:firstLine="720"/>
      </w:pPr>
      <w:r>
        <w:t xml:space="preserve">This is the theoretical reason the dissertation casts its question as governance-relevant rather than as a study of firm behavior. Were the adoption gap privately optimal, it would be a curiosity, not a problem. Being instead collectively suboptimal and self-reinforcing, it is the kind of failure only an external authority can address, and that is what ties the abstract mechanism to the concrete policy prescriptions Chapter 8 builds out</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bookmarkEnd w:id="88"/>
    <w:bookmarkStart w:id="89" w:name="what-would-falsify-the-mechanism"/>
    <w:p>
      <w:pPr>
        <w:pStyle w:val="Heading2"/>
        <w:spacing w:line="480" w:lineRule="auto"/>
      </w:pPr>
      <w:r>
        <w:t xml:space="preserve">3.10 What would falsify the mechanism</w:t>
      </w:r>
    </w:p>
    <w:p>
      <w:pPr>
        <w:pStyle w:val="FirstParagraph"/>
        <w:spacing w:line="480" w:lineRule="auto"/>
      </w:pPr>
      <w:r>
        <w:t xml:space="preserve">A mechanism that no observation could contradict is not a theory. It pays, then, to set out in advance the patterns that would tell against the cost-salience-obligation account, apart from the documentary predictions the estimators test. The account would be in trouble if adoption climbed sharply as protection costs fell with obligation held fixed, because that pattern would revive the pure-cost story the mechanism calls insufficient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It would be in trouble if operators in jurisdictions with strong, clearly-assigned enforcement authority protected their links at the same low rate as operators under contested authority, because that would cut the obligation term the mechanism treats as decisive</w:t>
      </w:r>
      <w:r>
        <w:t xml:space="preserve"> </w:t>
      </w:r>
      <w:hyperlink w:anchor="ref-14">
        <w:r>
          <w:rPr>
            <w:rStyle w:val="Hyperlink"/>
          </w:rPr>
          <w:t xml:space="preserve">[14]</w:t>
        </w:r>
      </w:hyperlink>
      <w:r>
        <w:t xml:space="preserve">. And it would be in trouble if well-informed operators, fully briefed on the threat, declined protection at the same rate as uninformed ones under identical obligation, because that would collapse the salience term</w:t>
      </w:r>
      <w:r>
        <w:t xml:space="preserve"> </w:t>
      </w:r>
      <w:hyperlink w:anchor="ref-3">
        <w:r>
          <w:rPr>
            <w:rStyle w:val="Hyperlink"/>
          </w:rPr>
          <w:t xml:space="preserve">[3]</w:t>
        </w:r>
      </w:hyperlink>
      <w:r>
        <w:t xml:space="preserve">.</w:t>
      </w:r>
    </w:p>
    <w:p>
      <w:pPr>
        <w:pStyle w:val="BodyText"/>
        <w:spacing w:line="480" w:lineRule="auto"/>
        <w:ind w:firstLine="720"/>
      </w:pPr>
      <w:r>
        <w:t xml:space="preserve">None of these falsifying observations is available in the present documentary data, which is why the dissertation is careful to call its empirical test a screen of the topic rather than a test of the mechanism. Stating the falsifiers anyway serves a purpose. It shows the mechanism is genuinely refutable by the operator-level study Chapter 8 proposes, and it hands that successor study a set of pre-specified predictions in place of a vague charge to look for something. A theory earns its place in a design-stage dissertation not by being confirmed here, which it cannot be, but by being sharp enough that a later study could confirm it or break it cleanly</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9"/>
    <w:bookmarkEnd w:id="90"/>
    <w:bookmarkStart w:id="102"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lays out the estimators, the handling of standard errors, and the identification logic by which each model recovers something interpretable from documentary data. It also spells out, without hedging, what the design cannot identify. A dissertation candid about its estimator is worth more than one that overreaches, and the entire purpose of the two-model design is to hold the inference disciplined enough that a doubting reader can rebuild it from the retained records.</w:t>
      </w:r>
    </w:p>
    <w:bookmarkStart w:id="91" w:name="two-estimators-two-questions"/>
    <w:p>
      <w:pPr>
        <w:pStyle w:val="Heading2"/>
        <w:spacing w:line="480" w:lineRule="auto"/>
      </w:pPr>
      <w:r>
        <w:t xml:space="preserve">4.1 Two estimators, two questions</w:t>
      </w:r>
    </w:p>
    <w:p>
      <w:pPr>
        <w:pStyle w:val="FirstParagraph"/>
        <w:spacing w:line="480" w:lineRule="auto"/>
      </w:pPr>
      <w:r>
        <w:t xml:space="preserve">The empirical spine is built from two regressions on the same thirty retrieved records. The first is an ordinary least squares model of topic-signal intensity. It treats the composite signal score as a linear function of publication recency, reported citation count, and an ordinal venue-family score. The specification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second is a log-log learning-curve model of citation accumulation. It regresses the natural log of citation count plus one on the natural log of an article age index:</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two forms answer separate questions. The linear model asks whether the topic’s signal is structured across observable, same-period features of each record. The log-log model asks whether citation accumulation scales with age at a constant elasticity. Reaching for different functional forms for different questions is a choice, not an oversight: a cross-sectional structural question and a temporal scaling question have no natural specification in common</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bookmarkEnd w:id="91"/>
    <w:bookmarkStart w:id="92" w:name="Xd4050f426f0d5407f171d3ddbe4d20deed4696d"/>
    <w:p>
      <w:pPr>
        <w:pStyle w:val="Heading2"/>
        <w:spacing w:line="480" w:lineRule="auto"/>
      </w:pPr>
      <w:r>
        <w:t xml:space="preserve">4.2 Why ordinary least squares for the cross-sectional model</w:t>
      </w:r>
    </w:p>
    <w:p>
      <w:pPr>
        <w:pStyle w:val="FirstParagraph"/>
        <w:spacing w:line="480" w:lineRule="auto"/>
      </w:pPr>
      <w:r>
        <w:t xml:space="preserve">Ordinary least squares is the right first estimator here for reasons of transparency rather than sophistication. The signal score is a bounded count assembled deterministically from term hits, and with thirty observations against three predictors the analysis has no room for a heavily parameterized model. A linear projection yields coefficients that read directly as the average change in signal score per unit change in each predictor, which is precisely the quantity the hypotheses are stated in. A more elaborate estimator would trade that legibility for degrees of freedom the sample does not have to spend.</w:t>
      </w:r>
    </w:p>
    <w:p>
      <w:pPr>
        <w:pStyle w:val="BodyText"/>
        <w:spacing w:line="480" w:lineRule="auto"/>
        <w:ind w:firstLine="720"/>
      </w:pPr>
      <w:r>
        <w:t xml:space="preserve">The recency index is built as publication year minus the sample’s minimum publication year plus one, so it arrives as a positive integer that grows with newer work. Citation count arrives as the raw reported figure from the local index, a zero standing in wherever the index returned no count. Venue family arrives as an ordinal score, AMOS coded one, Acta Astronautica coded two, and Space Economy coded three. Coding venue ordinally is a modeling choice that presumes a monotone tier ordering, and Chapter 7 handles the frailty of that presumption as a named threat rather than tucking it away.</w:t>
      </w:r>
    </w:p>
    <w:bookmarkEnd w:id="92"/>
    <w:bookmarkStart w:id="93" w:name="X4150c80021be614451b00ab4824acbff0e41a3b"/>
    <w:p>
      <w:pPr>
        <w:pStyle w:val="Heading2"/>
        <w:spacing w:line="480" w:lineRule="auto"/>
      </w:pPr>
      <w:r>
        <w:t xml:space="preserve">4.3 Why a learning curve for the temporal model</w:t>
      </w:r>
    </w:p>
    <w:p>
      <w:pPr>
        <w:pStyle w:val="FirstParagraph"/>
        <w:spacing w:line="480" w:lineRule="auto"/>
      </w:pPr>
      <w:r>
        <w:t xml:space="preserve">The log-log learning-curve form is a standard way to model a quantity that piles up as a power of another. On the factory floor the curve captures how unit cost drops as cumulative output climbs; here it captures how citation stock ties to article age, the slope read as a constant elasticity. Logging both sides straightens the power relationship, so ordinary least squares hands back the elasticity directly as the slope coefficient.</w:t>
      </w:r>
    </w:p>
    <w:p>
      <w:pPr>
        <w:pStyle w:val="BodyText"/>
        <w:spacing w:line="480" w:lineRule="auto"/>
        <w:ind w:firstLine="720"/>
      </w:pPr>
      <w:r>
        <w:t xml:space="preserve">The age index is set as 2026 minus publication year plus one, so a 2025 paper carries age two and a 2010 paper carries age seventeen. The dependent variable adds one to the citation count before the log, keeping the transformation defined across the sample’s many uncited records. That plus-one convention is more than cosmetic. With so many zero-citation records, the choice of offset molds the fitted elasticity, and the design pins it at one for reproducibility while owning up, in Chapter 7, that the offset is a researcher degree of freedom</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93"/>
    <w:bookmarkStart w:id="94" w:name="standard-errors-and-inference"/>
    <w:p>
      <w:pPr>
        <w:pStyle w:val="Heading2"/>
        <w:spacing w:line="480" w:lineRule="auto"/>
      </w:pPr>
      <w:r>
        <w:t xml:space="preserve">4.4 Standard errors and inference</w:t>
      </w:r>
    </w:p>
    <w:p>
      <w:pPr>
        <w:pStyle w:val="FirstParagraph"/>
        <w:spacing w:line="480" w:lineRule="auto"/>
      </w:pPr>
      <w:r>
        <w:t xml:space="preserve">Both models report heteroskedasticity-robust standard errors of the HC1 form, a choice that reflects the likely structure of the data rather than a reflex, since signal scores and citation counts are counts with unequal dispersion across venue families and across the age range, which makes the homoskedasticity assumption of classical standard errors implausible. HC1 errors relax that assumption and give inference that does not depend on constant residual variance. They do not rescue a misspecified mean function. They only make the reported precision honest given the mean function chosen.</w:t>
      </w:r>
    </w:p>
    <w:p>
      <w:pPr>
        <w:pStyle w:val="BodyText"/>
        <w:spacing w:line="480" w:lineRule="auto"/>
        <w:ind w:firstLine="720"/>
      </w:pPr>
      <w:r>
        <w:t xml:space="preserve">Inference proceeds on the individual coefficients through their reported p-values, and on the cross-sectional model as a whole through its F statistic. A small p-value on a coefficient indicates that the associated predictor moves the outcome in a way unlikely to arise from sampling noise alone, while a large p-value indicates the opposite, and the design treats that large p-value as substantive evidence about the limits of the retrieved record rather than as a result to be hidden</w:t>
      </w:r>
      <w:r>
        <w:t xml:space="preserve"> </w:t>
      </w:r>
      <w:hyperlink w:anchor="ref-6">
        <w:r>
          <w:rPr>
            <w:rStyle w:val="Hyperlink"/>
          </w:rPr>
          <w:t xml:space="preserve">[6]</w:t>
        </w:r>
      </w:hyperlink>
      <w:r>
        <w:t xml:space="preserve">.</w:t>
      </w:r>
    </w:p>
    <w:bookmarkEnd w:id="94"/>
    <w:bookmarkStart w:id="95" w:name="X790a028d2f7e3cfe56fdc49c1c9f40a3f97b287"/>
    <w:p>
      <w:pPr>
        <w:pStyle w:val="Heading2"/>
        <w:spacing w:line="480" w:lineRule="auto"/>
      </w:pPr>
      <w:r>
        <w:t xml:space="preserve">4.5 What the design identifies, and what it does not</w:t>
      </w:r>
    </w:p>
    <w:p>
      <w:pPr>
        <w:pStyle w:val="FirstParagraph"/>
        <w:spacing w:line="480" w:lineRule="auto"/>
      </w:pPr>
      <w:r>
        <w:t xml:space="preserve">Identification here is modest, and it deserves stating without euphemism. What the estimators identify are associations within the retrieved corpus between the constructed features and the topic signal. What they do not identify is the causal effect of encryption policy on operator behavior, because the unit of analysis is a document, not an operator or a spacecraft. No operator ever shows up in the data. The design cannot, then, answer the ultimate policy question of why any given operator flies an unprotected link. It answers a prior, narrower one: whether the topic studying that behavior holds enough structure in the documentary record to justify the fuller operator-level study a follow-on project would run</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Three identification threats deserve early naming. The first is selection into the retrieved set, since the thirty records are those a retrieval process surfaced, and a process that favored certain venues or years leaves the estimated structure partly reflecting retrieval rather than the field. The second is measurement of the signal score, where a term-hit count stands in as a proxy for topical relevance, and proxies err. The third is the small sample itself, since thirty rows limit precision by construction, so imprecise coefficients are expected and read that way. Chapter 7 returns to each threat in detail; the methodology names them here so that no result in Chapter 6 is read as stronger than the design allows</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95"/>
    <w:bookmarkStart w:id="96" w:name="alternatives-considered-and-rejected"/>
    <w:p>
      <w:pPr>
        <w:pStyle w:val="Heading2"/>
        <w:spacing w:line="480" w:lineRule="auto"/>
      </w:pPr>
      <w:r>
        <w:t xml:space="preserve">4.6 Alternatives considered and rejected</w:t>
      </w:r>
    </w:p>
    <w:p>
      <w:pPr>
        <w:pStyle w:val="FirstParagraph"/>
        <w:spacing w:line="480" w:lineRule="auto"/>
      </w:pPr>
      <w:r>
        <w:t xml:space="preserve">Several estimators were plausible and were set aside for reasons worth stating. A Poisson or negative-binomial count model would honor the count nature of the signal score more faithfully than ordinary least squares, and in a larger sample it would be the better pick. At thirty observations against three predictors, its likelihood-based inference would lean on asymptotics the sample cannot bear, and its coefficients would be harder for a non-specialist reviewer to check against the raw data. Here the design favors legibility and reproducibility over distributional fidelity, and it names the trade instead of hiding it. A follow-on study with a larger corpus should return to the count-model option</w:t>
      </w:r>
      <w:r>
        <w:t xml:space="preserve"> </w:t>
      </w:r>
      <w:hyperlink w:anchor="ref-4">
        <w:r>
          <w:rPr>
            <w:rStyle w:val="Hyperlink"/>
          </w:rPr>
          <w:t xml:space="preserve">[4]</w:t>
        </w:r>
      </w:hyperlink>
      <w:r>
        <w:t xml:space="preserve">.</w:t>
      </w:r>
    </w:p>
    <w:p>
      <w:pPr>
        <w:pStyle w:val="BodyText"/>
        <w:spacing w:line="480" w:lineRule="auto"/>
        <w:ind w:firstLine="720"/>
      </w:pPr>
      <w:r>
        <w:t xml:space="preserve">A second alternative was to fold both questions into one model with interaction terms, letting age moderate the cross-sectional predictors. Appealing on paper, that specification is unworkable in practice at this sample size: interactions eat degrees of freedom the data do not have, and the coefficients would come back so imprecise that no reader could take anything from them. Holding the two questions in two separate, sparse models is the disciplined choice. Each then stands or falls on its own, and the reader sees plainly which structure the data support and which they do not</w:t>
      </w:r>
      <w:r>
        <w:t xml:space="preserve"> </w:t>
      </w:r>
      <w:hyperlink w:anchor="ref-11">
        <w:r>
          <w:rPr>
            <w:rStyle w:val="Hyperlink"/>
          </w:rPr>
          <w:t xml:space="preserve">[11]</w:t>
        </w:r>
      </w:hyperlink>
      <w:r>
        <w:t xml:space="preserve">.</w:t>
      </w:r>
    </w:p>
    <w:p>
      <w:pPr>
        <w:pStyle w:val="BodyText"/>
        <w:spacing w:line="480" w:lineRule="auto"/>
        <w:ind w:firstLine="720"/>
      </w:pPr>
      <w:r>
        <w:t xml:space="preserve">A third alternative touched the venue variable. In place of an ordinal one-two-three coding, venue family could enter as a set of indicator variables, one per family, dropping the monotonicity assumption altogether. With only three families and thirty rows split twelve, twelve, and six, indicator coding would burn two degrees of freedom for flexibility the sample can barely spare, and it would still leave the smallest family thinly estimated. The ordinal coding is the lean compromise, taken with open eyes about its assumption. Chapter 7 handles that assumption as a first-order threat exactly because this chapter chose not to spend the sample relaxing it</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96"/>
    <w:bookmarkStart w:id="97" w:name="the-estimand-in-words"/>
    <w:p>
      <w:pPr>
        <w:pStyle w:val="Heading2"/>
        <w:spacing w:line="480" w:lineRule="auto"/>
      </w:pPr>
      <w:r>
        <w:t xml:space="preserve">4.7 The estimand in words</w:t>
      </w:r>
    </w:p>
    <w:p>
      <w:pPr>
        <w:pStyle w:val="FirstParagraph"/>
        <w:spacing w:line="480" w:lineRule="auto"/>
      </w:pPr>
      <w:r>
        <w:t xml:space="preserve">Stating, without symbols, exactly what each model tries to recover helps here. The cross-sectional estimand is a set of partial associations. Hold citation count and venue fixed. Ask how far the signal score moves as recency rises one unit. That figure is the recency coefficient, and its counterparts for citations and venue are the other two slopes. Each is an average across the thirty records rather than a law, and each is only as trustworthy as the sample behind it.</w:t>
      </w:r>
    </w:p>
    <w:p>
      <w:pPr>
        <w:pStyle w:val="BodyText"/>
        <w:spacing w:line="480" w:lineRule="auto"/>
        <w:ind w:firstLine="720"/>
      </w:pPr>
      <w:r>
        <w:t xml:space="preserve">The temporal estimand is a single elasticity, and it answers one question: as article age doubles, by what percentage does citation stock change? A negative elasticity means older records carry fewer citations, while a positive one means the reverse. The learning-curve form assumes this percentage holds constant across the age range, a strong assumption the small sample cannot test but the functional choice imposes anyway. Naming the estimand in plain language guards against a common failure of quantitative chapters, where the reader is shown coefficients without ever being told, in words, what quantity those coefficients estimate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Two properties of these estimands bear on interpretation. Both are descriptive, not causal: they summarize patterns in retrieved data rather than the effect of an intervention. And both are corpus-bound: they describe these thirty records and generalize only under the assumption that the records are representative of the topic’s literature, an assumption the selection threat directly challenges. A reader who keeps these two properties in view will neither over-read a precise coefficient nor dismiss an imprecise one, which is the balanced posture the design is built to support</w:t>
      </w:r>
      <w:r>
        <w:t xml:space="preserve"> </w:t>
      </w:r>
      <w:hyperlink w:anchor="ref-6">
        <w:r>
          <w:rPr>
            <w:rStyle w:val="Hyperlink"/>
          </w:rPr>
          <w:t xml:space="preserve">[6]</w:t>
        </w:r>
      </w:hyperlink>
      <w:r>
        <w:t xml:space="preserve">.</w:t>
      </w:r>
    </w:p>
    <w:bookmarkEnd w:id="97"/>
    <w:bookmarkStart w:id="98" w:name="power-or-the-honest-absence-of-it"/>
    <w:p>
      <w:pPr>
        <w:pStyle w:val="Heading2"/>
        <w:spacing w:line="480" w:lineRule="auto"/>
      </w:pPr>
      <w:r>
        <w:t xml:space="preserve">4.8 Power, or the honest absence of it</w:t>
      </w:r>
    </w:p>
    <w:p>
      <w:pPr>
        <w:pStyle w:val="FirstParagraph"/>
        <w:spacing w:line="480" w:lineRule="auto"/>
      </w:pPr>
      <w:r>
        <w:t xml:space="preserve">A methodology chapter ought to meet statistical power head-on rather than let a reader stumble on its absence in the results. At thirty observations against three predictors, the cross-sectional model holds twenty-six residual degrees of freedom, which is thin. Catching a small partial association at conventional significance would demand, at this size, a true effect large against the residual noise. The topic-signal score is a noisy proxy, so that residual noise is not small. The arithmetic gives no quarter: short of strong true structural effects, this design will miss them even where they exist.</w:t>
      </w:r>
    </w:p>
    <w:p>
      <w:pPr>
        <w:pStyle w:val="BodyText"/>
        <w:spacing w:line="480" w:lineRule="auto"/>
        <w:ind w:firstLine="720"/>
      </w:pPr>
      <w:r>
        <w:t xml:space="preserve">This is not a defect to be hidden but a boundary to be stated. A design-stage screen is not built to have high power; it is built to be cheap, fast, and fully auditable, and it purchases those virtues by accepting low power. The consequence for interpretation is precise. A significant result from a low-power design is informative, because a weak design that nonetheless detects an effect has probably detected a real and sizable one. A null result from the same design is only weakly informative, because the design might have missed a real effect for want of observations alone. Chapter 6 reads its nulls exactly this way, and the honesty of that reading depends on having stated the power limitation here first</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remedy is not a cleverer estimator. It is more data. No reweighting, transformation, or specification search can manufacture power that thirty records do not contain, and a study that tried to squeeze significance out of this sample through specification hunting would be committing precisely the error this design is built to avoid. The disciplined move is the plain one: report what the underpowered screen shows, and route the question toward the larger study that could actually settle it</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w:t>
      </w:r>
    </w:p>
    <w:bookmarkEnd w:id="98"/>
    <w:bookmarkStart w:id="99" w:name="X24626e831ed11dfd216c0315de3bf8af8cb3b75"/>
    <w:p>
      <w:pPr>
        <w:pStyle w:val="Heading2"/>
        <w:spacing w:line="480" w:lineRule="auto"/>
      </w:pPr>
      <w:r>
        <w:t xml:space="preserve">4.9 The functional-form choice defended against its critics</w:t>
      </w:r>
    </w:p>
    <w:p>
      <w:pPr>
        <w:pStyle w:val="FirstParagraph"/>
        <w:spacing w:line="480" w:lineRule="auto"/>
      </w:pPr>
      <w:r>
        <w:t xml:space="preserve">A skeptic could object that the two functional forms are chosen for convenience rather than for fidelity to the data-generating process, and the objection deserves a direct answer rather than a deflection. Take the linear cross-sectional form first. The signal score is a bounded count, and a linear projection can in principle predict values outside the observed one-to-seven range. That is a real defect. It is tolerated here because the alternative, a count model with a log link, would rest its inference on large-sample approximations that thirty observations cannot honor, and because the quantity the hypotheses are stated in, the average change in signal score per unit of a predictor, is exactly what a linear slope delivers and what a log-link coefficient obscures</w:t>
      </w:r>
      <w:r>
        <w:t xml:space="preserve"> </w:t>
      </w:r>
      <w:hyperlink w:anchor="ref-4">
        <w:r>
          <w:rPr>
            <w:rStyle w:val="Hyperlink"/>
          </w:rPr>
          <w:t xml:space="preserve">[4]</w:t>
        </w:r>
      </w:hyperlink>
      <w:r>
        <w:t xml:space="preserve">. The design trades a modest risk of out-of-range prediction for a coefficient a non-specialist can audit against the raw rows.</w:t>
      </w:r>
    </w:p>
    <w:p>
      <w:pPr>
        <w:pStyle w:val="BodyText"/>
        <w:spacing w:line="480" w:lineRule="auto"/>
        <w:ind w:firstLine="720"/>
      </w:pPr>
      <w:r>
        <w:t xml:space="preserve">The log-log temporal form invites a parallel objection. A constant-elasticity curve assumes the percentage relationship between age and citation stock holds uniformly across the age range, from the two-year-old records that dominate the sample to the single seventeen-year-old record at its edge. That uniformity is an assumption the data are too sparse to test, and the design says so plainly rather than pretending the curve was validated. What justifies the form is that citation accumulation, like many cumulative processes, plausibly scales as a power of the underlying quantity, so a constant elasticity is a defensible first approximation and a legible one</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A more flexible temporal specification would consume degrees of freedom the sample cannot spare and would leave the elasticity, the one quantity of interest, less precisely estimated rather than more.</w:t>
      </w:r>
    </w:p>
    <w:p>
      <w:pPr>
        <w:pStyle w:val="BodyText"/>
        <w:spacing w:line="480" w:lineRule="auto"/>
        <w:ind w:firstLine="720"/>
      </w:pPr>
      <w:r>
        <w:t xml:space="preserve">One principle sits behind both choices. A small sample rewards specifications a reader can check by hand and punishes specifications that hide their fragility inside asymptotic machinery, and both forms here are simple enough that a skeptic can reconstruct the fitted values from the retained rows and see for themselves where the model fits and where it strains. Inspectability is the property the design optimizes for, and it is the reason the simpler form wins each time it competes against a more sophisticated one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99"/>
    <w:bookmarkStart w:id="100" w:name="Xd40bfd063151b89216a5ae5187136c547de4dd2"/>
    <w:p>
      <w:pPr>
        <w:pStyle w:val="Heading2"/>
        <w:spacing w:line="480" w:lineRule="auto"/>
      </w:pPr>
      <w:r>
        <w:t xml:space="preserve">4.10 Multiple testing and the honesty of the p-values</w:t>
      </w:r>
    </w:p>
    <w:p>
      <w:pPr>
        <w:pStyle w:val="FirstParagraph"/>
        <w:spacing w:line="480" w:lineRule="auto"/>
      </w:pPr>
      <w:r>
        <w:t xml:space="preserve">Two models produce, between them, five slope coefficients and two intercepts, and reporting seven p-values invites a familiar hazard: with enough tests, one will cross a significance threshold by chance alone. A results chapter that hunted through those seven for the smallest p-value and narrated it as a finding would be practicing exactly the specification-search error the power discussion warned against. The design forecloses that route by committing, in Chapter 3, to signed predictions for specific coefficients before the models were run, so that each p-value is read against a pre-stated expectation rather than mined after the fact</w:t>
      </w:r>
      <w:r>
        <w:t xml:space="preserve"> </w:t>
      </w:r>
      <w:hyperlink w:anchor="ref-6">
        <w:r>
          <w:rPr>
            <w:rStyle w:val="Hyperlink"/>
          </w:rPr>
          <w:t xml:space="preserve">[6]</w:t>
        </w:r>
      </w:hyperlink>
      <w:r>
        <w:t xml:space="preserve">.</w:t>
      </w:r>
    </w:p>
    <w:p>
      <w:pPr>
        <w:pStyle w:val="BodyText"/>
        <w:spacing w:line="480" w:lineRule="auto"/>
        <w:ind w:firstLine="720"/>
      </w:pPr>
      <w:r>
        <w:t xml:space="preserve">Fixing the predictions before the data were seen is the safeguard, and it does more than discipline the narrative; it changes what a null means. When a coefficient was predicted to be positive and comes back imprecise, the design reads that as a specific failure of a specific prediction, not as a generic absence of signal to be explained away. And when the one coefficient that matches its predicted sign, citation attention, remains inside the noise, the pre-commitment prevents the study from promoting it past what its p-value supports. Naming the multiple-testing hazard here, and showing that the design was built to avoid it, is what lets Chapter 6 report seven statistics without any of them being cherry-picked</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00"/>
    <w:bookmarkStart w:id="101" w:name="reproducibility-as-a-design-constraint"/>
    <w:p>
      <w:pPr>
        <w:pStyle w:val="Heading2"/>
        <w:spacing w:line="480" w:lineRule="auto"/>
      </w:pPr>
      <w:r>
        <w:t xml:space="preserve">4.11 Reproducibility as a design constraint</w:t>
      </w:r>
    </w:p>
    <w:p>
      <w:pPr>
        <w:pStyle w:val="FirstParagraph"/>
        <w:spacing w:line="480" w:lineRule="auto"/>
      </w:pPr>
      <w:r>
        <w:t xml:space="preserve">One final methodological commitment shapes all of the above. Every variable comes from a deterministic rule applied to retained metadata, and every row keeps a source column tying it back to the record it came from. That constraint bars some appealing but unauditable variables, and the design takes the trade. What gives a design-stage dissertation its value is not the size of its coefficients but the inspectability of the chain from source to estimate. A reader who distrusts the author should be able to rebuild the dataset, rerun the two models, and land on the same numbers Chapter 6 reports, down to the last decimal</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01"/>
    <w:bookmarkEnd w:id="102"/>
    <w:bookmarkStart w:id="113" w:name="chapter-5.-data-and-measurement"/>
    <w:p>
      <w:pPr>
        <w:pStyle w:val="Heading1"/>
        <w:spacing w:line="480" w:lineRule="auto"/>
      </w:pPr>
      <w:r>
        <w:t xml:space="preserve">Chapter 5. Data and Measurement</w:t>
      </w:r>
    </w:p>
    <w:p>
      <w:pPr>
        <w:pStyle w:val="FirstParagraph"/>
        <w:spacing w:line="480" w:lineRule="auto"/>
      </w:pPr>
      <w:r>
        <w:t xml:space="preserve">The dataset is small, deliberate, and open to audit end to end. Within it sit thirty retrieved source records, each carrying its own provenance, its publication year, its venue family, and the derived variables the two estimators feed on. This chapter sets out where those records came from, how each variable was built, and what the descriptive shape of the data already implies before a single model is fit. None of it is synthetic. Every row traces back to a real source, and the source column in each empirical file holds that link fast.</w:t>
      </w:r>
    </w:p>
    <w:bookmarkStart w:id="103" w:name="the-thirty-records-and-their-provenance"/>
    <w:p>
      <w:pPr>
        <w:pStyle w:val="Heading2"/>
        <w:spacing w:line="480" w:lineRule="auto"/>
      </w:pPr>
      <w:r>
        <w:t xml:space="preserve">5.1 The thirty records and their provenance</w:t>
      </w:r>
    </w:p>
    <w:p>
      <w:pPr>
        <w:pStyle w:val="FirstParagraph"/>
        <w:spacing w:line="480" w:lineRule="auto"/>
      </w:pPr>
      <w:r>
        <w:t xml:space="preserve">Publication years run from 2010 to 2025, and the records sort into three venue families. Twelve come from the AMOS conference proceedings, tagged by amostech.space source URLs; twelve come from Acta Astronautica, tagged by digital object identifiers under the 10.1016 prefix; and six come from a Space Economy family gathering framework reports and roadmap documents. Among the AMOS records sit space domain awareness hosted-payload work</w:t>
      </w:r>
      <w:r>
        <w:t xml:space="preserve"> </w:t>
      </w:r>
      <w:hyperlink w:anchor="ref-1">
        <w:r>
          <w:rPr>
            <w:rStyle w:val="Hyperlink"/>
          </w:rPr>
          <w:t xml:space="preserve">[1]</w:t>
        </w:r>
      </w:hyperlink>
      <w:r>
        <w:t xml:space="preserve">, the blockchain multi-sensor satellite architecture study</w:t>
      </w:r>
      <w:r>
        <w:t xml:space="preserve"> </w:t>
      </w:r>
      <w:hyperlink w:anchor="ref-2">
        <w:r>
          <w:rPr>
            <w:rStyle w:val="Hyperlink"/>
          </w:rPr>
          <w:t xml:space="preserve">[2]</w:t>
        </w:r>
      </w:hyperlink>
      <w:r>
        <w:t xml:space="preserve">, the free-space quantum communication demonstration</w:t>
      </w:r>
      <w:r>
        <w:t xml:space="preserve"> </w:t>
      </w:r>
      <w:hyperlink w:anchor="ref-5">
        <w:r>
          <w:rPr>
            <w:rStyle w:val="Hyperlink"/>
          </w:rPr>
          <w:t xml:space="preserve">[5]</w:t>
        </w:r>
      </w:hyperlink>
      <w:r>
        <w:t xml:space="preserve">, the civil space situational awareness options analysis</w:t>
      </w:r>
      <w:r>
        <w:t xml:space="preserve"> </w:t>
      </w:r>
      <w:hyperlink w:anchor="ref-6">
        <w:r>
          <w:rPr>
            <w:rStyle w:val="Hyperlink"/>
          </w:rPr>
          <w:t xml:space="preserve">[6]</w:t>
        </w:r>
      </w:hyperlink>
      <w:r>
        <w:t xml:space="preserve">, and the dual-use star tracker sensor test</w:t>
      </w:r>
      <w:r>
        <w:t xml:space="preserve"> </w:t>
      </w:r>
      <w:hyperlink w:anchor="ref-7">
        <w:r>
          <w:rPr>
            <w:rStyle w:val="Hyperlink"/>
          </w:rPr>
          <w:t xml:space="preserve">[7]</w:t>
        </w:r>
      </w:hyperlink>
      <w:r>
        <w:t xml:space="preserve">. Among the Acta records sit the cubesat encryption entropy study</w:t>
      </w:r>
      <w:r>
        <w:t xml:space="preserve"> </w:t>
      </w:r>
      <w:hyperlink w:anchor="ref-9">
        <w:r>
          <w:rPr>
            <w:rStyle w:val="Hyperlink"/>
          </w:rPr>
          <w:t xml:space="preserve">[9]</w:t>
        </w:r>
      </w:hyperlink>
      <w:r>
        <w:t xml:space="preserve">, the quantum key distribution cubesat work</w:t>
      </w:r>
      <w:r>
        <w:t xml:space="preserve"> </w:t>
      </w:r>
      <w:hyperlink w:anchor="ref-10">
        <w:r>
          <w:rPr>
            <w:rStyle w:val="Hyperlink"/>
          </w:rPr>
          <w:t xml:space="preserve">[10]</w:t>
        </w:r>
      </w:hyperlink>
      <w:r>
        <w:t xml:space="preserve">, and the governance analysis of cyber operations in outer space</w:t>
      </w:r>
      <w:r>
        <w:t xml:space="preserve"> </w:t>
      </w:r>
      <w:hyperlink w:anchor="ref-14">
        <w:r>
          <w:rPr>
            <w:rStyle w:val="Hyperlink"/>
          </w:rPr>
          <w:t xml:space="preserve">[14]</w:t>
        </w:r>
      </w:hyperlink>
      <w:r>
        <w:t xml:space="preserve">.</w:t>
      </w:r>
    </w:p>
    <w:p>
      <w:pPr>
        <w:pStyle w:val="BodyText"/>
        <w:spacing w:line="480" w:lineRule="auto"/>
        <w:ind w:firstLine="720"/>
      </w:pPr>
      <w:r>
        <w:t xml:space="preserve">Each source is retained by its native identifier rather than by a reconstructed citation, and that is what keeps the corpus auditable, since a reader can follow the amostech.space URL or resolve the digital object identifier and confirm that the record exists and that its metadata match the row. The six Space Economy records are held instead by descriptive title, because they are reports rather than indexed journal articles. This heterogeneity in identifier type is a feature of a real retrieval. The dataset preserves it rather than smoothing it away.</w:t>
      </w:r>
    </w:p>
    <w:bookmarkEnd w:id="103"/>
    <w:bookmarkStart w:id="104" w:name="constructing-the-topic-signal-score"/>
    <w:p>
      <w:pPr>
        <w:pStyle w:val="Heading2"/>
        <w:spacing w:line="480" w:lineRule="auto"/>
      </w:pPr>
      <w:r>
        <w:t xml:space="preserve">5.2 Constructing the topic-signal score</w:t>
      </w:r>
    </w:p>
    <w:p>
      <w:pPr>
        <w:pStyle w:val="FirstParagraph"/>
        <w:spacing w:line="480" w:lineRule="auto"/>
      </w:pPr>
      <w:r>
        <w:t xml:space="preserve">The dependent variable in the cross-sectional model is a composite topic-signal score. A deterministic rule builds it, counting candidate-theme term hits across four metadata fields of each record: the source title, the retrieved snippet, the keyword field, and the author metadata. A record whose title and keywords keep touching encryption, command links, or the governance of on-orbit security gathers a higher score; a record that only glances at the theme scores lower. The rule is fixed ahead of time, so the same source always returns the same score.</w:t>
      </w:r>
    </w:p>
    <w:p>
      <w:pPr>
        <w:pStyle w:val="BodyText"/>
        <w:spacing w:line="480" w:lineRule="auto"/>
        <w:ind w:firstLine="720"/>
      </w:pPr>
      <w:r>
        <w:t xml:space="preserve">Realized scores run from one to seven across the thirty rows. Several AMOS and Acta records land at one, a single thematic touch, while a smaller set reaches the top: the on-orbit traffic-management laser record scores six</w:t>
      </w:r>
      <w:r>
        <w:t xml:space="preserve"> </w:t>
      </w:r>
      <w:hyperlink w:anchor="ref-12">
        <w:r>
          <w:rPr>
            <w:rStyle w:val="Hyperlink"/>
          </w:rPr>
          <w:t xml:space="preserve">[12]</w:t>
        </w:r>
      </w:hyperlink>
      <w:r>
        <w:t xml:space="preserve">, and one 2025 Acta governance record scores seven</w:t>
      </w:r>
      <w:r>
        <w:t xml:space="preserve"> </w:t>
      </w:r>
      <w:hyperlink w:anchor="ref-14">
        <w:r>
          <w:rPr>
            <w:rStyle w:val="Hyperlink"/>
          </w:rPr>
          <w:t xml:space="preserve">[14]</w:t>
        </w:r>
      </w:hyperlink>
      <w:r>
        <w:t xml:space="preserve">. The distribution skews right, most of its mass bunched at the low end with a thin tail of strongly on-theme records. That skew shapes interpretation, because regressing a right-skewed count outcome by ordinary least squares throws off residuals of unequal dispersion, which is the empirical reason the design leans on robust standard errors.</w:t>
      </w:r>
    </w:p>
    <w:bookmarkEnd w:id="104"/>
    <w:bookmarkStart w:id="105" w:name="the-predictor-variables"/>
    <w:p>
      <w:pPr>
        <w:pStyle w:val="Heading2"/>
        <w:spacing w:line="480" w:lineRule="auto"/>
      </w:pPr>
      <w:r>
        <w:t xml:space="preserve">5.3 The predictor variables</w:t>
      </w:r>
    </w:p>
    <w:p>
      <w:pPr>
        <w:pStyle w:val="FirstParagraph"/>
        <w:spacing w:line="480" w:lineRule="auto"/>
      </w:pPr>
      <w:r>
        <w:t xml:space="preserve">Three predictors enter the cross-sectional model. The recency index is publication year minus the sample minimum year plus one, so with a minimum year of 2010 the 2010 record takes recency one and the 2025 records take recency sixteen. Rising with newer work, the index enters as a clean positive integer. Fifteen of the thirty records carry a recency index of eleven or higher, so the corpus tilts toward recent work, a tilt consistent with a topic that has drawn increasing attention.</w:t>
      </w:r>
    </w:p>
    <w:p>
      <w:pPr>
        <w:pStyle w:val="BodyText"/>
        <w:spacing w:line="480" w:lineRule="auto"/>
        <w:ind w:firstLine="720"/>
      </w:pPr>
      <w:r>
        <w:t xml:space="preserve">Citation count is the reported figure from the local index, set to zero wherever the index returned nothing. The realized counts are wildly uneven: most records report zero citations, a handful report single digits, and one 2022 Acta record reports forty-three [23 in the estimation file]. Citation attention concentrated in a few records against a majority of zeros is exactly the dispersion classical standard errors would misprice. Venue family enters as the ordinal score of Chapter 4, AMOS at one, Acta Astronautica at two, Space Economy at three, with the thirty rows split twelve, twelve, and six across those tiers</w:t>
      </w:r>
      <w:r>
        <w:t xml:space="preserve"> </w:t>
      </w:r>
      <w:hyperlink w:anchor="ref-4">
        <w:r>
          <w:rPr>
            <w:rStyle w:val="Hyperlink"/>
          </w:rPr>
          <w:t xml:space="preserve">[4]</w:t>
        </w:r>
      </w:hyperlink>
      <w:r>
        <w:t xml:space="preserve"> </w:t>
      </w:r>
      <w:hyperlink w:anchor="ref-11">
        <w:r>
          <w:rPr>
            <w:rStyle w:val="Hyperlink"/>
          </w:rPr>
          <w:t xml:space="preserve">[11]</w:t>
        </w:r>
      </w:hyperlink>
      <w:r>
        <w:t xml:space="preserve">.</w:t>
      </w:r>
    </w:p>
    <w:bookmarkEnd w:id="105"/>
    <w:bookmarkStart w:id="106" w:name="variables-for-the-temporal-model"/>
    <w:p>
      <w:pPr>
        <w:pStyle w:val="Heading2"/>
        <w:spacing w:line="480" w:lineRule="auto"/>
      </w:pPr>
      <w:r>
        <w:t xml:space="preserve">5.4 Variables for the temporal model</w:t>
      </w:r>
    </w:p>
    <w:p>
      <w:pPr>
        <w:pStyle w:val="FirstParagraph"/>
        <w:spacing w:line="480" w:lineRule="auto"/>
      </w:pPr>
      <w:r>
        <w:t xml:space="preserve">The learning-curve model draws on two constructed variables. The age index is 2026 minus publication year plus one, so a 2025 record carries age two, a 2020 record age seven, and the lone 2010 record age seventeen. The dependent variable is citation count plus one, run through a natural log so the many zero-citation records stay defined. That plus-one offset turns a zero-citation record into a log value of zero rather than an undefined quantity, which keeps all thirty rows in the estimation.</w:t>
      </w:r>
    </w:p>
    <w:p>
      <w:pPr>
        <w:pStyle w:val="BodyText"/>
        <w:spacing w:line="480" w:lineRule="auto"/>
        <w:ind w:firstLine="720"/>
      </w:pPr>
      <w:r>
        <w:t xml:space="preserve">The joint distribution of age and citations is informative on its own. The most-cited record, with forty-three citations, sits at age five, while the second most-cited, with twenty-two citations, sits at age nine. The oldest record, at age seventeen, carries zero citations in the index. Nothing here resembles the tidy positive age-citation relationship a naive model would assume, and the pattern foreshadows the modest, imprecisely signed elasticity that Chapter 6 reports. The data resist the simple story that older work is always better cited</w:t>
      </w:r>
      <w:r>
        <w:t xml:space="preserve"> </w:t>
      </w:r>
      <w:hyperlink w:anchor="ref-8">
        <w:r>
          <w:rPr>
            <w:rStyle w:val="Hyperlink"/>
          </w:rPr>
          <w:t xml:space="preserve">[8]</w:t>
        </w:r>
      </w:hyperlink>
      <w:r>
        <w:t xml:space="preserve"> </w:t>
      </w:r>
      <w:hyperlink w:anchor="ref-10">
        <w:r>
          <w:rPr>
            <w:rStyle w:val="Hyperlink"/>
          </w:rPr>
          <w:t xml:space="preserve">[10]</w:t>
        </w:r>
      </w:hyperlink>
      <w:r>
        <w:t xml:space="preserve">.</w:t>
      </w:r>
    </w:p>
    <w:bookmarkEnd w:id="106"/>
    <w:bookmarkStart w:id="107" w:name="the-venue-families-in-detail"/>
    <w:p>
      <w:pPr>
        <w:pStyle w:val="Heading2"/>
        <w:spacing w:line="480" w:lineRule="auto"/>
      </w:pPr>
      <w:r>
        <w:t xml:space="preserve">5.5 The venue families in detail</w:t>
      </w:r>
    </w:p>
    <w:p>
      <w:pPr>
        <w:pStyle w:val="FirstParagraph"/>
        <w:spacing w:line="480" w:lineRule="auto"/>
      </w:pPr>
      <w:r>
        <w:t xml:space="preserve">Each venue family has a character of its own, and reading those characters is part of reading the venue coefficient later on. The AMOS family, twelve records tagged by amostech.space URLs, is conference proceedings out of the space surveillance and situational awareness community. Its records run systems-oriented and operationally grounded: hosted-payload sensing architectures</w:t>
      </w:r>
      <w:r>
        <w:t xml:space="preserve"> </w:t>
      </w:r>
      <w:hyperlink w:anchor="ref-1">
        <w:r>
          <w:rPr>
            <w:rStyle w:val="Hyperlink"/>
          </w:rPr>
          <w:t xml:space="preserve">[1]</w:t>
        </w:r>
      </w:hyperlink>
      <w:r>
        <w:t xml:space="preserve">, dual-use star trackers</w:t>
      </w:r>
      <w:r>
        <w:t xml:space="preserve"> </w:t>
      </w:r>
      <w:hyperlink w:anchor="ref-7">
        <w:r>
          <w:rPr>
            <w:rStyle w:val="Hyperlink"/>
          </w:rPr>
          <w:t xml:space="preserve">[7]</w:t>
        </w:r>
      </w:hyperlink>
      <w:r>
        <w:t xml:space="preserve">, object correlation methods</w:t>
      </w:r>
      <w:r>
        <w:t xml:space="preserve"> </w:t>
      </w:r>
      <w:hyperlink w:anchor="ref-8">
        <w:r>
          <w:rPr>
            <w:rStyle w:val="Hyperlink"/>
          </w:rPr>
          <w:t xml:space="preserve">[8]</w:t>
        </w:r>
      </w:hyperlink>
      <w:r>
        <w:t xml:space="preserve">. They score across the signal range while bunching low to middle, since their titles push sensing and detection to the front rather than the encryption governance theme itself.</w:t>
      </w:r>
    </w:p>
    <w:p>
      <w:pPr>
        <w:pStyle w:val="BodyText"/>
        <w:spacing w:line="480" w:lineRule="auto"/>
        <w:ind w:firstLine="720"/>
      </w:pPr>
      <w:r>
        <w:t xml:space="preserve">The Acta Astronautica family, twelve records under the 10.1016 digital object identifier prefix, is peer-reviewed journal work spanning a wider intellectual range. It includes the hard-security records such as cubesat encryption entropy</w:t>
      </w:r>
      <w:r>
        <w:t xml:space="preserve"> </w:t>
      </w:r>
      <w:hyperlink w:anchor="ref-9">
        <w:r>
          <w:rPr>
            <w:rStyle w:val="Hyperlink"/>
          </w:rPr>
          <w:t xml:space="preserve">[9]</w:t>
        </w:r>
      </w:hyperlink>
      <w:r>
        <w:t xml:space="preserve"> </w:t>
      </w:r>
      <w:r>
        <w:t xml:space="preserve">and quantum key distribution</w:t>
      </w:r>
      <w:r>
        <w:t xml:space="preserve"> </w:t>
      </w:r>
      <w:hyperlink w:anchor="ref-10">
        <w:r>
          <w:rPr>
            <w:rStyle w:val="Hyperlink"/>
          </w:rPr>
          <w:t xml:space="preserve">[10]</w:t>
        </w:r>
      </w:hyperlink>
      <w:r>
        <w:t xml:space="preserve">, alongside governance and legal analyses such as the study of cyber operations governance in outer space</w:t>
      </w:r>
      <w:r>
        <w:t xml:space="preserve"> </w:t>
      </w:r>
      <w:hyperlink w:anchor="ref-14">
        <w:r>
          <w:rPr>
            <w:rStyle w:val="Hyperlink"/>
          </w:rPr>
          <w:t xml:space="preserve">[14]</w:t>
        </w:r>
      </w:hyperlink>
      <w:r>
        <w:t xml:space="preserve"> </w:t>
      </w:r>
      <w:r>
        <w:t xml:space="preserve">and the work on autonomous weapons and militarization</w:t>
      </w:r>
      <w:r>
        <w:t xml:space="preserve"> </w:t>
      </w:r>
      <w:hyperlink w:anchor="ref-13">
        <w:r>
          <w:rPr>
            <w:rStyle w:val="Hyperlink"/>
          </w:rPr>
          <w:t xml:space="preserve">[13]</w:t>
        </w:r>
      </w:hyperlink>
      <w:r>
        <w:t xml:space="preserve">. This family carries the corpus’s citation mass, including the most-cited record at forty-three citations, and it carries the single highest signal score in the dataset as well. Here the technical and governance strands of the literature actually coexist under one venue roof.</w:t>
      </w:r>
    </w:p>
    <w:p>
      <w:pPr>
        <w:pStyle w:val="BodyText"/>
        <w:spacing w:line="480" w:lineRule="auto"/>
        <w:ind w:firstLine="720"/>
      </w:pPr>
      <w:r>
        <w:t xml:space="preserve">The Space Economy family, six records, is a different animal. These are framework reports and roadmap documents, not indexed articles: a whole-of-nation space framework paper, a report drawing together perspectives from dozens of countries on the sector’s inflection point, and a few shorter position pieces. None carries a citation count in the local index, so all six enter the temporal model at the citation floor. Their signal scores stay modest, a sign that they meet the adoption gap sideways, through sustainability and governance framing, rather than head-on. Coding this family as venue tier three, above AMOS and Acta, is the modeling choice whose frailty Chapter 7 revisits, since a grey-literature report is not obviously a higher-tier venue than a peer-reviewed journal</w:t>
      </w:r>
      <w:r>
        <w:t xml:space="preserve"> </w:t>
      </w:r>
      <w:hyperlink w:anchor="ref-11">
        <w:r>
          <w:rPr>
            <w:rStyle w:val="Hyperlink"/>
          </w:rPr>
          <w:t xml:space="preserve">[11]</w:t>
        </w:r>
      </w:hyperlink>
      <w:r>
        <w:t xml:space="preserve">.</w:t>
      </w:r>
    </w:p>
    <w:bookmarkEnd w:id="107"/>
    <w:bookmarkStart w:id="108" w:name="missingness-and-the-treatment-of-zeros"/>
    <w:p>
      <w:pPr>
        <w:pStyle w:val="Heading2"/>
        <w:spacing w:line="480" w:lineRule="auto"/>
      </w:pPr>
      <w:r>
        <w:t xml:space="preserve">5.6 Missingness and the treatment of zeros</w:t>
      </w:r>
    </w:p>
    <w:p>
      <w:pPr>
        <w:pStyle w:val="FirstParagraph"/>
        <w:spacing w:line="480" w:lineRule="auto"/>
      </w:pPr>
      <w:r>
        <w:t xml:space="preserve">Two kinds of zero live in the data, and they carry different meanings. A zero on a 2025 Acta article is a true near-zero: the article is real, indexed, and simply too young to have gathered citations. A zero on a Space Economy report is a structural zero, because the local index does not track citations for grey literature at all, so the zero marks an absence of measurement rather than an absence of attention. Both land in the dataset as zero, since the estimator wants a number, yet the temporal model’s interpretation has to keep the distinction in view. Read structural zeros as true zeros and a model understates the citation stock of the grey-literature family, bending the age elasticity along with it.</w:t>
      </w:r>
    </w:p>
    <w:p>
      <w:pPr>
        <w:pStyle w:val="BodyText"/>
        <w:spacing w:line="480" w:lineRule="auto"/>
        <w:ind w:firstLine="720"/>
      </w:pPr>
      <w:r>
        <w:t xml:space="preserve">The plus-one offset partly masks this problem and partly launders it. By adding one before the log transform, the design keeps every record in the estimation, which is the right call for a small sample where dropping rows is costly. But the offset gives a structural zero and a true near-zero the same transformed value, which is a known limitation rather than a solved problem. The design accepts it, documents it here, and flags in Chapter 7 that a larger study should separate the two zero types, perhaps by sourcing citation counts for grey literature from an index that tracks them or by modeling the two families separately</w:t>
      </w:r>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bookmarkEnd w:id="108"/>
    <w:bookmarkStart w:id="109" w:name="the-signal-score-under-scrutiny"/>
    <w:p>
      <w:pPr>
        <w:pStyle w:val="Heading2"/>
        <w:spacing w:line="480" w:lineRule="auto"/>
      </w:pPr>
      <w:r>
        <w:t xml:space="preserve">5.7 The signal score under scrutiny</w:t>
      </w:r>
    </w:p>
    <w:p>
      <w:pPr>
        <w:pStyle w:val="FirstParagraph"/>
        <w:spacing w:line="480" w:lineRule="auto"/>
      </w:pPr>
      <w:r>
        <w:t xml:space="preserve">The topic-signal score is the weightiest constructed variable, so it earns a harder look than the predictors. Its virtue is determinism. Run the same four metadata fields through the same term-hit rule and the same score comes back every time, which is what keeps the outcome auditable. Its vice is that a term-hit count is a blunt tool for topical relevance. A record can sit squarely on the encryption adoption gap while wording its title in vocabulary the counter never sees, and a record can rack up hits on incidental matches with nothing to do with the theme.</w:t>
      </w:r>
    </w:p>
    <w:p>
      <w:pPr>
        <w:pStyle w:val="BodyText"/>
        <w:spacing w:line="480" w:lineRule="auto"/>
        <w:ind w:firstLine="720"/>
      </w:pPr>
      <w:r>
        <w:t xml:space="preserve">The corpus holds examples of both failure modes. The blockchain multi-sensor satellite record scores at the low end, at one, even though its subject, integrity guarantees for satellite architectures, sits close to the dissertation’s concern</w:t>
      </w:r>
      <w:r>
        <w:t xml:space="preserve"> </w:t>
      </w:r>
      <w:hyperlink w:anchor="ref-2">
        <w:r>
          <w:rPr>
            <w:rStyle w:val="Hyperlink"/>
          </w:rPr>
          <w:t xml:space="preserve">[2]</w:t>
        </w:r>
      </w:hyperlink>
      <w:r>
        <w:t xml:space="preserve">. Its title foregrounds the mechanism, blockchain, rather than the governance theme, so the counter undercounts its relevance. At the other extreme, a record can score on term matches that are thematically shallow, because the scoring rule cannot tell depth from surface and only counts. This limitation is the empirical basis for the measurement-error threat that Chapter 7 develops, and naming it here, at the point of construction, is more honest than discovering it later</w:t>
      </w:r>
      <w:r>
        <w:t xml:space="preserve"> </w:t>
      </w:r>
      <w:hyperlink w:anchor="ref-5">
        <w:r>
          <w:rPr>
            <w:rStyle w:val="Hyperlink"/>
          </w:rPr>
          <w:t xml:space="preserve">[5]</w:t>
        </w:r>
      </w:hyperlink>
      <w:r>
        <w:t xml:space="preserve">.</w:t>
      </w:r>
    </w:p>
    <w:p>
      <w:pPr>
        <w:pStyle w:val="BodyText"/>
        <w:spacing w:line="480" w:lineRule="auto"/>
        <w:ind w:firstLine="720"/>
      </w:pPr>
      <w:r>
        <w:t xml:space="preserve">Why keep a variable with a known weakness? The alternative is a hand-coded relevance judgment, which would sacrifice the determinism that makes the whole dataset reproducible and would substitute the author’s judgment for a fixed rule at exactly the point where a skeptic most wants a fixed rule. So the design accepts a blunt but reproducible proxy over a sharp but unauditable one, and it flags the proxy error as a first-order limitation rather than pretending the score is a clean measure. A successor study can improve the proxy. It cannot improve on the transparency the crude version buys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09"/>
    <w:bookmarkStart w:id="110" w:name="X5cf673010a624e4e8fd3c5c833a9f93340c6a27"/>
    <w:p>
      <w:pPr>
        <w:pStyle w:val="Heading2"/>
        <w:spacing w:line="480" w:lineRule="auto"/>
      </w:pPr>
      <w:r>
        <w:t xml:space="preserve">5.8 What the descriptive picture already tells us</w:t>
      </w:r>
    </w:p>
    <w:p>
      <w:pPr>
        <w:pStyle w:val="FirstParagraph"/>
        <w:spacing w:line="480" w:lineRule="auto"/>
      </w:pPr>
      <w:r>
        <w:t xml:space="preserve">Before any coefficient is estimated, three features of the data set expectations. The signal score is right-skewed with a thin strongly-on-theme tail, so the topic exists in the corpus while concentrating in few records. Citation attention is highly unequal and only loosely tied to age, which means any temporal model should be expected to fit weakly. And the corpus tilts recent, consistent with a rising topic, though with only thirty rows the tilt cannot carry heavy inferential weight. These descriptive facts are why the dissertation frames its two models as corpus screens rather than as decisive causal tests</w:t>
      </w:r>
      <w:r>
        <w:t xml:space="preserve"> </w:t>
      </w:r>
      <w:hyperlink w:anchor="ref-6">
        <w:r>
          <w:rPr>
            <w:rStyle w:val="Hyperlink"/>
          </w:rPr>
          <w:t xml:space="preserve">[6]</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One more descriptive fact deserves emphasis before the models run. The corpus is small. Thirty records is not a field; it is one candidate’s retrieval of a field, and that size sets a hard ceiling on precision against which every null in Chapter 6 should be read rather than as a discovery about the world. A larger retrieval might well surface structure this one cannot see. The design accepts the ceiling deliberately, trading statistical power for the ability to audit every single row by hand, which is the right trade for a study whose purpose is to demonstrate a method and screen a topic rather than to settle it</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110"/>
    <w:bookmarkStart w:id="111" w:name="the-citation-field-and-its-provenance"/>
    <w:p>
      <w:pPr>
        <w:pStyle w:val="Heading2"/>
        <w:spacing w:line="480" w:lineRule="auto"/>
      </w:pPr>
      <w:r>
        <w:t xml:space="preserve">5.9 The citation field and its provenance</w:t>
      </w:r>
    </w:p>
    <w:p>
      <w:pPr>
        <w:pStyle w:val="FirstParagraph"/>
        <w:spacing w:line="480" w:lineRule="auto"/>
      </w:pPr>
      <w:r>
        <w:t xml:space="preserve">Citation counts carry the heaviest load in the temporal model, so their provenance warrants its own scrutiny. Every count in the dataset is the reported figure from a single local index, parsed out of that index’s cites field and set to zero when the field was empty. The choice is deliberate, and it has consequences. A count from one index is no universal count; the same article would wear a different number in a different database, because indices differ in what they crawl and how they attribute. The design takes a single-index count because it reproduces: query the same index and you get the same number, whereas a merged multi-index count would demand deduplication judgment calls no fixed rule could fully pin down.</w:t>
      </w:r>
    </w:p>
    <w:p>
      <w:pPr>
        <w:pStyle w:val="BodyText"/>
        <w:spacing w:line="480" w:lineRule="auto"/>
        <w:ind w:firstLine="720"/>
      </w:pPr>
      <w:r>
        <w:t xml:space="preserve">The realized counts show just how concentrated citation attention is. Of the thirty records, the large majority carry zero, a handful carry single digits, one 2018 Acta record carries twenty-two, and one 2022 Acta record carries forty-three, the highest in the corpus. That single most-cited record is worth naming because it holds down the upper tail of both models: it feeds much of the variation the cross-sectional citation coefficient is estimated from, and it sits at a middling age of five years, part of why the temporal model finds no clean age-citation relationship. When citation mass gathers in one or two records, the citation coefficient turns sensitive to them, and the descriptive picture flags that sensitivity before any model runs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Because one record carries most of that upper tail, the concentration also explains a modeling asymmetry. The AMOS and Space Economy families carry almost no citation mass in this index, so nearly all the citation-driven variation comes from the Acta family. The citation coefficient is therefore estimated, in practice, largely from within one venue tier, which entangles the citation channel with the venue channel more than a naive reading of the two separate coefficients would suggest. The dataset cannot disentangle them at this sample size, and naming the entanglement here is more honest than letting a reader assume the two predictors are cleanly independent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11"/>
    <w:bookmarkStart w:id="112" w:name="two-records-that-anchor-the-extremes"/>
    <w:p>
      <w:pPr>
        <w:pStyle w:val="Heading2"/>
        <w:spacing w:line="480" w:lineRule="auto"/>
      </w:pPr>
      <w:r>
        <w:t xml:space="preserve">5.10 Two records that anchor the extremes</w:t>
      </w:r>
    </w:p>
    <w:p>
      <w:pPr>
        <w:pStyle w:val="FirstParagraph"/>
        <w:spacing w:line="480" w:lineRule="auto"/>
      </w:pPr>
      <w:r>
        <w:t xml:space="preserve">It helps to look closely at the records that sit at the ends of the signal-score distribution, because they show the scoring rule at work and expose its limits. At the high end, a 2025 Acta governance record scores seven, the maximum in the corpus, because its title and keywords touch the encryption-and-governance theme repeatedly and directly</w:t>
      </w:r>
      <w:r>
        <w:t xml:space="preserve"> </w:t>
      </w:r>
      <w:hyperlink w:anchor="ref-14">
        <w:r>
          <w:rPr>
            <w:rStyle w:val="Hyperlink"/>
          </w:rPr>
          <w:t xml:space="preserve">[14]</w:t>
        </w:r>
      </w:hyperlink>
      <w:r>
        <w:t xml:space="preserve">. At the same high end, the on-orbit traffic-management laser record scores six on two strong thematic hits</w:t>
      </w:r>
      <w:r>
        <w:t xml:space="preserve"> </w:t>
      </w:r>
      <w:hyperlink w:anchor="ref-7">
        <w:r>
          <w:rPr>
            <w:rStyle w:val="Hyperlink"/>
          </w:rPr>
          <w:t xml:space="preserve">[7]</w:t>
        </w:r>
      </w:hyperlink>
      <w:r>
        <w:t xml:space="preserve">. These are the records the rule was designed to surface, and their high scores are the rule succeeding.</w:t>
      </w:r>
    </w:p>
    <w:p>
      <w:pPr>
        <w:pStyle w:val="BodyText"/>
        <w:spacing w:line="480" w:lineRule="auto"/>
        <w:ind w:firstLine="720"/>
      </w:pPr>
      <w:r>
        <w:t xml:space="preserve">At the low end sits a record the rule arguably fails. The blockchain multi-sensor satellite study scores one, the floor, even though its subject, integrity guarantees for a satellite architecture, is squarely adjacent to the dissertation’s concern</w:t>
      </w:r>
      <w:r>
        <w:t xml:space="preserve"> </w:t>
      </w:r>
      <w:hyperlink w:anchor="ref-2">
        <w:r>
          <w:rPr>
            <w:rStyle w:val="Hyperlink"/>
          </w:rPr>
          <w:t xml:space="preserve">[2]</w:t>
        </w:r>
      </w:hyperlink>
      <w:r>
        <w:t xml:space="preserve">. Its title foregrounds the mechanism, blockchain, rather than the governance vocabulary the counter searches for, so a thematically relevant record is scored as barely on-topic. This is the measurement-error threat made concrete: the rule counts surface vocabulary, not underlying relevance, and a record can be central to the theme yet phrased in words the counter never sees. Holding these two extremes side by side, the maximum-scoring governance record and the undercounted blockchain record, gives a reader a calibrated sense of how far the signal score can be trusted and where it will mislead</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measurement chain, taken end to end, is short by design. A source is retrieved and retained by its native identifier; deterministic rules convert its metadata into a signal score, a recency index, a citation count, and a venue score; and the age index and log-citation variable are derived arithmetically from year and count. Every step is a fixed rule applied to a retained field, so the dataset that Chapter 6 analyzes can be rebuilt exactly by anyone holding the same thirty records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12"/>
    <w:bookmarkEnd w:id="113"/>
    <w:bookmarkStart w:id="125" w:name="chapter-6.-results"/>
    <w:p>
      <w:pPr>
        <w:pStyle w:val="Heading1"/>
        <w:spacing w:line="480" w:lineRule="auto"/>
      </w:pPr>
      <w:r>
        <w:t xml:space="preserve">Chapter 6. Results</w:t>
      </w:r>
    </w:p>
    <w:p>
      <w:pPr>
        <w:pStyle w:val="FirstParagraph"/>
        <w:spacing w:line="480" w:lineRule="auto"/>
      </w:pPr>
      <w:r>
        <w:t xml:space="preserve">This chapter reports the exact output of the two estimators and interprets the signs and magnitudes without softening either result. The numbers are what they are. Both models were fit on the thirty retained records with heteroskedasticity-robust HC1 standard errors, and both return modest fits, which the design anticipated and treats as information. The discipline of this chapter is to read each coefficient for exactly what it supports and no more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14" w:name="the-cross-sectional-model"/>
    <w:p>
      <w:pPr>
        <w:pStyle w:val="Heading2"/>
        <w:spacing w:line="480" w:lineRule="auto"/>
      </w:pPr>
      <w:r>
        <w:t xml:space="preserve">6.1 The cross-sectional model</w:t>
      </w:r>
    </w:p>
    <w:p>
      <w:pPr>
        <w:pStyle w:val="FirstParagraph"/>
        <w:spacing w:line="480" w:lineRule="auto"/>
      </w:pPr>
      <w:r>
        <w:t xml:space="preserve">The ordinary least squares model of topic-signal intensity produced the following fit. N = 30. R2 = 0.04709336664267472. Adjusted R2 = -0.06285739874470897. The F statistic is 0.44248010619741 with F p-value 0.7246103582364543. The term-level estimates are:</w:t>
      </w:r>
    </w:p>
    <w:p>
      <w:pPr>
        <w:pStyle w:val="Compact"/>
        <w:spacing w:line="480" w:lineRule="auto"/>
        <w:numPr>
          <w:ilvl w:val="0"/>
          <w:numId w:val="1001"/>
        </w:numPr>
      </w:pPr>
      <w:r>
        <w:t xml:space="preserve">const: coefficient 3.217351868040487, standard error 1.4549, p = 0.027004741432319183</w:t>
      </w:r>
    </w:p>
    <w:p>
      <w:pPr>
        <w:pStyle w:val="Compact"/>
        <w:spacing w:line="480" w:lineRule="auto"/>
        <w:numPr>
          <w:ilvl w:val="0"/>
          <w:numId w:val="1001"/>
        </w:numPr>
      </w:pPr>
      <w:r>
        <w:t xml:space="preserve">recency_index: coefficient -0.006352605247772945, standard error 0.1037, p = 0.9511712584083457</w:t>
      </w:r>
    </w:p>
    <w:p>
      <w:pPr>
        <w:pStyle w:val="Compact"/>
        <w:spacing w:line="480" w:lineRule="auto"/>
        <w:numPr>
          <w:ilvl w:val="0"/>
          <w:numId w:val="1001"/>
        </w:numPr>
      </w:pPr>
      <w:r>
        <w:t xml:space="preserve">cites_num: coefficient 0.03393707011552134, standard error 0.041, p = 0.4076011289606837</w:t>
      </w:r>
    </w:p>
    <w:p>
      <w:pPr>
        <w:pStyle w:val="Compact"/>
        <w:spacing w:line="480" w:lineRule="auto"/>
        <w:numPr>
          <w:ilvl w:val="0"/>
          <w:numId w:val="1001"/>
        </w:numPr>
      </w:pPr>
      <w:r>
        <w:t xml:space="preserve">venue_score: coefficient -0.33770404410687493, standard error 0.3846, p = 0.37993500284929405</w:t>
      </w:r>
    </w:p>
    <w:p>
      <w:pPr>
        <w:pStyle w:val="FirstParagraph"/>
        <w:spacing w:line="480" w:lineRule="auto"/>
      </w:pPr>
      <w:r>
        <w:t xml:space="preserve">Read the fit first. An R2 of roughly 0.047 means the three predictors together account for under five percent of the variation in the signal score, and the adjusted R2 turns negative, which is what happens when added predictors buy less explanatory power than their degrees of freedom cost. The F p-value of 0.72 says the model as a whole is statistically indistinguishable from one carrying no predictors at all. As a joint test, then, the cross-sectional model does not reject its null: the topic-signal score, in this corpus, is not jointly explained by recency, citation attention, and venue family</w:t>
      </w:r>
      <w:r>
        <w:t xml:space="preserve"> </w:t>
      </w:r>
      <w:hyperlink w:anchor="ref-3">
        <w:r>
          <w:rPr>
            <w:rStyle w:val="Hyperlink"/>
          </w:rPr>
          <w:t xml:space="preserve">[3]</w:t>
        </w:r>
      </w:hyperlink>
      <w:r>
        <w:t xml:space="preserve">.</w:t>
      </w:r>
    </w:p>
    <w:bookmarkEnd w:id="114"/>
    <w:bookmarkStart w:id="115" w:name="reading-the-cross-sectional-coefficients"/>
    <w:p>
      <w:pPr>
        <w:pStyle w:val="Heading2"/>
        <w:spacing w:line="480" w:lineRule="auto"/>
      </w:pPr>
      <w:r>
        <w:t xml:space="preserve">6.2 Reading the cross-sectional coefficients</w:t>
      </w:r>
    </w:p>
    <w:p>
      <w:pPr>
        <w:pStyle w:val="FirstParagraph"/>
        <w:spacing w:line="480" w:lineRule="auto"/>
      </w:pPr>
      <w:r>
        <w:t xml:space="preserve">The individual coefficients sharpen that verdict rather than overturning it. The constant of 3.22 is precisely estimated with p = 0.027, which simply says the average record carries a positive baseline signal score once the predictors are set to zero; it is a level, not a relationship. The recency coefficient is essentially nil at -0.0064 with p = 0.95, so newer records show no measurable tendency toward higher signal scores. That is a direct blow to the rising-topic prediction of Chapter 3, which expected recency to enter positively. The retrieved corpus does not display the recency structure the mechanism predicted.</w:t>
      </w:r>
    </w:p>
    <w:p>
      <w:pPr>
        <w:pStyle w:val="BodyText"/>
        <w:spacing w:line="480" w:lineRule="auto"/>
        <w:ind w:firstLine="720"/>
      </w:pPr>
      <w:r>
        <w:t xml:space="preserve">Citation attention enters positively, at 0.034, and this is the one coefficient whose sign matches the theory, since better-cited records carry slightly higher signal scores. Its p-value of 0.41 places it well inside the range attributable to sampling noise, so the sign is suggestive rather than established. Venue family enters negatively, at -0.34 with p = 0.38, hinting that higher-tier venues carry marginally lower signal scores, which would run against the concentration story were it precise, and it is not. The honest reading across all three predictors is that only citation attention points the predicted way, and even it does so weakly. Taken whole, the cross-sectional evidence does not support a strong claim that the topic is structured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15"/>
    <w:bookmarkStart w:id="116" w:name="the-temporal-model"/>
    <w:p>
      <w:pPr>
        <w:pStyle w:val="Heading2"/>
        <w:spacing w:line="480" w:lineRule="auto"/>
      </w:pPr>
      <w:r>
        <w:t xml:space="preserve">6.3 The temporal model</w:t>
      </w:r>
    </w:p>
    <w:p>
      <w:pPr>
        <w:pStyle w:val="FirstParagraph"/>
        <w:spacing w:line="480" w:lineRule="auto"/>
      </w:pPr>
      <w:r>
        <w:t xml:space="preserve">The log-log learning-curve model of citation accumulation produced the following. N = 30. R2 = 0.020443164435894667. The estimated elasticity is -0.2636218401597256, and the implied progress ratio, 2 raised to that elasticity, is 0.8329940870325916. The term-level estimates are:</w:t>
      </w:r>
    </w:p>
    <w:p>
      <w:pPr>
        <w:pStyle w:val="Compact"/>
        <w:spacing w:line="480" w:lineRule="auto"/>
        <w:numPr>
          <w:ilvl w:val="0"/>
          <w:numId w:val="1002"/>
        </w:numPr>
      </w:pPr>
      <w:r>
        <w:t xml:space="preserve">const: coefficient 1.0983015289957452, standard error 0.4908, p = 0.025223517532026233</w:t>
      </w:r>
    </w:p>
    <w:p>
      <w:pPr>
        <w:pStyle w:val="Compact"/>
        <w:spacing w:line="480" w:lineRule="auto"/>
        <w:numPr>
          <w:ilvl w:val="0"/>
          <w:numId w:val="1002"/>
        </w:numPr>
      </w:pPr>
      <w:r>
        <w:t xml:space="preserve">ln(age): coefficient -0.2636218401597256, standard error 0.2604, p = 0.3113292312342246</w:t>
      </w:r>
    </w:p>
    <w:p>
      <w:pPr>
        <w:pStyle w:val="FirstParagraph"/>
        <w:spacing w:line="480" w:lineRule="auto"/>
      </w:pPr>
      <w:r>
        <w:t xml:space="preserve">The fit is weaker still than the cross-sectional model, with an R2 near 0.020, so article age explains about two percent of the variation in log citation stock. The constant of 1.10 is precise at p = 0.025 and fixes the level of the curve. The quantity of interest is the age elasticity, and it is -0.264 with p = 0.31</w:t>
      </w:r>
      <w:r>
        <w:t xml:space="preserve"> </w:t>
      </w:r>
      <w:hyperlink w:anchor="ref-8">
        <w:r>
          <w:rPr>
            <w:rStyle w:val="Hyperlink"/>
          </w:rPr>
          <w:t xml:space="preserve">[8]</w:t>
        </w:r>
      </w:hyperlink>
      <w:r>
        <w:t xml:space="preserve">.</w:t>
      </w:r>
    </w:p>
    <w:bookmarkEnd w:id="116"/>
    <w:bookmarkStart w:id="117" w:name="reading-the-temporal-coefficients"/>
    <w:p>
      <w:pPr>
        <w:pStyle w:val="Heading2"/>
        <w:spacing w:line="480" w:lineRule="auto"/>
      </w:pPr>
      <w:r>
        <w:t xml:space="preserve">6.4 Reading the temporal coefficients</w:t>
      </w:r>
    </w:p>
    <w:p>
      <w:pPr>
        <w:pStyle w:val="FirstParagraph"/>
        <w:spacing w:line="480" w:lineRule="auto"/>
      </w:pPr>
      <w:r>
        <w:t xml:space="preserve">The negative elasticity is theoretically legible even though it is imprecise. A value of -0.264 means that, in the fitted relationship, older records carry slightly fewer citations than younger ones, the opposite of the usual exposure advantage of age. The implied progress ratio of 0.833 expresses the same fact in learning-curve language: each doubling of article age is associated with citation stock falling to about eighty-three percent of its prior level. Were this precise, it would be the fingerprint of a topic whose recent work is drawing disproportionate attention, exactly the pattern a fast-rising governance concern would produce.</w:t>
      </w:r>
    </w:p>
    <w:p>
      <w:pPr>
        <w:pStyle w:val="BodyText"/>
        <w:spacing w:line="480" w:lineRule="auto"/>
        <w:ind w:firstLine="720"/>
      </w:pPr>
      <w:r>
        <w:t xml:space="preserve">The precision is not there. A p-value of 0.31 on the age elasticity means the negative slope cannot be distinguished from zero at any conventional threshold, so the temporal model, like the cross-sectional one, fails to reject its null. The data hint at recent-work attention, but the hint is inside the noise. The most defensible statement is that citation accumulation in this corpus has no measurable age-based shape, and the descriptive picture from Chapter 5, where the most-cited record sat at age five and the oldest record carried zero citations, already anticipated that this simple age story would not hold</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w:t>
      </w:r>
    </w:p>
    <w:bookmarkEnd w:id="117"/>
    <w:bookmarkStart w:id="118" w:name="Xf669b441ba726ec35fd35cd3c2190c08682287e"/>
    <w:p>
      <w:pPr>
        <w:pStyle w:val="Heading2"/>
        <w:spacing w:line="480" w:lineRule="auto"/>
      </w:pPr>
      <w:r>
        <w:t xml:space="preserve">6.5 Mapping results onto the pre-stated hypotheses</w:t>
      </w:r>
    </w:p>
    <w:p>
      <w:pPr>
        <w:pStyle w:val="FirstParagraph"/>
        <w:spacing w:line="480" w:lineRule="auto"/>
      </w:pPr>
      <w:r>
        <w:t xml:space="preserve">Because Chapter 3 committed to signed predictions in advance, this section can grade the results without the taint of hindsight. The cross-sectional alternative, H1-1, held that the topic-signal score would climb with recency and with citation attention. Recency came back at essentially zero, -0.0064 with p = 0.95, so its prong of H1-1 goes unsupported. Citation attention came back with the predicted positive sign, 0.034, but at p = 0.41, so its prong points the right way yet earns no statistical support. The venue prong, left unsigned by theory, returned a negative, imprecise -0.34. Weigh the three prongs together and the cross-sectional null H1-0 stands, with the F p-value of 0.72 sealing that verdict for the model as a whole.</w:t>
      </w:r>
    </w:p>
    <w:p>
      <w:pPr>
        <w:pStyle w:val="BodyText"/>
        <w:spacing w:line="480" w:lineRule="auto"/>
        <w:ind w:firstLine="720"/>
      </w:pPr>
      <w:r>
        <w:t xml:space="preserve">The temporal alternative, H2-1, called for a measurable age-based attention curve of either sign. The age elasticity of -0.264 traces a legible negative shape, of a piece with recent work pulling attention out of proportion, yet at p = 0.31 it clears no conventional threshold, so the temporal null H2-0 stands too. Neither pre-registered alternative wins support on the data in hand. The mapping is clean and honest: the study named its terms of confirmation in advance, and the data withheld them. Saying so plainly is worth more than fitting a narrative around whichever coefficient happened to catch the eye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18"/>
    <w:bookmarkStart w:id="119" w:name="X24242ca3ea58da2fc04a7aef45ca61008e281ab"/>
    <w:p>
      <w:pPr>
        <w:pStyle w:val="Heading2"/>
        <w:spacing w:line="480" w:lineRule="auto"/>
      </w:pPr>
      <w:r>
        <w:t xml:space="preserve">6.6 Why the results are believable rather than broken</w:t>
      </w:r>
    </w:p>
    <w:p>
      <w:pPr>
        <w:pStyle w:val="FirstParagraph"/>
        <w:spacing w:line="480" w:lineRule="auto"/>
      </w:pPr>
      <w:r>
        <w:t xml:space="preserve">A reader might worry that near-zero fits and non-significant coefficients signal a coding error rather than a real null. Three features of the output argue against that worry. The constants in both models are precisely estimated and sensibly signed, at 3.22 and 1.10 respectively, which is what a correctly specified model returns when the predictors simply lack explanatory power, whereas a broken model tends to produce nonsensical or unstable intercepts. The coefficient magnitudes are small without being absurd, sitting in the range the variable scales would predict. And the two models, estimated independently on different specifications, converge on the same substantive conclusion, which a coding artifact would be unlikely to reproduce twice.</w:t>
      </w:r>
    </w:p>
    <w:p>
      <w:pPr>
        <w:pStyle w:val="BodyText"/>
        <w:spacing w:line="480" w:lineRule="auto"/>
        <w:ind w:firstLine="720"/>
      </w:pPr>
      <w:r>
        <w:t xml:space="preserve">The believability of the null also follows from the descriptive statistics reported in Chapter 5. The signal score was right-skewed with a thin on-theme tail, and citation attention was highly unequal and only loosely tied to age, a shape of data that produces exactly these weak fits under linear and log-linear models. The results are no surprise to be explained away. They are the predictable statistical consequence of a small, dispersed, honestly measured corpus. The estimators are working correctly, and what they report is that thirty records cannot demonstrate the structure the theory hoped to find</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19"/>
    <w:bookmarkStart w:id="120" w:name="the-one-consistent-signal-read-carefully"/>
    <w:p>
      <w:pPr>
        <w:pStyle w:val="Heading2"/>
        <w:spacing w:line="480" w:lineRule="auto"/>
      </w:pPr>
      <w:r>
        <w:t xml:space="preserve">6.7 The one consistent signal, read carefully</w:t>
      </w:r>
    </w:p>
    <w:p>
      <w:pPr>
        <w:pStyle w:val="FirstParagraph"/>
        <w:spacing w:line="480" w:lineRule="auto"/>
      </w:pPr>
      <w:r>
        <w:t xml:space="preserve">Across two models and five coefficients, one alone points the way theory predicted: citation attention associates positively with topic signal. Over-reading that lone survivor would be easy, and it would be a mistake. The coefficient is 0.034 with p = 0.41. A p-value that large says that, were the true association zero, data like these would turn up better than four times in ten by chance alone. This is no finding. It is a direction that never pulled clear of the noise.</w:t>
      </w:r>
    </w:p>
    <w:p>
      <w:pPr>
        <w:pStyle w:val="BodyText"/>
        <w:spacing w:line="480" w:lineRule="auto"/>
        <w:ind w:firstLine="720"/>
      </w:pPr>
      <w:r>
        <w:t xml:space="preserve">The disciplined reading holds the sign and discards the confidence. For the successor study, the one channel showing even a directional hint is citation attention rather than recency or venue, and that hint suggests which variable might reward a better-powered look. A larger corpus might sharpen this coefficient into significance, or it might expose the coefficient as the noise it currently resembles. The present data cannot decide between those two futures. What they can do is flag citation attention as the single most promising thread to pull, which is a modest but genuine contribution to research design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Set recency beside it, where the news admits no ambiguity. The recency coefficient is more than imprecise; it sits essentially on zero, at -0.0064. No directional hint survives to preserve. For a topic the theory called rising, a recency channel this flat is the sharpest single disappointment in the results, and it is the one a successor study should most want to overturn with better data. Reporting that disappointment plainly, instead of burying it beneath the surviving citation signal, is what separates an honest results chapter from a persuasive one</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120"/>
    <w:bookmarkStart w:id="121" w:name="what-the-two-results-establish-together"/>
    <w:p>
      <w:pPr>
        <w:pStyle w:val="Heading2"/>
        <w:spacing w:line="480" w:lineRule="auto"/>
      </w:pPr>
      <w:r>
        <w:t xml:space="preserve">6.8 What the two results establish together</w:t>
      </w:r>
    </w:p>
    <w:p>
      <w:pPr>
        <w:pStyle w:val="FirstParagraph"/>
        <w:spacing w:line="480" w:lineRule="auto"/>
      </w:pPr>
      <w:r>
        <w:t xml:space="preserve">Both models return the same structural verdict from different directions: neither rejects its null. The cross-sectional model cannot show that recency, citation attention, or venue family jointly explain the topic signal, and the temporal model cannot show that age structures citation accumulation. Against the hypotheses of Chapter 3, this is a non-confirmation. The one flicker of consistency is the positive, if imprecise, sign on citation attention, which is the only coefficient in either model that points the predicted way.</w:t>
      </w:r>
    </w:p>
    <w:p>
      <w:pPr>
        <w:pStyle w:val="BodyText"/>
        <w:spacing w:line="480" w:lineRule="auto"/>
        <w:ind w:firstLine="720"/>
      </w:pPr>
      <w:r>
        <w:t xml:space="preserve">That convergence on non-confirmation is itself the finding, and it is worth more than a manufactured positive result would be. The analysis has shown, with fully auditable numbers, that thirty retrieved records are too few and too noisy to demonstrate that the encryption-adoption topic is structured in the documentary record. This points a follow-on study to precisely where the weakness lies, which is not in the theory, that remains plausible, but in the thinness of the retrieved evidence base. The result is a measurement floor, honestly reported, on which a larger operator-level study can build</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21"/>
    <w:bookmarkStart w:id="122" w:name="magnitudes-in-context"/>
    <w:p>
      <w:pPr>
        <w:pStyle w:val="Heading2"/>
        <w:spacing w:line="480" w:lineRule="auto"/>
      </w:pPr>
      <w:r>
        <w:t xml:space="preserve">6.8 Magnitudes in context</w:t>
      </w:r>
    </w:p>
    <w:p>
      <w:pPr>
        <w:pStyle w:val="FirstParagraph"/>
        <w:spacing w:line="480" w:lineRule="auto"/>
      </w:pPr>
      <w:r>
        <w:t xml:space="preserve">Numbers mean little without a scale to weigh them against. Take the citation coefficient of 0.034. On its face it says that each additional citation raises the expected signal score by about three-hundredths of a point. The signal score itself ranges from one to seven across the corpus. So even the most-cited record, at forty-three citations, would gain only about one and a half signal points from that channel, holding the other predictors fixed. The channel is real in direction but small in size, and its imprecision means even that small size is uncertain.</w:t>
      </w:r>
    </w:p>
    <w:p>
      <w:pPr>
        <w:pStyle w:val="BodyText"/>
        <w:spacing w:line="480" w:lineRule="auto"/>
        <w:ind w:firstLine="720"/>
      </w:pPr>
      <w:r>
        <w:t xml:space="preserve">The recency coefficient tells an even starker story. It is negative and essentially zero. A record from the newest year in the sample is predicted to carry no higher signal score than a record from fifteen years earlier. For a topic the theory called rising, that is a pointed non-result. The venue coefficient of -0.34 is larger in raw size but still imprecise, and it would, if believed, say that moving up one venue tier lowers the expected signal by about a third of a point. None of these magnitudes clears its own standard error by enough to trust. The exercise of sizing them matters anyway, because it converts abstract non-significance into a concrete sense of how little structure the data actually carry</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temporal magnitude closes the picture. An elasticity of -0.264 with a progress ratio of 0.833 would, if precise, be a substantively interesting negative curve. Each doubling of age shaves about seventeen percent off citation stock. That is not a trivial slope. The problem is entirely one of precision, not of size: the slope is large enough to matter and uncertain enough to disbelieve. Reporting both facts at once, the interesting magnitude and the disqualifying imprecision, is the honest way to leave the temporal result</w:t>
      </w:r>
      <w:r>
        <w:t xml:space="preserve"> </w:t>
      </w:r>
      <w:hyperlink w:anchor="ref-8">
        <w:r>
          <w:rPr>
            <w:rStyle w:val="Hyperlink"/>
          </w:rPr>
          <w:t xml:space="preserve">[8]</w:t>
        </w:r>
      </w:hyperlink>
      <w:r>
        <w:t xml:space="preserve"> </w:t>
      </w:r>
      <w:hyperlink w:anchor="ref-10">
        <w:r>
          <w:rPr>
            <w:rStyle w:val="Hyperlink"/>
          </w:rPr>
          <w:t xml:space="preserve">[10]</w:t>
        </w:r>
      </w:hyperlink>
      <w:r>
        <w:t xml:space="preserve">.</w:t>
      </w:r>
    </w:p>
    <w:bookmarkEnd w:id="122"/>
    <w:bookmarkStart w:id="123" w:name="the-fit-statistics-read-as-diagnostics"/>
    <w:p>
      <w:pPr>
        <w:pStyle w:val="Heading2"/>
        <w:spacing w:line="480" w:lineRule="auto"/>
      </w:pPr>
      <w:r>
        <w:t xml:space="preserve">6.9 The fit statistics read as diagnostics</w:t>
      </w:r>
    </w:p>
    <w:p>
      <w:pPr>
        <w:pStyle w:val="FirstParagraph"/>
        <w:spacing w:line="480" w:lineRule="auto"/>
      </w:pPr>
      <w:r>
        <w:t xml:space="preserve">The two R-squared values, roughly 0.047 for the cross-sectional model and 0.020 for the temporal one, are usually treated as report-card grades, but here they function better as diagnostics. An R-squared near 0.05 says the three predictors leave more than ninety-five percent of the signal-score variation unexplained. An R-squared near 0.02 says article age leaves more than ninety-eight percent of the log-citation variation unexplained. These are not the numbers of a model that has captured the structure of its data and merely lacks significance. They are the numbers of a model whose predictors are nearly orthogonal to its outcome, which is a stronger and more useful statement than a single non-significant p-value alone would carry.</w:t>
      </w:r>
    </w:p>
    <w:p>
      <w:pPr>
        <w:pStyle w:val="BodyText"/>
        <w:spacing w:line="480" w:lineRule="auto"/>
        <w:ind w:firstLine="720"/>
      </w:pPr>
      <w:r>
        <w:t xml:space="preserve">The adjusted R-squared of the cross-sectional model, at roughly -0.063, is the sharpest diagnostic of the set. A negative adjusted R-squared arises when the predictors collectively explain less variance than random noise of the same dimensionality would, once the three degrees of freedom they consume are charged against them. Read plainly, the three predictors are worse than useless as a set: a model with no predictors at all would forecast the signal score about as well. That is exactly the signature the power discussion in Chapter 4 anticipated, and its appearance here confirms that the null is a property of the evidence rather than an artifact of an unlucky threshold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intercepts behave differently, standing out as the one precise part of each fit. Both are estimated cleanly, at 3.22 with p = 0.027 in the cross-sectional model and 1.10 with p = 0.025 in the temporal model. A model that pins its level cleanly while estimating every slope imprecisely tells the reader something specific: the outcome has a stable central tendency, and the candidate predictors fail to move the outcome away from that center in any measurable way. The intercepts are the models working correctly; the flat slopes are the corpus refusing to structure itself</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123"/>
    <w:bookmarkStart w:id="124" w:name="X3ad54377c83244aa762d240dceb6726ef23e9a7"/>
    <w:p>
      <w:pPr>
        <w:pStyle w:val="Heading2"/>
        <w:spacing w:line="480" w:lineRule="auto"/>
      </w:pPr>
      <w:r>
        <w:t xml:space="preserve">6.10 A sensitivity note on the most-cited record</w:t>
      </w:r>
    </w:p>
    <w:p>
      <w:pPr>
        <w:pStyle w:val="FirstParagraph"/>
        <w:spacing w:line="480" w:lineRule="auto"/>
      </w:pPr>
      <w:r>
        <w:t xml:space="preserve">Because so much of the citation-driven variation comes from a single record reporting forty-three citations, it is worth asking, at least qualitatively, how the results would move if that record behaved differently. The forty-three-citation record sits in the Acta family at an age of five years. It supplies a large share of the leverage behind the citation coefficient of 0.034 in the cross-sectional model and behind the shape of the age elasticity of -0.264 in the temporal model. A single high-leverage point sitting at a middling age, rather than at the old end where the naive age story would place the best-cited work, is a direct mechanical reason the temporal model finds a negative rather than a positive elasticity, and it is why that elasticity is fragile.</w:t>
      </w:r>
    </w:p>
    <w:p>
      <w:pPr>
        <w:pStyle w:val="BodyText"/>
        <w:spacing w:line="480" w:lineRule="auto"/>
        <w:ind w:firstLine="720"/>
      </w:pPr>
      <w:r>
        <w:t xml:space="preserve">This is not a defect to be corrected by deleting the record, which would only trade one arbitrary choice for another and would shrink an already thin sample. It is a fact about where the model’s information lives. The honest reading is that the citation channel in both models rests heavily on one or two observations, so its already-imprecise coefficients are more fragile than their standard errors alone convey. A larger corpus that spread citation attention across more records would let a successor study estimate the citation channel without depending on a single leverage point, which is one more specific reason the design routes the question toward more data rather than a cleverer model</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bookmarkEnd w:id="124"/>
    <w:bookmarkEnd w:id="125"/>
    <w:bookmarkStart w:id="136" w:name="X21322cb5e29cbf4eb576afddcad42f86ace4e0d"/>
    <w:p>
      <w:pPr>
        <w:pStyle w:val="Heading1"/>
        <w:spacing w:line="480" w:lineRule="auto"/>
      </w:pPr>
      <w:r>
        <w:t xml:space="preserve">Chapter 7. Discussion and Governance Implications</w:t>
      </w:r>
    </w:p>
    <w:p>
      <w:pPr>
        <w:pStyle w:val="FirstParagraph"/>
        <w:spacing w:line="480" w:lineRule="auto"/>
      </w:pPr>
      <w:r>
        <w:t xml:space="preserve">The results are modest, and a careful discussion has to carry two truths at once. The estimators did not confirm that the encryption-adoption topic holds structure in the retrieved record. The underlying policy problem, the gap between available protection and actual adoption on commercial and civil satellite command links, stays real and stays important all the same. This chapter reconciles the two. It reads the non-confirmation for what it teaches, names the threats to validity without softening them, and draws the governance implications that outlast the modest evidence</w:t>
      </w:r>
      <w:r>
        <w:t xml:space="preserve"> </w:t>
      </w:r>
      <w:hyperlink w:anchor="ref-3">
        <w:r>
          <w:rPr>
            <w:rStyle w:val="Hyperlink"/>
          </w:rPr>
          <w:t xml:space="preserve">[3]</w:t>
        </w:r>
      </w:hyperlink>
      <w:r>
        <w:t xml:space="preserve"> </w:t>
      </w:r>
      <w:hyperlink w:anchor="ref-14">
        <w:r>
          <w:rPr>
            <w:rStyle w:val="Hyperlink"/>
          </w:rPr>
          <w:t xml:space="preserve">[14]</w:t>
        </w:r>
      </w:hyperlink>
      <w:r>
        <w:t xml:space="preserve">.</w:t>
      </w:r>
    </w:p>
    <w:bookmarkStart w:id="126" w:name="what-the-findings-mean"/>
    <w:p>
      <w:pPr>
        <w:pStyle w:val="Heading2"/>
        <w:spacing w:line="480" w:lineRule="auto"/>
      </w:pPr>
      <w:r>
        <w:t xml:space="preserve">7.1 What the findings mean</w:t>
      </w:r>
    </w:p>
    <w:p>
      <w:pPr>
        <w:pStyle w:val="FirstParagraph"/>
        <w:spacing w:line="480" w:lineRule="auto"/>
      </w:pPr>
      <w:r>
        <w:t xml:space="preserve">A study that fails to reject its nulls is often mistaken for a study that found nothing, and that reading would be wrong here. Both models were built to test whether thirty auditable records could demonstrate topic structure, and the disciplined answer is that they cannot. Far from a silence, that answer is a genuine result about the evidence base. It reports that the documentary footprint of the adoption gap, as retrieved, is too thin and too noisy to carry the structural claim the theory predicts. The theory is not thereby refuted; the instrument is simply too small to see the effect if it exists.</w:t>
      </w:r>
    </w:p>
    <w:p>
      <w:pPr>
        <w:pStyle w:val="BodyText"/>
        <w:spacing w:line="480" w:lineRule="auto"/>
        <w:ind w:firstLine="720"/>
      </w:pPr>
      <w:r>
        <w:t xml:space="preserve">The one signed coefficient that pointed the predicted way, the positive association between citation attention and topic signal, rests almost entirely on the single most-cited record in the corpus, and that dependence is part of any measured reading of it. Taken at face value the coefficient is consistent with the idea that the records a community actually cites are the ones most on-theme, which is what a maturing subfield would produce. At p = 0.41 it is a whisper. The discussion declines to inflate a whisper into a finding. What the cross-sectional and temporal screens together licence is caution, and only caution: the topic is present in the corpus, concentrated in a thin tail of strongly on-theme records, and not yet demonstrably structured along any of the metadata dimensions the mechanism named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26"/>
    <w:bookmarkStart w:id="127" w:name="threats-to-validity"/>
    <w:p>
      <w:pPr>
        <w:pStyle w:val="Heading2"/>
        <w:spacing w:line="480" w:lineRule="auto"/>
      </w:pPr>
      <w:r>
        <w:t xml:space="preserve">7.2 Threats to validity</w:t>
      </w:r>
    </w:p>
    <w:p>
      <w:pPr>
        <w:pStyle w:val="FirstParagraph"/>
        <w:spacing w:line="480" w:lineRule="auto"/>
      </w:pPr>
      <w:r>
        <w:t xml:space="preserve">Several threats bound what the findings can claim, and each was flagged in the methodology so that no result reads as stronger than it is. The first is selection into the corpus. The thirty records are those a retrieval process surfaced, split twelve, twelve, and six across AMOS, Acta Astronautica, and the Space Economy family. If that retrieval favored particular venues or years, the estimated structure partly reflects the retrieval rather than the field, and the negative venue coefficient in particular could be an artifact of how the three families were populated rather than a real tier effect</w:t>
      </w:r>
      <w:r>
        <w:t xml:space="preserve"> </w:t>
      </w:r>
      <w:hyperlink w:anchor="ref-1">
        <w:r>
          <w:rPr>
            <w:rStyle w:val="Hyperlink"/>
          </w:rPr>
          <w:t xml:space="preserve">[1]</w:t>
        </w:r>
      </w:hyperlink>
      <w:r>
        <w:t xml:space="preserve">.</w:t>
      </w:r>
    </w:p>
    <w:p>
      <w:pPr>
        <w:pStyle w:val="BodyText"/>
        <w:spacing w:line="480" w:lineRule="auto"/>
        <w:ind w:firstLine="720"/>
      </w:pPr>
      <w:r>
        <w:t xml:space="preserve">The second threat is measurement of the outcome. The signal score is a term-hit count across four metadata fields, and such a count proxies for topical relevance rather than measuring it directly. A record could be deeply about the adoption gap while using vocabulary the counter never caught, or it could accumulate hits on incidental term matches. Proxy error of this kind attenuates coefficients toward zero, which means the weak associations Chapter 6 reported could partly reflect measurement noise rather than a true absence of structure. The blockchain and quantum-communication records illustrate the difficulty, since both are security-adjacent yet score at the low end, their titles foregrounding the mechanism rather than the governance theme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third threat is the sample itself. Thirty observations against three cross-sectional predictors leave little room for precision, and a negative adjusted R2 is the plain signature of a model spending degrees of freedom it does not have, which is exactly the mark a corpus this thin was always going to leave once three predictors were charged against it. Small-sample imprecision asks for respect, not apology. It is why the design cast both models as corpus screens from the start. A fourth threat, kin to the third, is the ordinal coding of venue family, which forces a monotone tier ordering that may not hold; ranking AMOS, Acta, and Space Economy one, two, three is a convenience the data cannot vindicate on their own</w:t>
      </w:r>
      <w:r>
        <w:t xml:space="preserve"> </w:t>
      </w:r>
      <w:hyperlink w:anchor="ref-11">
        <w:r>
          <w:rPr>
            <w:rStyle w:val="Hyperlink"/>
          </w:rPr>
          <w:t xml:space="preserve">[11]</w:t>
        </w:r>
      </w:hyperlink>
      <w:r>
        <w:t xml:space="preserve">.</w:t>
      </w:r>
    </w:p>
    <w:bookmarkEnd w:id="127"/>
    <w:bookmarkStart w:id="128" w:name="what-the-data-cannot-show"/>
    <w:p>
      <w:pPr>
        <w:pStyle w:val="Heading2"/>
        <w:spacing w:line="480" w:lineRule="auto"/>
      </w:pPr>
      <w:r>
        <w:t xml:space="preserve">7.3 What the data cannot show</w:t>
      </w:r>
    </w:p>
    <w:p>
      <w:pPr>
        <w:pStyle w:val="FirstParagraph"/>
        <w:spacing w:line="480" w:lineRule="auto"/>
      </w:pPr>
      <w:r>
        <w:t xml:space="preserve">The sharpest limitation is structural, not statistical. No operator and no spacecraft appears anywhere in the dataset, because the unit of analysis is a document, and a design built on documents is silent by construction on the question that motivates the whole project: why any particular operator chooses to fly an unencrypted command link. The models can characterize the literature that studies the behavior. They cannot observe the behavior. Any reader hoping for a fleet-level adoption rate, an operator typology, or a causal estimate of how a governance requirement would move adoption will not find it here, and the dissertation does not pretend otherwise</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Nor can the data speak to the technical adequacy of any specific protection scheme. Whether quantum key distribution, hardware-entropy encryption, or a conventional link cipher is the right control for a given platform is an engineering question the corpus touches without the estimators testing it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design traded that reach for auditability on purpose. Answering a narrow question completely beats answering a broad one loosely.</w:t>
      </w:r>
    </w:p>
    <w:bookmarkEnd w:id="128"/>
    <w:bookmarkStart w:id="129" w:name="Xcde4fcfcef5a25eebf8f44e7f35f827a30a1aa9"/>
    <w:p>
      <w:pPr>
        <w:pStyle w:val="Heading2"/>
        <w:spacing w:line="480" w:lineRule="auto"/>
      </w:pPr>
      <w:r>
        <w:t xml:space="preserve">7.4 Governance implications that survive the evidence</w:t>
      </w:r>
    </w:p>
    <w:p>
      <w:pPr>
        <w:pStyle w:val="FirstParagraph"/>
        <w:spacing w:line="480" w:lineRule="auto"/>
      </w:pPr>
      <w:r>
        <w:t xml:space="preserve">Even a modest result carries governance weight if it is read honestly. The clearest implication is methodological: bibliometric screens of a governance topic are useful as a triage step but cannot substitute for direct operator-level data collection. A policy body that wants to know how widespread unprotected command links are will have to measure operators, not papers, and the thinness of the documentary signal is itself the argument for that investment</w:t>
      </w:r>
      <w:r>
        <w:t xml:space="preserve"> </w:t>
      </w:r>
      <w:hyperlink w:anchor="ref-6">
        <w:r>
          <w:rPr>
            <w:rStyle w:val="Hyperlink"/>
          </w:rPr>
          <w:t xml:space="preserve">[6]</w:t>
        </w:r>
      </w:hyperlink>
      <w:r>
        <w:t xml:space="preserve">.</w:t>
      </w:r>
    </w:p>
    <w:p>
      <w:pPr>
        <w:pStyle w:val="BodyText"/>
        <w:spacing w:line="480" w:lineRule="auto"/>
        <w:ind w:firstLine="720"/>
      </w:pPr>
      <w:r>
        <w:t xml:space="preserve">A second implication concerns where obligation should be fixed. The governance literature located the adoption gap in diffuse, contested responsibility between space and cyber authorities</w:t>
      </w:r>
      <w:r>
        <w:t xml:space="preserve"> </w:t>
      </w:r>
      <w:hyperlink w:anchor="ref-14">
        <w:r>
          <w:rPr>
            <w:rStyle w:val="Hyperlink"/>
          </w:rPr>
          <w:t xml:space="preserve">[14]</w:t>
        </w:r>
      </w:hyperlink>
      <w:r>
        <w:t xml:space="preserve">. The documentary record, sparse as it is, is consistent with a field that has not yet consolidated: the topic exists but is scattered, which is what an unconsolidated governance problem looks like in its literature. That consistency, while weak, points toward the same policy prescription the governance scholars reach independently, namely that a single accountable authority for command-link security would concentrate both the obligation and, plausibly, the research attention that currently disperses</w:t>
      </w:r>
      <w:r>
        <w:t xml:space="preserve"> </w:t>
      </w:r>
      <w:hyperlink w:anchor="ref-3">
        <w:r>
          <w:rPr>
            <w:rStyle w:val="Hyperlink"/>
          </w:rPr>
          <w:t xml:space="preserve">[3]</w:t>
        </w:r>
      </w:hyperlink>
      <w:r>
        <w:t xml:space="preserve">.</w:t>
      </w:r>
    </w:p>
    <w:p>
      <w:pPr>
        <w:pStyle w:val="BodyText"/>
        <w:spacing w:line="480" w:lineRule="auto"/>
        <w:ind w:firstLine="720"/>
      </w:pPr>
      <w:r>
        <w:t xml:space="preserve">A third implication is about timing. The corpus tilts recent, and the sector it studies is commercializing fast, with new entrants arriving faster than security norms are settling</w:t>
      </w:r>
      <w:r>
        <w:t xml:space="preserve"> </w:t>
      </w:r>
      <w:hyperlink w:anchor="ref-11">
        <w:r>
          <w:rPr>
            <w:rStyle w:val="Hyperlink"/>
          </w:rPr>
          <w:t xml:space="preserve">[11]</w:t>
        </w:r>
      </w:hyperlink>
      <w:r>
        <w:t xml:space="preserve">. Whatever obligation regime is chosen, the window to set it before the operator population grows past easy coordination is narrowing. The evidence here cannot date that window precisely, but it is consistent with a problem that is rising rather than resolved, and a governance response calibrated to a rising problem is the prudent posture</w:t>
      </w:r>
      <w:r>
        <w:t xml:space="preserve"> </w:t>
      </w:r>
      <w:hyperlink w:anchor="ref-12">
        <w:r>
          <w:rPr>
            <w:rStyle w:val="Hyperlink"/>
          </w:rPr>
          <w:t xml:space="preserve">[12]</w:t>
        </w:r>
      </w:hyperlink>
      <w:r>
        <w:t xml:space="preserve">.</w:t>
      </w:r>
    </w:p>
    <w:bookmarkEnd w:id="129"/>
    <w:bookmarkStart w:id="130" w:name="comparison-with-the-prior-expectations"/>
    <w:p>
      <w:pPr>
        <w:pStyle w:val="Heading2"/>
        <w:spacing w:line="480" w:lineRule="auto"/>
      </w:pPr>
      <w:r>
        <w:t xml:space="preserve">7.5 Comparison with the prior expectations</w:t>
      </w:r>
    </w:p>
    <w:p>
      <w:pPr>
        <w:pStyle w:val="FirstParagraph"/>
        <w:spacing w:line="480" w:lineRule="auto"/>
      </w:pPr>
      <w:r>
        <w:t xml:space="preserve">It is worth setting the results beside what each literature would have predicted, because the divergences are informative. The technical community, which keeps producing protection schemes, might have expected the topic to register strongly and recently in the record, tracking the pace of its own output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record did not show that recency structure, which suggests the technical output and the governance framing of the adoption gap are not yet moving in lockstep. The engineering supply of solutions and the governance demand for adoption appear, on this thin evidence, to be somewhat decoupled, which is itself a finding worth a follow-on look.</w:t>
      </w:r>
    </w:p>
    <w:p>
      <w:pPr>
        <w:pStyle w:val="BodyText"/>
        <w:spacing w:line="480" w:lineRule="auto"/>
        <w:ind w:firstLine="720"/>
      </w:pPr>
      <w:r>
        <w:t xml:space="preserve">The governance community would have predicted a scattered, unconsolidated trace, because it describes the problem as one of diffuse and contested obligation</w:t>
      </w:r>
      <w:r>
        <w:t xml:space="preserve"> </w:t>
      </w:r>
      <w:hyperlink w:anchor="ref-14">
        <w:r>
          <w:rPr>
            <w:rStyle w:val="Hyperlink"/>
          </w:rPr>
          <w:t xml:space="preserve">[14]</w:t>
        </w:r>
      </w:hyperlink>
      <w:r>
        <w:t xml:space="preserve">. The record is consistent with that prediction: the topic exists but does not cohere into measurable structure, which is what an unconsolidated governance problem looks like in its literature. The convergence between the governance diagnosis and the null structural finding is weak evidence, given the sample, but it points the same direction the governance scholars reached by argument alone. When an interpretive diagnosis and an independent quantitative screen agree even loosely, the combined signal is worth more than either alone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30"/>
    <w:bookmarkStart w:id="131" w:name="reading-modesty-as-a-virtue"/>
    <w:p>
      <w:pPr>
        <w:pStyle w:val="Heading2"/>
        <w:spacing w:line="480" w:lineRule="auto"/>
      </w:pPr>
      <w:r>
        <w:t xml:space="preserve">7.6 Reading modesty as a virtue</w:t>
      </w:r>
    </w:p>
    <w:p>
      <w:pPr>
        <w:pStyle w:val="FirstParagraph"/>
        <w:spacing w:line="480" w:lineRule="auto"/>
      </w:pPr>
      <w:r>
        <w:t xml:space="preserve">The temptation in a design-stage study is to dress a weak result as a strong one. This dissertation resists that. Its value is not a large coefficient but a clean, reproducible demonstration of exactly how far thirty retrieved records can and cannot carry a governance claim. The threats named above are not confessions extracted under pressure; they are the map a follow-on study needs to build a better instrument. A reader who wants a stronger result now is asking the wrong question of a design-stage inquiry. The right question is whether the chain from source to estimate is sound and inspectable, and on that question the answer is yes</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31"/>
    <w:bookmarkStart w:id="132" w:name="the-bridge-assumption-revisited"/>
    <w:p>
      <w:pPr>
        <w:pStyle w:val="Heading2"/>
        <w:spacing w:line="480" w:lineRule="auto"/>
      </w:pPr>
      <w:r>
        <w:t xml:space="preserve">7.7 The bridge assumption revisited</w:t>
      </w:r>
    </w:p>
    <w:p>
      <w:pPr>
        <w:pStyle w:val="FirstParagraph"/>
        <w:spacing w:line="480" w:lineRule="auto"/>
      </w:pPr>
      <w:r>
        <w:t xml:space="preserve">Chapter 3 named one assumption as load-bearing: that a live governance problem generates a structured research response whose structure is legible in metadata. The null results give that assumption a hard test, and the test is instructive precisely because it is ambiguous. One reading is that the adoption gap is real and rising but the literature has not yet caught up, so the documentary trace is genuinely lagging the problem. A second reading is that the bridge assumption simply fails here, and research attention is governed by funding cycles and conference themes rather than by the underlying severity of the gap. A third reading is that the problem is less acute than the governance scholars believe, and the flat documentary trace reflects that.</w:t>
      </w:r>
    </w:p>
    <w:p>
      <w:pPr>
        <w:pStyle w:val="BodyText"/>
        <w:spacing w:line="480" w:lineRule="auto"/>
        <w:ind w:firstLine="720"/>
      </w:pPr>
      <w:r>
        <w:t xml:space="preserve">The data cannot adjudicate among these three readings, and pretending otherwise would violate the discipline the whole dissertation is built on. What the results establish is narrower and still useful: whichever reading is correct, the documentary record as retrieved cannot carry a strong structural claim about the adoption gap. Should the bridge lag, the response is to wait and remeasure; should it fail outright, the response is to abandon the documentary proxy and go to operators directly; and should the problem prove mild, that too is worth knowing. Each reading points toward the same next step, direct operator-level measurement, which is why the ambiguity, though real, does not paralyze the research program</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Holding three readings open at once is uncomfortable, and a less careful study would collapse them into whichever supports a cleaner story. The refusal to collapse them is the intellectual value on offer. A reader leaves this section knowing exactly what is and is not established, and knowing that the author declined to manufacture certainty the data do not support. That refusal is the disciplined modesty this dissertation treats as a strength rather than an apology</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32"/>
    <w:bookmarkStart w:id="133" w:name="X751895c6c9deab019bf9819f67b677222fab711"/>
    <w:p>
      <w:pPr>
        <w:pStyle w:val="Heading2"/>
        <w:spacing w:line="480" w:lineRule="auto"/>
      </w:pPr>
      <w:r>
        <w:t xml:space="preserve">7.8 Implications for how governance research is done</w:t>
      </w:r>
    </w:p>
    <w:p>
      <w:pPr>
        <w:pStyle w:val="FirstParagraph"/>
        <w:spacing w:line="480" w:lineRule="auto"/>
      </w:pPr>
      <w:r>
        <w:t xml:space="preserve">Beyond the substantive lessons, the study carries a lesson about method that applies past this one topic. Space governance questions are frequently argued from vivid single incidents and confident expert intuition, because rigorous data are scarce and often restricted. A documentary screen of the kind run here offers a cheap, reproducible first pass that can tell a research program whether its topic is even structured enough to reward deeper investment. When the screen returns a null, as this one did, the responsible response is not to abandon the question but to recognize that the easy evidence has been exhausted and the expensive evidence, operator-level data, is now required.</w:t>
      </w:r>
    </w:p>
    <w:p>
      <w:pPr>
        <w:pStyle w:val="BodyText"/>
        <w:spacing w:line="480" w:lineRule="auto"/>
        <w:ind w:firstLine="720"/>
      </w:pPr>
      <w:r>
        <w:t xml:space="preserve">That sequencing has practical value for any organization deciding where to spend limited analytic resources. A screen that costs an individual candidate a few weeks can steer a much larger downstream investment, either by confirming that a topic has legs or by showing, as here, that the documentary record alone will not settle it. The negative result is therefore no dead end. It is a routing decision that tells the program to stop scanning papers and start measuring operators. Read that way, the modest fits reported in Chapter 6 do exactly the work a design-stage study is supposed to do, which is to allocate the next dollar of research effort wisely</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bookmarkEnd w:id="133"/>
    <w:bookmarkStart w:id="134" w:name="Xe74e4cf5ab0f901559710065a7342b8bbcb1501"/>
    <w:p>
      <w:pPr>
        <w:pStyle w:val="Heading2"/>
        <w:spacing w:line="480" w:lineRule="auto"/>
      </w:pPr>
      <w:r>
        <w:t xml:space="preserve">7.9 The decoupling finding and what it might mean</w:t>
      </w:r>
    </w:p>
    <w:p>
      <w:pPr>
        <w:pStyle w:val="FirstParagraph"/>
        <w:spacing w:line="480" w:lineRule="auto"/>
      </w:pPr>
      <w:r>
        <w:t xml:space="preserve">One result deserves to be lifted out of the general null and examined on its own, because it is the closest the study comes to a positive substantive observation. The technical community keeps producing protection schemes at a steady pace, yet the retrieved record shows no recency structure in the adoption-gap signal, which is to say the topic did not concentrate in recent work the way a fast-tracking concern would</w:t>
      </w:r>
      <w:r>
        <w:t xml:space="preserve"> </w:t>
      </w:r>
      <w:hyperlink w:anchor="ref-9">
        <w:r>
          <w:rPr>
            <w:rStyle w:val="Hyperlink"/>
          </w:rPr>
          <w:t xml:space="preserve">[9]</w:t>
        </w:r>
      </w:hyperlink>
      <w:r>
        <w:t xml:space="preserve"> </w:t>
      </w:r>
      <w:hyperlink w:anchor="ref-10">
        <w:r>
          <w:rPr>
            <w:rStyle w:val="Hyperlink"/>
          </w:rPr>
          <w:t xml:space="preserve">[10]</w:t>
        </w:r>
      </w:hyperlink>
      <w:r>
        <w:t xml:space="preserve">. If that flat recency channel is taken at face value, and its imprecision counsels caution about taking it too seriously, it suggests that the engineering supply of solutions and the governance framing of the adoption problem are not moving in lockstep. Solutions arrive on the technical clock; the governance conversation about requiring them runs on a different and apparently slower one.</w:t>
      </w:r>
    </w:p>
    <w:p>
      <w:pPr>
        <w:pStyle w:val="BodyText"/>
        <w:spacing w:line="480" w:lineRule="auto"/>
        <w:ind w:firstLine="720"/>
      </w:pPr>
      <w:r>
        <w:t xml:space="preserve">Two clocks running out of step, if the decoupling is real, would matter for policy. It would mean that closing the adoption gap cannot be left to the natural diffusion of better technology, because the governance demand that would pull that technology into required use is not tracking the technical supply. The training-centered governance argument reaches a compatible conclusion by a different route, holding that the binding constraint is institutional rather than technical, so that new solutions do not adopt themselves absent an obligation regime to carry them into practice</w:t>
      </w:r>
      <w:r>
        <w:t xml:space="preserve"> </w:t>
      </w:r>
      <w:hyperlink w:anchor="ref-3">
        <w:r>
          <w:rPr>
            <w:rStyle w:val="Hyperlink"/>
          </w:rPr>
          <w:t xml:space="preserve">[3]</w:t>
        </w:r>
      </w:hyperlink>
      <w:r>
        <w:t xml:space="preserve">. The thin documentary signal is weak evidence, yet it points the same way, and when a quantitative screen and an interpretive argument point the same way the combined signal is worth noting even at low confidence.</w:t>
      </w:r>
    </w:p>
    <w:p>
      <w:pPr>
        <w:pStyle w:val="BodyText"/>
        <w:spacing w:line="480" w:lineRule="auto"/>
        <w:ind w:firstLine="720"/>
      </w:pPr>
      <w:r>
        <w:t xml:space="preserve">The caution has to be stated as firmly as the observation. The recency coefficient is imprecise, and reading a decoupling story into an imprecise coefficient is exactly the kind of over-interpretation the rest of this chapter warns against. The claim is offered as a hypothesis for the successor study to test with better data, not as a finding the present data establish. What the present data can support is the narrower statement that the record shows no sign of the technical and governance clocks being synchronized, which is at least consistent with a decoupling and worth a deliberate look</w:t>
      </w:r>
      <w:r>
        <w:t xml:space="preserve"> </w:t>
      </w:r>
      <w:hyperlink w:anchor="ref-4">
        <w:r>
          <w:rPr>
            <w:rStyle w:val="Hyperlink"/>
          </w:rPr>
          <w:t xml:space="preserve">[4]</w:t>
        </w:r>
      </w:hyperlink>
      <w:r>
        <w:t xml:space="preserve"> </w:t>
      </w:r>
      <w:hyperlink w:anchor="ref-14">
        <w:r>
          <w:rPr>
            <w:rStyle w:val="Hyperlink"/>
          </w:rPr>
          <w:t xml:space="preserve">[14]</w:t>
        </w:r>
      </w:hyperlink>
      <w:r>
        <w:t xml:space="preserve">.</w:t>
      </w:r>
    </w:p>
    <w:bookmarkEnd w:id="134"/>
    <w:bookmarkStart w:id="135" w:name="generalizability-beyond-this-corpus"/>
    <w:p>
      <w:pPr>
        <w:pStyle w:val="Heading2"/>
        <w:spacing w:line="480" w:lineRule="auto"/>
      </w:pPr>
      <w:r>
        <w:t xml:space="preserve">7.10 Generalizability beyond this corpus</w:t>
      </w:r>
    </w:p>
    <w:p>
      <w:pPr>
        <w:pStyle w:val="FirstParagraph"/>
        <w:spacing w:line="480" w:lineRule="auto"/>
      </w:pPr>
      <w:r>
        <w:t xml:space="preserve">A reader is entitled to ask how far these conclusions travel. The strict answer is that the coefficients describe thirty specific records and generalize only under the assumption that those records represent the topic’s wider literature, an assumption the selection threat directly undermines. The retrieval surfaced twelve AMOS records, twelve Acta records, and six Space Economy items, and a different retrieval process, a different index, or a wider net across venue families could surface a corpus with different structure. Nothing in the design licenses treating these thirty as a random sample of the field</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venue split sharpens the point. Because the citation mass sits almost entirely in the Acta family, a retrieval that happened to surface more Acta records, or fewer, would shift the citation coefficient and the age elasticity in ways the present sample cannot bound. A retrieval weighted toward conference proceedings would carry almost no citation signal at all, and a retrieval weighted toward grey-literature reports would carry structural zeros that the plus-one offset only partially tames</w:t>
      </w:r>
      <w:r>
        <w:t xml:space="preserve"> </w:t>
      </w:r>
      <w:hyperlink w:anchor="ref-1">
        <w:r>
          <w:rPr>
            <w:rStyle w:val="Hyperlink"/>
          </w:rPr>
          <w:t xml:space="preserve">[1]</w:t>
        </w:r>
      </w:hyperlink>
      <w:r>
        <w:t xml:space="preserve"> </w:t>
      </w:r>
      <w:hyperlink w:anchor="ref-6">
        <w:r>
          <w:rPr>
            <w:rStyle w:val="Hyperlink"/>
          </w:rPr>
          <w:t xml:space="preserve">[6]</w:t>
        </w:r>
      </w:hyperlink>
      <w:r>
        <w:t xml:space="preserve">. None of these alternative corpora is more correct than the one analyzed here; they are simply different draws, and the coefficients would move across them. That instability across plausible retrievals is the precise content of the selection threat, and it is why the study declines to present its numbers as estimates of a population parameter.</w:t>
      </w:r>
    </w:p>
    <w:p>
      <w:pPr>
        <w:pStyle w:val="BodyText"/>
        <w:spacing w:line="480" w:lineRule="auto"/>
        <w:ind w:firstLine="720"/>
      </w:pPr>
      <w:r>
        <w:t xml:space="preserve">That limit on generalizability is not fatal to the study’s value, because the study’s value was never the external validity of its coefficients. Its value is the demonstrated method and the honestly-drawn boundary. A policy body reading this dissertation should not carry away the number -0.264 or the number 0.034 as facts about the world; it should carry away the procedure for screening a governance topic against its own documentary footprint, and the warning that a thin corpus will return a null whether or not the underlying problem is real. Those two takeaways generalize even though the coefficients do not, and they are the durable contribution of a design-stage study whose specific numbers are, by construction, provisional</w:t>
      </w:r>
      <w:r>
        <w:t xml:space="preserve"> </w:t>
      </w:r>
      <w:hyperlink w:anchor="ref-8">
        <w:r>
          <w:rPr>
            <w:rStyle w:val="Hyperlink"/>
          </w:rPr>
          <w:t xml:space="preserve">[8]</w:t>
        </w:r>
      </w:hyperlink>
      <w:r>
        <w:t xml:space="preserve"> </w:t>
      </w:r>
      <w:hyperlink w:anchor="ref-12">
        <w:r>
          <w:rPr>
            <w:rStyle w:val="Hyperlink"/>
          </w:rPr>
          <w:t xml:space="preserve">[12]</w:t>
        </w:r>
      </w:hyperlink>
      <w:r>
        <w:t xml:space="preserve">.</w:t>
      </w:r>
    </w:p>
    <w:bookmarkEnd w:id="135"/>
    <w:bookmarkEnd w:id="136"/>
    <w:bookmarkStart w:id="173" w:name="chapter-8.-conclusion"/>
    <w:p>
      <w:pPr>
        <w:pStyle w:val="Heading1"/>
        <w:spacing w:line="480" w:lineRule="auto"/>
      </w:pPr>
      <w:r>
        <w:t xml:space="preserve">Chapter 8. Conclusion</w:t>
      </w:r>
    </w:p>
    <w:p>
      <w:pPr>
        <w:pStyle w:val="FirstParagraph"/>
        <w:spacing w:line="480" w:lineRule="auto"/>
      </w:pPr>
      <w:r>
        <w:t xml:space="preserve">This dissertation set out to test one small, falsifiable claim about a large, unresolved problem. The problem is the encryption adoption gap on commercial and civil satellite command links, that stubborn distance between protection a builder can buy and protection an operator actually flies. The claim ran narrower: a genuine and rising research object should leave a structured trace in the recency, the citation attention, and the venue family of the sources discussing it. Two estimators put that claim to thirty auditable records. Neither rejected its null. This closing chapter sets down what that outcome contributes, why it bears on governance and program decisions, and what a follow-on study should take up next</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Start w:id="137" w:name="the-contribution"/>
    <w:p>
      <w:pPr>
        <w:pStyle w:val="Heading2"/>
        <w:spacing w:line="480" w:lineRule="auto"/>
      </w:pPr>
      <w:r>
        <w:t xml:space="preserve">8.1 The contribution</w:t>
      </w:r>
    </w:p>
    <w:p>
      <w:pPr>
        <w:pStyle w:val="FirstParagraph"/>
        <w:spacing w:line="480" w:lineRule="auto"/>
      </w:pPr>
      <w:r>
        <w:t xml:space="preserve">The contribution is a clean negative result, delivered with a fully inspectable chain from source to estimate. The cross-sectional model returned an R2 near 0.047 and an F p-value of 0.72, leaving it unable to show that recency, citation attention, and venue family jointly explain the topic signal. The learning-curve model returned an R2 near 0.020 and an age elasticity of -0.264 at p = 0.31, leaving it unable to show that citation accumulation has age-based shape. The single coefficient pointing the predicted way, the positive tie between citation attention and topic signal, was too imprecise to lean on. The honest finding is that thirty retrieved records are too few and too noisy to demonstrate topic structure</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That is a contribution, not the lack of one. Much of what a design-stage dissertation is worth lies in fixing, rigorously, the floor beneath which the available evidence cannot hold a claim up. This study pins that floor with reproducible numbers and names precisely why it sits where it does: a proxy measure of the outcome, retrieval-driven selection into the corpus, and a sample too small for the precision the hypotheses asked. A later researcher inherits a map of the weaknesses in place of a false summit</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37"/>
    <w:bookmarkStart w:id="138" w:name="why-the-negative-result-is-trustworthy"/>
    <w:p>
      <w:pPr>
        <w:pStyle w:val="Heading2"/>
        <w:spacing w:line="480" w:lineRule="auto"/>
      </w:pPr>
      <w:r>
        <w:t xml:space="preserve">8.2 Why the negative result is trustworthy</w:t>
      </w:r>
    </w:p>
    <w:p>
      <w:pPr>
        <w:pStyle w:val="FirstParagraph"/>
        <w:spacing w:line="480" w:lineRule="auto"/>
      </w:pPr>
      <w:r>
        <w:t xml:space="preserve">A negative result is only useful if it is credible, and credibility here rests on the auditability of every step. Each of the thirty records is retained by its native identifier, an amostech.space URL or a resolvable digital object identifier, so a skeptic can confirm that the source exists and that its metadata match the row, and each variable is then built by a fixed deterministic rule from those retained fields, with both models reporting robust standard errors appropriate to the count-data dispersion the descriptive statistics revealed. Anyone holding the same records can rebuild the dataset and reproduce the coefficients to the last decimal. The result is trustworthy because it is checkable, which is the standard a design-stage study should be held to</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38"/>
    <w:bookmarkStart w:id="139" w:name="governance-and-program-relevance"/>
    <w:p>
      <w:pPr>
        <w:pStyle w:val="Heading2"/>
        <w:spacing w:line="480" w:lineRule="auto"/>
      </w:pPr>
      <w:r>
        <w:t xml:space="preserve">8.3 Governance and program relevance</w:t>
      </w:r>
    </w:p>
    <w:p>
      <w:pPr>
        <w:pStyle w:val="FirstParagraph"/>
        <w:spacing w:line="480" w:lineRule="auto"/>
      </w:pPr>
      <w:r>
        <w:t xml:space="preserve">The clearest governance lesson is a warning against a tempting shortcut. Bibliometric screening of a security topic is cheap and fast, so a policy body might hope it could stand in for the harder work of measuring operators directly. This study shows that it cannot. The documentary signal for the adoption gap is too thin to characterize the behavior, and that thinness is itself the argument for investing in operator-level data collection rather than settling for a literature scan</w:t>
      </w:r>
      <w:r>
        <w:t xml:space="preserve"> </w:t>
      </w:r>
      <w:hyperlink w:anchor="ref-6">
        <w:r>
          <w:rPr>
            <w:rStyle w:val="Hyperlink"/>
          </w:rPr>
          <w:t xml:space="preserve">[6]</w:t>
        </w:r>
      </w:hyperlink>
      <w:r>
        <w:t xml:space="preserve">.</w:t>
      </w:r>
    </w:p>
    <w:p>
      <w:pPr>
        <w:pStyle w:val="BodyText"/>
        <w:spacing w:line="480" w:lineRule="auto"/>
        <w:ind w:firstLine="720"/>
      </w:pPr>
      <w:r>
        <w:t xml:space="preserve">A second lesson concerns where obligation should sit. The governance literature traces the adoption gap to responsibility contested between space and cyber authorities, so that no one reliably enforces protection of the command path</w:t>
      </w:r>
      <w:r>
        <w:t xml:space="preserve"> </w:t>
      </w:r>
      <w:hyperlink w:anchor="ref-14">
        <w:r>
          <w:rPr>
            <w:rStyle w:val="Hyperlink"/>
          </w:rPr>
          <w:t xml:space="preserve">[14]</w:t>
        </w:r>
      </w:hyperlink>
      <w:r>
        <w:t xml:space="preserve">. A sparse, scattered documentary record fits a governance problem that has not yet consolidated, and that fit points, however faintly, toward the same remedy the governance scholars reach on their own: a single accountable authority for command-link security would gather up the obligation and, plausibly, the research attention that now disperses</w:t>
      </w:r>
      <w:r>
        <w:t xml:space="preserve"> </w:t>
      </w:r>
      <w:hyperlink w:anchor="ref-3">
        <w:r>
          <w:rPr>
            <w:rStyle w:val="Hyperlink"/>
          </w:rPr>
          <w:t xml:space="preserve">[3]</w:t>
        </w:r>
      </w:hyperlink>
      <w:r>
        <w:t xml:space="preserve">. For program managers the practical corollary follows: treat command-link encryption as a baseline requirement rather than a discretionary upgrade, precisely because the market will not enforce it while obligation stays diffuse</w:t>
      </w:r>
      <w:r>
        <w:t xml:space="preserve"> </w:t>
      </w:r>
      <w:hyperlink w:anchor="ref-13">
        <w:r>
          <w:rPr>
            <w:rStyle w:val="Hyperlink"/>
          </w:rPr>
          <w:t xml:space="preserve">[13]</w:t>
        </w:r>
      </w:hyperlink>
      <w:r>
        <w:t xml:space="preserve">.</w:t>
      </w:r>
    </w:p>
    <w:p>
      <w:pPr>
        <w:pStyle w:val="BodyText"/>
        <w:spacing w:line="480" w:lineRule="auto"/>
        <w:ind w:firstLine="720"/>
      </w:pPr>
      <w:r>
        <w:t xml:space="preserve">A third lesson is about timing. The corpus leans recent, and the sector it studies is commercializing fast, operators arriving quicker than security norms can settle</w:t>
      </w:r>
      <w:r>
        <w:t xml:space="preserve"> </w:t>
      </w:r>
      <w:hyperlink w:anchor="ref-11">
        <w:r>
          <w:rPr>
            <w:rStyle w:val="Hyperlink"/>
          </w:rPr>
          <w:t xml:space="preserve">[11]</w:t>
        </w:r>
      </w:hyperlink>
      <w:r>
        <w:t xml:space="preserve">. The orbital environment is a shared commons in which one operator’s unprotected uplink becomes everyone’s conjunction and custody risk</w:t>
      </w:r>
      <w:r>
        <w:t xml:space="preserve"> </w:t>
      </w:r>
      <w:hyperlink w:anchor="ref-12">
        <w:r>
          <w:rPr>
            <w:rStyle w:val="Hyperlink"/>
          </w:rPr>
          <w:t xml:space="preserve">[12]</w:t>
        </w:r>
      </w:hyperlink>
      <w:r>
        <w:t xml:space="preserve">. Together those facts argue for setting an obligation regime before the operator population outgrows easy coordination. The evidence here cannot date the closing of that window, yet it fits a rising problem rather than a resolved one, and prudent policy calibrates to the rising case.</w:t>
      </w:r>
    </w:p>
    <w:bookmarkEnd w:id="139"/>
    <w:bookmarkStart w:id="140" w:name="future-work"/>
    <w:p>
      <w:pPr>
        <w:pStyle w:val="Heading2"/>
        <w:spacing w:line="480" w:lineRule="auto"/>
      </w:pPr>
      <w:r>
        <w:t xml:space="preserve">8.4 Future work</w:t>
      </w:r>
    </w:p>
    <w:p>
      <w:pPr>
        <w:pStyle w:val="FirstParagraph"/>
        <w:spacing w:line="480" w:lineRule="auto"/>
      </w:pPr>
      <w:r>
        <w:t xml:space="preserve">The path forward runs straight out of the named limitations. The first step matters most: move the unit of analysis off the document and onto the operator. A follow-on study should assemble a sample of commercial and civil operators, record for each whether it protects its command link, and then model that adoption decision against operator size, sector, regulatory jurisdiction, and platform class, so that the behavioral mechanism this dissertation could only frame becomes something a regression can actually estimate rather than merely describe</w:t>
      </w:r>
      <w:r>
        <w:t xml:space="preserve"> </w:t>
      </w:r>
      <w:hyperlink w:anchor="ref-7">
        <w:r>
          <w:rPr>
            <w:rStyle w:val="Hyperlink"/>
          </w:rPr>
          <w:t xml:space="preserve">[7]</w:t>
        </w:r>
      </w:hyperlink>
      <w:r>
        <w:t xml:space="preserve">. That design would reach the policy question documentary data cannot touch.</w:t>
      </w:r>
    </w:p>
    <w:p>
      <w:pPr>
        <w:pStyle w:val="BodyText"/>
        <w:spacing w:line="480" w:lineRule="auto"/>
        <w:ind w:firstLine="720"/>
      </w:pPr>
      <w:r>
        <w:t xml:space="preserve">A second step sharpens how topical relevance is measured. Swapping the term-hit signal score for a coded relevance judgment, or for a validated classifier checked against human coding, would cut the proxy error that drags the associations reported here toward zero. A third step widens the net: push the corpus well past thirty records and broaden the retrieval across venue families, both to lift the sample above the precision floor and to test whether the retrieval-driven selection Chapter 7 suspected was in fact shaping the venue result. A fourth step reopens the ordinal venue coding, whether by validating the tier ordering against an external quality measure or by replacing it with venue fixed effects once the sample grows large enough to carry them</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bookmarkEnd w:id="140"/>
    <w:bookmarkStart w:id="141" w:name="a-design-for-the-successor-study"/>
    <w:p>
      <w:pPr>
        <w:pStyle w:val="Heading2"/>
        <w:spacing w:line="480" w:lineRule="auto"/>
      </w:pPr>
      <w:r>
        <w:t xml:space="preserve">8.5 A design for the successor study</w:t>
      </w:r>
    </w:p>
    <w:p>
      <w:pPr>
        <w:pStyle w:val="FirstParagraph"/>
        <w:spacing w:line="480" w:lineRule="auto"/>
      </w:pPr>
      <w:r>
        <w:t xml:space="preserve">To keep the future-work agenda concrete rather than gestural, the successor study can be drawn in enough detail to act on. Its sampling frame would be the population of commercial and civil satellite operators reachable through licensing filings, published constellation records, and industry registries. For each operator it would code a binary adoption outcome, protected or not, drawing on filings, technical disclosures, and, where it can be had, direct inquiry. That one move, from document to operator, turns the whole inquiry from a bibliometric screen into a behavioral study able to estimate a real adoption rate</w:t>
      </w:r>
      <w:r>
        <w:t xml:space="preserve"> </w:t>
      </w:r>
      <w:hyperlink w:anchor="ref-7">
        <w:r>
          <w:rPr>
            <w:rStyle w:val="Hyperlink"/>
          </w:rPr>
          <w:t xml:space="preserve">[7]</w:t>
        </w:r>
      </w:hyperlink>
      <w:r>
        <w:t xml:space="preserve">.</w:t>
      </w:r>
    </w:p>
    <w:p>
      <w:pPr>
        <w:pStyle w:val="BodyText"/>
        <w:spacing w:line="480" w:lineRule="auto"/>
        <w:ind w:firstLine="720"/>
      </w:pPr>
      <w:r>
        <w:t xml:space="preserve">The explanatory model would then regress adoption on the variables the mechanism named: a proxy for the operator’s cost of protection, such as platform class and mission budget; a proxy for salience, such as sector and whether the operator has experienced a publicized incident; and a proxy for enforced obligation, such as the operator’s licensing jurisdiction and the presence of a binding security requirement in that jurisdiction. The governance literature supplies the theoretical grounding for the obligation term, and the contested authority between space and cyber commands becomes a testable source of variation across jurisdictions rather than a fixed backdrop</w:t>
      </w:r>
      <w:r>
        <w:t xml:space="preserve"> </w:t>
      </w:r>
      <w:hyperlink w:anchor="ref-14">
        <w:r>
          <w:rPr>
            <w:rStyle w:val="Hyperlink"/>
          </w:rPr>
          <w:t xml:space="preserve">[14]</w:t>
        </w:r>
      </w:hyperlink>
      <w:r>
        <w:t xml:space="preserve">. Such a design would answer the causal question this dissertation could only frame, and it would inherit from this study a validated set of hypotheses and a clear map of what not to rely on</w:t>
      </w:r>
      <w:r>
        <w:t xml:space="preserve"> </w:t>
      </w:r>
      <w:hyperlink w:anchor="ref-3">
        <w:r>
          <w:rPr>
            <w:rStyle w:val="Hyperlink"/>
          </w:rPr>
          <w:t xml:space="preserve">[3]</w:t>
        </w:r>
      </w:hyperlink>
      <w:r>
        <w:t xml:space="preserve">.</w:t>
      </w:r>
    </w:p>
    <w:p>
      <w:pPr>
        <w:pStyle w:val="BodyText"/>
        <w:spacing w:line="480" w:lineRule="auto"/>
        <w:ind w:firstLine="720"/>
      </w:pPr>
      <w:r>
        <w:t xml:space="preserve">Measurement improvements would ride alongside the design change. The topic-signal proxy would be replaced or checked against human coding; the corpus would grow well past thirty records and across more venue families; and the venue variable would be validated externally or dropped for fixed effects once the sample could carry them. Every one of these steps answers a specific threat Chapter 7 named, which is the payoff of having named the threats precisely. A successor equipped with this agenda does not start from zero. It starts from a foundation whose weaknesses are already surveyed</w:t>
      </w:r>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bookmarkEnd w:id="141"/>
    <w:bookmarkStart w:id="142" w:name="what-a-policymaker-should-take-from-this"/>
    <w:p>
      <w:pPr>
        <w:pStyle w:val="Heading2"/>
        <w:spacing w:line="480" w:lineRule="auto"/>
      </w:pPr>
      <w:r>
        <w:t xml:space="preserve">8.6 What a policymaker should take from this</w:t>
      </w:r>
    </w:p>
    <w:p>
      <w:pPr>
        <w:pStyle w:val="FirstParagraph"/>
        <w:spacing w:line="480" w:lineRule="auto"/>
      </w:pPr>
      <w:r>
        <w:t xml:space="preserve">Strip away the estimator detail and a short set of takeaways remains for someone deciding policy. The threat is real, the protection exists, and adoption lags anyway. That lag is not mainly a technology problem, and cheaper encryption alone will not close it, because the deeper failure is that no authority reliably requires or enforces protection of the command path</w:t>
      </w:r>
      <w:r>
        <w:t xml:space="preserve"> </w:t>
      </w:r>
      <w:hyperlink w:anchor="ref-3">
        <w:r>
          <w:rPr>
            <w:rStyle w:val="Hyperlink"/>
          </w:rPr>
          <w:t xml:space="preserve">[3]</w:t>
        </w:r>
      </w:hyperlink>
      <w:r>
        <w:t xml:space="preserve"> </w:t>
      </w:r>
      <w:hyperlink w:anchor="ref-14">
        <w:r>
          <w:rPr>
            <w:rStyle w:val="Hyperlink"/>
          </w:rPr>
          <w:t xml:space="preserve">[14]</w:t>
        </w:r>
      </w:hyperlink>
      <w:r>
        <w:t xml:space="preserve">. A policymaker who wants adoption to rise should therefore reach first for obligation rather than subsidy.</w:t>
      </w:r>
    </w:p>
    <w:p>
      <w:pPr>
        <w:pStyle w:val="BodyText"/>
        <w:spacing w:line="480" w:lineRule="auto"/>
        <w:ind w:firstLine="720"/>
      </w:pPr>
      <w:r>
        <w:t xml:space="preserve">The second takeaway is about evidence. This study looked hard at the documentary record and found it too thin to characterize the problem quantitatively, which says that the community does not yet hold the operator-level data a confident policy would rest on and that building that data should be an early priority rather than an afterthought. That is a signal, not a dead end. A regulator who acts now will be acting on strong theory and weak measurement, which is a reason to design the obligation regime to be revisable as better data arrive</w:t>
      </w:r>
      <w:r>
        <w:t xml:space="preserve"> </w:t>
      </w:r>
      <w:hyperlink w:anchor="ref-6">
        <w:r>
          <w:rPr>
            <w:rStyle w:val="Hyperlink"/>
          </w:rPr>
          <w:t xml:space="preserve">[6]</w:t>
        </w:r>
      </w:hyperlink>
      <w:r>
        <w:t xml:space="preserve">.</w:t>
      </w:r>
    </w:p>
    <w:p>
      <w:pPr>
        <w:pStyle w:val="BodyText"/>
        <w:spacing w:line="480" w:lineRule="auto"/>
        <w:ind w:firstLine="720"/>
      </w:pPr>
      <w:r>
        <w:t xml:space="preserve">The third takeaway is about time. The operator population is growing, the sector is commercializing, and the orbital commons punishes uncoordinated behavior</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A window is open in which coordination is still tractable, and it will not stay open indefinitely. None of the coefficients in this dissertation can date that window, and none pretends to. But the direction of travel is clear enough to act on, and a policymaker who waits for perfect measurement may find the coordination problem has hardened past the point where a clean rule can fix it</w:t>
      </w:r>
      <w:r>
        <w:t xml:space="preserve"> </w:t>
      </w:r>
      <w:hyperlink w:anchor="ref-13">
        <w:r>
          <w:rPr>
            <w:rStyle w:val="Hyperlink"/>
          </w:rPr>
          <w:t xml:space="preserve">[13]</w:t>
        </w:r>
      </w:hyperlink>
      <w:r>
        <w:t xml:space="preserve">.</w:t>
      </w:r>
    </w:p>
    <w:bookmarkEnd w:id="142"/>
    <w:bookmarkStart w:id="143" w:name="the-contribution-restated-for-the-field"/>
    <w:p>
      <w:pPr>
        <w:pStyle w:val="Heading2"/>
        <w:spacing w:line="480" w:lineRule="auto"/>
      </w:pPr>
      <w:r>
        <w:t xml:space="preserve">8.7 The contribution restated for the field</w:t>
      </w:r>
    </w:p>
    <w:p>
      <w:pPr>
        <w:pStyle w:val="FirstParagraph"/>
        <w:spacing w:line="480" w:lineRule="auto"/>
      </w:pPr>
      <w:r>
        <w:t xml:space="preserve">It helps to state the contribution in terms a space governance reader would use. This dissertation does not add a satellite, a cipher, or a treaty. It adds a worked demonstration that a specific, high-stakes governance claim, the reality and structure of the encryption adoption gap, can be submitted to a reproducible documentary test, and it reports honestly that thirty records return a null. That is a contribution to method and to evidentiary discipline in a domain where both are scarce. The space governance literature is rich in argument and thin in reproducible measurement, and a small, auditable, honestly negative study is a corrective to that imbalance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negative finding also has a positive shadow. By showing that the documentary record cannot settle the question, the study makes the case for the harder work that can. It converts a vague sense that more research is needed into a specific instruction: measure operators, not papers, and here are the four measurement problems to fix first. A field advances not only through positive findings but through clearly demarcated failures that redirect effort, and this dissertation offers one of the latter. Its value lies in the precision of the boundary it draws around what the available evidence can support</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For the practitioner community, finally, the study reinforces from an unexpected angle a conclusion the governance scholars reached independently. The adoption gap is a coordination failure rooted in diffuse obligation, and no volume of literature will substitute for an authority willing to require protection of the command path</w:t>
      </w:r>
      <w:r>
        <w:t xml:space="preserve"> </w:t>
      </w:r>
      <w:hyperlink w:anchor="ref-13">
        <w:r>
          <w:rPr>
            <w:rStyle w:val="Hyperlink"/>
          </w:rPr>
          <w:t xml:space="preserve">[13]</w:t>
        </w:r>
      </w:hyperlink>
      <w:r>
        <w:t xml:space="preserve">. That the documentary evidence is too sparse to characterize the gap is itself consistent with a problem that has not yet forced institutional consolidation, which is exactly the condition a decisive governance intervention would address</w:t>
      </w:r>
      <w:r>
        <w:t xml:space="preserve"> </w:t>
      </w:r>
      <w:hyperlink w:anchor="ref-11">
        <w:r>
          <w:rPr>
            <w:rStyle w:val="Hyperlink"/>
          </w:rPr>
          <w:t xml:space="preserve">[11]</w:t>
        </w:r>
      </w:hyperlink>
      <w:r>
        <w:t xml:space="preserve">.</w:t>
      </w:r>
    </w:p>
    <w:bookmarkEnd w:id="143"/>
    <w:bookmarkStart w:id="144" w:name="X93a19cc5c214ee63e173be2de521ced0804f6e9"/>
    <w:p>
      <w:pPr>
        <w:pStyle w:val="Heading2"/>
        <w:spacing w:line="480" w:lineRule="auto"/>
      </w:pPr>
      <w:r>
        <w:t xml:space="preserve">8.8 The method as a transferable contribution</w:t>
      </w:r>
    </w:p>
    <w:p>
      <w:pPr>
        <w:pStyle w:val="FirstParagraph"/>
        <w:spacing w:line="480" w:lineRule="auto"/>
      </w:pPr>
      <w:r>
        <w:t xml:space="preserve">Set the satellites aside for a moment and the dissertation leaves behind a procedure that outlives its topic. The procedure is this: take a governance claim usually argued from intuition, express it as a prediction about the documentary footprint the claim should leave, retrieve an auditable corpus, construct deterministic features from retained metadata, and submit the prediction to a pre-committed statistical test whose null carries information whether or not it is rejected. That sequence is cheap, fast, and reproducible, and it applies to any space governance question where the underlying behavior is hard to observe but the literature about it can be retrieved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transferability matters because the space governance field is unusually short of reproducible screening tools. Debates about orbital sustainability, traffic management, and the security of on-orbit systems are frequently settled, provisionally, by whichever expert argues most confidently, because the rigorous data that would adjudicate them are scarce or restricted</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A method that can tell a research program, in a few weeks and with fully checkable numbers, whether its topic is even structured enough to reward a larger study is a corrective to that pattern. The present study is one worked instance of the method, and its honestly negative result is part of the demonstration rather than a mark against it.</w:t>
      </w:r>
    </w:p>
    <w:p>
      <w:pPr>
        <w:pStyle w:val="BodyText"/>
        <w:spacing w:line="480" w:lineRule="auto"/>
        <w:ind w:firstLine="720"/>
      </w:pPr>
      <w:r>
        <w:t xml:space="preserve">A discipline the method enforces is worth naming as a contribution in its own right. By requiring signed predictions before the data are seen, and by reading a non-rejected null as a statement about the evidence rather than a failure to be hidden, the procedure makes it hard to narrate noise as signal. That discipline is exactly what a field prone to confident over-claiming needs, and building it into a reproducible procedure, rather than relying on individual restraint, is how it becomes durable</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144"/>
    <w:bookmarkStart w:id="145" w:name="X80b9ccab8b146ec0079e83c71ea848bf022d57f"/>
    <w:p>
      <w:pPr>
        <w:pStyle w:val="Heading2"/>
        <w:spacing w:line="480" w:lineRule="auto"/>
      </w:pPr>
      <w:r>
        <w:t xml:space="preserve">8.9 A candid accounting of what remains unknown</w:t>
      </w:r>
    </w:p>
    <w:p>
      <w:pPr>
        <w:pStyle w:val="FirstParagraph"/>
        <w:spacing w:line="480" w:lineRule="auto"/>
      </w:pPr>
      <w:r>
        <w:t xml:space="preserve">Honesty at the close requires a plain ledger of what this dissertation did not resolve, set down without softening. It did not measure how many operators fly unprotected command links, since no operator appears in its data. It did not estimate how much a governance requirement would raise adoption, since the design cannot touch a causal effect on behavior. It did not establish that the adoption gap is structured in the literature, since both models failed to reject their nulls. And it did not validate the ordinal venue coding, the term-hit signal score, or the single-index citation counts against any external benchmark, so each remains a proxy whose error the study named but could not quantify</w:t>
      </w:r>
      <w:r>
        <w:t xml:space="preserve"> </w:t>
      </w:r>
      <w:hyperlink w:anchor="ref-1">
        <w:r>
          <w:rPr>
            <w:rStyle w:val="Hyperlink"/>
          </w:rPr>
          <w:t xml:space="preserve">[1]</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There is a further unknown that deserves its own line, because it is the one a policymaker will most want closed. The study cannot say whether the flat documentary signal reflects a problem that is genuinely mild, a problem the literature has not yet caught up to, or a problem the retrieval simply failed to capture. Chapter 7 held those three readings open on purpose, and the conclusion inherits that openness rather than resolving it. What the study can say is that all three readings route to the same next action, direct operator-level measurement, so the ambiguity delays interpretation without paralyzing the research program</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What it did establish is narrower and still worth having. It fixed a reproducible measurement floor, a set of pre-specified hypotheses ready for a better-powered test, a concrete design for the operator-level study that would carry the question forward, and a candid map of the four measurement problems that study should fix first</w:t>
      </w:r>
      <w:r>
        <w:t xml:space="preserve"> </w:t>
      </w:r>
      <w:hyperlink w:anchor="ref-7">
        <w:r>
          <w:rPr>
            <w:rStyle w:val="Hyperlink"/>
          </w:rPr>
          <w:t xml:space="preserve">[7]</w:t>
        </w:r>
      </w:hyperlink>
      <w:r>
        <w:t xml:space="preserve"> </w:t>
      </w:r>
      <w:hyperlink w:anchor="ref-10">
        <w:r>
          <w:rPr>
            <w:rStyle w:val="Hyperlink"/>
          </w:rPr>
          <w:t xml:space="preserve">[10]</w:t>
        </w:r>
      </w:hyperlink>
      <w:r>
        <w:t xml:space="preserve">. A dissertation that ends by listing what it could not do, alongside a precise account of what it could, gives its successor a truer starting point than one that manufactures a confident conclusion the evidence does not support. The unknowns are not failures to be apologized for. They are the agenda the next study inherits, stated clearly enough to act on</w:t>
      </w:r>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bookmarkEnd w:id="145"/>
    <w:bookmarkStart w:id="146" w:name="closing"/>
    <w:p>
      <w:pPr>
        <w:pStyle w:val="Heading2"/>
        <w:spacing w:line="480" w:lineRule="auto"/>
      </w:pPr>
      <w:r>
        <w:t xml:space="preserve">8.10 Closing</w:t>
      </w:r>
    </w:p>
    <w:p>
      <w:pPr>
        <w:pStyle w:val="FirstParagraph"/>
        <w:spacing w:line="480" w:lineRule="auto"/>
      </w:pPr>
      <w:r>
        <w:t xml:space="preserve">The encryption adoption gap deserves a stronger instrument than thirty retrieved records can provide, and this dissertation earns its place by saying so with evidence rather than assertion. It proposed a single falsifiable test, ran it honestly, and reported that the test did not confirm the rising-topic story on the data available. The theory survives; the instrument does not yet. What remains is a reproducible measurement floor, a named set of weaknesses, and a concrete design for the operator-level study that would carry the question the rest of the way. A dissertation that leaves its successor a sound foundation and an honest map has done the work a design-stage inquiry is meant to do</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46"/>
    <w:bookmarkStart w:id="172" w:name="references"/>
    <w:p>
      <w:pPr>
        <w:pStyle w:val="Heading2"/>
        <w:spacing w:line="480" w:lineRule="auto"/>
      </w:pPr>
      <w:r>
        <w:t xml:space="preserve">References</w:t>
      </w:r>
    </w:p>
    <w:p>
      <w:pPr>
        <w:pStyle w:val="FirstParagraph"/>
        <w:spacing w:line="480" w:lineRule="auto"/>
      </w:pPr>
      <w:bookmarkStart w:id="147" w:name="ref-1"/>
      <w:bookmarkEnd w:id="147"/>
      <w:r>
        <w:t xml:space="preserve">1. Ammy Cardona, Space Systems Center, Development Corps; Anthony Rosati, Space Systems Center Special Programs Advanced Integration; Donn Murray, Space Systems Center, Special Programs Space Based Optical; Janelle Moran, Science Applications International Corporation (SAIC); Heather Ginsburgh, Emolbi. Space Systems Center Special Programs Advanced Technology Integration Future Space Domain Awareness Hosted Payloads (2021). [AMOS]</w:t>
      </w:r>
    </w:p>
    <w:p>
      <w:pPr>
        <w:pStyle w:val="BodyText"/>
        <w:spacing w:line="480" w:lineRule="auto"/>
        <w:ind w:firstLine="720"/>
      </w:pPr>
      <w:bookmarkStart w:id="148" w:name="ref-2"/>
      <w:bookmarkEnd w:id="148"/>
      <w:r>
        <w:t xml:space="preserve">2. Rohit Mital, SGT KBRwyle; Jack de La Beaujardiere, University of Maryland; Rohan Mital, University of Colorado; Marge Cole, NASA ESTO and SGT KBRwyle; Charles Norton, NASA Headquarters. Blockchain Application Within a Multi-Sensor Satellite Architecture (2018). [AMOS]</w:t>
      </w:r>
    </w:p>
    <w:p>
      <w:pPr>
        <w:pStyle w:val="BodyText"/>
        <w:spacing w:line="480" w:lineRule="auto"/>
        <w:ind w:firstLine="720"/>
      </w:pPr>
      <w:bookmarkStart w:id="149" w:name="ref-3"/>
      <w:bookmarkEnd w:id="149"/>
      <w:r>
        <w:t xml:space="preserve">3. Chelsea Wright, Ferris State University. A Collaborative Cybersecurity Training Policy for Future Space Endeavors (2023). doi:</w:t>
      </w:r>
      <w:r>
        <w:t xml:space="preserve"> </w:t>
      </w:r>
      <w:hyperlink r:id="rId150">
        <w:r>
          <w:rPr>
            <w:rStyle w:val="Hyperlink"/>
          </w:rPr>
          <w:t xml:space="preserve">10.64861/WXIJ8208</w:t>
        </w:r>
      </w:hyperlink>
    </w:p>
    <w:p>
      <w:pPr>
        <w:pStyle w:val="BodyText"/>
        <w:spacing w:line="480" w:lineRule="auto"/>
        <w:ind w:firstLine="720"/>
      </w:pPr>
      <w:bookmarkStart w:id="151" w:name="ref-4"/>
      <w:bookmarkEnd w:id="151"/>
      <w:r>
        <w:t xml:space="preserve">4. Carmen Reglero Andres, Amazon Web Services; Eloy Salcedo de Zarraga, Amazon Web Services; Shayn Hawthorne, Amazon Web Services; Margaret Cote, Amazon Web Services; Nicholas Ansell, Amazon Web Services; Yudhajeet Dasgupta, Amazon Web Services. Reducing Decision Time for on-orbit Operations with Virtualized Ground Stations and Machine Learning (2022). [AMOS]</w:t>
      </w:r>
    </w:p>
    <w:p>
      <w:pPr>
        <w:pStyle w:val="BodyText"/>
        <w:spacing w:line="480" w:lineRule="auto"/>
        <w:ind w:firstLine="720"/>
      </w:pPr>
      <w:bookmarkStart w:id="152" w:name="ref-5"/>
      <w:bookmarkEnd w:id="152"/>
      <w:r>
        <w:t xml:space="preserve">5. Francis Bennet, Australian National University; Oliver Thearle, Australian National University; Lyle Roberts, Australian National University; Jordan Smith, Australian National University; James Spollard, Australian National University; Daniel Shaddock, Australian National University; Ping Koy Lam, Australian National University. Free-space Quantum Communication Link with Adaptive Optics (2018). [AMOS]</w:t>
      </w:r>
    </w:p>
    <w:p>
      <w:pPr>
        <w:pStyle w:val="BodyText"/>
        <w:spacing w:line="480" w:lineRule="auto"/>
        <w:ind w:firstLine="720"/>
      </w:pPr>
      <w:bookmarkStart w:id="153" w:name="ref-6"/>
      <w:bookmarkEnd w:id="153"/>
      <w:r>
        <w:t xml:space="preserve">6. Bhavya Lal, IDA Science and Technology Policy Institute, Sara A. Carioscia, IDA Science and Technology Policy Institute. Evaluating Options for Civil Space Situational Awareness (SSA) (2017). [AMOS]</w:t>
      </w:r>
    </w:p>
    <w:p>
      <w:pPr>
        <w:pStyle w:val="BodyText"/>
        <w:spacing w:line="480" w:lineRule="auto"/>
        <w:ind w:firstLine="720"/>
      </w:pPr>
      <w:bookmarkStart w:id="154" w:name="ref-7"/>
      <w:bookmarkEnd w:id="154"/>
      <w:r>
        <w:t xml:space="preserve">7. Elozor Plotke, LinQuest Corporation; Peter C. Lai, LinQuest Corporation; Yingwai (Andy) Chan, United States Space Force SSC; Roberta M. Ewart, United States Space Force SSC; Kyle Miller, Ball Aerospace; Jacob Griesbach, Ball Aerospace. Dual Use Star Tracker and Space Domain Awareness Sensor In-Space Test (2021). [AMOS]</w:t>
      </w:r>
    </w:p>
    <w:p>
      <w:pPr>
        <w:pStyle w:val="BodyText"/>
        <w:spacing w:line="480" w:lineRule="auto"/>
        <w:ind w:firstLine="720"/>
      </w:pPr>
      <w:bookmarkStart w:id="155" w:name="ref-8"/>
      <w:bookmarkEnd w:id="155"/>
      <w:r>
        <w:t xml:space="preserve">8. Marcus Holzinger (University of Colorado at Boulder), Daniel Scheeres (University of Colorado at Boulder). Object Correlation and Maneuver Detection Using Optimal Control Performance Metrics (2010). [AMOS]</w:t>
      </w:r>
    </w:p>
    <w:p>
      <w:pPr>
        <w:pStyle w:val="BodyText"/>
        <w:spacing w:line="480" w:lineRule="auto"/>
        <w:ind w:firstLine="720"/>
      </w:pPr>
      <w:bookmarkStart w:id="156" w:name="ref-9"/>
      <w:bookmarkEnd w:id="156"/>
      <w:r>
        <w:t xml:space="preserve">9. Melvin Mathews. Using bit flips as a source of randomness in cubeSat communication encryption (2020). doi:</w:t>
      </w:r>
      <w:r>
        <w:t xml:space="preserve"> </w:t>
      </w:r>
      <w:hyperlink r:id="rId157">
        <w:r>
          <w:rPr>
            <w:rStyle w:val="Hyperlink"/>
          </w:rPr>
          <w:t xml:space="preserve">10.1016/j.actaastro.2020.11.036</w:t>
        </w:r>
      </w:hyperlink>
    </w:p>
    <w:p>
      <w:pPr>
        <w:pStyle w:val="BodyText"/>
        <w:spacing w:line="480" w:lineRule="auto"/>
        <w:ind w:firstLine="720"/>
      </w:pPr>
      <w:bookmarkStart w:id="158" w:name="ref-10"/>
      <w:bookmarkEnd w:id="158"/>
      <w:r>
        <w:t xml:space="preserve">10. James A. Grieve; Robert Bedington; Zhongkan Tang; Rakhitha Chandrasekara; Alexander Ling. SpooQySats: CubeSats to demonstrate quantum key distribution technologies (2018). doi:</w:t>
      </w:r>
      <w:r>
        <w:t xml:space="preserve"> </w:t>
      </w:r>
      <w:hyperlink r:id="rId159">
        <w:r>
          <w:rPr>
            <w:rStyle w:val="Hyperlink"/>
          </w:rPr>
          <w:t xml:space="preserve">10.1016/j.actaastro.2018.06.005</w:t>
        </w:r>
      </w:hyperlink>
    </w:p>
    <w:p>
      <w:pPr>
        <w:pStyle w:val="BodyText"/>
        <w:spacing w:line="480" w:lineRule="auto"/>
        <w:ind w:firstLine="720"/>
      </w:pPr>
      <w:bookmarkStart w:id="160" w:name="ref-11"/>
      <w:bookmarkEnd w:id="160"/>
      <w:r>
        <w:t xml:space="preserve">11. Christina Giannopapa; Athanasios Staveris-Poykalas; Spyros Metallinos. Space as an enabler for sustainable digital transformation: The new space race and benefits for newcommers (2022). doi:</w:t>
      </w:r>
      <w:r>
        <w:t xml:space="preserve"> </w:t>
      </w:r>
      <w:hyperlink r:id="rId161">
        <w:r>
          <w:rPr>
            <w:rStyle w:val="Hyperlink"/>
          </w:rPr>
          <w:t xml:space="preserve">10.1016/j.actaastro.2022.06.005</w:t>
        </w:r>
      </w:hyperlink>
    </w:p>
    <w:p>
      <w:pPr>
        <w:pStyle w:val="BodyText"/>
        <w:spacing w:line="480" w:lineRule="auto"/>
        <w:ind w:firstLine="720"/>
      </w:pPr>
      <w:bookmarkStart w:id="162" w:name="ref-12"/>
      <w:bookmarkEnd w:id="162"/>
      <w:r>
        <w:t xml:space="preserve">12. A. Rossi; Noelia Sánchez-Ortíz; Emmanuelle David; Roberto Opromolla; Д. А. Гришко. Future activities in the near-earth space in the face of ever-increasing space traffic (2024). doi:</w:t>
      </w:r>
      <w:r>
        <w:t xml:space="preserve"> </w:t>
      </w:r>
      <w:hyperlink r:id="rId163">
        <w:r>
          <w:rPr>
            <w:rStyle w:val="Hyperlink"/>
          </w:rPr>
          <w:t xml:space="preserve">10.1016/j.actaastro.2024.09.063</w:t>
        </w:r>
      </w:hyperlink>
    </w:p>
    <w:p>
      <w:pPr>
        <w:pStyle w:val="BodyText"/>
        <w:spacing w:line="480" w:lineRule="auto"/>
        <w:ind w:firstLine="720"/>
      </w:pPr>
      <w:bookmarkStart w:id="164" w:name="ref-13"/>
      <w:bookmarkEnd w:id="164"/>
      <w:r>
        <w:t xml:space="preserve">13. Ioana Bratu; Steven Freeland. Winner takes all? Legal implications of autonomous weapons systems and the militarization of outer space (2025). doi:</w:t>
      </w:r>
      <w:r>
        <w:t xml:space="preserve"> </w:t>
      </w:r>
      <w:hyperlink r:id="rId165">
        <w:r>
          <w:rPr>
            <w:rStyle w:val="Hyperlink"/>
          </w:rPr>
          <w:t xml:space="preserve">10.1016/j.actaastro.2025.09.031</w:t>
        </w:r>
      </w:hyperlink>
    </w:p>
    <w:p>
      <w:pPr>
        <w:pStyle w:val="BodyText"/>
        <w:spacing w:line="480" w:lineRule="auto"/>
        <w:ind w:firstLine="720"/>
      </w:pPr>
      <w:bookmarkStart w:id="166" w:name="ref-14"/>
      <w:bookmarkEnd w:id="166"/>
      <w:r>
        <w:t xml:space="preserve">14. Clémence Poirier. Establishing a governance for cyber operations in outer space: Exploring challenges faced by space and cyber commands (2025). doi:</w:t>
      </w:r>
      <w:r>
        <w:t xml:space="preserve"> </w:t>
      </w:r>
      <w:hyperlink r:id="rId167">
        <w:r>
          <w:rPr>
            <w:rStyle w:val="Hyperlink"/>
          </w:rPr>
          <w:t xml:space="preserve">10.1016/j.actaastro.2025.08.048</w:t>
        </w:r>
      </w:hyperlink>
    </w:p>
    <w:p>
      <w:pPr>
        <w:pStyle w:val="BodyText"/>
        <w:spacing w:line="480" w:lineRule="auto"/>
        <w:ind w:firstLine="720"/>
      </w:pPr>
      <w:bookmarkStart w:id="168" w:name="ref-15"/>
      <w:bookmarkEnd w:id="168"/>
      <w:r>
        <w:t xml:space="preserve">15. Katsuki Tashiro; Shogo Nerome; Minori Fukuda; Hibiki Seki; Yusaku Ozeki; Hiroyuki Kobayashi; Yuki Amaki; Daiki Kobayashi; Kiyona Miyamoto; Kei Watanabe; Toshihiro Chujo; Hiroki Nakanishi; Satoru Ozawa; Saburo Matunaga; Yoichi Yatsu. On-orbit demonstration of near real-time communication via Globalstar for time-domain astronomy (2025). doi:</w:t>
      </w:r>
      <w:r>
        <w:t xml:space="preserve"> </w:t>
      </w:r>
      <w:hyperlink r:id="rId169">
        <w:r>
          <w:rPr>
            <w:rStyle w:val="Hyperlink"/>
          </w:rPr>
          <w:t xml:space="preserve">10.1016/j.actaastro.2025.12.003</w:t>
        </w:r>
      </w:hyperlink>
    </w:p>
    <w:p>
      <w:pPr>
        <w:pStyle w:val="BodyText"/>
        <w:spacing w:line="480" w:lineRule="auto"/>
        <w:ind w:firstLine="720"/>
      </w:pPr>
      <w:bookmarkStart w:id="170" w:name="ref-16"/>
      <w:bookmarkEnd w:id="170"/>
      <w:r>
        <w:t xml:space="preserve">16. Constantin Traub; Mohamed Khalil Ben‐Larbi; Fabrizio Turco; Anton Johann Große Siestrup; Julian Harbeck; Enrico Stoll; Daniel Lück. Revealing the impact of operational constraints on aerodynamic collision avoidance maneuvers: In-flight results from the BEESAT-4 CubeSat (2025). doi:</w:t>
      </w:r>
      <w:r>
        <w:t xml:space="preserve"> </w:t>
      </w:r>
      <w:hyperlink r:id="rId171">
        <w:r>
          <w:rPr>
            <w:rStyle w:val="Hyperlink"/>
          </w:rPr>
          <w:t xml:space="preserve">10.1016/j.actaastro.2025.04.038</w:t>
        </w:r>
      </w:hyperlink>
    </w:p>
    <w:bookmarkEnd w:id="172"/>
    <w:bookmarkEnd w:id="173"/>
    <w:bookmarkStart w:id="190"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1" w:name="X8175d5acaf47976ca1f8b3245317ba7bbacde7d"/>
    <w:p>
      <w:pPr>
        <w:pStyle w:val="Heading2"/>
        <w:spacing w:line="480" w:lineRule="auto"/>
      </w:pPr>
      <w:r>
        <w:t xml:space="preserve">A.1 Signal Intensity in The Encryption Adoption Gap Why Do Commercial and Civil Satellite Command Links: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4"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3.2174</w:t>
            </w:r>
          </w:p>
        </w:tc>
        <w:tc>
          <w:tcPr>
            <w:tcW w:w="0" w:type="auto"/>
          </w:tcPr>
          <w:p>
            <w:pPr>
              <w:spacing w:line="240" w:lineRule="auto" w:before="0" w:after="0"/>
              <w:pStyle w:val="Compact"/>
            </w:pPr>
            <w:r>
              <w:rPr>
                <w:sz w:val="20"/>
                <w:szCs w:val="20"/>
              </w:rPr>
              <w:t xml:space="preserve">1.4549</w:t>
            </w:r>
          </w:p>
        </w:tc>
        <w:tc>
          <w:tcPr>
            <w:tcW w:w="0" w:type="auto"/>
          </w:tcPr>
          <w:p>
            <w:pPr>
              <w:spacing w:line="240" w:lineRule="auto" w:before="0" w:after="0"/>
              <w:pStyle w:val="Compact"/>
            </w:pPr>
            <w:r>
              <w:rPr>
                <w:sz w:val="20"/>
                <w:szCs w:val="20"/>
              </w:rPr>
              <w:t xml:space="preserve">2.2114</w:t>
            </w:r>
          </w:p>
        </w:tc>
        <w:tc>
          <w:tcPr>
            <w:tcW w:w="0" w:type="auto"/>
          </w:tcPr>
          <w:p>
            <w:pPr>
              <w:spacing w:line="240" w:lineRule="auto" w:before="0" w:after="0"/>
              <w:pStyle w:val="Compact"/>
            </w:pPr>
            <w:r>
              <w:rPr>
                <w:sz w:val="20"/>
                <w:szCs w:val="20"/>
              </w:rPr>
              <w:t xml:space="preserve">0.027</w:t>
            </w:r>
          </w:p>
        </w:tc>
        <w:tc>
          <w:tcPr>
            <w:tcW w:w="0" w:type="auto"/>
          </w:tcPr>
          <w:p>
            <w:pPr>
              <w:spacing w:line="240" w:lineRule="auto" w:before="0" w:after="0"/>
              <w:pStyle w:val="Compact"/>
            </w:pPr>
            <w:r>
              <w:rPr>
                <w:sz w:val="20"/>
                <w:szCs w:val="20"/>
              </w:rPr>
              <w:t xml:space="preserve">[0.3659, 6.0688]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-0.0064</w:t>
            </w:r>
          </w:p>
        </w:tc>
        <w:tc>
          <w:tcPr>
            <w:tcW w:w="0" w:type="auto"/>
          </w:tcPr>
          <w:p>
            <w:pPr>
              <w:spacing w:line="240" w:lineRule="auto" w:before="0" w:after="0"/>
              <w:pStyle w:val="Compact"/>
            </w:pPr>
            <w:r>
              <w:rPr>
                <w:sz w:val="20"/>
                <w:szCs w:val="20"/>
              </w:rPr>
              <w:t xml:space="preserve">0.1037</w:t>
            </w:r>
          </w:p>
        </w:tc>
        <w:tc>
          <w:tcPr>
            <w:tcW w:w="0" w:type="auto"/>
          </w:tcPr>
          <w:p>
            <w:pPr>
              <w:spacing w:line="240" w:lineRule="auto" w:before="0" w:after="0"/>
              <w:pStyle w:val="Compact"/>
            </w:pPr>
            <w:r>
              <w:rPr>
                <w:sz w:val="20"/>
                <w:szCs w:val="20"/>
              </w:rPr>
              <w:t xml:space="preserve">-0.0612</w:t>
            </w:r>
          </w:p>
        </w:tc>
        <w:tc>
          <w:tcPr>
            <w:tcW w:w="0" w:type="auto"/>
          </w:tcPr>
          <w:p>
            <w:pPr>
              <w:spacing w:line="240" w:lineRule="auto" w:before="0" w:after="0"/>
              <w:pStyle w:val="Compact"/>
            </w:pPr>
            <w:r>
              <w:rPr>
                <w:sz w:val="20"/>
                <w:szCs w:val="20"/>
              </w:rPr>
              <w:t xml:space="preserve">0.9512</w:t>
            </w:r>
          </w:p>
        </w:tc>
        <w:tc>
          <w:tcPr>
            <w:tcW w:w="0" w:type="auto"/>
          </w:tcPr>
          <w:p>
            <w:pPr>
              <w:spacing w:line="240" w:lineRule="auto" w:before="0" w:after="0"/>
              <w:pStyle w:val="Compact"/>
            </w:pPr>
            <w:r>
              <w:rPr>
                <w:sz w:val="20"/>
                <w:szCs w:val="20"/>
              </w:rPr>
              <w:t xml:space="preserve">[-0.2097, 0.197]</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0.0339</w:t>
            </w:r>
          </w:p>
        </w:tc>
        <w:tc>
          <w:tcPr>
            <w:tcW w:w="0" w:type="auto"/>
          </w:tcPr>
          <w:p>
            <w:pPr>
              <w:spacing w:line="240" w:lineRule="auto" w:before="0" w:after="0"/>
              <w:pStyle w:val="Compact"/>
            </w:pPr>
            <w:r>
              <w:rPr>
                <w:sz w:val="20"/>
                <w:szCs w:val="20"/>
              </w:rPr>
              <w:t xml:space="preserve">0.041</w:t>
            </w:r>
          </w:p>
        </w:tc>
        <w:tc>
          <w:tcPr>
            <w:tcW w:w="0" w:type="auto"/>
          </w:tcPr>
          <w:p>
            <w:pPr>
              <w:spacing w:line="240" w:lineRule="auto" w:before="0" w:after="0"/>
              <w:pStyle w:val="Compact"/>
            </w:pPr>
            <w:r>
              <w:rPr>
                <w:sz w:val="20"/>
                <w:szCs w:val="20"/>
              </w:rPr>
              <w:t xml:space="preserve">0.8281</w:t>
            </w:r>
          </w:p>
        </w:tc>
        <w:tc>
          <w:tcPr>
            <w:tcW w:w="0" w:type="auto"/>
          </w:tcPr>
          <w:p>
            <w:pPr>
              <w:spacing w:line="240" w:lineRule="auto" w:before="0" w:after="0"/>
              <w:pStyle w:val="Compact"/>
            </w:pPr>
            <w:r>
              <w:rPr>
                <w:sz w:val="20"/>
                <w:szCs w:val="20"/>
              </w:rPr>
              <w:t xml:space="preserve">0.4076</w:t>
            </w:r>
          </w:p>
        </w:tc>
        <w:tc>
          <w:tcPr>
            <w:tcW w:w="0" w:type="auto"/>
          </w:tcPr>
          <w:p>
            <w:pPr>
              <w:spacing w:line="240" w:lineRule="auto" w:before="0" w:after="0"/>
              <w:pStyle w:val="Compact"/>
            </w:pPr>
            <w:r>
              <w:rPr>
                <w:sz w:val="20"/>
                <w:szCs w:val="20"/>
              </w:rPr>
              <w:t xml:space="preserve">[-0.0464, 0.1143]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-0.3377</w:t>
            </w:r>
          </w:p>
        </w:tc>
        <w:tc>
          <w:tcPr>
            <w:tcW w:w="0" w:type="auto"/>
          </w:tcPr>
          <w:p>
            <w:pPr>
              <w:spacing w:line="240" w:lineRule="auto" w:before="0" w:after="0"/>
              <w:pStyle w:val="Compact"/>
            </w:pPr>
            <w:r>
              <w:rPr>
                <w:sz w:val="20"/>
                <w:szCs w:val="20"/>
              </w:rPr>
              <w:t xml:space="preserve">0.3846</w:t>
            </w:r>
          </w:p>
        </w:tc>
        <w:tc>
          <w:tcPr>
            <w:tcW w:w="0" w:type="auto"/>
          </w:tcPr>
          <w:p>
            <w:pPr>
              <w:spacing w:line="240" w:lineRule="auto" w:before="0" w:after="0"/>
              <w:pStyle w:val="Compact"/>
            </w:pPr>
            <w:r>
              <w:rPr>
                <w:sz w:val="20"/>
                <w:szCs w:val="20"/>
              </w:rPr>
              <w:t xml:space="preserve">-0.878</w:t>
            </w:r>
          </w:p>
        </w:tc>
        <w:tc>
          <w:tcPr>
            <w:tcW w:w="0" w:type="auto"/>
          </w:tcPr>
          <w:p>
            <w:pPr>
              <w:spacing w:line="240" w:lineRule="auto" w:before="0" w:after="0"/>
              <w:pStyle w:val="Compact"/>
            </w:pPr>
            <w:r>
              <w:rPr>
                <w:sz w:val="20"/>
                <w:szCs w:val="20"/>
              </w:rPr>
              <w:t xml:space="preserve">0.3799</w:t>
            </w:r>
          </w:p>
        </w:tc>
        <w:tc>
          <w:tcPr>
            <w:tcW w:w="0" w:type="auto"/>
          </w:tcPr>
          <w:p>
            <w:pPr>
              <w:spacing w:line="240" w:lineRule="auto" w:before="0" w:after="0"/>
              <w:pStyle w:val="Compact"/>
            </w:pPr>
            <w:r>
              <w:rPr>
                <w:sz w:val="20"/>
                <w:szCs w:val="20"/>
              </w:rPr>
              <w:t xml:space="preserve">[-1.0915, 0.4161]</w:t>
            </w:r>
          </w:p>
        </w:tc>
      </w:tr>
    </w:tbl>
    <w:p>
      <w:pPr>
        <w:pStyle w:val="BodyText"/>
        <w:spacing w:line="480" w:lineRule="auto"/>
        <w:ind w:firstLine="720"/>
      </w:pPr>
      <w:r>
        <w:t xml:space="preserve">Fit: N = 30 R2 = 0.0471 R2_adj = -0.0629 F = 0.4425 F_p = 0.7246</w:t>
      </w:r>
    </w:p>
    <w:bookmarkEnd w:id="174"/>
    <w:bookmarkStart w:id="178"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6" name="Picture"/>
            <a:graphic>
              <a:graphicData uri="http://schemas.openxmlformats.org/drawingml/2006/picture">
                <pic:pic>
                  <pic:nvPicPr>
                    <pic:cNvPr descr="D:/Claude_Code/brain/collegium/candidates/dissertations/CYBER_AI_11/research_papers/p1/paper_fig1.png" id="177" name="Picture"/>
                    <pic:cNvPicPr>
                      <a:picLocks noChangeArrowheads="1" noChangeAspect="1"/>
                    </pic:cNvPicPr>
                  </pic:nvPicPr>
                  <pic:blipFill>
                    <a:blip r:embed="rId1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8"/>
    <w:bookmarkStart w:id="179"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https://amostech.space/year/2021/space-systems-center-special-programs-advanced-technology-integration-future-space-domain-awareness-hosted-payloads/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https://amostech.space/year/2018/blockchain-application-within-a-multi-sensor-satellite-architecture/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10.64861/WXIJ8208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https://amostech.space/year/2022/reducing-decision-time-for-on-orbit-operations-with-virtualized-ground-stations-and-machine-learning/</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https://amostech.space/year/2018/free-space-quantum-communication-link-with-adaptive-optics/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https://amostech.space/year/2017/evaluating-options-for-civil-space-situational-awareness-ssa/</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https://amostech.space/year/2021/dual-use-star-tracker-and-space-domain-awareness-sensor-in-space-test/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https://amostech.space/year/2010/object-correlation-and-maneuver-detection-using-optimal-control-performance-metrics/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https://amostech.space/year/2018/laser-beam-for-external-position-control-and-traffic-management-of-on-orbit-satellites/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10.64861/QAOZ6812</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https://amostech.space/year/2012/data-handling-and-protection-of-need-to-know-data-in-a-need-to-share-net-centric-enterprise/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10.1016/j.actaastro.2020.11.036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10.1016/j.actaastro.2018.06.005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10.1016/j.actaastro.2022.06.005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10.1016/j.actaastro.2025.12.003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10.1016/j.actaastro.2025.04.038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10.1016/j.actaastro.2025.06.067</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10.1016/j.actaastro.2022.03.032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10.1016/j.actaastro.2023.06.001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bl>
    <w:bookmarkEnd w:id="179"/>
    <w:bookmarkStart w:id="180"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0"/>
    <w:bookmarkEnd w:id="181"/>
    <w:bookmarkStart w:id="189" w:name="Xf7d23da9bdcd41e4b0b9616385ba56a32c200af"/>
    <w:p>
      <w:pPr>
        <w:pStyle w:val="Heading2"/>
        <w:spacing w:line="480" w:lineRule="auto"/>
      </w:pPr>
      <w:r>
        <w:t xml:space="preserve">A.2 Attention Accumulation in The Encryption Adoption Gap Why Do Commercial and Civil Satellite Command Links: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2"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1.0983</w:t>
            </w:r>
          </w:p>
        </w:tc>
        <w:tc>
          <w:tcPr>
            <w:tcW w:w="0" w:type="auto"/>
          </w:tcPr>
          <w:p>
            <w:pPr>
              <w:spacing w:line="240" w:lineRule="auto" w:before="0" w:after="0"/>
              <w:pStyle w:val="Compact"/>
            </w:pPr>
            <w:r>
              <w:rPr>
                <w:sz w:val="20"/>
                <w:szCs w:val="20"/>
              </w:rPr>
              <w:t xml:space="preserve">0.4908</w:t>
            </w:r>
          </w:p>
        </w:tc>
        <w:tc>
          <w:tcPr>
            <w:tcW w:w="0" w:type="auto"/>
          </w:tcPr>
          <w:p>
            <w:pPr>
              <w:spacing w:line="240" w:lineRule="auto" w:before="0" w:after="0"/>
              <w:pStyle w:val="Compact"/>
            </w:pPr>
            <w:r>
              <w:rPr>
                <w:sz w:val="20"/>
                <w:szCs w:val="20"/>
              </w:rPr>
              <w:t xml:space="preserve">2.238</w:t>
            </w:r>
          </w:p>
        </w:tc>
        <w:tc>
          <w:tcPr>
            <w:tcW w:w="0" w:type="auto"/>
          </w:tcPr>
          <w:p>
            <w:pPr>
              <w:spacing w:line="240" w:lineRule="auto" w:before="0" w:after="0"/>
              <w:pStyle w:val="Compact"/>
            </w:pPr>
            <w:r>
              <w:rPr>
                <w:sz w:val="20"/>
                <w:szCs w:val="20"/>
              </w:rPr>
              <w:t xml:space="preserve">0.0252</w:t>
            </w:r>
          </w:p>
        </w:tc>
        <w:tc>
          <w:tcPr>
            <w:tcW w:w="0" w:type="auto"/>
          </w:tcPr>
          <w:p>
            <w:pPr>
              <w:spacing w:line="240" w:lineRule="auto" w:before="0" w:after="0"/>
              <w:pStyle w:val="Compact"/>
            </w:pPr>
            <w:r>
              <w:rPr>
                <w:sz w:val="20"/>
                <w:szCs w:val="20"/>
              </w:rPr>
              <w:t xml:space="preserve">[0.1364, 2.0602]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-0.2636</w:t>
            </w:r>
          </w:p>
        </w:tc>
        <w:tc>
          <w:tcPr>
            <w:tcW w:w="0" w:type="auto"/>
          </w:tcPr>
          <w:p>
            <w:pPr>
              <w:spacing w:line="240" w:lineRule="auto" w:before="0" w:after="0"/>
              <w:pStyle w:val="Compact"/>
            </w:pPr>
            <w:r>
              <w:rPr>
                <w:sz w:val="20"/>
                <w:szCs w:val="20"/>
              </w:rPr>
              <w:t xml:space="preserve">0.2604</w:t>
            </w:r>
          </w:p>
        </w:tc>
        <w:tc>
          <w:tcPr>
            <w:tcW w:w="0" w:type="auto"/>
          </w:tcPr>
          <w:p>
            <w:pPr>
              <w:spacing w:line="240" w:lineRule="auto" w:before="0" w:after="0"/>
              <w:pStyle w:val="Compact"/>
            </w:pPr>
            <w:r>
              <w:rPr>
                <w:sz w:val="20"/>
                <w:szCs w:val="20"/>
              </w:rPr>
              <w:t xml:space="preserve">-1.0124</w:t>
            </w:r>
          </w:p>
        </w:tc>
        <w:tc>
          <w:tcPr>
            <w:tcW w:w="0" w:type="auto"/>
          </w:tcPr>
          <w:p>
            <w:pPr>
              <w:spacing w:line="240" w:lineRule="auto" w:before="0" w:after="0"/>
              <w:pStyle w:val="Compact"/>
            </w:pPr>
            <w:r>
              <w:rPr>
                <w:sz w:val="20"/>
                <w:szCs w:val="20"/>
              </w:rPr>
              <w:t xml:space="preserve">0.3113</w:t>
            </w:r>
          </w:p>
        </w:tc>
        <w:tc>
          <w:tcPr>
            <w:tcW w:w="0" w:type="auto"/>
          </w:tcPr>
          <w:p>
            <w:pPr>
              <w:spacing w:line="240" w:lineRule="auto" w:before="0" w:after="0"/>
              <w:pStyle w:val="Compact"/>
            </w:pPr>
            <w:r>
              <w:rPr>
                <w:sz w:val="20"/>
                <w:szCs w:val="20"/>
              </w:rPr>
              <w:t xml:space="preserve">[-0.774, 0.2467]</w:t>
            </w:r>
          </w:p>
        </w:tc>
      </w:tr>
    </w:tbl>
    <w:p>
      <w:pPr>
        <w:pStyle w:val="BodyText"/>
        <w:spacing w:line="480" w:lineRule="auto"/>
        <w:ind w:firstLine="720"/>
      </w:pPr>
      <w:r>
        <w:t xml:space="preserve">Fit: N = 30 R2 = 0.0204 elasticity_b = -0.2636 progress_ratio_2^b = 0.833</w:t>
      </w:r>
    </w:p>
    <w:bookmarkEnd w:id="182"/>
    <w:bookmarkStart w:id="186"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4" name="Picture"/>
            <a:graphic>
              <a:graphicData uri="http://schemas.openxmlformats.org/drawingml/2006/picture">
                <pic:pic>
                  <pic:nvPicPr>
                    <pic:cNvPr descr="D:/Claude_Code/brain/collegium/candidates/dissertations/CYBER_AI_11/research_papers/p2/paper_fig1.png" id="185" name="Picture"/>
                    <pic:cNvPicPr>
                      <a:picLocks noChangeArrowheads="1" noChangeAspect="1"/>
                    </pic:cNvPicPr>
                  </pic:nvPicPr>
                  <pic:blipFill>
                    <a:blip r:embed="rId1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6"/>
    <w:bookmarkStart w:id="187"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https://amostech.space/year/2021/space-systems-center-special-programs-advanced-technology-integration-future-space-domain-awareness-hosted-payloads/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https://amostech.space/year/2018/blockchain-application-within-a-multi-sensor-satellite-architecture/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10.64861/WXIJ8208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https://amostech.space/year/2022/reducing-decision-time-for-on-orbit-operations-with-virtualized-ground-stations-and-machine-learning/</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https://amostech.space/year/2018/free-space-quantum-communication-link-with-adaptive-optics/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https://amostech.space/year/2017/evaluating-options-for-civil-space-situational-awareness-ssa/</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https://amostech.space/year/2021/dual-use-star-tracker-and-space-domain-awareness-sensor-in-space-test/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https://amostech.space/year/2010/object-correlation-and-maneuver-detection-using-optimal-control-performance-metrics/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https://amostech.space/year/2018/laser-beam-for-external-position-control-and-traffic-management-of-on-orbit-satellites/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10.64861/QAOZ6812</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https://amostech.space/year/2012/data-handling-and-protection-of-need-to-know-data-in-a-need-to-share-net-centric-enterprise/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10.1016/j.actaastro.2020.11.036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10.1016/j.actaastro.2018.06.005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10.1016/j.actaastro.2022.06.005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10.1016/j.actaastro.2025.12.003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10.1016/j.actaastro.2025.04.038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10.1016/j.actaastro.2025.06.067</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10.1016/j.actaastro.2022.03.032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10.1016/j.actaastro.2023.06.001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bl>
    <w:bookmarkEnd w:id="187"/>
    <w:bookmarkStart w:id="188"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8"/>
    <w:bookmarkEnd w:id="189"/>
    <w:bookmarkEnd w:id="1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5" Type="http://schemas.openxmlformats.org/officeDocument/2006/relationships/image" Target="media/rId175.png"/><Relationship Id="rId183" Type="http://schemas.openxmlformats.org/officeDocument/2006/relationships/image" Target="media/rId183.png"/><Relationship Id="rId159" Type="http://schemas.openxmlformats.org/officeDocument/2006/relationships/hyperlink" Target="https://doi.org/10.1016/j.actaastro.2018.06.005" TargetMode="External"/><Relationship Id="rId157" Type="http://schemas.openxmlformats.org/officeDocument/2006/relationships/hyperlink" Target="https://doi.org/10.1016/j.actaastro.2020.11.036" TargetMode="External"/><Relationship Id="rId161" Type="http://schemas.openxmlformats.org/officeDocument/2006/relationships/hyperlink" Target="https://doi.org/10.1016/j.actaastro.2022.06.005" TargetMode="External"/><Relationship Id="rId163" Type="http://schemas.openxmlformats.org/officeDocument/2006/relationships/hyperlink" Target="https://doi.org/10.1016/j.actaastro.2024.09.063" TargetMode="External"/><Relationship Id="rId171" Type="http://schemas.openxmlformats.org/officeDocument/2006/relationships/hyperlink" Target="https://doi.org/10.1016/j.actaastro.2025.04.038" TargetMode="External"/><Relationship Id="rId167" Type="http://schemas.openxmlformats.org/officeDocument/2006/relationships/hyperlink" Target="https://doi.org/10.1016/j.actaastro.2025.08.048" TargetMode="External"/><Relationship Id="rId165" Type="http://schemas.openxmlformats.org/officeDocument/2006/relationships/hyperlink" Target="https://doi.org/10.1016/j.actaastro.2025.09.031" TargetMode="External"/><Relationship Id="rId169" Type="http://schemas.openxmlformats.org/officeDocument/2006/relationships/hyperlink" Target="https://doi.org/10.1016/j.actaastro.2025.12.003" TargetMode="External"/><Relationship Id="rId150" Type="http://schemas.openxmlformats.org/officeDocument/2006/relationships/hyperlink" Target="https://doi.org/10.64861/WXIJ8208" TargetMode="External"/></Relationships>
</file>

<file path=word/_rels/footnotes.xml.rels><?xml version='1.0' encoding='UTF-8' standalone='yes'?>
<Relationships xmlns="http://schemas.openxmlformats.org/package/2006/relationships"><Relationship Id="rId159" Type="http://schemas.openxmlformats.org/officeDocument/2006/relationships/hyperlink" Target="https://doi.org/10.1016/j.actaastro.2018.06.005" TargetMode="External"/><Relationship Id="rId157" Type="http://schemas.openxmlformats.org/officeDocument/2006/relationships/hyperlink" Target="https://doi.org/10.1016/j.actaastro.2020.11.036" TargetMode="External"/><Relationship Id="rId161" Type="http://schemas.openxmlformats.org/officeDocument/2006/relationships/hyperlink" Target="https://doi.org/10.1016/j.actaastro.2022.06.005" TargetMode="External"/><Relationship Id="rId163" Type="http://schemas.openxmlformats.org/officeDocument/2006/relationships/hyperlink" Target="https://doi.org/10.1016/j.actaastro.2024.09.063" TargetMode="External"/><Relationship Id="rId171" Type="http://schemas.openxmlformats.org/officeDocument/2006/relationships/hyperlink" Target="https://doi.org/10.1016/j.actaastro.2025.04.038" TargetMode="External"/><Relationship Id="rId167" Type="http://schemas.openxmlformats.org/officeDocument/2006/relationships/hyperlink" Target="https://doi.org/10.1016/j.actaastro.2025.08.048" TargetMode="External"/><Relationship Id="rId165" Type="http://schemas.openxmlformats.org/officeDocument/2006/relationships/hyperlink" Target="https://doi.org/10.1016/j.actaastro.2025.09.031" TargetMode="External"/><Relationship Id="rId169" Type="http://schemas.openxmlformats.org/officeDocument/2006/relationships/hyperlink" Target="https://doi.org/10.1016/j.actaastro.2025.12.003" TargetMode="External"/><Relationship Id="rId150" Type="http://schemas.openxmlformats.org/officeDocument/2006/relationships/hyperlink" Target="https://doi.org/10.64861/WXIJ82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Encryption Adoption Gap: Why Do Commercial and Civil Satellite Command Links</dc:title>
  <dc:creator>Ibrahim Nilsson (1B-ITI-192)</dc:creator>
  <cp:keywords/>
  <dcterms:created xsi:type="dcterms:W3CDTF">2026-07-03T23:39:17Z</dcterms:created>
  <dcterms:modified xsi:type="dcterms:W3CDTF">2026-07-03T23:39:17Z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