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c221fce10e88ae720e93502241a24fb0cfa3c13"/>
    <w:p>
      <w:pPr>
        <w:pStyle w:val="Heading1"/>
      </w:pPr>
      <w:r>
        <w:t xml:space="preserve">From Disclosure to Escalation: A Logit Test of Rapid CISA Action on Ground-Segment Vulnerabilities</w:t>
      </w:r>
    </w:p>
    <w:bookmarkStart w:id="61" w:name="introduction"/>
    <w:p>
      <w:pPr>
        <w:pStyle w:val="Heading2"/>
      </w:pPr>
      <w:r>
        <w:t xml:space="preserve">1. Introduction</w:t>
      </w:r>
    </w:p>
    <w:p>
      <w:pPr>
        <w:pStyle w:val="FirstParagraph"/>
      </w:pPr>
      <w:r>
        <w:t xml:space="preserve">A vulnerability does not become operationally salient at a single moment. Public disclosure enters the defect into the National Vulnerability Database, vendor advisories describe affected products, security researchers publish technical details, adversaries test exploits, and government agencies decide whether observed activity warrants formal escalation. The interval across those stages matters for space missions because the terrestrial systems that support command, telemetry, tracking, and data distribution use the same remote-access appliances, firewalls, controllers, and security gateways found in other networked enterprises</w:t>
      </w:r>
      <w:r>
        <w:t xml:space="preserve"> </w:t>
      </w:r>
      <w:hyperlink w:anchor="ref-1">
        <m:oMathPara>
          <m:oMathParaPr>
            <m:jc m:val="center"/>
          </m:oMathParaPr>
          <m:oMath>
            <m:r>
              <m:t>1</m:t>
            </m:r>
          </m:oMath>
        </m:oMathPara>
      </w:hyperlink>
      <w:r>
        <w:t xml:space="preserve">[2]. A defect may be public for months or years before confirmed exploitation causes it to enter the Cybersecurity and Infrastructure Security Agency’s Known Exploited Vulnerabilities catalog.</w:t>
      </w:r>
    </w:p>
    <w:p>
      <w:pPr>
        <w:pStyle w:val="FirstParagraph"/>
      </w:pPr>
      <w:r>
        <w:t xml:space="preserve">KEV addition is a governance act. It records that exploitation has occurred in the wild and sets a remediation expectation for federal civilian agencies</w:t>
      </w:r>
      <w:r>
        <w:t xml:space="preserve"> </w:t>
      </w:r>
      <w:hyperlink w:anchor="ref-7">
        <m:oMathPara>
          <m:oMathParaPr>
            <m:jc m:val="center"/>
          </m:oMathParaPr>
          <m:oMath>
            <m:r>
              <m:t>7</m:t>
            </m:r>
          </m:oMath>
        </m:oMathPara>
      </w:hyperlink>
      <w:r>
        <w:t xml:space="preserve">. For a space operator, the catalog is also a prioritization device. Mission-control systems face restricted maintenance windows, extensive regression testing, and a strong operational bias against unplanned configuration changes. A short list of exploited vulnerabilities helps distinguish defects that demand immediate action from the much larger inventory of published CVEs.</w:t>
      </w:r>
    </w:p>
    <w:p>
      <w:pPr>
        <w:pStyle w:val="FirstParagraph"/>
      </w:pPr>
      <w:r>
        <w:t xml:space="preserve">This paper asks which observable attributes predict rapid escalation from NVD publication to KEV addition. The outcome equals one when CISA adds a vulnerability within 30 calendar days of public disclosure. The predictors are CVSS severity, whether the product sits at the internet-facing network edge, and whether CISA reports known ransomware-campaign use. A logit model is estimated on 37 fully sourced vulnerabilities affecting products relevant to space ground segments and mission-control enclaves.</w:t>
      </w:r>
    </w:p>
    <w:p>
      <w:pPr>
        <w:pStyle w:val="BodyText"/>
      </w:pPr>
      <w:r>
        <w:t xml:space="preserve">The results are restrained. All three coefficients are positive, as the directional hypothesis predicts, but none is statistically distinguishable from zero. The model’s pseudo-R-squared is 0.0241. Severity, edge exposure, and ransomware association do not explain much of the observed division between rapid and delayed KEV addition in this cross-section. Rapid escalation appears to depend on information absent from the public record, including exploit telemetry, intelligence access, vendor coordination, adversary activity, and the institutional era in which the vulnerability was disclosed.</w:t>
      </w:r>
    </w:p>
    <w:bookmarkEnd w:id="61"/>
    <w:bookmarkStart w:id="62" w:name="theory-and-hypotheses"/>
    <w:p>
      <w:pPr>
        <w:pStyle w:val="Heading2"/>
      </w:pPr>
      <w:r>
        <w:t xml:space="preserve">2. Theory and Hypotheses</w:t>
      </w:r>
    </w:p>
    <w:p>
      <w:pPr>
        <w:pStyle w:val="FirstParagraph"/>
      </w:pPr>
      <w:r>
        <w:t xml:space="preserve">The first proposed mechanism is severity. CVSS summarizes exploitability and technical impact. A high score should attract attacker attention and defender monitoring, increasing the probability that exploitation is discovered soon after publication. A one-point increase in CVSS should therefore raise the odds of KEV addition within 30 days. The mechanism is plausible but incomplete because CVSS measures the properties of a vulnerability, not the presence of an exploit campaign.</w:t>
      </w:r>
    </w:p>
    <w:p>
      <w:pPr>
        <w:pStyle w:val="BodyText"/>
      </w:pPr>
      <w:r>
        <w:t xml:space="preserve">The second mechanism is edge exposure. Internet-facing VPNs, firewalls, remote-access gateways, and centralized security-management products can be scanned continuously. They also protect paths into privileged operational networks. Research on secure SDA architecture identifies external boundaries and software dependencies as pathways through which compromise can reach trusted systems</w:t>
      </w:r>
      <w:r>
        <w:t xml:space="preserve"> </w:t>
      </w:r>
      <w:hyperlink w:anchor="ref-2">
        <m:oMathPara>
          <m:oMathParaPr>
            <m:jc m:val="center"/>
          </m:oMathParaPr>
          <m:oMath>
            <m:r>
              <m:t>2</m:t>
            </m:r>
          </m:oMath>
        </m:oMathPara>
      </w:hyperlink>
      <w:r>
        <w:t xml:space="preserve">. Space-cyber governance research likewise treats ground infrastructure as a central attack surface rather than a secondary concern</w:t>
      </w:r>
      <w:r>
        <w:t xml:space="preserve"> </w:t>
      </w:r>
      <w:hyperlink w:anchor="ref-5">
        <m:oMathPara>
          <m:oMathParaPr>
            <m:jc m:val="center"/>
          </m:oMathParaPr>
          <m:oMath>
            <m:r>
              <m:t>5</m:t>
            </m:r>
          </m:oMath>
        </m:oMathPara>
      </w:hyperlink>
      <w:r>
        <w:t xml:space="preserve">[6]. Edge products should therefore generate earlier exploitation evidence than operational-technology devices that are less uniformly exposed.</w:t>
      </w:r>
    </w:p>
    <w:p>
      <w:pPr>
        <w:pStyle w:val="FirstParagraph"/>
      </w:pPr>
      <w:r>
        <w:t xml:space="preserve">The third mechanism is ransomware adoption. Ransomware groups operate at scale, reuse exploit chains, and create visible disruptions. Once a vulnerability enters that ecosystem, incident reports and telemetry should accumulate quickly. The CISA ransomware field should consequently predict rapid KEV escalation.</w:t>
      </w:r>
    </w:p>
    <w:p>
      <w:pPr>
        <w:pStyle w:val="BodyText"/>
      </w:pPr>
      <w:r>
        <w:t xml:space="preserve">The null hypothesis is that CVSS, edge exposure, and ransomware association do not predict whether escalation occurs within 30 days. The alternative is that each attribute raises the probability. The test concerns public attributes only. It does not claim that CISA relies solely on those attributes or that catalog decisions are mechanical. A failure to reject the null would indicate that the observable fields available to operators are insufficient to predict catalog tempo.</w:t>
      </w:r>
    </w:p>
    <w:p>
      <w:pPr>
        <w:pStyle w:val="BodyText"/>
      </w:pPr>
      <w:r>
        <w:t xml:space="preserve">This distinction bears on information-sharing policy. Tsamis and colleagues argue that operationally useful space-cyber exchange requires information that is specific enough to support action</w:t>
      </w:r>
      <w:r>
        <w:t xml:space="preserve"> </w:t>
      </w:r>
      <w:hyperlink w:anchor="ref-3">
        <m:oMathPara>
          <m:oMathParaPr>
            <m:jc m:val="center"/>
          </m:oMathParaPr>
          <m:oMath>
            <m:r>
              <m:t>3</m:t>
            </m:r>
          </m:oMath>
        </m:oMathPara>
      </w:hyperlink>
      <w:r>
        <w:t xml:space="preserve">. A severity score and product class may be too coarse. If rapid escalation depends on exploitation evidence held by vendors, agencies, or trusted communities, then faster exchange of that evidence may matter more than further refinement of generic severity rankings.</w:t>
      </w:r>
    </w:p>
    <w:bookmarkEnd w:id="62"/>
    <w:bookmarkStart w:id="63" w:name="data"/>
    <w:p>
      <w:pPr>
        <w:pStyle w:val="Heading2"/>
      </w:pPr>
      <w:r>
        <w:t xml:space="preserve">3. Data</w:t>
      </w:r>
    </w:p>
    <w:p>
      <w:pPr>
        <w:pStyle w:val="FirstParagraph"/>
      </w:pPr>
      <w:r>
        <w:t xml:space="preserve">The dataset joins two public, versioned sources. CISA KEV release v2026.06.18 supplies the CVE identifier, vendor, product, dateAdded field, and ransomware-campaign field</w:t>
      </w:r>
      <w:r>
        <w:t xml:space="preserve"> </w:t>
      </w:r>
      <w:hyperlink w:anchor="ref-7">
        <m:oMathPara>
          <m:oMathParaPr>
            <m:jc m:val="center"/>
          </m:oMathParaPr>
          <m:oMath>
            <m:r>
              <m:t>7</m:t>
            </m:r>
          </m:oMath>
        </m:oMathPara>
      </w:hyperlink>
      <w:r>
        <w:t xml:space="preserve">. The NVD CVE API 2.0 supplies the publication date and CVSS base score</w:t>
      </w:r>
      <w:r>
        <w:t xml:space="preserve"> </w:t>
      </w:r>
      <w:hyperlink w:anchor="ref-8">
        <m:oMathPara>
          <m:oMathParaPr>
            <m:jc m:val="center"/>
          </m:oMathParaPr>
          <m:oMath>
            <m:r>
              <m:t>8</m:t>
            </m:r>
          </m:oMath>
        </m:oMathPara>
      </w:hyperlink>
      <w:r>
        <w:t xml:space="preserve">. Each row’s source field names both records. The panel contains 37 vulnerabilities and no illustrative observations.</w:t>
      </w:r>
    </w:p>
    <w:p>
      <w:pPr>
        <w:pStyle w:val="FirstParagraph"/>
      </w:pPr>
      <w:r>
        <w:t xml:space="preserve">The sample covers edge-gateway and operational-technology products plausibly used in space ground systems. Edge products include Cisco, Fortinet, Citrix, Ivanti, Palo Alto Networks, Juniper, F5, SonicWall, Sophos, Zyxel, Pulse Secure, and Barracuda appliances. The comparison group includes Siemens, Schneider Electric, Delta Electronics, and Unitronics controllers. This is not an inventory of equipment deployed on a particular mission. It is a product-class sample tied to the network functions through which ground systems are commonly exposed.</w:t>
      </w:r>
    </w:p>
    <w:p>
      <w:pPr>
        <w:pStyle w:val="BodyText"/>
      </w:pPr>
      <w:r>
        <w:t xml:space="preserve">Exposure days equal CISA’s KEV addition date minus the NVD publication date, floored at one day. Rapid escalation equals one when the interval is 30 days or less. Fifteen of the 37 observations meet that definition; 22 do not. CVSS is continuous. The edge and ransomware variables are binary and follow fixed construction rules stated before estimation.</w:t>
      </w:r>
    </w:p>
    <w:p>
      <w:pPr>
        <w:pStyle w:val="BodyText"/>
      </w:pPr>
      <w:r>
        <w:t xml:space="preserve">The 30-day threshold reflects an operational planning horizon. It separates vulnerabilities that move from public disclosure to confirmed-exploitation status within roughly one maintenance cycle from vulnerabilities that remain outside KEV for longer. Alternative thresholds could move marginal cases, but the chosen rule is transparent and auditable. The source data also reveal a pronounced governance-era pattern: all 15 rapid events occur among vulnerabilities published after 2021, while the earlier cohort contains no rapid events. The era indicator is omitted from the fitted logit because it perfectly predicts the absence of rapid escalation in the earlier group and makes the maximum-likelihood Hessian singular. The empirical claim is therefore explicitly limited to the three stable public attributes.</w:t>
      </w:r>
    </w:p>
    <w:bookmarkEnd w:id="63"/>
    <w:bookmarkStart w:id="64" w:name="method"/>
    <w:p>
      <w:pPr>
        <w:pStyle w:val="Heading2"/>
      </w:pPr>
      <w:r>
        <w:t xml:space="preserve">4. Method</w:t>
      </w:r>
    </w:p>
    <w:p>
      <w:pPr>
        <w:pStyle w:val="FirstParagraph"/>
      </w:pPr>
      <w:r>
        <w:t xml:space="preserve">The estimator is a binary logit. It models the log odds that rapid_escalation equals one as a linear function of CVSS, edge status, and ransomware association, with a constant. Maximum likelihood supplies coefficients, standard errors, z statistics, p values, and confidence intervals. Exponentiating a coefficient gives the multiplicative change in odds associated with a one-unit change in the predictor, holding the others fixed.</w:t>
      </w:r>
    </w:p>
    <w:p>
      <w:pPr>
        <w:pStyle w:val="BodyText"/>
      </w:pPr>
      <w:r>
        <w:t xml:space="preserve">The method is appropriate for a binary outcome but does not solve selection. KEV contains only vulnerabilities that CISA eventually confirmed as exploited. Vulnerabilities never added to KEV are absent, so the model estimates speed conditional on eventual inclusion rather than the probability that a published CVE will ever be exploited. The sample is also small and edge-weighted. Only four observations fall in the operational-technology comparison class, limiting the precision of the edge coefficient.</w:t>
      </w:r>
    </w:p>
    <w:p>
      <w:pPr>
        <w:pStyle w:val="BodyText"/>
      </w:pPr>
      <w:r>
        <w:t xml:space="preserve">The post-BOD era pattern is substantively meaningful despite its exclusion from the stable model. BOD 22-01 established KEV as an institutional process in late 2021. Earlier CVEs could be added years after publication when the catalog was created or expanded; later CVEs could enter within days. Including the era indicator produces complete separation for the early group rather than a finite coefficient. The stable logit therefore tests whether technical attributes differentiate rapid action after allowing the raw data to show that institutional timing dominates the broader distribution.</w:t>
      </w:r>
    </w:p>
    <w:bookmarkEnd w:id="64"/>
    <w:bookmarkStart w:id="65" w:name="findings"/>
    <w:p>
      <w:pPr>
        <w:pStyle w:val="Heading2"/>
      </w:pPr>
      <w:r>
        <w:t xml:space="preserve">5. Findings</w:t>
      </w:r>
    </w:p>
    <w:p>
      <w:pPr>
        <w:pStyle w:val="FirstParagraph"/>
      </w:pPr>
      <w:r>
        <w:t xml:space="preserve">The logit uses all 37 observations. Its log likelihood is -24.3772 and its pseudo-R-squared is 0.0241. The model improves only slightly over an intercept-only specification. The three public attributes do not provide a strong classification rule for rapid KEV escalation.</w:t>
      </w:r>
    </w:p>
    <w:p>
      <w:pPr>
        <w:pStyle w:val="BodyText"/>
      </w:pPr>
      <w:r>
        <w:t xml:space="preserve">CVSS has a coefficient of 0.1887, standard error 0.2463, and p = 0.4435. The implied odds ratio is approximately 1.21. Holding product class and ransomware association fixed, a one-point increase in severity is associated with about 21 percent higher odds of escalation within 30 days. The direction fits the hypothesis, but the confidence interval includes both a material reduction and a material increase in odds. Severity alone is not a dependable predictor.</w:t>
      </w:r>
    </w:p>
    <w:p>
      <w:pPr>
        <w:pStyle w:val="BodyText"/>
      </w:pPr>
      <w:r>
        <w:t xml:space="preserve">The edge-product coefficient is 0.7370, with standard error 1.2488 and p = 0.5551. Its implied odds ratio is about 2.09, but the estimate is imprecise because the sample contains few non-edge products. The wide interval prevents a claim that internet-facing appliances are escalated faster, even though the point estimate suggests that possibility.</w:t>
      </w:r>
    </w:p>
    <w:p>
      <w:pPr>
        <w:pStyle w:val="BodyText"/>
      </w:pPr>
      <w:r>
        <w:t xml:space="preserve">The ransomware coefficient is 0.1351, with standard error 0.7389 and p = 0.8550. The implied odds ratio is about 1.14. This is the smallest association in statistical terms and is effectively indistinguishable from zero. Known ransomware use does not separate rapid from delayed KEV additions once severity and product class are held constant in this sample.</w:t>
      </w:r>
    </w:p>
    <w:p>
      <w:pPr>
        <w:pStyle w:val="BodyText"/>
      </w:pPr>
      <w:r>
        <w:t xml:space="preserve">The constant is -2.7554 with standard error 2.4653 and p = 0.2637. It describes an out-of-support low-severity, non-edge, non-ransomware baseline and carries little substantive meaning. The result lies in the slopes: all three signs align with H1, but none clears a conventional significance threshold. H0 is not rejected.</w:t>
      </w:r>
    </w:p>
    <w:bookmarkEnd w:id="65"/>
    <w:bookmarkStart w:id="66" w:name="discussion"/>
    <w:p>
      <w:pPr>
        <w:pStyle w:val="Heading2"/>
      </w:pPr>
      <w:r>
        <w:t xml:space="preserve">6. Discussion</w:t>
      </w:r>
    </w:p>
    <w:p>
      <w:pPr>
        <w:pStyle w:val="FirstParagraph"/>
      </w:pPr>
      <w:r>
        <w:t xml:space="preserve">The evidence argues against treating public technical attributes as a forecast of government escalation tempo. CVSS, edge exposure, and ransomware use are useful descriptors, yet they explain little of whether a vulnerability reaches KEV within 30 days. A space operator cannot safely infer that a moderate-severity or non-ransomware defect will remain outside the rapid-action set, nor can it assume that a high score guarantees immediate escalation.</w:t>
      </w:r>
    </w:p>
    <w:p>
      <w:pPr>
        <w:pStyle w:val="BodyText"/>
      </w:pPr>
      <w:r>
        <w:t xml:space="preserve">The omitted information is likely operational. Exploit telemetry, confidence in attribution, vendor validation, intelligence reporting, and the breadth of affected federal systems can determine when CISA has enough evidence to act. Those inputs are not captured by the public NVD and KEV fields. The finding strengthens the case for trusted exchange channels that distribute exploit evidence and mission relevance, not merely public identifiers</w:t>
      </w:r>
      <w:r>
        <w:t xml:space="preserve"> </w:t>
      </w:r>
      <w:hyperlink w:anchor="ref-3">
        <m:oMathPara>
          <m:oMathParaPr>
            <m:jc m:val="center"/>
          </m:oMathParaPr>
          <m:oMath>
            <m:r>
              <m:t>3</m:t>
            </m:r>
          </m:oMath>
        </m:oMathPara>
      </w:hyperlink>
      <w:r>
        <w:t xml:space="preserve">. It also supports architecture-level controls that reduce dependence on any single catalog date: asset inventories, external-boundary monitoring, staged patch validation, compensating controls, and supplier notification clauses.</w:t>
      </w:r>
    </w:p>
    <w:p>
      <w:pPr>
        <w:pStyle w:val="FirstParagraph"/>
      </w:pPr>
      <w:r>
        <w:t xml:space="preserve">Two limits matter. The analysis conditions on eventual KEV inclusion and does not include the universe of non-exploited CVEs. It also does not observe actual patch dates on mission systems. Exposure_days measures disclosure-to-confirmation tempo, not operator remediation. A future study can join KEV to complete NVD cohorts and agency remediation records, then use survival analysis with right censoring to estimate time to exploitation and time to patch separately.</w:t>
      </w:r>
    </w:p>
    <w:p>
      <w:pPr>
        <w:pStyle w:val="BodyText"/>
      </w:pPr>
      <w:r>
        <w:t xml:space="preserve">The finding complements the equity analysis in the first paper. Markets do not impose a stable penalty based on these disclosure attributes, and the attributes do not reliably predict rapid government escalation. Cyber discipline for space ground infrastructure must therefore be designed through direct operational governance and richer information sharing. Neither market prices nor public severity fields can carry the burden alone.</w:t>
      </w:r>
    </w:p>
    <w:bookmarkEnd w:id="66"/>
    <w:bookmarkStart w:id="80" w:name="references"/>
    <w:p>
      <w:pPr>
        <w:pStyle w:val="Heading2"/>
      </w:pPr>
      <w:r>
        <w:t xml:space="preserve">References</w:t>
      </w:r>
    </w:p>
    <w:p>
      <w:pPr>
        <w:pStyle w:val="FirstParagraph"/>
      </w:pPr>
      <w:bookmarkStart w:id="67" w:name="ref-1"/>
      <w:bookmarkEnd w:id="67"/>
      <w:r>
        <w:t xml:space="preserve">1. C. Wright,</w:t>
      </w:r>
      <w:r>
        <w:t xml:space="preserve"> </w:t>
      </w:r>
      <w:r>
        <w:t xml:space="preserve">“A Collaborative Cybersecurity Training Policy for Future Space Endeavors,”</w:t>
      </w:r>
      <w:r>
        <w:t xml:space="preserve"> </w:t>
      </w:r>
      <w:r>
        <w:rPr>
          <w:i/>
          <w:iCs/>
        </w:rPr>
        <w:t xml:space="preserve">AMOS Conference</w:t>
      </w:r>
      <w:r>
        <w:t xml:space="preserve">, 2023, doi:</w:t>
      </w:r>
      <w:r>
        <w:t xml:space="preserve"> </w:t>
      </w:r>
      <w:hyperlink r:id="rId68">
        <w:r>
          <w:rPr>
            <w:rStyle w:val="Hyperlink"/>
          </w:rPr>
          <w:t xml:space="preserve">10.64861/WXIJ8208</w:t>
        </w:r>
      </w:hyperlink>
    </w:p>
    <w:p>
      <w:pPr>
        <w:pStyle w:val="BodyText"/>
      </w:pPr>
      <w:bookmarkStart w:id="69" w:name="ref-2"/>
      <w:bookmarkEnd w:id="69"/>
      <w:r>
        <w:t xml:space="preserve">2. W. Allington, A. Peterson, and K. Bowen,</w:t>
      </w:r>
      <w:r>
        <w:t xml:space="preserve"> </w:t>
      </w:r>
      <w:r>
        <w:t xml:space="preserve">“Developing a Secure Framework for Space Domain Awareness (SDA),”</w:t>
      </w:r>
      <w:r>
        <w:t xml:space="preserve"> </w:t>
      </w:r>
      <w:r>
        <w:rPr>
          <w:i/>
          <w:iCs/>
        </w:rPr>
        <w:t xml:space="preserve">AMOS Conference</w:t>
      </w:r>
      <w:r>
        <w:t xml:space="preserve">, 2023, doi:</w:t>
      </w:r>
      <w:r>
        <w:t xml:space="preserve"> </w:t>
      </w:r>
      <w:hyperlink r:id="rId70">
        <w:r>
          <w:rPr>
            <w:rStyle w:val="Hyperlink"/>
          </w:rPr>
          <w:t xml:space="preserve">10.64861/TRSQ4124</w:t>
        </w:r>
      </w:hyperlink>
    </w:p>
    <w:p>
      <w:pPr>
        <w:pStyle w:val="BodyText"/>
      </w:pPr>
      <w:bookmarkStart w:id="71" w:name="ref-3"/>
      <w:bookmarkEnd w:id="71"/>
      <w:r>
        <w:t xml:space="preserve">3. N. Tsamis, R. Stilwell, H. Reed, and N. Dailey,</w:t>
      </w:r>
      <w:r>
        <w:t xml:space="preserve"> </w:t>
      </w:r>
      <w:r>
        <w:t xml:space="preserve">“Sharing Operationally Relevant Space Cyber Information,”</w:t>
      </w:r>
      <w:r>
        <w:t xml:space="preserve"> </w:t>
      </w:r>
      <w:r>
        <w:rPr>
          <w:i/>
          <w:iCs/>
        </w:rPr>
        <w:t xml:space="preserve">AMOS Conference</w:t>
      </w:r>
      <w:r>
        <w:t xml:space="preserve">, 2022.</w:t>
      </w:r>
    </w:p>
    <w:p>
      <w:pPr>
        <w:pStyle w:val="BodyText"/>
      </w:pPr>
      <w:bookmarkStart w:id="72" w:name="ref-4"/>
      <w:bookmarkEnd w:id="72"/>
      <w:r>
        <w:t xml:space="preserve">4. D. Kline,</w:t>
      </w:r>
      <w:r>
        <w:t xml:space="preserve"> </w:t>
      </w:r>
      <w:r>
        <w:t xml:space="preserve">“Cybersecurity for Responsible AI/ML Usage in SDA Applications,”</w:t>
      </w:r>
      <w:r>
        <w:t xml:space="preserve"> </w:t>
      </w:r>
      <w:r>
        <w:rPr>
          <w:i/>
          <w:iCs/>
        </w:rPr>
        <w:t xml:space="preserve">AMOS Conference</w:t>
      </w:r>
      <w:r>
        <w:t xml:space="preserve">, 2025, doi:</w:t>
      </w:r>
      <w:r>
        <w:t xml:space="preserve"> </w:t>
      </w:r>
      <w:hyperlink r:id="rId73">
        <w:r>
          <w:rPr>
            <w:rStyle w:val="Hyperlink"/>
          </w:rPr>
          <w:t xml:space="preserve">10.64861/VEWW9997</w:t>
        </w:r>
      </w:hyperlink>
    </w:p>
    <w:p>
      <w:pPr>
        <w:pStyle w:val="BodyText"/>
      </w:pPr>
      <w:bookmarkStart w:id="74" w:name="ref-5"/>
      <w:bookmarkEnd w:id="74"/>
      <w:r>
        <w:t xml:space="preserve">5. J. Reis,</w:t>
      </w:r>
      <w:r>
        <w:t xml:space="preserve"> </w:t>
      </w:r>
      <w:r>
        <w:t xml:space="preserve">“European union defense and security strategy for space and ground-based systems against hybrid threats,”</w:t>
      </w:r>
      <w:r>
        <w:t xml:space="preserve"> </w:t>
      </w:r>
      <w:r>
        <w:rPr>
          <w:i/>
          <w:iCs/>
        </w:rPr>
        <w:t xml:space="preserve">Acta Astronautica</w:t>
      </w:r>
      <w:r>
        <w:t xml:space="preserve">, vol. 225, 2024, doi:</w:t>
      </w:r>
      <w:r>
        <w:t xml:space="preserve"> </w:t>
      </w:r>
      <w:hyperlink r:id="rId75">
        <w:r>
          <w:rPr>
            <w:rStyle w:val="Hyperlink"/>
          </w:rPr>
          <w:t xml:space="preserve">10.1016/j.actaastro.2024.09.003</w:t>
        </w:r>
      </w:hyperlink>
    </w:p>
    <w:p>
      <w:pPr>
        <w:pStyle w:val="BodyText"/>
      </w:pPr>
      <w:bookmarkStart w:id="76" w:name="ref-6"/>
      <w:bookmarkEnd w:id="76"/>
      <w:r>
        <w:t xml:space="preserve">6. C. Poirier,</w:t>
      </w:r>
      <w:r>
        <w:t xml:space="preserve"> </w:t>
      </w:r>
      <w:r>
        <w:t xml:space="preserve">“Establishing a governance for cyber operations in outer space: Exploring challenges faced by space and cyber commands,”</w:t>
      </w:r>
      <w:r>
        <w:t xml:space="preserve"> </w:t>
      </w:r>
      <w:r>
        <w:rPr>
          <w:i/>
          <w:iCs/>
        </w:rPr>
        <w:t xml:space="preserve">Acta Astronautica</w:t>
      </w:r>
      <w:r>
        <w:t xml:space="preserve">, vol. 237, 2025, doi:</w:t>
      </w:r>
      <w:r>
        <w:t xml:space="preserve"> </w:t>
      </w:r>
      <w:hyperlink r:id="rId77">
        <w:r>
          <w:rPr>
            <w:rStyle w:val="Hyperlink"/>
          </w:rPr>
          <w:t xml:space="preserve">10.1016/j.actaastro.2025.08.048</w:t>
        </w:r>
      </w:hyperlink>
    </w:p>
    <w:p>
      <w:pPr>
        <w:pStyle w:val="BodyText"/>
      </w:pPr>
      <w:bookmarkStart w:id="78" w:name="ref-7"/>
      <w:bookmarkEnd w:id="78"/>
      <w:r>
        <w:t xml:space="preserve">7. Cybersecurity and Infrastructure Security Agency,</w:t>
      </w:r>
      <w:r>
        <w:t xml:space="preserve"> </w:t>
      </w:r>
      <w:r>
        <w:t xml:space="preserve">“Known Exploited Vulnerabilities Catalog,”</w:t>
      </w:r>
      <w:r>
        <w:t xml:space="preserve"> </w:t>
      </w:r>
      <w:r>
        <w:t xml:space="preserve">release v2026.06.18, 2026.</w:t>
      </w:r>
    </w:p>
    <w:p>
      <w:pPr>
        <w:pStyle w:val="BodyText"/>
      </w:pPr>
      <w:bookmarkStart w:id="79" w:name="ref-8"/>
      <w:bookmarkEnd w:id="79"/>
      <w:r>
        <w:t xml:space="preserve">8. National Institute of Standards and Technology,</w:t>
      </w:r>
      <w:r>
        <w:t xml:space="preserve"> </w:t>
      </w:r>
      <w:r>
        <w:t xml:space="preserve">“National Vulnerability Database CVE API 2.0,”</w:t>
      </w:r>
      <w:r>
        <w:t xml:space="preserve"> </w:t>
      </w:r>
      <w:r>
        <w:t xml:space="preserve">2026.</w:t>
      </w:r>
    </w:p>
    <w:bookmarkEnd w:id="80"/>
    <w:bookmarkStart w:id="81"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Rapid</m:t>
              </m:r>
            </m:e>
            <m:sub>
              <m:r>
                <m:t>i</m:t>
              </m:r>
            </m:sub>
          </m:sSub>
          <m:r>
            <m:rPr>
              <m:sty m:val="p"/>
            </m:rPr>
            <m:t>=</m:t>
          </m:r>
          <m:r>
            <m:t>1</m:t>
          </m:r>
          <m:r>
            <m:rPr>
              <m:sty m:val="p"/>
            </m:rPr>
            <m:t>)</m:t>
          </m:r>
          <m:r>
            <m:rPr>
              <m:sty m:val="p"/>
            </m:rPr>
            <m:t>=</m:t>
          </m:r>
          <m:r>
            <m:rPr>
              <m:sty m:val="p"/>
            </m:rPr>
            <m:t>Λ</m:t>
          </m:r>
          <m:r>
            <m:rPr>
              <m:sty m:val="p"/>
            </m:rPr>
            <m:t>(</m:t>
          </m:r>
          <m:r>
            <m:t>α</m:t>
          </m:r>
          <m:r>
            <m:rPr>
              <m:sty m:val="p"/>
            </m:rPr>
            <m:t>+</m:t>
          </m:r>
          <m:sSub>
            <m:e>
              <m:r>
                <m:t>β</m:t>
              </m:r>
            </m:e>
            <m:sub>
              <m:r>
                <m:t>1</m:t>
              </m:r>
            </m:sub>
          </m:sSub>
          <m:r>
            <m:t> </m:t>
          </m:r>
          <m:sSub>
            <m:e>
              <m:r>
                <m:rPr>
                  <m:nor/>
                  <m:sty m:val="p"/>
                </m:rPr>
                <m:t>CVSS</m:t>
              </m:r>
            </m:e>
            <m:sub>
              <m:r>
                <m:t>i</m:t>
              </m:r>
            </m:sub>
          </m:sSub>
          <m:r>
            <m:rPr>
              <m:sty m:val="p"/>
            </m:rPr>
            <m:t>+</m:t>
          </m:r>
          <m:sSub>
            <m:e>
              <m:r>
                <m:t>β</m:t>
              </m:r>
            </m:e>
            <m:sub>
              <m:r>
                <m:t>2</m:t>
              </m:r>
            </m:sub>
          </m:sSub>
          <m:r>
            <m:t> </m:t>
          </m:r>
          <m:sSub>
            <m:e>
              <m:r>
                <m:rPr>
                  <m:nor/>
                  <m:sty m:val="p"/>
                </m:rPr>
                <m:t>Edge</m:t>
              </m:r>
            </m:e>
            <m:sub>
              <m:r>
                <m:t>i</m:t>
              </m:r>
            </m:sub>
          </m:sSub>
          <m:r>
            <m:rPr>
              <m:sty m:val="p"/>
            </m:rPr>
            <m:t>+</m:t>
          </m:r>
          <m:sSub>
            <m:e>
              <m:r>
                <m:t>β</m:t>
              </m:r>
            </m:e>
            <m:sub>
              <m:r>
                <m:t>3</m:t>
              </m:r>
            </m:sub>
          </m:sSub>
          <m:r>
            <m:t> </m:t>
          </m:r>
          <m:sSub>
            <m:e>
              <m:r>
                <m:rPr>
                  <m:nor/>
                  <m:sty m:val="p"/>
                </m:rPr>
                <m:t>Ransomware</m:t>
              </m:r>
            </m:e>
            <m:sub>
              <m:r>
                <m:t>i</m:t>
              </m:r>
            </m:sub>
          </m:sSub>
          <m:r>
            <m:rPr>
              <m:sty m:val="p"/>
            </m:rPr>
            <m:t>)</m:t>
          </m:r>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-2.7554</w:t>
            </w:r>
          </w:p>
        </w:tc>
        <w:tc>
          <w:tcPr>
            <w:tcW w:w="0" w:type="auto"/>
          </w:tcPr>
          <w:p>
            <w:pPr>
              <w:spacing w:line="240" w:lineRule="auto" w:before="0" w:after="0"/>
              <w:pStyle w:val="Compact"/>
            </w:pPr>
            <w:r>
              <w:rPr>
                <w:sz w:val="20"/>
                <w:szCs w:val="20"/>
              </w:rPr>
              <w:t xml:space="preserve">2.4653</w:t>
            </w:r>
          </w:p>
        </w:tc>
        <w:tc>
          <w:tcPr>
            <w:tcW w:w="0" w:type="auto"/>
          </w:tcPr>
          <w:p>
            <w:pPr>
              <w:spacing w:line="240" w:lineRule="auto" w:before="0" w:after="0"/>
              <w:pStyle w:val="Compact"/>
            </w:pPr>
            <w:r>
              <w:rPr>
                <w:sz w:val="20"/>
                <w:szCs w:val="20"/>
              </w:rPr>
              <w:t xml:space="preserve">-1.1177</w:t>
            </w:r>
          </w:p>
        </w:tc>
        <w:tc>
          <w:tcPr>
            <w:tcW w:w="0" w:type="auto"/>
          </w:tcPr>
          <w:p>
            <w:pPr>
              <w:spacing w:line="240" w:lineRule="auto" w:before="0" w:after="0"/>
              <w:pStyle w:val="Compact"/>
            </w:pPr>
            <w:r>
              <w:rPr>
                <w:sz w:val="20"/>
                <w:szCs w:val="20"/>
              </w:rPr>
              <w:t xml:space="preserve">0.2637</w:t>
            </w:r>
          </w:p>
        </w:tc>
        <w:tc>
          <w:tcPr>
            <w:tcW w:w="0" w:type="auto"/>
          </w:tcPr>
          <w:p>
            <w:pPr>
              <w:spacing w:line="240" w:lineRule="auto" w:before="0" w:after="0"/>
              <w:pStyle w:val="Compact"/>
            </w:pPr>
            <w:r>
              <w:rPr>
                <w:sz w:val="20"/>
                <w:szCs w:val="20"/>
              </w:rPr>
              <w:t xml:space="preserve">[-7.5872, 2.0765]</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0.1887</w:t>
            </w:r>
          </w:p>
        </w:tc>
        <w:tc>
          <w:tcPr>
            <w:tcW w:w="0" w:type="auto"/>
          </w:tcPr>
          <w:p>
            <w:pPr>
              <w:spacing w:line="240" w:lineRule="auto" w:before="0" w:after="0"/>
              <w:pStyle w:val="Compact"/>
            </w:pPr>
            <w:r>
              <w:rPr>
                <w:sz w:val="20"/>
                <w:szCs w:val="20"/>
              </w:rPr>
              <w:t xml:space="preserve">0.2463</w:t>
            </w:r>
          </w:p>
        </w:tc>
        <w:tc>
          <w:tcPr>
            <w:tcW w:w="0" w:type="auto"/>
          </w:tcPr>
          <w:p>
            <w:pPr>
              <w:spacing w:line="240" w:lineRule="auto" w:before="0" w:after="0"/>
              <w:pStyle w:val="Compact"/>
            </w:pPr>
            <w:r>
              <w:rPr>
                <w:sz w:val="20"/>
                <w:szCs w:val="20"/>
              </w:rPr>
              <w:t xml:space="preserve">0.7662</w:t>
            </w:r>
          </w:p>
        </w:tc>
        <w:tc>
          <w:tcPr>
            <w:tcW w:w="0" w:type="auto"/>
          </w:tcPr>
          <w:p>
            <w:pPr>
              <w:spacing w:line="240" w:lineRule="auto" w:before="0" w:after="0"/>
              <w:pStyle w:val="Compact"/>
            </w:pPr>
            <w:r>
              <w:rPr>
                <w:sz w:val="20"/>
                <w:szCs w:val="20"/>
              </w:rPr>
              <w:t xml:space="preserve">0.4435</w:t>
            </w:r>
          </w:p>
        </w:tc>
        <w:tc>
          <w:tcPr>
            <w:tcW w:w="0" w:type="auto"/>
          </w:tcPr>
          <w:p>
            <w:pPr>
              <w:spacing w:line="240" w:lineRule="auto" w:before="0" w:after="0"/>
              <w:pStyle w:val="Compact"/>
            </w:pPr>
            <w:r>
              <w:rPr>
                <w:sz w:val="20"/>
                <w:szCs w:val="20"/>
              </w:rPr>
              <w:t xml:space="preserve">[-0.294, 0.6713]</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0.737</w:t>
            </w:r>
          </w:p>
        </w:tc>
        <w:tc>
          <w:tcPr>
            <w:tcW w:w="0" w:type="auto"/>
          </w:tcPr>
          <w:p>
            <w:pPr>
              <w:spacing w:line="240" w:lineRule="auto" w:before="0" w:after="0"/>
              <w:pStyle w:val="Compact"/>
            </w:pPr>
            <w:r>
              <w:rPr>
                <w:sz w:val="20"/>
                <w:szCs w:val="20"/>
              </w:rPr>
              <w:t xml:space="preserve">1.2488</w:t>
            </w:r>
          </w:p>
        </w:tc>
        <w:tc>
          <w:tcPr>
            <w:tcW w:w="0" w:type="auto"/>
          </w:tcPr>
          <w:p>
            <w:pPr>
              <w:spacing w:line="240" w:lineRule="auto" w:before="0" w:after="0"/>
              <w:pStyle w:val="Compact"/>
            </w:pPr>
            <w:r>
              <w:rPr>
                <w:sz w:val="20"/>
                <w:szCs w:val="20"/>
              </w:rPr>
              <w:t xml:space="preserve">0.5902</w:t>
            </w:r>
          </w:p>
        </w:tc>
        <w:tc>
          <w:tcPr>
            <w:tcW w:w="0" w:type="auto"/>
          </w:tcPr>
          <w:p>
            <w:pPr>
              <w:spacing w:line="240" w:lineRule="auto" w:before="0" w:after="0"/>
              <w:pStyle w:val="Compact"/>
            </w:pPr>
            <w:r>
              <w:rPr>
                <w:sz w:val="20"/>
                <w:szCs w:val="20"/>
              </w:rPr>
              <w:t xml:space="preserve">0.5551</w:t>
            </w:r>
          </w:p>
        </w:tc>
        <w:tc>
          <w:tcPr>
            <w:tcW w:w="0" w:type="auto"/>
          </w:tcPr>
          <w:p>
            <w:pPr>
              <w:spacing w:line="240" w:lineRule="auto" w:before="0" w:after="0"/>
              <w:pStyle w:val="Compact"/>
            </w:pPr>
            <w:r>
              <w:rPr>
                <w:sz w:val="20"/>
                <w:szCs w:val="20"/>
              </w:rPr>
              <w:t xml:space="preserve">[-1.7105, 3.1845]</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0.1351</w:t>
            </w:r>
          </w:p>
        </w:tc>
        <w:tc>
          <w:tcPr>
            <w:tcW w:w="0" w:type="auto"/>
          </w:tcPr>
          <w:p>
            <w:pPr>
              <w:spacing w:line="240" w:lineRule="auto" w:before="0" w:after="0"/>
              <w:pStyle w:val="Compact"/>
            </w:pPr>
            <w:r>
              <w:rPr>
                <w:sz w:val="20"/>
                <w:szCs w:val="20"/>
              </w:rPr>
              <w:t xml:space="preserve">0.7389</w:t>
            </w:r>
          </w:p>
        </w:tc>
        <w:tc>
          <w:tcPr>
            <w:tcW w:w="0" w:type="auto"/>
          </w:tcPr>
          <w:p>
            <w:pPr>
              <w:spacing w:line="240" w:lineRule="auto" w:before="0" w:after="0"/>
              <w:pStyle w:val="Compact"/>
            </w:pPr>
            <w:r>
              <w:rPr>
                <w:sz w:val="20"/>
                <w:szCs w:val="20"/>
              </w:rPr>
              <w:t xml:space="preserve">0.1828</w:t>
            </w:r>
          </w:p>
        </w:tc>
        <w:tc>
          <w:tcPr>
            <w:tcW w:w="0" w:type="auto"/>
          </w:tcPr>
          <w:p>
            <w:pPr>
              <w:spacing w:line="240" w:lineRule="auto" w:before="0" w:after="0"/>
              <w:pStyle w:val="Compact"/>
            </w:pPr>
            <w:r>
              <w:rPr>
                <w:sz w:val="20"/>
                <w:szCs w:val="20"/>
              </w:rPr>
              <w:t xml:space="preserve">0.855</w:t>
            </w:r>
          </w:p>
        </w:tc>
        <w:tc>
          <w:tcPr>
            <w:tcW w:w="0" w:type="auto"/>
          </w:tcPr>
          <w:p>
            <w:pPr>
              <w:spacing w:line="240" w:lineRule="auto" w:before="0" w:after="0"/>
              <w:pStyle w:val="Compact"/>
            </w:pPr>
            <w:r>
              <w:rPr>
                <w:sz w:val="20"/>
                <w:szCs w:val="20"/>
              </w:rPr>
              <w:t xml:space="preserve">[-1.3132, 1.5833]</w:t>
            </w:r>
          </w:p>
        </w:tc>
      </w:tr>
    </w:tbl>
    <w:p>
      <w:pPr>
        <w:pStyle w:val="BodyText"/>
      </w:pPr>
      <w:r>
        <w:t xml:space="preserve">Fit: N = 37 pseudo_R2 = 0.0241 LL = -24.3772</w:t>
      </w:r>
    </w:p>
    <w:p>
      <w:pPr>
        <w:pStyle w:val="CaptionedFigure"/>
      </w:pPr>
      <w:r>
        <w:drawing>
          <wp:inline>
            <wp:extent cx="5669280" cy="3657600"/>
            <wp:effectExtent b="0" l="0" r="0" t="0"/>
            <wp:docPr descr="Figure 1. Figure 1. Rapid KEV escalation within thirty days plotted against NVD CVSS severity." title="" id="83" name="Picture"/>
            <a:graphic>
              <a:graphicData uri="http://schemas.openxmlformats.org/drawingml/2006/picture">
                <pic:pic>
                  <pic:nvPicPr>
                    <pic:cNvPr descr="dissertations\CYBER_AI_10\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Rapid KEV escalation within thirty days plotted against NVD CVSS severity.</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cve</w:t>
            </w:r>
          </w:p>
        </w:tc>
        <w:tc>
          <w:tcPr>
            <w:tcW w:w="0" w:type="auto"/>
          </w:tcPr>
          <w:p>
            <w:pPr>
              <w:spacing w:line="240" w:lineRule="auto" w:before="0" w:after="0"/>
              <w:pStyle w:val="Compact"/>
            </w:pPr>
            <w:r>
              <w:rPr>
                <w:sz w:val="20"/>
                <w:szCs w:val="20"/>
              </w:rPr>
              <w:t xml:space="preserve">vendor</w:t>
            </w:r>
          </w:p>
        </w:tc>
        <w:tc>
          <w:tcPr>
            <w:tcW w:w="0" w:type="auto"/>
          </w:tcPr>
          <w:p>
            <w:pPr>
              <w:spacing w:line="240" w:lineRule="auto" w:before="0" w:after="0"/>
              <w:pStyle w:val="Compact"/>
            </w:pPr>
            <w:r>
              <w:rPr>
                <w:sz w:val="20"/>
                <w:szCs w:val="20"/>
              </w:rPr>
              <w:t xml:space="preserve">product</w:t>
            </w:r>
          </w:p>
        </w:tc>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nvd_published</w:t>
            </w:r>
          </w:p>
        </w:tc>
        <w:tc>
          <w:tcPr>
            <w:tcW w:w="0" w:type="auto"/>
          </w:tcPr>
          <w:p>
            <w:pPr>
              <w:spacing w:line="240" w:lineRule="auto" w:before="0" w:after="0"/>
              <w:pStyle w:val="Compact"/>
            </w:pPr>
            <w:r>
              <w:rPr>
                <w:sz w:val="20"/>
                <w:szCs w:val="20"/>
              </w:rPr>
              <w:t xml:space="preserve">kev_added</w:t>
            </w:r>
          </w:p>
        </w:tc>
        <w:tc>
          <w:tcPr>
            <w:tcW w:w="0" w:type="auto"/>
          </w:tcPr>
          <w:p>
            <w:pPr>
              <w:spacing w:line="240" w:lineRule="auto" w:before="0" w:after="0"/>
              <w:pStyle w:val="Compact"/>
            </w:pPr>
            <w:r>
              <w:rPr>
                <w:sz w:val="20"/>
                <w:szCs w:val="20"/>
              </w:rPr>
              <w:t xml:space="preserve">exposure_days</w:t>
            </w:r>
          </w:p>
        </w:tc>
        <w:tc>
          <w:tcPr>
            <w:tcW w:w="0" w:type="auto"/>
          </w:tcPr>
          <w:p>
            <w:pPr>
              <w:spacing w:line="240" w:lineRule="auto" w:before="0" w:after="0"/>
              <w:pStyle w:val="Compact"/>
            </w:pPr>
            <w:r>
              <w:rPr>
                <w:sz w:val="20"/>
                <w:szCs w:val="20"/>
              </w:rPr>
              <w:t xml:space="preserve">ln_exposure_days</w:t>
            </w:r>
          </w:p>
        </w:tc>
        <w:tc>
          <w:tcPr>
            <w:tcW w:w="0" w:type="auto"/>
          </w:tcPr>
          <w:p>
            <w:pPr>
              <w:spacing w:line="240" w:lineRule="auto" w:before="0" w:after="0"/>
              <w:pStyle w:val="Compact"/>
            </w:pPr>
            <w:r>
              <w:rPr>
                <w:sz w:val="20"/>
                <w:szCs w:val="20"/>
              </w:rPr>
              <w:t xml:space="preserve">rapid_escalation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CVE-2021-38406</w:t>
            </w:r>
          </w:p>
        </w:tc>
        <w:tc>
          <w:tcPr>
            <w:tcW w:w="0" w:type="auto"/>
          </w:tcPr>
          <w:p>
            <w:pPr>
              <w:spacing w:line="240" w:lineRule="auto" w:before="0" w:after="0"/>
              <w:pStyle w:val="Compact"/>
            </w:pPr>
            <w:r>
              <w:rPr>
                <w:sz w:val="20"/>
                <w:szCs w:val="20"/>
              </w:rPr>
              <w:t xml:space="preserve">Delta Electronics</w:t>
            </w:r>
          </w:p>
        </w:tc>
        <w:tc>
          <w:tcPr>
            <w:tcW w:w="0" w:type="auto"/>
          </w:tcPr>
          <w:p>
            <w:pPr>
              <w:spacing w:line="240" w:lineRule="auto" w:before="0" w:after="0"/>
              <w:pStyle w:val="Compact"/>
            </w:pPr>
            <w:r>
              <w:rPr>
                <w:sz w:val="20"/>
                <w:szCs w:val="20"/>
              </w:rPr>
              <w:t xml:space="preserve">DOPSoft 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2021-09-17</w:t>
            </w:r>
          </w:p>
        </w:tc>
        <w:tc>
          <w:tcPr>
            <w:tcW w:w="0" w:type="auto"/>
          </w:tcPr>
          <w:p>
            <w:pPr>
              <w:spacing w:line="240" w:lineRule="auto" w:before="0" w:after="0"/>
              <w:pStyle w:val="Compact"/>
            </w:pPr>
            <w:r>
              <w:rPr>
                <w:sz w:val="20"/>
                <w:szCs w:val="20"/>
              </w:rPr>
              <w:t xml:space="preserve">2022-08-25</w:t>
            </w:r>
          </w:p>
        </w:tc>
        <w:tc>
          <w:tcPr>
            <w:tcW w:w="0" w:type="auto"/>
          </w:tcPr>
          <w:p>
            <w:pPr>
              <w:spacing w:line="240" w:lineRule="auto" w:before="0" w:after="0"/>
              <w:pStyle w:val="Compact"/>
            </w:pPr>
            <w:r>
              <w:rPr>
                <w:sz w:val="20"/>
                <w:szCs w:val="20"/>
              </w:rPr>
              <w:t xml:space="preserve">342</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CVE-2021-38406 (Delta Electronics DOPSoft 2; dateAdded 2022-08-25; ransomware=0); NVD CVE API 2.0 CVE-2021-38406 (published 2021-09-17; CVSS V31 base 7.8)</w:t>
            </w:r>
          </w:p>
        </w:tc>
      </w:tr>
      <w:tr>
        <w:tc>
          <w:tcPr>
            <w:tcW w:w="0" w:type="auto"/>
          </w:tcPr>
          <w:p>
            <w:pPr>
              <w:spacing w:line="240" w:lineRule="auto" w:before="0" w:after="0"/>
              <w:pStyle w:val="Compact"/>
            </w:pPr>
            <w:r>
              <w:rPr>
                <w:sz w:val="20"/>
                <w:szCs w:val="20"/>
              </w:rPr>
              <w:t xml:space="preserve">CVE-2018-7841</w:t>
            </w:r>
          </w:p>
        </w:tc>
        <w:tc>
          <w:tcPr>
            <w:tcW w:w="0" w:type="auto"/>
          </w:tcPr>
          <w:p>
            <w:pPr>
              <w:spacing w:line="240" w:lineRule="auto" w:before="0" w:after="0"/>
              <w:pStyle w:val="Compact"/>
            </w:pPr>
            <w:r>
              <w:rPr>
                <w:sz w:val="20"/>
                <w:szCs w:val="20"/>
              </w:rPr>
              <w:t xml:space="preserve">Schneider Electric</w:t>
            </w:r>
          </w:p>
        </w:tc>
        <w:tc>
          <w:tcPr>
            <w:tcW w:w="0" w:type="auto"/>
          </w:tcPr>
          <w:p>
            <w:pPr>
              <w:spacing w:line="240" w:lineRule="auto" w:before="0" w:after="0"/>
              <w:pStyle w:val="Compact"/>
            </w:pPr>
            <w:r>
              <w:rPr>
                <w:sz w:val="20"/>
                <w:szCs w:val="20"/>
              </w:rPr>
              <w:t xml:space="preserve">U.motion Builder</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2019-05-22</w:t>
            </w:r>
          </w:p>
        </w:tc>
        <w:tc>
          <w:tcPr>
            <w:tcW w:w="0" w:type="auto"/>
          </w:tcPr>
          <w:p>
            <w:pPr>
              <w:spacing w:line="240" w:lineRule="auto" w:before="0" w:after="0"/>
              <w:pStyle w:val="Compact"/>
            </w:pPr>
            <w:r>
              <w:rPr>
                <w:sz w:val="20"/>
                <w:szCs w:val="20"/>
              </w:rPr>
              <w:t xml:space="preserve">2022-04-15</w:t>
            </w:r>
          </w:p>
        </w:tc>
        <w:tc>
          <w:tcPr>
            <w:tcW w:w="0" w:type="auto"/>
          </w:tcPr>
          <w:p>
            <w:pPr>
              <w:spacing w:line="240" w:lineRule="auto" w:before="0" w:after="0"/>
              <w:pStyle w:val="Compact"/>
            </w:pPr>
            <w:r>
              <w:rPr>
                <w:sz w:val="20"/>
                <w:szCs w:val="20"/>
              </w:rPr>
              <w:t xml:space="preserve">1059</w:t>
            </w:r>
          </w:p>
        </w:tc>
        <w:tc>
          <w:tcPr>
            <w:tcW w:w="0" w:type="auto"/>
          </w:tcPr>
          <w:p>
            <w:pPr>
              <w:spacing w:line="240" w:lineRule="auto" w:before="0" w:after="0"/>
              <w:pStyle w:val="Compact"/>
            </w:pPr>
            <w:r>
              <w:rPr>
                <w:sz w:val="20"/>
                <w:szCs w:val="20"/>
              </w:rPr>
              <w:t xml:space="preserve">6.9651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CVE-2018-7841 (Schneider Electric U.motion Builder; dateAdded 2022-04-15; ransomware=0); NVD CVE API 2.0 CVE-2018-7841 (published 2019-05-22; CVSS V31 base 9.8)</w:t>
            </w:r>
          </w:p>
        </w:tc>
      </w:tr>
      <w:tr>
        <w:tc>
          <w:tcPr>
            <w:tcW w:w="0" w:type="auto"/>
          </w:tcPr>
          <w:p>
            <w:pPr>
              <w:spacing w:line="240" w:lineRule="auto" w:before="0" w:after="0"/>
              <w:pStyle w:val="Compact"/>
            </w:pPr>
            <w:r>
              <w:rPr>
                <w:sz w:val="20"/>
                <w:szCs w:val="20"/>
              </w:rPr>
              <w:t xml:space="preserve">CVE-2016-8562</w:t>
            </w:r>
          </w:p>
        </w:tc>
        <w:tc>
          <w:tcPr>
            <w:tcW w:w="0" w:type="auto"/>
          </w:tcPr>
          <w:p>
            <w:pPr>
              <w:spacing w:line="240" w:lineRule="auto" w:before="0" w:after="0"/>
              <w:pStyle w:val="Compact"/>
            </w:pPr>
            <w:r>
              <w:rPr>
                <w:sz w:val="20"/>
                <w:szCs w:val="20"/>
              </w:rPr>
              <w:t xml:space="preserve">Siemens</w:t>
            </w:r>
          </w:p>
        </w:tc>
        <w:tc>
          <w:tcPr>
            <w:tcW w:w="0" w:type="auto"/>
          </w:tcPr>
          <w:p>
            <w:pPr>
              <w:spacing w:line="240" w:lineRule="auto" w:before="0" w:after="0"/>
              <w:pStyle w:val="Compact"/>
            </w:pPr>
            <w:r>
              <w:rPr>
                <w:sz w:val="20"/>
                <w:szCs w:val="20"/>
              </w:rPr>
              <w:t xml:space="preserve">SIMATIC CP</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2016-11-18</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1931</w:t>
            </w:r>
          </w:p>
        </w:tc>
        <w:tc>
          <w:tcPr>
            <w:tcW w:w="0" w:type="auto"/>
          </w:tcPr>
          <w:p>
            <w:pPr>
              <w:spacing w:line="240" w:lineRule="auto" w:before="0" w:after="0"/>
              <w:pStyle w:val="Compact"/>
            </w:pPr>
            <w:r>
              <w:rPr>
                <w:sz w:val="20"/>
                <w:szCs w:val="20"/>
              </w:rPr>
              <w:t xml:space="preserve">7.5658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CVE-2016-8562 (Siemens SIMATIC CP; dateAdded 2022-03-03; ransomware=0); NVD CVE API 2.0 CVE-2016-8562 (published 2016-11-18; CVSS V31 base 7.5)</w:t>
            </w:r>
          </w:p>
        </w:tc>
      </w:tr>
      <w:tr>
        <w:tc>
          <w:tcPr>
            <w:tcW w:w="0" w:type="auto"/>
          </w:tcPr>
          <w:p>
            <w:pPr>
              <w:spacing w:line="240" w:lineRule="auto" w:before="0" w:after="0"/>
              <w:pStyle w:val="Compact"/>
            </w:pPr>
            <w:r>
              <w:rPr>
                <w:sz w:val="20"/>
                <w:szCs w:val="20"/>
              </w:rPr>
              <w:t xml:space="preserve">CVE-2023-6448</w:t>
            </w:r>
          </w:p>
        </w:tc>
        <w:tc>
          <w:tcPr>
            <w:tcW w:w="0" w:type="auto"/>
          </w:tcPr>
          <w:p>
            <w:pPr>
              <w:spacing w:line="240" w:lineRule="auto" w:before="0" w:after="0"/>
              <w:pStyle w:val="Compact"/>
            </w:pPr>
            <w:r>
              <w:rPr>
                <w:sz w:val="20"/>
                <w:szCs w:val="20"/>
              </w:rPr>
              <w:t xml:space="preserve">Unitronics</w:t>
            </w:r>
          </w:p>
        </w:tc>
        <w:tc>
          <w:tcPr>
            <w:tcW w:w="0" w:type="auto"/>
          </w:tcPr>
          <w:p>
            <w:pPr>
              <w:spacing w:line="240" w:lineRule="auto" w:before="0" w:after="0"/>
              <w:pStyle w:val="Compact"/>
            </w:pPr>
            <w:r>
              <w:rPr>
                <w:sz w:val="20"/>
                <w:szCs w:val="20"/>
              </w:rPr>
              <w:t xml:space="preserve">Vision PLC and HMI</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2023-12-05</w:t>
            </w:r>
          </w:p>
        </w:tc>
        <w:tc>
          <w:tcPr>
            <w:tcW w:w="0" w:type="auto"/>
          </w:tcPr>
          <w:p>
            <w:pPr>
              <w:spacing w:line="240" w:lineRule="auto" w:before="0" w:after="0"/>
              <w:pStyle w:val="Compact"/>
            </w:pPr>
            <w:r>
              <w:rPr>
                <w:sz w:val="20"/>
                <w:szCs w:val="20"/>
              </w:rPr>
              <w:t xml:space="preserve">2023-12-11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CVE-2023-6448 (Unitronics Vision PLC and HMI; dateAdded 2023-12-11; ransomware=0); NVD CVE API 2.0 CVE-2023-6448 (published 2023-12-05; CVSS V31 base 9.8)</w:t>
            </w:r>
          </w:p>
        </w:tc>
      </w:tr>
      <w:tr>
        <w:tc>
          <w:tcPr>
            <w:tcW w:w="0" w:type="auto"/>
          </w:tcPr>
          <w:p>
            <w:pPr>
              <w:spacing w:line="240" w:lineRule="auto" w:before="0" w:after="0"/>
              <w:pStyle w:val="Compact"/>
            </w:pPr>
            <w:r>
              <w:rPr>
                <w:sz w:val="20"/>
                <w:szCs w:val="20"/>
              </w:rPr>
              <w:t xml:space="preserve">CVE-2023-2868</w:t>
            </w:r>
          </w:p>
        </w:tc>
        <w:tc>
          <w:tcPr>
            <w:tcW w:w="0" w:type="auto"/>
          </w:tcPr>
          <w:p>
            <w:pPr>
              <w:spacing w:line="240" w:lineRule="auto" w:before="0" w:after="0"/>
              <w:pStyle w:val="Compact"/>
            </w:pPr>
            <w:r>
              <w:rPr>
                <w:sz w:val="20"/>
                <w:szCs w:val="20"/>
              </w:rPr>
              <w:t xml:space="preserve">Barracuda Networks</w:t>
            </w:r>
          </w:p>
        </w:tc>
        <w:tc>
          <w:tcPr>
            <w:tcW w:w="0" w:type="auto"/>
          </w:tcPr>
          <w:p>
            <w:pPr>
              <w:spacing w:line="240" w:lineRule="auto" w:before="0" w:after="0"/>
              <w:pStyle w:val="Compact"/>
            </w:pPr>
            <w:r>
              <w:rPr>
                <w:sz w:val="20"/>
                <w:szCs w:val="20"/>
              </w:rPr>
              <w:t xml:space="preserve">Email Security Gateway (ESG) Appliance</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2023-05-24</w:t>
            </w:r>
          </w:p>
        </w:tc>
        <w:tc>
          <w:tcPr>
            <w:tcW w:w="0" w:type="auto"/>
          </w:tcPr>
          <w:p>
            <w:pPr>
              <w:spacing w:line="240" w:lineRule="auto" w:before="0" w:after="0"/>
              <w:pStyle w:val="Compact"/>
            </w:pPr>
            <w:r>
              <w:rPr>
                <w:sz w:val="20"/>
                <w:szCs w:val="20"/>
              </w:rPr>
              <w:t xml:space="preserve">2023-05-26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CVE-2023-2868 (Barracuda Networks Email Security Gateway (ESG) Appliance; dateAdded 2023-05-26; ransomware=0); NVD CVE API 2.0 CVE-2023-2868 (published 2023-05-24; CVSS V31 base 9.4)</w:t>
            </w:r>
          </w:p>
        </w:tc>
      </w:tr>
      <w:tr>
        <w:tc>
          <w:tcPr>
            <w:tcW w:w="0" w:type="auto"/>
          </w:tcPr>
          <w:p>
            <w:pPr>
              <w:spacing w:line="240" w:lineRule="auto" w:before="0" w:after="0"/>
              <w:pStyle w:val="Compact"/>
            </w:pPr>
            <w:r>
              <w:rPr>
                <w:sz w:val="20"/>
                <w:szCs w:val="20"/>
              </w:rPr>
              <w:t xml:space="preserve">CVE-2026-50751</w:t>
            </w:r>
          </w:p>
        </w:tc>
        <w:tc>
          <w:tcPr>
            <w:tcW w:w="0" w:type="auto"/>
          </w:tcPr>
          <w:p>
            <w:pPr>
              <w:spacing w:line="240" w:lineRule="auto" w:before="0" w:after="0"/>
              <w:pStyle w:val="Compact"/>
            </w:pPr>
            <w:r>
              <w:rPr>
                <w:sz w:val="20"/>
                <w:szCs w:val="20"/>
              </w:rPr>
              <w:t xml:space="preserve">Check Point</w:t>
            </w:r>
          </w:p>
        </w:tc>
        <w:tc>
          <w:tcPr>
            <w:tcW w:w="0" w:type="auto"/>
          </w:tcPr>
          <w:p>
            <w:pPr>
              <w:spacing w:line="240" w:lineRule="auto" w:before="0" w:after="0"/>
              <w:pStyle w:val="Compact"/>
            </w:pPr>
            <w:r>
              <w:rPr>
                <w:sz w:val="20"/>
                <w:szCs w:val="20"/>
              </w:rPr>
              <w:t xml:space="preserve">Security Gateway</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CVE-2026-50751 (Check Point Security Gateway; dateAdded 2026-06-08; ransomware=1); NVD CVE API 2.0 CVE-2026-50751 (published 2026-06-08; CVSS V31 base 9.3)</w:t>
            </w:r>
          </w:p>
        </w:tc>
      </w:tr>
      <w:tr>
        <w:tc>
          <w:tcPr>
            <w:tcW w:w="0" w:type="auto"/>
          </w:tcPr>
          <w:p>
            <w:pPr>
              <w:spacing w:line="240" w:lineRule="auto" w:before="0" w:after="0"/>
              <w:pStyle w:val="Compact"/>
            </w:pPr>
            <w:r>
              <w:rPr>
                <w:sz w:val="20"/>
                <w:szCs w:val="20"/>
              </w:rPr>
              <w:t xml:space="preserve">CVE-2014-2120</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Adaptive Security Appliance (ASA)</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2014-03-19</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3891</w:t>
            </w:r>
          </w:p>
        </w:tc>
        <w:tc>
          <w:tcPr>
            <w:tcW w:w="0" w:type="auto"/>
          </w:tcPr>
          <w:p>
            <w:pPr>
              <w:spacing w:line="240" w:lineRule="auto" w:before="0" w:after="0"/>
              <w:pStyle w:val="Compact"/>
            </w:pPr>
            <w:r>
              <w:rPr>
                <w:sz w:val="20"/>
                <w:szCs w:val="20"/>
              </w:rPr>
              <w:t xml:space="preserve">8.2664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CVE-2014-2120 (Cisco Adaptive Security Appliance (ASA); dateAdded 2024-11-12; ransomware=0); NVD CVE API 2.0 CVE-2014-2120 (published 2014-03-19; CVSS V31 base 6.1)</w:t>
            </w:r>
          </w:p>
        </w:tc>
      </w:tr>
      <w:tr>
        <w:tc>
          <w:tcPr>
            <w:tcW w:w="0" w:type="auto"/>
          </w:tcPr>
          <w:p>
            <w:pPr>
              <w:spacing w:line="240" w:lineRule="auto" w:before="0" w:after="0"/>
              <w:pStyle w:val="Compact"/>
            </w:pPr>
            <w:r>
              <w:rPr>
                <w:sz w:val="20"/>
                <w:szCs w:val="20"/>
              </w:rPr>
              <w:t xml:space="preserve">CVE-2018-0147</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Access Control System (ACS)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2018-03-08</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1478</w:t>
            </w:r>
          </w:p>
        </w:tc>
        <w:tc>
          <w:tcPr>
            <w:tcW w:w="0" w:type="auto"/>
          </w:tcPr>
          <w:p>
            <w:pPr>
              <w:spacing w:line="240" w:lineRule="auto" w:before="0" w:after="0"/>
              <w:pStyle w:val="Compact"/>
            </w:pPr>
            <w:r>
              <w:rPr>
                <w:sz w:val="20"/>
                <w:szCs w:val="20"/>
              </w:rPr>
              <w:t xml:space="preserve">7.2984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CVE-2018-0147 (Cisco Secure Access Control System (ACS); dateAdded 2022-03-25; ransomware=0); NVD CVE API 2.0 CVE-2018-0147 (published 2018-03-08; CVSS V31 base 9.8)</w:t>
            </w:r>
          </w:p>
        </w:tc>
      </w:tr>
      <w:tr>
        <w:tc>
          <w:tcPr>
            <w:tcW w:w="0" w:type="auto"/>
          </w:tcPr>
          <w:p>
            <w:pPr>
              <w:spacing w:line="240" w:lineRule="auto" w:before="0" w:after="0"/>
              <w:pStyle w:val="Compact"/>
            </w:pPr>
            <w:r>
              <w:rPr>
                <w:sz w:val="20"/>
                <w:szCs w:val="20"/>
              </w:rPr>
              <w:t xml:space="preserve">CVE-2020-3153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AnyConnect Secure</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2020-02-19</w:t>
            </w:r>
          </w:p>
        </w:tc>
        <w:tc>
          <w:tcPr>
            <w:tcW w:w="0" w:type="auto"/>
          </w:tcPr>
          <w:p>
            <w:pPr>
              <w:spacing w:line="240" w:lineRule="auto" w:before="0" w:after="0"/>
              <w:pStyle w:val="Compact"/>
            </w:pPr>
            <w:r>
              <w:rPr>
                <w:sz w:val="20"/>
                <w:szCs w:val="20"/>
              </w:rPr>
              <w:t xml:space="preserve">2022-10-24</w:t>
            </w:r>
          </w:p>
        </w:tc>
        <w:tc>
          <w:tcPr>
            <w:tcW w:w="0" w:type="auto"/>
          </w:tcPr>
          <w:p>
            <w:pPr>
              <w:spacing w:line="240" w:lineRule="auto" w:before="0" w:after="0"/>
              <w:pStyle w:val="Compact"/>
            </w:pPr>
            <w:r>
              <w:rPr>
                <w:sz w:val="20"/>
                <w:szCs w:val="20"/>
              </w:rPr>
              <w:t xml:space="preserve">978</w:t>
            </w:r>
          </w:p>
        </w:tc>
        <w:tc>
          <w:tcPr>
            <w:tcW w:w="0" w:type="auto"/>
          </w:tcPr>
          <w:p>
            <w:pPr>
              <w:spacing w:line="240" w:lineRule="auto" w:before="0" w:after="0"/>
              <w:pStyle w:val="Compact"/>
            </w:pPr>
            <w:r>
              <w:rPr>
                <w:sz w:val="20"/>
                <w:szCs w:val="20"/>
              </w:rPr>
              <w:t xml:space="preserve">6.8855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CVE-2020-3153 (Cisco AnyConnect Secure; dateAdded 2022-10-24; ransomware=1); NVD CVE API 2.0 CVE-2020-3153 (published 2020-02-19; CVSS V31 base 6.5)</w:t>
            </w:r>
          </w:p>
        </w:tc>
      </w:tr>
      <w:tr>
        <w:tc>
          <w:tcPr>
            <w:tcW w:w="0" w:type="auto"/>
          </w:tcPr>
          <w:p>
            <w:pPr>
              <w:spacing w:line="240" w:lineRule="auto" w:before="0" w:after="0"/>
              <w:pStyle w:val="Compact"/>
            </w:pPr>
            <w:r>
              <w:rPr>
                <w:sz w:val="20"/>
                <w:szCs w:val="20"/>
              </w:rPr>
              <w:t xml:space="preserve">CVE-2022-20703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Small Business RV160, RV260, RV340, and RV345 Series Routers</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2022-02-10</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CVE-2022-20703 (Cisco Small Business RV160, RV260, RV340, and RV345 Series Routers; dateAdded 2022-03-03; ransomware=0); NVD CVE API 2.0 CVE-2022-20703 (published 2022-02-10; CVSS V31 base 10.0)</w:t>
            </w:r>
          </w:p>
        </w:tc>
      </w:tr>
      <w:tr>
        <w:tc>
          <w:tcPr>
            <w:tcW w:w="0" w:type="auto"/>
          </w:tcPr>
          <w:p>
            <w:pPr>
              <w:spacing w:line="240" w:lineRule="auto" w:before="0" w:after="0"/>
              <w:pStyle w:val="Compact"/>
            </w:pPr>
            <w:r>
              <w:rPr>
                <w:sz w:val="20"/>
                <w:szCs w:val="20"/>
              </w:rPr>
              <w:t xml:space="preserve">CVE-2026-20131</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Firewall Management Center (FMC)</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2026-03-04</w:t>
            </w:r>
          </w:p>
        </w:tc>
        <w:tc>
          <w:tcPr>
            <w:tcW w:w="0" w:type="auto"/>
          </w:tcPr>
          <w:p>
            <w:pPr>
              <w:spacing w:line="240" w:lineRule="auto" w:before="0" w:after="0"/>
              <w:pStyle w:val="Compact"/>
            </w:pPr>
            <w:r>
              <w:rPr>
                <w:sz w:val="20"/>
                <w:szCs w:val="20"/>
              </w:rPr>
              <w:t xml:space="preserve">2026-03-19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CVE-2026-20131 (Cisco Secure Firewall Management Center (FMC); dateAdded 2026-03-19; ransomware=1); NVD CVE API 2.0 CVE-2026-20131 (published 2026-03-04; CVSS V31 base 10.0)</w:t>
            </w:r>
          </w:p>
        </w:tc>
      </w:tr>
      <w:tr>
        <w:tc>
          <w:tcPr>
            <w:tcW w:w="0" w:type="auto"/>
          </w:tcPr>
          <w:p>
            <w:pPr>
              <w:spacing w:line="240" w:lineRule="auto" w:before="0" w:after="0"/>
              <w:pStyle w:val="Compact"/>
            </w:pPr>
            <w:r>
              <w:rPr>
                <w:sz w:val="20"/>
                <w:szCs w:val="20"/>
              </w:rPr>
              <w:t xml:space="preserve">CVE-2019-11634</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Workspace Application and Receiver for Windows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2019-05-22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896</w:t>
            </w:r>
          </w:p>
        </w:tc>
        <w:tc>
          <w:tcPr>
            <w:tcW w:w="0" w:type="auto"/>
          </w:tcPr>
          <w:p>
            <w:pPr>
              <w:spacing w:line="240" w:lineRule="auto" w:before="0" w:after="0"/>
              <w:pStyle w:val="Compact"/>
            </w:pPr>
            <w:r>
              <w:rPr>
                <w:sz w:val="20"/>
                <w:szCs w:val="20"/>
              </w:rPr>
              <w:t xml:space="preserve">6.7979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CVE-2019-11634 (Citrix Workspace Application and Receiver for Windows; dateAdded 2021-11-03; ransomware=1); NVD CVE API 2.0 CVE-2019-11634 (published 2019-05-22; CVSS V31 base 9.8)</w:t>
            </w:r>
          </w:p>
        </w:tc>
      </w:tr>
      <w:tr>
        <w:tc>
          <w:tcPr>
            <w:tcW w:w="0" w:type="auto"/>
          </w:tcPr>
          <w:p>
            <w:pPr>
              <w:spacing w:line="240" w:lineRule="auto" w:before="0" w:after="0"/>
              <w:pStyle w:val="Compact"/>
            </w:pPr>
            <w:r>
              <w:rPr>
                <w:sz w:val="20"/>
                <w:szCs w:val="20"/>
              </w:rPr>
              <w:t xml:space="preserve">CVE-2023-24489</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Content Collaboration</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2023-07-10</w:t>
            </w:r>
          </w:p>
        </w:tc>
        <w:tc>
          <w:tcPr>
            <w:tcW w:w="0" w:type="auto"/>
          </w:tcPr>
          <w:p>
            <w:pPr>
              <w:spacing w:line="240" w:lineRule="auto" w:before="0" w:after="0"/>
              <w:pStyle w:val="Compact"/>
            </w:pPr>
            <w:r>
              <w:rPr>
                <w:sz w:val="20"/>
                <w:szCs w:val="20"/>
              </w:rPr>
              <w:t xml:space="preserve">2023-08-16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3.6109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CVE-2023-24489 (Citrix Content Collaboration; dateAdded 2023-08-16; ransomware=0); NVD CVE API 2.0 CVE-2023-24489 (published 2023-07-10; CVSS V31 base 9.8)</w:t>
            </w:r>
          </w:p>
        </w:tc>
      </w:tr>
      <w:tr>
        <w:tc>
          <w:tcPr>
            <w:tcW w:w="0" w:type="auto"/>
          </w:tcPr>
          <w:p>
            <w:pPr>
              <w:spacing w:line="240" w:lineRule="auto" w:before="0" w:after="0"/>
              <w:pStyle w:val="Compact"/>
            </w:pPr>
            <w:r>
              <w:rPr>
                <w:sz w:val="20"/>
                <w:szCs w:val="20"/>
              </w:rPr>
              <w:t xml:space="preserve">CVE-2024-8069</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Session Recording</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2025-08-25</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5.656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CVE-2024-8069 (Citrix Session Recording; dateAdded 2025-08-25; ransomware=0); NVD CVE API 2.0 CVE-2024-8069 (published 2024-11-12; CVSS V31 base 8.0)</w:t>
            </w:r>
          </w:p>
        </w:tc>
      </w:tr>
      <w:tr>
        <w:tc>
          <w:tcPr>
            <w:tcW w:w="0" w:type="auto"/>
          </w:tcPr>
          <w:p>
            <w:pPr>
              <w:spacing w:line="240" w:lineRule="auto" w:before="0" w:after="0"/>
              <w:pStyle w:val="Compact"/>
            </w:pPr>
            <w:r>
              <w:rPr>
                <w:sz w:val="20"/>
                <w:szCs w:val="20"/>
              </w:rPr>
              <w:t xml:space="preserve">CVE-2021-22986</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and BIG-IQ Centralized Management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2021-03-31</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5.3799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CVE-2021-22986 (F5 BIG-IP and BIG-IQ Centralized Management; dateAdded 2021-11-03; ransomware=1); NVD CVE API 2.0 CVE-2021-22986 (published 2021-03-31; CVSS V31 base 9.8)</w:t>
            </w:r>
          </w:p>
        </w:tc>
      </w:tr>
      <w:tr>
        <w:tc>
          <w:tcPr>
            <w:tcW w:w="0" w:type="auto"/>
          </w:tcPr>
          <w:p>
            <w:pPr>
              <w:spacing w:line="240" w:lineRule="auto" w:before="0" w:after="0"/>
              <w:pStyle w:val="Compact"/>
            </w:pPr>
            <w:r>
              <w:rPr>
                <w:sz w:val="20"/>
                <w:szCs w:val="20"/>
              </w:rPr>
              <w:t xml:space="preserve">CVE-2023-46748</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Configuration Utility</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2023-10-26</w:t>
            </w:r>
          </w:p>
        </w:tc>
        <w:tc>
          <w:tcPr>
            <w:tcW w:w="0" w:type="auto"/>
          </w:tcPr>
          <w:p>
            <w:pPr>
              <w:spacing w:line="240" w:lineRule="auto" w:before="0" w:after="0"/>
              <w:pStyle w:val="Compact"/>
            </w:pPr>
            <w:r>
              <w:rPr>
                <w:sz w:val="20"/>
                <w:szCs w:val="20"/>
              </w:rPr>
              <w:t xml:space="preserve">2023-10-31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CVE-2023-46748 (F5 BIG-IP Configuration Utility; dateAdded 2023-10-31; ransomware=0); NVD CVE API 2.0 CVE-2023-46748 (published 2023-10-26; CVSS V31 base 8.8)</w:t>
            </w:r>
          </w:p>
        </w:tc>
      </w:tr>
      <w:tr>
        <w:tc>
          <w:tcPr>
            <w:tcW w:w="0" w:type="auto"/>
          </w:tcPr>
          <w:p>
            <w:pPr>
              <w:spacing w:line="240" w:lineRule="auto" w:before="0" w:after="0"/>
              <w:pStyle w:val="Compact"/>
            </w:pPr>
            <w:r>
              <w:rPr>
                <w:sz w:val="20"/>
                <w:szCs w:val="20"/>
              </w:rPr>
              <w:t xml:space="preserve">CVE-2019-6693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2019-11-21</w:t>
            </w:r>
          </w:p>
        </w:tc>
        <w:tc>
          <w:tcPr>
            <w:tcW w:w="0" w:type="auto"/>
          </w:tcPr>
          <w:p>
            <w:pPr>
              <w:spacing w:line="240" w:lineRule="auto" w:before="0" w:after="0"/>
              <w:pStyle w:val="Compact"/>
            </w:pPr>
            <w:r>
              <w:rPr>
                <w:sz w:val="20"/>
                <w:szCs w:val="20"/>
              </w:rPr>
              <w:t xml:space="preserve">2025-06-25</w:t>
            </w:r>
          </w:p>
        </w:tc>
        <w:tc>
          <w:tcPr>
            <w:tcW w:w="0" w:type="auto"/>
          </w:tcPr>
          <w:p>
            <w:pPr>
              <w:spacing w:line="240" w:lineRule="auto" w:before="0" w:after="0"/>
              <w:pStyle w:val="Compact"/>
            </w:pPr>
            <w:r>
              <w:rPr>
                <w:sz w:val="20"/>
                <w:szCs w:val="20"/>
              </w:rPr>
              <w:t xml:space="preserve">2043</w:t>
            </w:r>
          </w:p>
        </w:tc>
        <w:tc>
          <w:tcPr>
            <w:tcW w:w="0" w:type="auto"/>
          </w:tcPr>
          <w:p>
            <w:pPr>
              <w:spacing w:line="240" w:lineRule="auto" w:before="0" w:after="0"/>
              <w:pStyle w:val="Compact"/>
            </w:pPr>
            <w:r>
              <w:rPr>
                <w:sz w:val="20"/>
                <w:szCs w:val="20"/>
              </w:rPr>
              <w:t xml:space="preserve">7.6222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CVE-2019-6693 (Fortinet FortiOS; dateAdded 2025-06-25; ransomware=1); NVD CVE API 2.0 CVE-2019-6693 (published 2019-11-21; CVSS V31 base 6.5)</w:t>
            </w:r>
          </w:p>
        </w:tc>
      </w:tr>
      <w:tr>
        <w:tc>
          <w:tcPr>
            <w:tcW w:w="0" w:type="auto"/>
          </w:tcPr>
          <w:p>
            <w:pPr>
              <w:spacing w:line="240" w:lineRule="auto" w:before="0" w:after="0"/>
              <w:pStyle w:val="Compact"/>
            </w:pPr>
            <w:r>
              <w:rPr>
                <w:sz w:val="20"/>
                <w:szCs w:val="20"/>
              </w:rPr>
              <w:t xml:space="preserve">CVE-2023-27997</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 and FortiProxy SSL-VPN</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CVE-2023-27997 (Fortinet FortiOS and FortiProxy SSL-VPN; dateAdded 2023-06-13; ransomware=1); NVD CVE API 2.0 CVE-2023-27997 (published 2023-06-13; CVSS V31 base 9.8)</w:t>
            </w:r>
          </w:p>
        </w:tc>
      </w:tr>
      <w:tr>
        <w:tc>
          <w:tcPr>
            <w:tcW w:w="0" w:type="auto"/>
          </w:tcPr>
          <w:p>
            <w:pPr>
              <w:spacing w:line="240" w:lineRule="auto" w:before="0" w:after="0"/>
              <w:pStyle w:val="Compact"/>
            </w:pPr>
            <w:r>
              <w:rPr>
                <w:sz w:val="20"/>
                <w:szCs w:val="20"/>
              </w:rPr>
              <w:t xml:space="preserve">CVE-2024-23113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2024-02-15</w:t>
            </w:r>
          </w:p>
        </w:tc>
        <w:tc>
          <w:tcPr>
            <w:tcW w:w="0" w:type="auto"/>
          </w:tcPr>
          <w:p>
            <w:pPr>
              <w:spacing w:line="240" w:lineRule="auto" w:before="0" w:after="0"/>
              <w:pStyle w:val="Compact"/>
            </w:pPr>
            <w:r>
              <w:rPr>
                <w:sz w:val="20"/>
                <w:szCs w:val="20"/>
              </w:rPr>
              <w:t xml:space="preserve">2024-10-09</w:t>
            </w:r>
          </w:p>
        </w:tc>
        <w:tc>
          <w:tcPr>
            <w:tcW w:w="0" w:type="auto"/>
          </w:tcPr>
          <w:p>
            <w:pPr>
              <w:spacing w:line="240" w:lineRule="auto" w:before="0" w:after="0"/>
              <w:pStyle w:val="Compact"/>
            </w:pPr>
            <w:r>
              <w:rPr>
                <w:sz w:val="20"/>
                <w:szCs w:val="20"/>
              </w:rPr>
              <w:t xml:space="preserve">237</w:t>
            </w:r>
          </w:p>
        </w:tc>
        <w:tc>
          <w:tcPr>
            <w:tcW w:w="0" w:type="auto"/>
          </w:tcPr>
          <w:p>
            <w:pPr>
              <w:spacing w:line="240" w:lineRule="auto" w:before="0" w:after="0"/>
              <w:pStyle w:val="Compact"/>
            </w:pPr>
            <w:r>
              <w:rPr>
                <w:sz w:val="20"/>
                <w:szCs w:val="20"/>
              </w:rPr>
              <w:t xml:space="preserve">5.4681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CVE-2024-23113 (Fortinet Multiple Products; dateAdded 2024-10-09; ransomware=0); NVD CVE API 2.0 CVE-2024-23113 (published 2024-02-15; CVSS V31 base 9.8)</w:t>
            </w:r>
          </w:p>
        </w:tc>
      </w:tr>
      <w:tr>
        <w:tc>
          <w:tcPr>
            <w:tcW w:w="0" w:type="auto"/>
          </w:tcPr>
          <w:p>
            <w:pPr>
              <w:spacing w:line="240" w:lineRule="auto" w:before="0" w:after="0"/>
              <w:pStyle w:val="Compact"/>
            </w:pPr>
            <w:r>
              <w:rPr>
                <w:sz w:val="20"/>
                <w:szCs w:val="20"/>
              </w:rPr>
              <w:t xml:space="preserve">CVE-2024-47575</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FortiManager</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CVE-2024-47575 (Fortinet FortiManager; dateAdded 2024-10-23; ransomware=0); NVD CVE API 2.0 CVE-2024-47575 (published 2024-10-23; CVSS V31 base 9.8)</w:t>
            </w:r>
          </w:p>
        </w:tc>
      </w:tr>
      <w:tr>
        <w:tc>
          <w:tcPr>
            <w:tcW w:w="0" w:type="auto"/>
          </w:tcPr>
          <w:p>
            <w:pPr>
              <w:spacing w:line="240" w:lineRule="auto" w:before="0" w:after="0"/>
              <w:pStyle w:val="Compact"/>
            </w:pPr>
            <w:r>
              <w:rPr>
                <w:sz w:val="20"/>
                <w:szCs w:val="20"/>
              </w:rPr>
              <w:t xml:space="preserve">CVE-2021-44529</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Cloud Service Appliance (EPM CSA)</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2021-12-08</w:t>
            </w:r>
          </w:p>
        </w:tc>
        <w:tc>
          <w:tcPr>
            <w:tcW w:w="0" w:type="auto"/>
          </w:tcPr>
          <w:p>
            <w:pPr>
              <w:spacing w:line="240" w:lineRule="auto" w:before="0" w:after="0"/>
              <w:pStyle w:val="Compact"/>
            </w:pPr>
            <w:r>
              <w:rPr>
                <w:sz w:val="20"/>
                <w:szCs w:val="20"/>
              </w:rPr>
              <w:t xml:space="preserve">2024-03-25</w:t>
            </w:r>
          </w:p>
        </w:tc>
        <w:tc>
          <w:tcPr>
            <w:tcW w:w="0" w:type="auto"/>
          </w:tcPr>
          <w:p>
            <w:pPr>
              <w:spacing w:line="240" w:lineRule="auto" w:before="0" w:after="0"/>
              <w:pStyle w:val="Compact"/>
            </w:pPr>
            <w:r>
              <w:rPr>
                <w:sz w:val="20"/>
                <w:szCs w:val="20"/>
              </w:rPr>
              <w:t xml:space="preserve">838</w:t>
            </w:r>
          </w:p>
        </w:tc>
        <w:tc>
          <w:tcPr>
            <w:tcW w:w="0" w:type="auto"/>
          </w:tcPr>
          <w:p>
            <w:pPr>
              <w:spacing w:line="240" w:lineRule="auto" w:before="0" w:after="0"/>
              <w:pStyle w:val="Compact"/>
            </w:pPr>
            <w:r>
              <w:rPr>
                <w:sz w:val="20"/>
                <w:szCs w:val="20"/>
              </w:rPr>
              <w:t xml:space="preserve">6.731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CVE-2021-44529 (Ivanti Endpoint Manager Cloud Service Appliance (EPM CSA); dateAdded 2024-03-25; ransomware=1); NVD CVE API 2.0 CVE-2021-44529 (published 2021-12-08; CVSS V31 base 9.8)</w:t>
            </w:r>
          </w:p>
        </w:tc>
      </w:tr>
      <w:tr>
        <w:tc>
          <w:tcPr>
            <w:tcW w:w="0" w:type="auto"/>
          </w:tcPr>
          <w:p>
            <w:pPr>
              <w:spacing w:line="240" w:lineRule="auto" w:before="0" w:after="0"/>
              <w:pStyle w:val="Compact"/>
            </w:pPr>
            <w:r>
              <w:rPr>
                <w:sz w:val="20"/>
                <w:szCs w:val="20"/>
              </w:rPr>
              <w:t xml:space="preserve">CVE-2025-0282</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Connect Secure, Policy Secure, and ZTA Gateways</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2025-01-08</w:t>
            </w:r>
          </w:p>
        </w:tc>
        <w:tc>
          <w:tcPr>
            <w:tcW w:w="0" w:type="auto"/>
          </w:tcPr>
          <w:p>
            <w:pPr>
              <w:spacing w:line="240" w:lineRule="auto" w:before="0" w:after="0"/>
              <w:pStyle w:val="Compact"/>
            </w:pPr>
            <w:r>
              <w:rPr>
                <w:sz w:val="20"/>
                <w:szCs w:val="20"/>
              </w:rPr>
              <w:t xml:space="preserve">2025-01-08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CVE-2025-0282 (Ivanti Connect Secure, Policy Secure, and ZTA Gateways; dateAdded 2025-01-08; ransomware=1); NVD CVE API 2.0 CVE-2025-0282 (published 2025-01-08; CVSS V31 base 9.0)</w:t>
            </w:r>
          </w:p>
        </w:tc>
      </w:tr>
      <w:tr>
        <w:tc>
          <w:tcPr>
            <w:tcW w:w="0" w:type="auto"/>
          </w:tcPr>
          <w:p>
            <w:pPr>
              <w:spacing w:line="240" w:lineRule="auto" w:before="0" w:after="0"/>
              <w:pStyle w:val="Compact"/>
            </w:pPr>
            <w:r>
              <w:rPr>
                <w:sz w:val="20"/>
                <w:szCs w:val="20"/>
              </w:rPr>
              <w:t xml:space="preserve">CVE-2025-4427</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Mobile (EPMM)</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2025-05-13</w:t>
            </w:r>
          </w:p>
        </w:tc>
        <w:tc>
          <w:tcPr>
            <w:tcW w:w="0" w:type="auto"/>
          </w:tcPr>
          <w:p>
            <w:pPr>
              <w:spacing w:line="240" w:lineRule="auto" w:before="0" w:after="0"/>
              <w:pStyle w:val="Compact"/>
            </w:pPr>
            <w:r>
              <w:rPr>
                <w:sz w:val="20"/>
                <w:szCs w:val="20"/>
              </w:rPr>
              <w:t xml:space="preserve">2025-05-19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CVE-2025-4427 (Ivanti Endpoint Manager Mobile (EPMM); dateAdded 2025-05-19; ransomware=0); NVD CVE API 2.0 CVE-2025-4427 (published 2025-05-13; CVSS V31 base 5.3)</w:t>
            </w:r>
          </w:p>
        </w:tc>
      </w:tr>
      <w:tr>
        <w:tc>
          <w:tcPr>
            <w:tcW w:w="0" w:type="auto"/>
          </w:tcPr>
          <w:p>
            <w:pPr>
              <w:spacing w:line="240" w:lineRule="auto" w:before="0" w:after="0"/>
              <w:pStyle w:val="Compact"/>
            </w:pPr>
            <w:r>
              <w:rPr>
                <w:sz w:val="20"/>
                <w:szCs w:val="20"/>
              </w:rPr>
              <w:t xml:space="preserve">CVE-2026-1281</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Mobile (EPMM)</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2026-01-29</w:t>
            </w:r>
          </w:p>
        </w:tc>
        <w:tc>
          <w:tcPr>
            <w:tcW w:w="0" w:type="auto"/>
          </w:tcPr>
          <w:p>
            <w:pPr>
              <w:spacing w:line="240" w:lineRule="auto" w:before="0" w:after="0"/>
              <w:pStyle w:val="Compact"/>
            </w:pPr>
            <w:r>
              <w:rPr>
                <w:sz w:val="20"/>
                <w:szCs w:val="20"/>
              </w:rPr>
              <w:t xml:space="preserve">2026-01-29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CVE-2026-1281 (Ivanti Endpoint Manager Mobile (EPMM); dateAdded 2026-01-29; ransomware=0); NVD CVE API 2.0 CVE-2026-1281 (published 2026-01-29; CVSS V31 base 9.8)</w:t>
            </w:r>
          </w:p>
        </w:tc>
      </w:tr>
      <w:tr>
        <w:tc>
          <w:tcPr>
            <w:tcW w:w="0" w:type="auto"/>
          </w:tcPr>
          <w:p>
            <w:pPr>
              <w:spacing w:line="240" w:lineRule="auto" w:before="0" w:after="0"/>
              <w:pStyle w:val="Compact"/>
            </w:pPr>
            <w:r>
              <w:rPr>
                <w:sz w:val="20"/>
                <w:szCs w:val="20"/>
              </w:rPr>
              <w:t xml:space="preserve">CVE-2023-36845</w:t>
            </w:r>
          </w:p>
        </w:tc>
        <w:tc>
          <w:tcPr>
            <w:tcW w:w="0" w:type="auto"/>
          </w:tcPr>
          <w:p>
            <w:pPr>
              <w:spacing w:line="240" w:lineRule="auto" w:before="0" w:after="0"/>
              <w:pStyle w:val="Compact"/>
            </w:pPr>
            <w:r>
              <w:rPr>
                <w:sz w:val="20"/>
                <w:szCs w:val="20"/>
              </w:rPr>
              <w:t xml:space="preserve">Juniper</w:t>
            </w:r>
          </w:p>
        </w:tc>
        <w:tc>
          <w:tcPr>
            <w:tcW w:w="0" w:type="auto"/>
          </w:tcPr>
          <w:p>
            <w:pPr>
              <w:spacing w:line="240" w:lineRule="auto" w:before="0" w:after="0"/>
              <w:pStyle w:val="Compact"/>
            </w:pPr>
            <w:r>
              <w:rPr>
                <w:sz w:val="20"/>
                <w:szCs w:val="20"/>
              </w:rPr>
              <w:t xml:space="preserve">Junos 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2023-08-17</w:t>
            </w:r>
          </w:p>
        </w:tc>
        <w:tc>
          <w:tcPr>
            <w:tcW w:w="0" w:type="auto"/>
          </w:tcPr>
          <w:p>
            <w:pPr>
              <w:spacing w:line="240" w:lineRule="auto" w:before="0" w:after="0"/>
              <w:pStyle w:val="Compact"/>
            </w:pPr>
            <w:r>
              <w:rPr>
                <w:sz w:val="20"/>
                <w:szCs w:val="20"/>
              </w:rPr>
              <w:t xml:space="preserve">2023-11-13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4.4773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CVE-2023-36845 (Juniper Junos OS; dateAdded 2023-11-13; ransomware=0); NVD CVE API 2.0 CVE-2023-36845 (published 2023-08-17; CVSS V31 base 9.8)</w:t>
            </w:r>
          </w:p>
        </w:tc>
      </w:tr>
      <w:tr>
        <w:tc>
          <w:tcPr>
            <w:tcW w:w="0" w:type="auto"/>
          </w:tcPr>
          <w:p>
            <w:pPr>
              <w:spacing w:line="240" w:lineRule="auto" w:before="0" w:after="0"/>
              <w:pStyle w:val="Compact"/>
            </w:pPr>
            <w:r>
              <w:rPr>
                <w:sz w:val="20"/>
                <w:szCs w:val="20"/>
              </w:rPr>
              <w:t xml:space="preserve">CVE-2023-36846</w:t>
            </w:r>
          </w:p>
        </w:tc>
        <w:tc>
          <w:tcPr>
            <w:tcW w:w="0" w:type="auto"/>
          </w:tcPr>
          <w:p>
            <w:pPr>
              <w:spacing w:line="240" w:lineRule="auto" w:before="0" w:after="0"/>
              <w:pStyle w:val="Compact"/>
            </w:pPr>
            <w:r>
              <w:rPr>
                <w:sz w:val="20"/>
                <w:szCs w:val="20"/>
              </w:rPr>
              <w:t xml:space="preserve">Juniper</w:t>
            </w:r>
          </w:p>
        </w:tc>
        <w:tc>
          <w:tcPr>
            <w:tcW w:w="0" w:type="auto"/>
          </w:tcPr>
          <w:p>
            <w:pPr>
              <w:spacing w:line="240" w:lineRule="auto" w:before="0" w:after="0"/>
              <w:pStyle w:val="Compact"/>
            </w:pPr>
            <w:r>
              <w:rPr>
                <w:sz w:val="20"/>
                <w:szCs w:val="20"/>
              </w:rPr>
              <w:t xml:space="preserve">Junos OS</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2023-08-17</w:t>
            </w:r>
          </w:p>
        </w:tc>
        <w:tc>
          <w:tcPr>
            <w:tcW w:w="0" w:type="auto"/>
          </w:tcPr>
          <w:p>
            <w:pPr>
              <w:spacing w:line="240" w:lineRule="auto" w:before="0" w:after="0"/>
              <w:pStyle w:val="Compact"/>
            </w:pPr>
            <w:r>
              <w:rPr>
                <w:sz w:val="20"/>
                <w:szCs w:val="20"/>
              </w:rPr>
              <w:t xml:space="preserve">2023-11-13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4.4773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CVE-2023-36846 (Juniper Junos OS; dateAdded 2023-11-13; ransomware=0); NVD CVE API 2.0 CVE-2023-36846 (published 2023-08-17; CVSS V31 base 5.3)</w:t>
            </w:r>
          </w:p>
        </w:tc>
      </w:tr>
      <w:tr>
        <w:tc>
          <w:tcPr>
            <w:tcW w:w="0" w:type="auto"/>
          </w:tcPr>
          <w:p>
            <w:pPr>
              <w:spacing w:line="240" w:lineRule="auto" w:before="0" w:after="0"/>
              <w:pStyle w:val="Compact"/>
            </w:pPr>
            <w:r>
              <w:rPr>
                <w:sz w:val="20"/>
                <w:szCs w:val="20"/>
              </w:rPr>
              <w:t xml:space="preserve">CVE-2024-3393</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2024-12-27</w:t>
            </w:r>
          </w:p>
        </w:tc>
        <w:tc>
          <w:tcPr>
            <w:tcW w:w="0" w:type="auto"/>
          </w:tcPr>
          <w:p>
            <w:pPr>
              <w:spacing w:line="240" w:lineRule="auto" w:before="0" w:after="0"/>
              <w:pStyle w:val="Compact"/>
            </w:pPr>
            <w:r>
              <w:rPr>
                <w:sz w:val="20"/>
                <w:szCs w:val="20"/>
              </w:rPr>
              <w:t xml:space="preserve">2024-12-30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CVE-2024-3393 (Palo Alto Networks PAN-OS; dateAdded 2024-12-30; ransomware=0); NVD CVE API 2.0 CVE-2024-3393 (published 2024-12-27; CVSS V31 base 7.5)</w:t>
            </w:r>
          </w:p>
        </w:tc>
      </w:tr>
      <w:tr>
        <w:tc>
          <w:tcPr>
            <w:tcW w:w="0" w:type="auto"/>
          </w:tcPr>
          <w:p>
            <w:pPr>
              <w:spacing w:line="240" w:lineRule="auto" w:before="0" w:after="0"/>
              <w:pStyle w:val="Compact"/>
            </w:pPr>
            <w:r>
              <w:rPr>
                <w:sz w:val="20"/>
                <w:szCs w:val="20"/>
              </w:rPr>
              <w:t xml:space="preserve">CVE-2024-3400</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CVE-2024-3400 (Palo Alto Networks PAN-OS; dateAdded 2024-04-12; ransomware=1); NVD CVE API 2.0 CVE-2024-3400 (published 2024-04-12; CVSS V31 base 10.0)</w:t>
            </w:r>
          </w:p>
        </w:tc>
      </w:tr>
      <w:tr>
        <w:tc>
          <w:tcPr>
            <w:tcW w:w="0" w:type="auto"/>
          </w:tcPr>
          <w:p>
            <w:pPr>
              <w:spacing w:line="240" w:lineRule="auto" w:before="0" w:after="0"/>
              <w:pStyle w:val="Compact"/>
            </w:pPr>
            <w:r>
              <w:rPr>
                <w:sz w:val="20"/>
                <w:szCs w:val="20"/>
              </w:rPr>
              <w:t xml:space="preserve">CVE-2025-0111</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2025-02-12</w:t>
            </w:r>
          </w:p>
        </w:tc>
        <w:tc>
          <w:tcPr>
            <w:tcW w:w="0" w:type="auto"/>
          </w:tcPr>
          <w:p>
            <w:pPr>
              <w:spacing w:line="240" w:lineRule="auto" w:before="0" w:after="0"/>
              <w:pStyle w:val="Compact"/>
            </w:pPr>
            <w:r>
              <w:rPr>
                <w:sz w:val="20"/>
                <w:szCs w:val="20"/>
              </w:rPr>
              <w:t xml:space="preserve">2025-02-20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CVE-2025-0111 (Palo Alto Networks PAN-OS; dateAdded 2025-02-20; ransomware=0); NVD CVE API 2.0 CVE-2025-0111 (published 2025-02-12; CVSS V31 base 6.5)</w:t>
            </w:r>
          </w:p>
        </w:tc>
      </w:tr>
      <w:tr>
        <w:tc>
          <w:tcPr>
            <w:tcW w:w="0" w:type="auto"/>
          </w:tcPr>
          <w:p>
            <w:pPr>
              <w:spacing w:line="240" w:lineRule="auto" w:before="0" w:after="0"/>
              <w:pStyle w:val="Compact"/>
            </w:pPr>
            <w:r>
              <w:rPr>
                <w:sz w:val="20"/>
                <w:szCs w:val="20"/>
              </w:rPr>
              <w:t xml:space="preserve">CVE-2020-8218</w:t>
            </w:r>
          </w:p>
        </w:tc>
        <w:tc>
          <w:tcPr>
            <w:tcW w:w="0" w:type="auto"/>
          </w:tcPr>
          <w:p>
            <w:pPr>
              <w:spacing w:line="240" w:lineRule="auto" w:before="0" w:after="0"/>
              <w:pStyle w:val="Compact"/>
            </w:pPr>
            <w:r>
              <w:rPr>
                <w:sz w:val="20"/>
                <w:szCs w:val="20"/>
              </w:rPr>
              <w:t xml:space="preserve">Pulse Secure</w:t>
            </w:r>
          </w:p>
        </w:tc>
        <w:tc>
          <w:tcPr>
            <w:tcW w:w="0" w:type="auto"/>
          </w:tcPr>
          <w:p>
            <w:pPr>
              <w:spacing w:line="240" w:lineRule="auto" w:before="0" w:after="0"/>
              <w:pStyle w:val="Compact"/>
            </w:pPr>
            <w:r>
              <w:rPr>
                <w:sz w:val="20"/>
                <w:szCs w:val="20"/>
              </w:rPr>
              <w:t xml:space="preserve">Pulse Connect Secure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2022-03-07</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6.3716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CVE-2020-8218 (Pulse Secure Pulse Connect Secure; dateAdded 2022-03-07; ransomware=0); NVD CVE API 2.0 CVE-2020-8218 (published 2020-07-30; CVSS V31 base 7.2)</w:t>
            </w:r>
          </w:p>
        </w:tc>
      </w:tr>
      <w:tr>
        <w:tc>
          <w:tcPr>
            <w:tcW w:w="0" w:type="auto"/>
          </w:tcPr>
          <w:p>
            <w:pPr>
              <w:spacing w:line="240" w:lineRule="auto" w:before="0" w:after="0"/>
              <w:pStyle w:val="Compact"/>
            </w:pPr>
            <w:r>
              <w:rPr>
                <w:sz w:val="20"/>
                <w:szCs w:val="20"/>
              </w:rPr>
              <w:t xml:space="preserve">CVE-2019-7483</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SMA100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2019-12-19</w:t>
            </w:r>
          </w:p>
        </w:tc>
        <w:tc>
          <w:tcPr>
            <w:tcW w:w="0" w:type="auto"/>
          </w:tcPr>
          <w:p>
            <w:pPr>
              <w:spacing w:line="240" w:lineRule="auto" w:before="0" w:after="0"/>
              <w:pStyle w:val="Compact"/>
            </w:pPr>
            <w:r>
              <w:rPr>
                <w:sz w:val="20"/>
                <w:szCs w:val="20"/>
              </w:rPr>
              <w:t xml:space="preserve">2022-03-28</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CVE-2019-7483 (SonicWall SMA100; dateAdded 2022-03-28; ransomware=0); NVD CVE API 2.0 CVE-2019-7483 (published 2019-12-19; CVSS V31 base 7.5)</w:t>
            </w:r>
          </w:p>
        </w:tc>
      </w:tr>
      <w:tr>
        <w:tc>
          <w:tcPr>
            <w:tcW w:w="0" w:type="auto"/>
          </w:tcPr>
          <w:p>
            <w:pPr>
              <w:spacing w:line="240" w:lineRule="auto" w:before="0" w:after="0"/>
              <w:pStyle w:val="Compact"/>
            </w:pPr>
            <w:r>
              <w:rPr>
                <w:sz w:val="20"/>
                <w:szCs w:val="20"/>
              </w:rPr>
              <w:t xml:space="preserve">CVE-2020-5135</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SonicOS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2020-10-12</w:t>
            </w:r>
          </w:p>
        </w:tc>
        <w:tc>
          <w:tcPr>
            <w:tcW w:w="0" w:type="auto"/>
          </w:tcPr>
          <w:p>
            <w:pPr>
              <w:spacing w:line="240" w:lineRule="auto" w:before="0" w:after="0"/>
              <w:pStyle w:val="Compact"/>
            </w:pPr>
            <w:r>
              <w:rPr>
                <w:sz w:val="20"/>
                <w:szCs w:val="20"/>
              </w:rPr>
              <w:t xml:space="preserve">2022-03-15</w:t>
            </w:r>
          </w:p>
        </w:tc>
        <w:tc>
          <w:tcPr>
            <w:tcW w:w="0" w:type="auto"/>
          </w:tcPr>
          <w:p>
            <w:pPr>
              <w:spacing w:line="240" w:lineRule="auto" w:before="0" w:after="0"/>
              <w:pStyle w:val="Compact"/>
            </w:pPr>
            <w:r>
              <w:rPr>
                <w:sz w:val="20"/>
                <w:szCs w:val="20"/>
              </w:rPr>
              <w:t xml:space="preserve">519</w:t>
            </w:r>
          </w:p>
        </w:tc>
        <w:tc>
          <w:tcPr>
            <w:tcW w:w="0" w:type="auto"/>
          </w:tcPr>
          <w:p>
            <w:pPr>
              <w:spacing w:line="240" w:lineRule="auto" w:before="0" w:after="0"/>
              <w:pStyle w:val="Compact"/>
            </w:pPr>
            <w:r>
              <w:rPr>
                <w:sz w:val="20"/>
                <w:szCs w:val="20"/>
              </w:rPr>
              <w:t xml:space="preserve">6.2519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CVE-2020-5135 (SonicWall SonicOS; dateAdded 2022-03-15; ransomware=0); NVD CVE API 2.0 CVE-2020-5135 (published 2020-10-12; CVSS V31 base 9.8)</w:t>
            </w:r>
          </w:p>
        </w:tc>
      </w:tr>
      <w:tr>
        <w:tc>
          <w:tcPr>
            <w:tcW w:w="0" w:type="auto"/>
          </w:tcPr>
          <w:p>
            <w:pPr>
              <w:spacing w:line="240" w:lineRule="auto" w:before="0" w:after="0"/>
              <w:pStyle w:val="Compact"/>
            </w:pPr>
            <w:r>
              <w:rPr>
                <w:sz w:val="20"/>
                <w:szCs w:val="20"/>
              </w:rPr>
              <w:t xml:space="preserve">CVE-2024-40766</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SonicOS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2024-08-23</w:t>
            </w:r>
          </w:p>
        </w:tc>
        <w:tc>
          <w:tcPr>
            <w:tcW w:w="0" w:type="auto"/>
          </w:tcPr>
          <w:p>
            <w:pPr>
              <w:spacing w:line="240" w:lineRule="auto" w:before="0" w:after="0"/>
              <w:pStyle w:val="Compact"/>
            </w:pPr>
            <w:r>
              <w:rPr>
                <w:sz w:val="20"/>
                <w:szCs w:val="20"/>
              </w:rPr>
              <w:t xml:space="preserve">2024-09-09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CVE-2024-40766 (SonicWall SonicOS; dateAdded 2024-09-09; ransomware=1); NVD CVE API 2.0 CVE-2024-40766 (published 2024-08-23; CVSS V31 base 9.8)</w:t>
            </w:r>
          </w:p>
        </w:tc>
      </w:tr>
      <w:tr>
        <w:tc>
          <w:tcPr>
            <w:tcW w:w="0" w:type="auto"/>
          </w:tcPr>
          <w:p>
            <w:pPr>
              <w:spacing w:line="240" w:lineRule="auto" w:before="0" w:after="0"/>
              <w:pStyle w:val="Compact"/>
            </w:pPr>
            <w:r>
              <w:rPr>
                <w:sz w:val="20"/>
                <w:szCs w:val="20"/>
              </w:rPr>
              <w:t xml:space="preserve">CVE-2020-12271</w:t>
            </w:r>
          </w:p>
        </w:tc>
        <w:tc>
          <w:tcPr>
            <w:tcW w:w="0" w:type="auto"/>
          </w:tcPr>
          <w:p>
            <w:pPr>
              <w:spacing w:line="240" w:lineRule="auto" w:before="0" w:after="0"/>
              <w:pStyle w:val="Compact"/>
            </w:pPr>
            <w:r>
              <w:rPr>
                <w:sz w:val="20"/>
                <w:szCs w:val="20"/>
              </w:rPr>
              <w:t xml:space="preserve">Sophos</w:t>
            </w:r>
          </w:p>
        </w:tc>
        <w:tc>
          <w:tcPr>
            <w:tcW w:w="0" w:type="auto"/>
          </w:tcPr>
          <w:p>
            <w:pPr>
              <w:spacing w:line="240" w:lineRule="auto" w:before="0" w:after="0"/>
              <w:pStyle w:val="Compact"/>
            </w:pPr>
            <w:r>
              <w:rPr>
                <w:sz w:val="20"/>
                <w:szCs w:val="20"/>
              </w:rPr>
              <w:t xml:space="preserve">SFOS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2020-04-27</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555</w:t>
            </w:r>
          </w:p>
        </w:tc>
        <w:tc>
          <w:tcPr>
            <w:tcW w:w="0" w:type="auto"/>
          </w:tcPr>
          <w:p>
            <w:pPr>
              <w:spacing w:line="240" w:lineRule="auto" w:before="0" w:after="0"/>
              <w:pStyle w:val="Compact"/>
            </w:pPr>
            <w:r>
              <w:rPr>
                <w:sz w:val="20"/>
                <w:szCs w:val="20"/>
              </w:rPr>
              <w:t xml:space="preserve">6.319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CVE-2020-12271 (Sophos SFOS; dateAdded 2021-11-03; ransomware=1); NVD CVE API 2.0 CVE-2020-12271 (published 2020-04-27; CVSS V31 base 9.8)</w:t>
            </w:r>
          </w:p>
        </w:tc>
      </w:tr>
      <w:tr>
        <w:tc>
          <w:tcPr>
            <w:tcW w:w="0" w:type="auto"/>
          </w:tcPr>
          <w:p>
            <w:pPr>
              <w:spacing w:line="240" w:lineRule="auto" w:before="0" w:after="0"/>
              <w:pStyle w:val="Compact"/>
            </w:pPr>
            <w:r>
              <w:rPr>
                <w:sz w:val="20"/>
                <w:szCs w:val="20"/>
              </w:rPr>
              <w:t xml:space="preserve">CVE-2020-25223</w:t>
            </w:r>
          </w:p>
        </w:tc>
        <w:tc>
          <w:tcPr>
            <w:tcW w:w="0" w:type="auto"/>
          </w:tcPr>
          <w:p>
            <w:pPr>
              <w:spacing w:line="240" w:lineRule="auto" w:before="0" w:after="0"/>
              <w:pStyle w:val="Compact"/>
            </w:pPr>
            <w:r>
              <w:rPr>
                <w:sz w:val="20"/>
                <w:szCs w:val="20"/>
              </w:rPr>
              <w:t xml:space="preserve">Sophos</w:t>
            </w:r>
          </w:p>
        </w:tc>
        <w:tc>
          <w:tcPr>
            <w:tcW w:w="0" w:type="auto"/>
          </w:tcPr>
          <w:p>
            <w:pPr>
              <w:spacing w:line="240" w:lineRule="auto" w:before="0" w:after="0"/>
              <w:pStyle w:val="Compact"/>
            </w:pPr>
            <w:r>
              <w:rPr>
                <w:sz w:val="20"/>
                <w:szCs w:val="20"/>
              </w:rPr>
              <w:t xml:space="preserve">SG UTM</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2020-09-25</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546</w:t>
            </w:r>
          </w:p>
        </w:tc>
        <w:tc>
          <w:tcPr>
            <w:tcW w:w="0" w:type="auto"/>
          </w:tcPr>
          <w:p>
            <w:pPr>
              <w:spacing w:line="240" w:lineRule="auto" w:before="0" w:after="0"/>
              <w:pStyle w:val="Compact"/>
            </w:pPr>
            <w:r>
              <w:rPr>
                <w:sz w:val="20"/>
                <w:szCs w:val="20"/>
              </w:rPr>
              <w:t xml:space="preserve">6.3026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CVE-2020-25223 (Sophos SG UTM; dateAdded 2022-03-25; ransomware=0); NVD CVE API 2.0 CVE-2020-25223 (published 2020-09-25; CVSS V31 base 9.8)</w:t>
            </w:r>
          </w:p>
        </w:tc>
      </w:tr>
      <w:tr>
        <w:tc>
          <w:tcPr>
            <w:tcW w:w="0" w:type="auto"/>
          </w:tcPr>
          <w:p>
            <w:pPr>
              <w:spacing w:line="240" w:lineRule="auto" w:before="0" w:after="0"/>
              <w:pStyle w:val="Compact"/>
            </w:pPr>
            <w:r>
              <w:rPr>
                <w:sz w:val="20"/>
                <w:szCs w:val="20"/>
              </w:rPr>
              <w:t xml:space="preserve">CVE-2017-6884</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EMG2926 Routers</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2017-04-06</w:t>
            </w:r>
          </w:p>
        </w:tc>
        <w:tc>
          <w:tcPr>
            <w:tcW w:w="0" w:type="auto"/>
          </w:tcPr>
          <w:p>
            <w:pPr>
              <w:spacing w:line="240" w:lineRule="auto" w:before="0" w:after="0"/>
              <w:pStyle w:val="Compact"/>
            </w:pPr>
            <w:r>
              <w:rPr>
                <w:sz w:val="20"/>
                <w:szCs w:val="20"/>
              </w:rPr>
              <w:t xml:space="preserve">2023-09-18</w:t>
            </w:r>
          </w:p>
        </w:tc>
        <w:tc>
          <w:tcPr>
            <w:tcW w:w="0" w:type="auto"/>
          </w:tcPr>
          <w:p>
            <w:pPr>
              <w:spacing w:line="240" w:lineRule="auto" w:before="0" w:after="0"/>
              <w:pStyle w:val="Compact"/>
            </w:pPr>
            <w:r>
              <w:rPr>
                <w:sz w:val="20"/>
                <w:szCs w:val="20"/>
              </w:rPr>
              <w:t xml:space="preserve">2356</w:t>
            </w:r>
          </w:p>
        </w:tc>
        <w:tc>
          <w:tcPr>
            <w:tcW w:w="0" w:type="auto"/>
          </w:tcPr>
          <w:p>
            <w:pPr>
              <w:spacing w:line="240" w:lineRule="auto" w:before="0" w:after="0"/>
              <w:pStyle w:val="Compact"/>
            </w:pPr>
            <w:r>
              <w:rPr>
                <w:sz w:val="20"/>
                <w:szCs w:val="20"/>
              </w:rPr>
              <w:t xml:space="preserve">7.7647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CVE-2017-6884 (Zyxel EMG2926 Routers; dateAdded 2023-09-18; ransomware=1); NVD CVE API 2.0 CVE-2017-6884 (published 2017-04-06; CVSS V31 base 8.8)</w:t>
            </w:r>
          </w:p>
        </w:tc>
      </w:tr>
      <w:tr>
        <w:tc>
          <w:tcPr>
            <w:tcW w:w="0" w:type="auto"/>
          </w:tcPr>
          <w:p>
            <w:pPr>
              <w:spacing w:line="240" w:lineRule="auto" w:before="0" w:after="0"/>
              <w:pStyle w:val="Compact"/>
            </w:pPr>
            <w:r>
              <w:rPr>
                <w:sz w:val="20"/>
                <w:szCs w:val="20"/>
              </w:rPr>
              <w:t xml:space="preserve">CVE-2020-29583</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2020-12-22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5.7557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CVE-2020-29583 (Zyxel Multiple Products; dateAdded 2021-11-03; ransomware=0); NVD CVE API 2.0 CVE-2020-29583 (published 2020-12-22; CVSS V31 base 9.8)</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rapid_escalation</w:t>
            </w:r>
          </w:p>
        </w:tc>
        <w:tc>
          <w:tcPr>
            <w:tcW w:w="0" w:type="auto"/>
          </w:tcPr>
          <w:p>
            <w:pPr>
              <w:spacing w:line="240" w:lineRule="auto" w:before="0" w:after="0"/>
              <w:pStyle w:val="Compact"/>
            </w:pPr>
            <w:r>
              <w:rPr>
                <w:sz w:val="20"/>
                <w:szCs w:val="20"/>
              </w:rPr>
              <w:t xml:space="preserve">Indicator equal to one when CISA added the vulnerability to KEV within thirty calendar days of NVD publication.</w:t>
            </w:r>
          </w:p>
        </w:tc>
        <w:tc>
          <w:tcPr>
            <w:tcW w:w="0" w:type="auto"/>
          </w:tcPr>
          <w:p>
            <w:pPr>
              <w:spacing w:line="240" w:lineRule="auto" w:before="0" w:after="0"/>
              <w:pStyle w:val="Compact"/>
            </w:pPr>
            <w:r>
              <w:rPr>
                <w:sz w:val="20"/>
                <w:szCs w:val="20"/>
              </w:rPr>
              <w:t xml:space="preserve">Derived from CISA KEV dateAdded minus NVD published date.</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NVD CVSS base severity score on the zero-to-ten scale.</w:t>
            </w:r>
          </w:p>
        </w:tc>
        <w:tc>
          <w:tcPr>
            <w:tcW w:w="0" w:type="auto"/>
          </w:tcPr>
          <w:p>
            <w:pPr>
              <w:spacing w:line="240" w:lineRule="auto" w:before="0" w:after="0"/>
              <w:pStyle w:val="Compact"/>
            </w:pPr>
            <w:r>
              <w:rPr>
                <w:sz w:val="20"/>
                <w:szCs w:val="20"/>
              </w:rPr>
              <w:t xml:space="preserve">NVD CVE API 2.0.</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Indicator for an internet-facing remote-access, VPN, firewall, or gateway product used at the operational network edge.</w:t>
            </w:r>
          </w:p>
        </w:tc>
        <w:tc>
          <w:tcPr>
            <w:tcW w:w="0" w:type="auto"/>
          </w:tcPr>
          <w:p>
            <w:pPr>
              <w:spacing w:line="240" w:lineRule="auto" w:before="0" w:after="0"/>
              <w:pStyle w:val="Compact"/>
            </w:pPr>
            <w:r>
              <w:rPr>
                <w:sz w:val="20"/>
                <w:szCs w:val="20"/>
              </w:rPr>
              <w:t xml:space="preserve">Fixed classification of CISA KEV vendor and product strings.</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Indicator that CISA reports known ransomware-campaign use.</w:t>
            </w:r>
          </w:p>
        </w:tc>
        <w:tc>
          <w:tcPr>
            <w:tcW w:w="0" w:type="auto"/>
          </w:tcPr>
          <w:p>
            <w:pPr>
              <w:spacing w:line="240" w:lineRule="auto" w:before="0" w:after="0"/>
              <w:pStyle w:val="Compact"/>
            </w:pPr>
            <w:r>
              <w:rPr>
                <w:sz w:val="20"/>
                <w:szCs w:val="20"/>
              </w:rPr>
              <w:t xml:space="preserve">CISA KEV knownRansomwareCampaignUse field.</w:t>
            </w:r>
          </w:p>
        </w:tc>
      </w:tr>
      <w:tr>
        <w:tc>
          <w:tcPr>
            <w:tcW w:w="0" w:type="auto"/>
          </w:tcPr>
          <w:p>
            <w:pPr>
              <w:spacing w:line="240" w:lineRule="auto" w:before="0" w:after="0"/>
              <w:pStyle w:val="Compact"/>
            </w:pPr>
            <w:r>
              <w:rPr>
                <w:sz w:val="20"/>
                <w:szCs w:val="20"/>
              </w:rPr>
              <w:t xml:space="preserve">exposure_days</w:t>
            </w:r>
          </w:p>
        </w:tc>
        <w:tc>
          <w:tcPr>
            <w:tcW w:w="0" w:type="auto"/>
          </w:tcPr>
          <w:p>
            <w:pPr>
              <w:spacing w:line="240" w:lineRule="auto" w:before="0" w:after="0"/>
              <w:pStyle w:val="Compact"/>
            </w:pPr>
            <w:r>
              <w:rPr>
                <w:sz w:val="20"/>
                <w:szCs w:val="20"/>
              </w:rPr>
              <w:t xml:space="preserve">Calendar days from NVD publication to KEV addition, floored at one day.</w:t>
            </w:r>
          </w:p>
        </w:tc>
        <w:tc>
          <w:tcPr>
            <w:tcW w:w="0" w:type="auto"/>
          </w:tcPr>
          <w:p>
            <w:pPr>
              <w:spacing w:line="240" w:lineRule="auto" w:before="0" w:after="0"/>
              <w:pStyle w:val="Compact"/>
            </w:pPr>
            <w:r>
              <w:rPr>
                <w:sz w:val="20"/>
                <w:szCs w:val="20"/>
              </w:rPr>
              <w:t xml:space="preserve">CISA KEV and NVD dates.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Row-level vulnerability provenance.</w:t>
            </w:r>
          </w:p>
        </w:tc>
        <w:tc>
          <w:tcPr>
            <w:tcW w:w="0" w:type="auto"/>
          </w:tcPr>
          <w:p>
            <w:pPr>
              <w:spacing w:line="240" w:lineRule="auto" w:before="0" w:after="0"/>
              <w:pStyle w:val="Compact"/>
            </w:pPr>
            <w:r>
              <w:rPr>
                <w:sz w:val="20"/>
                <w:szCs w:val="20"/>
              </w:rPr>
              <w:t xml:space="preserve">CISA KEV v2026.06.18 and NVD CVE API 2.0.</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-2.7554</w:t>
            </w:r>
          </w:p>
        </w:tc>
        <w:tc>
          <w:tcPr>
            <w:tcW w:w="0" w:type="auto"/>
          </w:tcPr>
          <w:p>
            <w:pPr>
              <w:spacing w:line="240" w:lineRule="auto" w:before="0" w:after="0"/>
              <w:pStyle w:val="Compact"/>
            </w:pPr>
            <w:r>
              <w:rPr>
                <w:sz w:val="20"/>
                <w:szCs w:val="20"/>
              </w:rPr>
              <w:t xml:space="preserve">2.4653</w:t>
            </w:r>
          </w:p>
        </w:tc>
        <w:tc>
          <w:tcPr>
            <w:tcW w:w="0" w:type="auto"/>
          </w:tcPr>
          <w:p>
            <w:pPr>
              <w:spacing w:line="240" w:lineRule="auto" w:before="0" w:after="0"/>
              <w:pStyle w:val="Compact"/>
            </w:pPr>
            <w:r>
              <w:rPr>
                <w:sz w:val="20"/>
                <w:szCs w:val="20"/>
              </w:rPr>
              <w:t xml:space="preserve">-1.1177</w:t>
            </w:r>
          </w:p>
        </w:tc>
        <w:tc>
          <w:tcPr>
            <w:tcW w:w="0" w:type="auto"/>
          </w:tcPr>
          <w:p>
            <w:pPr>
              <w:spacing w:line="240" w:lineRule="auto" w:before="0" w:after="0"/>
              <w:pStyle w:val="Compact"/>
            </w:pPr>
            <w:r>
              <w:rPr>
                <w:sz w:val="20"/>
                <w:szCs w:val="20"/>
              </w:rPr>
              <w:t xml:space="preserve">0.2637</w:t>
            </w:r>
          </w:p>
        </w:tc>
        <w:tc>
          <w:tcPr>
            <w:tcW w:w="0" w:type="auto"/>
          </w:tcPr>
          <w:p>
            <w:pPr>
              <w:spacing w:line="240" w:lineRule="auto" w:before="0" w:after="0"/>
              <w:pStyle w:val="Compact"/>
            </w:pPr>
            <w:r>
              <w:rPr>
                <w:sz w:val="20"/>
                <w:szCs w:val="20"/>
              </w:rPr>
              <w:t xml:space="preserve">[-7.5872, 2.0765]</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0.1887</w:t>
            </w:r>
          </w:p>
        </w:tc>
        <w:tc>
          <w:tcPr>
            <w:tcW w:w="0" w:type="auto"/>
          </w:tcPr>
          <w:p>
            <w:pPr>
              <w:spacing w:line="240" w:lineRule="auto" w:before="0" w:after="0"/>
              <w:pStyle w:val="Compact"/>
            </w:pPr>
            <w:r>
              <w:rPr>
                <w:sz w:val="20"/>
                <w:szCs w:val="20"/>
              </w:rPr>
              <w:t xml:space="preserve">0.2463</w:t>
            </w:r>
          </w:p>
        </w:tc>
        <w:tc>
          <w:tcPr>
            <w:tcW w:w="0" w:type="auto"/>
          </w:tcPr>
          <w:p>
            <w:pPr>
              <w:spacing w:line="240" w:lineRule="auto" w:before="0" w:after="0"/>
              <w:pStyle w:val="Compact"/>
            </w:pPr>
            <w:r>
              <w:rPr>
                <w:sz w:val="20"/>
                <w:szCs w:val="20"/>
              </w:rPr>
              <w:t xml:space="preserve">0.7662</w:t>
            </w:r>
          </w:p>
        </w:tc>
        <w:tc>
          <w:tcPr>
            <w:tcW w:w="0" w:type="auto"/>
          </w:tcPr>
          <w:p>
            <w:pPr>
              <w:spacing w:line="240" w:lineRule="auto" w:before="0" w:after="0"/>
              <w:pStyle w:val="Compact"/>
            </w:pPr>
            <w:r>
              <w:rPr>
                <w:sz w:val="20"/>
                <w:szCs w:val="20"/>
              </w:rPr>
              <w:t xml:space="preserve">0.4435</w:t>
            </w:r>
          </w:p>
        </w:tc>
        <w:tc>
          <w:tcPr>
            <w:tcW w:w="0" w:type="auto"/>
          </w:tcPr>
          <w:p>
            <w:pPr>
              <w:spacing w:line="240" w:lineRule="auto" w:before="0" w:after="0"/>
              <w:pStyle w:val="Compact"/>
            </w:pPr>
            <w:r>
              <w:rPr>
                <w:sz w:val="20"/>
                <w:szCs w:val="20"/>
              </w:rPr>
              <w:t xml:space="preserve">[-0.294, 0.6713]</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0.737</w:t>
            </w:r>
          </w:p>
        </w:tc>
        <w:tc>
          <w:tcPr>
            <w:tcW w:w="0" w:type="auto"/>
          </w:tcPr>
          <w:p>
            <w:pPr>
              <w:spacing w:line="240" w:lineRule="auto" w:before="0" w:after="0"/>
              <w:pStyle w:val="Compact"/>
            </w:pPr>
            <w:r>
              <w:rPr>
                <w:sz w:val="20"/>
                <w:szCs w:val="20"/>
              </w:rPr>
              <w:t xml:space="preserve">1.2488</w:t>
            </w:r>
          </w:p>
        </w:tc>
        <w:tc>
          <w:tcPr>
            <w:tcW w:w="0" w:type="auto"/>
          </w:tcPr>
          <w:p>
            <w:pPr>
              <w:spacing w:line="240" w:lineRule="auto" w:before="0" w:after="0"/>
              <w:pStyle w:val="Compact"/>
            </w:pPr>
            <w:r>
              <w:rPr>
                <w:sz w:val="20"/>
                <w:szCs w:val="20"/>
              </w:rPr>
              <w:t xml:space="preserve">0.5902</w:t>
            </w:r>
          </w:p>
        </w:tc>
        <w:tc>
          <w:tcPr>
            <w:tcW w:w="0" w:type="auto"/>
          </w:tcPr>
          <w:p>
            <w:pPr>
              <w:spacing w:line="240" w:lineRule="auto" w:before="0" w:after="0"/>
              <w:pStyle w:val="Compact"/>
            </w:pPr>
            <w:r>
              <w:rPr>
                <w:sz w:val="20"/>
                <w:szCs w:val="20"/>
              </w:rPr>
              <w:t xml:space="preserve">0.5551</w:t>
            </w:r>
          </w:p>
        </w:tc>
        <w:tc>
          <w:tcPr>
            <w:tcW w:w="0" w:type="auto"/>
          </w:tcPr>
          <w:p>
            <w:pPr>
              <w:spacing w:line="240" w:lineRule="auto" w:before="0" w:after="0"/>
              <w:pStyle w:val="Compact"/>
            </w:pPr>
            <w:r>
              <w:rPr>
                <w:sz w:val="20"/>
                <w:szCs w:val="20"/>
              </w:rPr>
              <w:t xml:space="preserve">[-1.7105, 3.1845]</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0.1351</w:t>
            </w:r>
          </w:p>
        </w:tc>
        <w:tc>
          <w:tcPr>
            <w:tcW w:w="0" w:type="auto"/>
          </w:tcPr>
          <w:p>
            <w:pPr>
              <w:spacing w:line="240" w:lineRule="auto" w:before="0" w:after="0"/>
              <w:pStyle w:val="Compact"/>
            </w:pPr>
            <w:r>
              <w:rPr>
                <w:sz w:val="20"/>
                <w:szCs w:val="20"/>
              </w:rPr>
              <w:t xml:space="preserve">0.7389</w:t>
            </w:r>
          </w:p>
        </w:tc>
        <w:tc>
          <w:tcPr>
            <w:tcW w:w="0" w:type="auto"/>
          </w:tcPr>
          <w:p>
            <w:pPr>
              <w:spacing w:line="240" w:lineRule="auto" w:before="0" w:after="0"/>
              <w:pStyle w:val="Compact"/>
            </w:pPr>
            <w:r>
              <w:rPr>
                <w:sz w:val="20"/>
                <w:szCs w:val="20"/>
              </w:rPr>
              <w:t xml:space="preserve">0.1828</w:t>
            </w:r>
          </w:p>
        </w:tc>
        <w:tc>
          <w:tcPr>
            <w:tcW w:w="0" w:type="auto"/>
          </w:tcPr>
          <w:p>
            <w:pPr>
              <w:spacing w:line="240" w:lineRule="auto" w:before="0" w:after="0"/>
              <w:pStyle w:val="Compact"/>
            </w:pPr>
            <w:r>
              <w:rPr>
                <w:sz w:val="20"/>
                <w:szCs w:val="20"/>
              </w:rPr>
              <w:t xml:space="preserve">0.855</w:t>
            </w:r>
          </w:p>
        </w:tc>
        <w:tc>
          <w:tcPr>
            <w:tcW w:w="0" w:type="auto"/>
          </w:tcPr>
          <w:p>
            <w:pPr>
              <w:spacing w:line="240" w:lineRule="auto" w:before="0" w:after="0"/>
              <w:pStyle w:val="Compact"/>
            </w:pPr>
            <w:r>
              <w:rPr>
                <w:sz w:val="20"/>
                <w:szCs w:val="20"/>
              </w:rPr>
              <w:t xml:space="preserve">[-1.3132, 1.5833]</w:t>
            </w:r>
          </w:p>
        </w:tc>
      </w:tr>
    </w:tbl>
    <w:p>
      <w:pPr>
        <w:pStyle w:val="BodyText"/>
      </w:pPr>
      <w:r>
        <w:t xml:space="preserve">Fit: N = 37 pseudo_R2 = 0.0241 LL = -24.3772</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5" Target="https://doi.org/10.1016/j.actaastro.2024.09.003" TargetMode="External" /><Relationship Type="http://schemas.openxmlformats.org/officeDocument/2006/relationships/hyperlink" Id="rId77" Target="https://doi.org/10.1016/j.actaastro.2025.08.048" TargetMode="External" /><Relationship Type="http://schemas.openxmlformats.org/officeDocument/2006/relationships/hyperlink" Id="rId70" Target="https://doi.org/10.64861/TRSQ4124" TargetMode="External" /><Relationship Type="http://schemas.openxmlformats.org/officeDocument/2006/relationships/hyperlink" Id="rId73" Target="https://doi.org/10.64861/VEWW9997" TargetMode="External" /><Relationship Type="http://schemas.openxmlformats.org/officeDocument/2006/relationships/hyperlink" Id="rId68" Target="https://doi.org/10.64861/WXIJ8208" TargetMode="External" /></Relationships>
</file>

<file path=word/_rels/footnotes.xml.rels><?xml version="1.0" encoding="UTF-8"?><Relationships xmlns="http://schemas.openxmlformats.org/package/2006/relationships"><Relationship Type="http://schemas.openxmlformats.org/officeDocument/2006/relationships/hyperlink" Id="rId75" Target="https://doi.org/10.1016/j.actaastro.2024.09.003" TargetMode="External" /><Relationship Type="http://schemas.openxmlformats.org/officeDocument/2006/relationships/hyperlink" Id="rId77" Target="https://doi.org/10.1016/j.actaastro.2025.08.048" TargetMode="External" /><Relationship Type="http://schemas.openxmlformats.org/officeDocument/2006/relationships/hyperlink" Id="rId70" Target="https://doi.org/10.64861/TRSQ4124" TargetMode="External" /><Relationship Type="http://schemas.openxmlformats.org/officeDocument/2006/relationships/hyperlink" Id="rId73" Target="https://doi.org/10.64861/VEWW9997" TargetMode="External" /><Relationship Type="http://schemas.openxmlformats.org/officeDocument/2006/relationships/hyperlink" Id="rId68" Target="https://doi.org/10.64861/WXIJ820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2026-06-27T20:34:32Z</dcterms:created>
  <dcterms:modified xsi:type="dcterms:W3CDTF">2026-06-27T20:34:32Z</dcterms:modified>
</cp:coreProperties>
</file>

<file path=docProps/custom.xml><?xml version="1.0" encoding="utf-8"?>
<Properties xmlns="http://schemas.openxmlformats.org/officeDocument/2006/custom-properties" xmlns:vt="http://schemas.openxmlformats.org/officeDocument/2006/docPropsVTypes"/>
</file>