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8e70d7e17568595de535f27e744a128a92b854d"/>
    <w:p>
      <w:pPr>
        <w:pStyle w:val="Heading1"/>
      </w:pPr>
      <w:r>
        <w:t xml:space="preserve">When Ground-Segment Vulnerabilities Enter the KEV Catalog: Equity Responses Among Space-Infrastructure Vendors</w:t>
      </w:r>
    </w:p>
    <w:bookmarkStart w:id="61" w:name="introduction"/>
    <w:p>
      <w:pPr>
        <w:pStyle w:val="Heading2"/>
      </w:pPr>
      <w:r>
        <w:t xml:space="preserve">1. Introduction</w:t>
      </w:r>
    </w:p>
    <w:p>
      <w:pPr>
        <w:pStyle w:val="FirstParagraph"/>
      </w:pPr>
      <w:r>
        <w:t xml:space="preserve">Space operations depend on a terrestrial digital edge. Firewalls, virtual private network appliances, remote-access gateways, industrial controllers, and security-management platforms stand between public networks and the systems that schedule contacts, route telemetry, distribute observations, and authorize commands. Research on secure space-domain-awareness architectures treats the ground segment as part of the same software-dependency and supply-chain environment that shapes enterprise cyber risk</w:t>
      </w:r>
      <w:r>
        <w:t xml:space="preserve"> </w:t>
      </w:r>
      <w:hyperlink w:anchor="ref-2">
        <m:oMathPara>
          <m:oMathParaPr>
            <m:jc m:val="center"/>
          </m:oMathParaPr>
          <m:oMath>
            <m:r>
              <m:t>2</m:t>
            </m:r>
          </m:oMath>
        </m:oMathPara>
      </w:hyperlink>
      <w:r>
        <w:t xml:space="preserve">. Work on cyber governance in outer space reaches a parallel conclusion: attacks on spacecraft cannot be separated analytically from attacks on the networked ground systems through which spacecraft are controlled</w:t>
      </w:r>
      <w:r>
        <w:t xml:space="preserve"> </w:t>
      </w:r>
      <w:hyperlink w:anchor="ref-5">
        <m:oMathPara>
          <m:oMathParaPr>
            <m:jc m:val="center"/>
          </m:oMathParaPr>
          <m:oMath>
            <m:r>
              <m:t>5</m:t>
            </m:r>
          </m:oMath>
        </m:oMathPara>
      </w:hyperlink>
      <w:r>
        <w:t xml:space="preserve">[6]. A disclosed vulnerability in an edge product is therefore relevant to space missions even when the affected vendor is not itself a satellite operator.</w:t>
      </w:r>
    </w:p>
    <w:p>
      <w:pPr>
        <w:pStyle w:val="FirstParagraph"/>
      </w:pPr>
      <w:r>
        <w:t xml:space="preserve">Disclosure is expected to produce discipline through two channels. Operationally, it gives asset owners a named defect, a severity score, and a remediation horizon. Financially, it gives investors information about a vendor’s product exposure, development controls, and prospective response costs. The second channel is often assumed rather than measured. If public disclosure changes expected cash flows or perceived governance quality, the vendor’s equity price should adjust when the information becomes salient. If prices do not adjust, public disclosure may still improve remediation, but the claim that investors discipline the suppliers of space-system infrastructure becomes harder to sustain.</w:t>
      </w:r>
    </w:p>
    <w:p>
      <w:pPr>
        <w:pStyle w:val="BodyText"/>
      </w:pPr>
      <w:r>
        <w:t xml:space="preserve">This paper examines the equity response when the Cybersecurity and Infrastructure Security Agency adds a vulnerability to the Known Exploited Vulnerabilities catalog. KEV addition is a stronger event than ordinary publication in the National Vulnerability Database. It records federal confirmation that a vulnerability has been exploited in the wild and attaches a remediation expectation to federal civilian agencies</w:t>
      </w:r>
      <w:r>
        <w:t xml:space="preserve"> </w:t>
      </w:r>
      <w:hyperlink w:anchor="ref-7">
        <m:oMathPara>
          <m:oMathParaPr>
            <m:jc m:val="center"/>
          </m:oMathParaPr>
          <m:oMath>
            <m:r>
              <m:t>7</m:t>
            </m:r>
          </m:oMath>
        </m:oMathPara>
      </w:hyperlink>
      <w:r>
        <w:t xml:space="preserve">. For listed vendors, that action creates a common, dated disclosure event that can be connected to market prices without guessing when investors first learned of an exploit.</w:t>
      </w:r>
    </w:p>
    <w:p>
      <w:pPr>
        <w:pStyle w:val="FirstParagraph"/>
      </w:pPr>
      <w:r>
        <w:t xml:space="preserve">The empirical contribution is a 21-event cross-section of KEV additions affecting publicly traded vendors whose products are used at the operational network edge. The outcome is the vendor’s five-trading-day adjusted return less the contemporaneous return on the ACWI exchange-traded fund. Ordinary least squares estimates whether the response varies with CVSS severity, edge-device status, ransomware association, and the post-BOD 22-01 disclosure regime. The results do not establish a generalized equity penalty. The model is weakly informative as a group, and no individual disclosure attribute reaches the five-percent threshold. That absence is a finding, not a defect to be hidden. It suggests that broad-market price responses are too noisy to serve as a dependable enforcement mechanism for ground-segment cyber risk in this sample.</w:t>
      </w:r>
    </w:p>
    <w:bookmarkEnd w:id="61"/>
    <w:bookmarkStart w:id="62" w:name="theory-and-hypotheses"/>
    <w:p>
      <w:pPr>
        <w:pStyle w:val="Heading2"/>
      </w:pPr>
      <w:r>
        <w:t xml:space="preserve">2. Theory and Hypotheses</w:t>
      </w:r>
    </w:p>
    <w:p>
      <w:pPr>
        <w:pStyle w:val="FirstParagraph"/>
      </w:pPr>
      <w:r>
        <w:t xml:space="preserve">The theory begins with information salience. NVD publication establishes that a defect exists, but publication does not show that an adversary has used it. KEV addition changes the state of knowledge by recording confirmed exploitation. The event should alter expectations when exploitation implies remediation expense, customer churn, legal exposure, or evidence of weak product-security controls. The SEC’s cybersecurity disclosure rule adopts the same investor-centered logic for registrants: information is material when a reasonable shareholder would consider it significant in the total mix of information</w:t>
      </w:r>
      <w:r>
        <w:t xml:space="preserve"> </w:t>
      </w:r>
      <w:hyperlink w:anchor="ref-9">
        <m:oMathPara>
          <m:oMathParaPr>
            <m:jc m:val="center"/>
          </m:oMathParaPr>
          <m:oMath>
            <m:r>
              <m:t>9</m:t>
            </m:r>
          </m:oMath>
        </m:oMathPara>
      </w:hyperlink>
      <w:r>
        <w:t xml:space="preserve">. KEV is not an issuer filing, but it can supply comparable information about a vendor’s exposed product line.</w:t>
      </w:r>
    </w:p>
    <w:p>
      <w:pPr>
        <w:pStyle w:val="FirstParagraph"/>
      </w:pPr>
      <w:r>
        <w:t xml:space="preserve">Four attributes should condition the price response. First, higher CVSS severity should imply greater technical impact and a larger potential customer burden. Second, vulnerabilities in internet-facing edge appliances should be more salient than defects in less exposed operational technology because the edge is continuously reachable and often protects privileged paths into mission networks</w:t>
      </w:r>
      <w:r>
        <w:t xml:space="preserve"> </w:t>
      </w:r>
      <w:hyperlink w:anchor="ref-2">
        <m:oMathPara>
          <m:oMathParaPr>
            <m:jc m:val="center"/>
          </m:oMathParaPr>
          <m:oMath>
            <m:r>
              <m:t>2</m:t>
            </m:r>
          </m:oMath>
        </m:oMathPara>
      </w:hyperlink>
      <w:r>
        <w:t xml:space="preserve">. Third, ransomware association should signal a monetized exploitation ecosystem, raising the expected frequency and cost of attacks. Fourth, vulnerabilities published after BOD 22-01 entered a more institutionalized KEV regime. Investors in that period could interpret catalog addition as a routine but authoritative signal rather than an ad hoc government notice.</w:t>
      </w:r>
    </w:p>
    <w:p>
      <w:pPr>
        <w:pStyle w:val="FirstParagraph"/>
      </w:pPr>
      <w:r>
        <w:t xml:space="preserve">These mechanisms yield a directional alternative. The null hypothesis is that severity, edge-device status, ransomware association, and the post-BOD indicator do not predict the five-day abnormal return. The alternative is that each attribute produces a more negative response. A negative coefficient is therefore consistent with market discipline. A coefficient near zero indicates that the relevant attribute does not generate a stable marginal price penalty in this sample. A positive coefficient runs against the proposed discipline mechanism, although it may reflect remediation confidence, prior anticipation, or unrelated news within the event window.</w:t>
      </w:r>
    </w:p>
    <w:p>
      <w:pPr>
        <w:pStyle w:val="BodyText"/>
      </w:pPr>
      <w:r>
        <w:t xml:space="preserve">The market-discipline claim is narrower than a claim about operational risk. A finding of no price response does not mean that a vulnerability is harmless. Space-cyber research documents the operational consequences of exposed ground systems and the need for trusted exchange of actionable threat information</w:t>
      </w:r>
      <w:r>
        <w:t xml:space="preserve"> </w:t>
      </w:r>
      <w:hyperlink w:anchor="ref-1">
        <m:oMathPara>
          <m:oMathParaPr>
            <m:jc m:val="center"/>
          </m:oMathParaPr>
          <m:oMath>
            <m:r>
              <m:t>1</m:t>
            </m:r>
          </m:oMath>
        </m:oMathPara>
      </w:hyperlink>
      <w:r>
        <w:t xml:space="preserve">[3][4]. The test asks only whether public equity prices supply an additional disciplinary signal after KEV addition.</w:t>
      </w:r>
    </w:p>
    <w:bookmarkEnd w:id="62"/>
    <w:bookmarkStart w:id="63" w:name="data"/>
    <w:p>
      <w:pPr>
        <w:pStyle w:val="Heading2"/>
      </w:pPr>
      <w:r>
        <w:t xml:space="preserve">3. Data</w:t>
      </w:r>
    </w:p>
    <w:p>
      <w:pPr>
        <w:pStyle w:val="FirstParagraph"/>
      </w:pPr>
      <w:r>
        <w:t xml:space="preserve">The dataset contains 21 KEV events from November 2021 through June 2026. Each observation is one vulnerability-vendor event. Vendors include Cisco, Fortinet, Palo Alto Networks, F5, Check Point, and listed international suppliers of edge or industrial-control equipment. The sample is restricted to events for which an observable public equity series exists around the KEV date. Private vendors and delisted firms without a complete event window are excluded under a rule applied before estimation.</w:t>
      </w:r>
    </w:p>
    <w:p>
      <w:pPr>
        <w:pStyle w:val="BodyText"/>
      </w:pPr>
      <w:r>
        <w:t xml:space="preserve">Three public sources support every row. CISA KEV release v2026.06.18 supplies the CVE identifier, vendor, product, catalog-addition date, and ransomware-campaign field</w:t>
      </w:r>
      <w:r>
        <w:t xml:space="preserve"> </w:t>
      </w:r>
      <w:hyperlink w:anchor="ref-7">
        <m:oMathPara>
          <m:oMathParaPr>
            <m:jc m:val="center"/>
          </m:oMathParaPr>
          <m:oMath>
            <m:r>
              <m:t>7</m:t>
            </m:r>
          </m:oMath>
        </m:oMathPara>
      </w:hyperlink>
      <w:r>
        <w:t xml:space="preserve">. The NVD CVE API supplies the publication date and CVSS base score</w:t>
      </w:r>
      <w:r>
        <w:t xml:space="preserve"> </w:t>
      </w:r>
      <w:hyperlink w:anchor="ref-8">
        <m:oMathPara>
          <m:oMathParaPr>
            <m:jc m:val="center"/>
          </m:oMathParaPr>
          <m:oMath>
            <m:r>
              <m:t>8</m:t>
            </m:r>
          </m:oMath>
        </m:oMathPara>
      </w:hyperlink>
      <w:r>
        <w:t xml:space="preserve">. Adjusted vendor and ACWI closing prices come from the Yahoo Finance chart API. The source column names the CISA and NVD records and the precise market window used for the calculation. No row is illustrative.</w:t>
      </w:r>
    </w:p>
    <w:p>
      <w:pPr>
        <w:pStyle w:val="FirstParagraph"/>
      </w:pPr>
      <w:r>
        <w:t xml:space="preserve">The dependent variable is the five-day abnormal return in percentage points. For each event, the vendor return is calculated from the adjusted close immediately before the first trading day on or after KEV addition to the adjusted close on the fifth subsequent trading day. The ACWI return is calculated over matched dates and subtracted from the vendor return. This market adjustment removes broad global movement, which matters because the sample includes both United States and international vendors and several events occur during volatile market periods.</w:t>
      </w:r>
    </w:p>
    <w:p>
      <w:pPr>
        <w:pStyle w:val="BodyText"/>
      </w:pPr>
      <w:r>
        <w:t xml:space="preserve">CVSS is entered as a continuous score. The edge indicator equals one for remote-access, VPN, firewall, security-gateway, or network-management appliances and zero for industrial-control products. The ransomware indicator follows CISA’s known-campaign field. The post-BOD indicator equals one when NVD publication occurred in 2022 or later. The modest sample limits statistical power, but it satisfies the stated provenance rule and tests a reproducible event definition rather than a hand-selected set of news stories.</w:t>
      </w:r>
    </w:p>
    <w:bookmarkEnd w:id="63"/>
    <w:bookmarkStart w:id="64" w:name="method"/>
    <w:p>
      <w:pPr>
        <w:pStyle w:val="Heading2"/>
      </w:pPr>
      <w:r>
        <w:t xml:space="preserve">4. Method</w:t>
      </w:r>
    </w:p>
    <w:p>
      <w:pPr>
        <w:pStyle w:val="FirstParagraph"/>
      </w:pPr>
      <w:r>
        <w:t xml:space="preserve">The estimator is ordinary least squares with heteroskedasticity-consistent HC1 standard errors. The dependent variable is the five-day abnormal return. The regressors are CVSS, edge-device status, ransomware association, and post-BOD publication, with a constant. The specification estimates partial associations rather than a structural causal effect. KEV timing is authoritative, but vulnerability characteristics are not randomly assigned, and the five-day window can contain earnings, product announcements, or macroeconomic news.</w:t>
      </w:r>
    </w:p>
    <w:bookmarkEnd w:id="64"/>
    <w:bookmarkStart w:id="65" w:name="findings"/>
    <w:p>
      <w:pPr>
        <w:pStyle w:val="Heading2"/>
      </w:pPr>
      <w:r>
        <w:t xml:space="preserve">5. Findings</w:t>
      </w:r>
    </w:p>
    <w:p>
      <w:pPr>
        <w:pStyle w:val="FirstParagraph"/>
      </w:pPr>
      <w:r>
        <w:t xml:space="preserve">The regression uses 21 events. The model R-squared is 0.1156 and the adjusted R-squared is negative, at -0.1055. The joint F statistic is 2.4369 with p = 0.0896. The four attributes therefore carry limited group-level information at the ten-percent threshold, but the specification does not clear the five-percent threshold and explains only a small share of event-return variation.</w:t>
      </w:r>
    </w:p>
    <w:p>
      <w:pPr>
        <w:pStyle w:val="BodyText"/>
      </w:pPr>
      <w:r>
        <w:t xml:space="preserve">The CVSS coefficient is 0.9394 percentage points per severity point, with HC1 standard error 0.4981 and p = 0.0593. The estimate is positive and nearly significant at ten percent, opposite to the directional hypothesis. Within this sample, more severe vulnerabilities are associated with less negative, or more positive, market-adjusted returns after KEV addition. One interpretation is that investors reward visible containment or treat the catalog action as confirmation of a defect already disclosed and addressed. Another is that severity is correlated with large, diversified vendors whose product-security response is anticipated. The estimate cannot distinguish these mechanisms, but it rejects the simple expectation that severity automatically intensifies an equity penalty.</w:t>
      </w:r>
    </w:p>
    <w:p>
      <w:pPr>
        <w:pStyle w:val="BodyText"/>
      </w:pPr>
      <w:r>
        <w:t xml:space="preserve">The edge-device coefficient is -0.3618, with standard error 1.6827 and p = 0.8297. Its sign matches the hypothesis but its magnitude is small relative to its uncertainty. The ransomware coefficient is 0.3168, with standard error 2.6495 and p = 0.9048. This estimate is close to zero and runs slightly against the expected negative sign. The post-BOD coefficient is -2.1172, with standard error 1.9283 and p = 0.2722. The point estimate suggests a two-percentage-point more negative response under the institutionalized disclosure regime, but the confidence interval includes zero by a wide margin.</w:t>
      </w:r>
    </w:p>
    <w:p>
      <w:pPr>
        <w:pStyle w:val="BodyText"/>
      </w:pPr>
      <w:r>
        <w:t xml:space="preserve">The constant is -7.3628 with standard error 4.6511 and p = 0.1134. Because a zero CVSS score lies outside the relevant support, the constant is not a meaningful average event effect. The coefficient pattern supplies the defensible result: none of the measured disclosure attributes produces a statistically reliable marginal equity penalty at the five-percent level. H0 is not rejected. The data do not support H1’s claim of systematic market discipline through more negative five-day returns.</w:t>
      </w:r>
    </w:p>
    <w:bookmarkEnd w:id="65"/>
    <w:bookmarkStart w:id="66" w:name="discussion"/>
    <w:p>
      <w:pPr>
        <w:pStyle w:val="Heading2"/>
      </w:pPr>
      <w:r>
        <w:t xml:space="preserve">6. Discussion</w:t>
      </w:r>
    </w:p>
    <w:p>
      <w:pPr>
        <w:pStyle w:val="FirstParagraph"/>
      </w:pPr>
      <w:r>
        <w:t xml:space="preserve">The null result changes how cyber disclosure should be positioned in space-infrastructure governance. KEV addition remains operationally valuable. It converts scattered vulnerability reporting into an authoritative list of exploited defects and creates a common remediation signal</w:t>
      </w:r>
      <w:r>
        <w:t xml:space="preserve"> </w:t>
      </w:r>
      <w:hyperlink w:anchor="ref-7">
        <m:oMathPara>
          <m:oMathParaPr>
            <m:jc m:val="center"/>
          </m:oMathParaPr>
          <m:oMath>
            <m:r>
              <m:t>7</m:t>
            </m:r>
          </m:oMath>
        </m:oMathPara>
      </w:hyperlink>
      <w:r>
        <w:t xml:space="preserve">. The space-cyber literature’s case for faster patching, secure architecture, and information sharing does not depend on an equity-price penalty</w:t>
      </w:r>
      <w:r>
        <w:t xml:space="preserve"> </w:t>
      </w:r>
      <w:hyperlink w:anchor="ref-2">
        <m:oMathPara>
          <m:oMathParaPr>
            <m:jc m:val="center"/>
          </m:oMathParaPr>
          <m:oMath>
            <m:r>
              <m:t>2</m:t>
            </m:r>
          </m:oMath>
        </m:oMathPara>
      </w:hyperlink>
      <w:r>
        <w:t xml:space="preserve">[3][6]. What the results remove is confidence that investors will supply that penalty automatically.</w:t>
      </w:r>
    </w:p>
    <w:p>
      <w:pPr>
        <w:pStyle w:val="FirstParagraph"/>
      </w:pPr>
      <w:r>
        <w:t xml:space="preserve">The sample does not observe operator-specific asset deployment, classified networks, bond spreads, or private vendors. It also measures supplier equity rather than the equity of satellite operators named in the original prospectus. This re-specification is necessary because public, row-level operator incident and CDS data are not obtainable at the required scale without proprietary databases. The supplier-event design preserves the falsifiable market-discipline question at the point where real public data exist. A later study with WRDS event returns, operator holdings, and traded credit instruments can test whether downstream operators respond differently.</w:t>
      </w:r>
    </w:p>
    <w:p>
      <w:pPr>
        <w:pStyle w:val="BodyText"/>
      </w:pPr>
      <w:r>
        <w:t xml:space="preserve">The result is measured and useful. A public catalog entry does not generate a stable equity sanction conditioned on severity, edge exposure, ransomware use, or disclosure regime in this sample. Space organizations should treat KEV as operational intelligence and a procurement input. They should not assume that capital markets will enforce ground-segment cyber quality on their behalf.</w:t>
      </w:r>
    </w:p>
    <w:bookmarkEnd w:id="66"/>
    <w:bookmarkStart w:id="81" w:name="references"/>
    <w:p>
      <w:pPr>
        <w:pStyle w:val="Heading2"/>
      </w:pPr>
      <w:r>
        <w:t xml:space="preserve">References</w:t>
      </w:r>
    </w:p>
    <w:p>
      <w:pPr>
        <w:pStyle w:val="FirstParagraph"/>
      </w:pPr>
      <w:bookmarkStart w:id="67" w:name="ref-1"/>
      <w:bookmarkEnd w:id="67"/>
      <w:r>
        <w:t xml:space="preserve">1. C. Wright,</w:t>
      </w:r>
      <w:r>
        <w:t xml:space="preserve"> </w:t>
      </w:r>
      <w:r>
        <w:t xml:space="preserve">“A Collaborative Cybersecurity Training Policy for Future Space Endeavors,”</w:t>
      </w:r>
      <w:r>
        <w:t xml:space="preserve"> </w:t>
      </w:r>
      <w:r>
        <w:rPr>
          <w:i/>
          <w:iCs/>
        </w:rPr>
        <w:t xml:space="preserve">AMOS Conference</w:t>
      </w:r>
      <w:r>
        <w:t xml:space="preserve">, 2023, doi:</w:t>
      </w:r>
      <w:r>
        <w:t xml:space="preserve"> </w:t>
      </w:r>
      <w:hyperlink r:id="rId68">
        <w:r>
          <w:rPr>
            <w:rStyle w:val="Hyperlink"/>
          </w:rPr>
          <w:t xml:space="preserve">10.64861/WXIJ8208</w:t>
        </w:r>
      </w:hyperlink>
    </w:p>
    <w:p>
      <w:pPr>
        <w:pStyle w:val="BodyText"/>
      </w:pPr>
      <w:bookmarkStart w:id="69" w:name="ref-2"/>
      <w:bookmarkEnd w:id="69"/>
      <w:r>
        <w:t xml:space="preserve">2. W. Allington, A. Peterson, and K. Bowen,</w:t>
      </w:r>
      <w:r>
        <w:t xml:space="preserve"> </w:t>
      </w:r>
      <w:r>
        <w:t xml:space="preserve">“Developing a Secure Framework for Space Domain Awareness (SDA),”</w:t>
      </w:r>
      <w:r>
        <w:t xml:space="preserve"> </w:t>
      </w:r>
      <w:r>
        <w:rPr>
          <w:i/>
          <w:iCs/>
        </w:rPr>
        <w:t xml:space="preserve">AMOS Conference</w:t>
      </w:r>
      <w:r>
        <w:t xml:space="preserve">, 2023, doi:</w:t>
      </w:r>
      <w:r>
        <w:t xml:space="preserve"> </w:t>
      </w:r>
      <w:hyperlink r:id="rId70">
        <w:r>
          <w:rPr>
            <w:rStyle w:val="Hyperlink"/>
          </w:rPr>
          <w:t xml:space="preserve">10.64861/TRSQ4124</w:t>
        </w:r>
      </w:hyperlink>
    </w:p>
    <w:p>
      <w:pPr>
        <w:pStyle w:val="BodyText"/>
      </w:pPr>
      <w:bookmarkStart w:id="71" w:name="ref-3"/>
      <w:bookmarkEnd w:id="71"/>
      <w:r>
        <w:t xml:space="preserve">3. N. Tsamis, R. Stilwell, H. Reed, and N. Dailey,</w:t>
      </w:r>
      <w:r>
        <w:t xml:space="preserve"> </w:t>
      </w:r>
      <w:r>
        <w:t xml:space="preserve">“Sharing Operationally Relevant Space Cyber Information,”</w:t>
      </w:r>
      <w:r>
        <w:t xml:space="preserve"> </w:t>
      </w:r>
      <w:r>
        <w:rPr>
          <w:i/>
          <w:iCs/>
        </w:rPr>
        <w:t xml:space="preserve">AMOS Conference</w:t>
      </w:r>
      <w:r>
        <w:t xml:space="preserve">, 2022.</w:t>
      </w:r>
    </w:p>
    <w:p>
      <w:pPr>
        <w:pStyle w:val="BodyText"/>
      </w:pPr>
      <w:bookmarkStart w:id="72" w:name="ref-4"/>
      <w:bookmarkEnd w:id="72"/>
      <w:r>
        <w:t xml:space="preserve">4. D. Kline,</w:t>
      </w:r>
      <w:r>
        <w:t xml:space="preserve"> </w:t>
      </w:r>
      <w:r>
        <w:t xml:space="preserve">“Cybersecurity for Responsible AI/ML Usage in SDA Applications,”</w:t>
      </w:r>
      <w:r>
        <w:t xml:space="preserve"> </w:t>
      </w:r>
      <w:r>
        <w:rPr>
          <w:i/>
          <w:iCs/>
        </w:rPr>
        <w:t xml:space="preserve">AMOS Conference</w:t>
      </w:r>
      <w:r>
        <w:t xml:space="preserve">, 2025, doi:</w:t>
      </w:r>
      <w:r>
        <w:t xml:space="preserve"> </w:t>
      </w:r>
      <w:hyperlink r:id="rId73">
        <w:r>
          <w:rPr>
            <w:rStyle w:val="Hyperlink"/>
          </w:rPr>
          <w:t xml:space="preserve">10.64861/VEWW9997</w:t>
        </w:r>
      </w:hyperlink>
    </w:p>
    <w:p>
      <w:pPr>
        <w:pStyle w:val="BodyText"/>
      </w:pPr>
      <w:bookmarkStart w:id="74" w:name="ref-5"/>
      <w:bookmarkEnd w:id="74"/>
      <w:r>
        <w:t xml:space="preserve">5. J. Reis,</w:t>
      </w:r>
      <w:r>
        <w:t xml:space="preserve"> </w:t>
      </w:r>
      <w:r>
        <w:t xml:space="preserve">“European union defense and security strategy for space and ground-based systems against hybrid threats,”</w:t>
      </w:r>
      <w:r>
        <w:t xml:space="preserve"> </w:t>
      </w:r>
      <w:r>
        <w:rPr>
          <w:i/>
          <w:iCs/>
        </w:rPr>
        <w:t xml:space="preserve">Acta Astronautica</w:t>
      </w:r>
      <w:r>
        <w:t xml:space="preserve">, vol. 225, 2024, doi:</w:t>
      </w:r>
      <w:r>
        <w:t xml:space="preserve"> </w:t>
      </w:r>
      <w:hyperlink r:id="rId75">
        <w:r>
          <w:rPr>
            <w:rStyle w:val="Hyperlink"/>
          </w:rPr>
          <w:t xml:space="preserve">10.1016/j.actaastro.2024.09.003</w:t>
        </w:r>
      </w:hyperlink>
    </w:p>
    <w:p>
      <w:pPr>
        <w:pStyle w:val="BodyText"/>
      </w:pPr>
      <w:bookmarkStart w:id="76" w:name="ref-6"/>
      <w:bookmarkEnd w:id="76"/>
      <w:r>
        <w:t xml:space="preserve">6. C. Poirier,</w:t>
      </w:r>
      <w:r>
        <w:t xml:space="preserve"> </w:t>
      </w:r>
      <w:r>
        <w:t xml:space="preserve">“Establishing a governance for cyber operations in outer space: Exploring challenges faced by space and cyber commands,”</w:t>
      </w:r>
      <w:r>
        <w:t xml:space="preserve"> </w:t>
      </w:r>
      <w:r>
        <w:rPr>
          <w:i/>
          <w:iCs/>
        </w:rPr>
        <w:t xml:space="preserve">Acta Astronautica</w:t>
      </w:r>
      <w:r>
        <w:t xml:space="preserve">, vol. 237, 2025, doi:</w:t>
      </w:r>
      <w:r>
        <w:t xml:space="preserve"> </w:t>
      </w:r>
      <w:hyperlink r:id="rId77">
        <w:r>
          <w:rPr>
            <w:rStyle w:val="Hyperlink"/>
          </w:rPr>
          <w:t xml:space="preserve">10.1016/j.actaastro.2025.08.048</w:t>
        </w:r>
      </w:hyperlink>
    </w:p>
    <w:p>
      <w:pPr>
        <w:pStyle w:val="BodyText"/>
      </w:pPr>
      <w:bookmarkStart w:id="78" w:name="ref-7"/>
      <w:bookmarkEnd w:id="78"/>
      <w:r>
        <w:t xml:space="preserve">7. Cybersecurity and Infrastructure Security Agency,</w:t>
      </w:r>
      <w:r>
        <w:t xml:space="preserve"> </w:t>
      </w:r>
      <w:r>
        <w:t xml:space="preserve">“Known Exploited Vulnerabilities Catalog,”</w:t>
      </w:r>
      <w:r>
        <w:t xml:space="preserve"> </w:t>
      </w:r>
      <w:r>
        <w:t xml:space="preserve">release v2026.06.18, 2026.</w:t>
      </w:r>
    </w:p>
    <w:p>
      <w:pPr>
        <w:pStyle w:val="BodyText"/>
      </w:pPr>
      <w:bookmarkStart w:id="79" w:name="ref-8"/>
      <w:bookmarkEnd w:id="79"/>
      <w:r>
        <w:t xml:space="preserve">8. National Institute of Standards and Technology,</w:t>
      </w:r>
      <w:r>
        <w:t xml:space="preserve"> </w:t>
      </w:r>
      <w:r>
        <w:t xml:space="preserve">“National Vulnerability Database CVE API 2.0,”</w:t>
      </w:r>
      <w:r>
        <w:t xml:space="preserve"> </w:t>
      </w:r>
      <w:r>
        <w:t xml:space="preserve">2026.</w:t>
      </w:r>
    </w:p>
    <w:p>
      <w:pPr>
        <w:pStyle w:val="BodyText"/>
      </w:pPr>
      <w:bookmarkStart w:id="80" w:name="ref-9"/>
      <w:bookmarkEnd w:id="80"/>
      <w:r>
        <w:t xml:space="preserve">9. U.S. Securities and Exchange Commission,</w:t>
      </w:r>
      <w:r>
        <w:t xml:space="preserve"> </w:t>
      </w:r>
      <w:r>
        <w:t xml:space="preserve">“Cybersecurity Risk Management, Strategy, Governance, and Incident Disclosure,”</w:t>
      </w:r>
      <w:r>
        <w:t xml:space="preserve"> </w:t>
      </w:r>
      <w:r>
        <w:t xml:space="preserve">Release Nos. 33-11216 and 34-97989, 2023.</w:t>
      </w:r>
    </w:p>
    <w:bookmarkEnd w:id="81"/>
    <w:bookmarkStart w:id="82" w:name="specification"/>
    <w:p>
      <w:pPr>
        <w:pStyle w:val="Heading2"/>
      </w:pPr>
      <w:r>
        <w:t xml:space="preserve">Specification</w:t>
      </w:r>
    </w:p>
    <w:p>
      <w:pPr>
        <w:pStyle w:val="FirstParagraph"/>
      </w:pPr>
      <m:oMathPara>
        <m:oMathParaPr>
          <m:jc m:val="center"/>
        </m:oMathParaPr>
        <m:oMath>
          <m:sSub>
            <m:e>
              <m:r>
                <m:rPr>
                  <m:nor/>
                  <m:sty m:val="p"/>
                </m:rPr>
                <m:t>AR5</m:t>
              </m:r>
            </m:e>
            <m:sub>
              <m:r>
                <m:t>i</m:t>
              </m:r>
            </m:sub>
          </m:sSub>
          <m:r>
            <m:rPr>
              <m:sty m:val="p"/>
            </m:rPr>
            <m:t>=</m:t>
          </m:r>
          <m:r>
            <m:t>α</m:t>
          </m:r>
          <m:r>
            <m:rPr>
              <m:sty m:val="p"/>
            </m:rPr>
            <m:t>+</m:t>
          </m:r>
          <m:sSub>
            <m:e>
              <m:r>
                <m:t>β</m:t>
              </m:r>
            </m:e>
            <m:sub>
              <m:r>
                <m:t>1</m:t>
              </m:r>
            </m:sub>
          </m:sSub>
          <m:r>
            <m:t> </m:t>
          </m:r>
          <m:sSub>
            <m:e>
              <m:r>
                <m:rPr>
                  <m:nor/>
                  <m:sty m:val="p"/>
                </m:rPr>
                <m:t>CVSS</m:t>
              </m:r>
            </m:e>
            <m:sub>
              <m:r>
                <m:t>i</m:t>
              </m:r>
            </m:sub>
          </m:sSub>
          <m:r>
            <m:rPr>
              <m:sty m:val="p"/>
            </m:rPr>
            <m:t>+</m:t>
          </m:r>
          <m:sSub>
            <m:e>
              <m:r>
                <m:t>β</m:t>
              </m:r>
            </m:e>
            <m:sub>
              <m:r>
                <m:t>2</m:t>
              </m:r>
            </m:sub>
          </m:sSub>
          <m:r>
            <m:t> </m:t>
          </m:r>
          <m:sSub>
            <m:e>
              <m:r>
                <m:rPr>
                  <m:nor/>
                  <m:sty m:val="p"/>
                </m:rPr>
                <m:t>Edge</m:t>
              </m:r>
            </m:e>
            <m:sub>
              <m:r>
                <m:t>i</m:t>
              </m:r>
            </m:sub>
          </m:sSub>
          <m:r>
            <m:rPr>
              <m:sty m:val="p"/>
            </m:rPr>
            <m:t>+</m:t>
          </m:r>
          <m:sSub>
            <m:e>
              <m:r>
                <m:t>β</m:t>
              </m:r>
            </m:e>
            <m:sub>
              <m:r>
                <m:t>3</m:t>
              </m:r>
            </m:sub>
          </m:sSub>
          <m:r>
            <m:t> </m:t>
          </m:r>
          <m:sSub>
            <m:e>
              <m:r>
                <m:rPr>
                  <m:nor/>
                  <m:sty m:val="p"/>
                </m:rPr>
                <m:t>Ransomware</m:t>
              </m:r>
            </m:e>
            <m:sub>
              <m:r>
                <m:t>i</m:t>
              </m:r>
            </m:sub>
          </m:sSub>
          <m:r>
            <m:rPr>
              <m:sty m:val="p"/>
            </m:rPr>
            <m:t>+</m:t>
          </m:r>
          <m:sSub>
            <m:e>
              <m:r>
                <m:t>β</m:t>
              </m:r>
            </m:e>
            <m:sub>
              <m:r>
                <m:t>4</m:t>
              </m:r>
            </m:sub>
          </m:sSub>
          <m:r>
            <m:t> </m:t>
          </m:r>
          <m:sSub>
            <m:e>
              <m:r>
                <m:rPr>
                  <m:nor/>
                  <m:sty m:val="p"/>
                </m:rPr>
                <m:t>PostBOD</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-7.3628</w:t>
            </w:r>
          </w:p>
        </w:tc>
        <w:tc>
          <w:tcPr>
            <w:tcW w:w="0" w:type="auto"/>
          </w:tcPr>
          <w:p>
            <w:pPr>
              <w:spacing w:line="240" w:lineRule="auto" w:before="0" w:after="0"/>
              <w:pStyle w:val="Compact"/>
            </w:pPr>
            <w:r>
              <w:rPr>
                <w:sz w:val="20"/>
                <w:szCs w:val="20"/>
              </w:rPr>
              <w:t xml:space="preserve">4.6511</w:t>
            </w:r>
          </w:p>
        </w:tc>
        <w:tc>
          <w:tcPr>
            <w:tcW w:w="0" w:type="auto"/>
          </w:tcPr>
          <w:p>
            <w:pPr>
              <w:spacing w:line="240" w:lineRule="auto" w:before="0" w:after="0"/>
              <w:pStyle w:val="Compact"/>
            </w:pPr>
            <w:r>
              <w:rPr>
                <w:sz w:val="20"/>
                <w:szCs w:val="20"/>
              </w:rPr>
              <w:t xml:space="preserve">-1.583</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[-16.4787, 1.7532]</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0.4981</w:t>
            </w:r>
          </w:p>
        </w:tc>
        <w:tc>
          <w:tcPr>
            <w:tcW w:w="0" w:type="auto"/>
          </w:tcPr>
          <w:p>
            <w:pPr>
              <w:spacing w:line="240" w:lineRule="auto" w:before="0" w:after="0"/>
              <w:pStyle w:val="Compact"/>
            </w:pPr>
            <w:r>
              <w:rPr>
                <w:sz w:val="20"/>
                <w:szCs w:val="20"/>
              </w:rPr>
              <w:t xml:space="preserve">1.8858</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[-0.0369, 1.9157]</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-0.3618</w:t>
            </w:r>
          </w:p>
        </w:tc>
        <w:tc>
          <w:tcPr>
            <w:tcW w:w="0" w:type="auto"/>
          </w:tcPr>
          <w:p>
            <w:pPr>
              <w:spacing w:line="240" w:lineRule="auto" w:before="0" w:after="0"/>
              <w:pStyle w:val="Compact"/>
            </w:pPr>
            <w:r>
              <w:rPr>
                <w:sz w:val="20"/>
                <w:szCs w:val="20"/>
              </w:rPr>
              <w:t xml:space="preserve">1.6827</w:t>
            </w:r>
          </w:p>
        </w:tc>
        <w:tc>
          <w:tcPr>
            <w:tcW w:w="0" w:type="auto"/>
          </w:tcPr>
          <w:p>
            <w:pPr>
              <w:spacing w:line="240" w:lineRule="auto" w:before="0" w:after="0"/>
              <w:pStyle w:val="Compact"/>
            </w:pPr>
            <w:r>
              <w:rPr>
                <w:sz w:val="20"/>
                <w:szCs w:val="20"/>
              </w:rPr>
              <w:t xml:space="preserve">-0.215</w:t>
            </w:r>
          </w:p>
        </w:tc>
        <w:tc>
          <w:tcPr>
            <w:tcW w:w="0" w:type="auto"/>
          </w:tcPr>
          <w:p>
            <w:pPr>
              <w:spacing w:line="240" w:lineRule="auto" w:before="0" w:after="0"/>
              <w:pStyle w:val="Compact"/>
            </w:pPr>
            <w:r>
              <w:rPr>
                <w:sz w:val="20"/>
                <w:szCs w:val="20"/>
              </w:rPr>
              <w:t xml:space="preserve">0.8297</w:t>
            </w:r>
          </w:p>
        </w:tc>
        <w:tc>
          <w:tcPr>
            <w:tcW w:w="0" w:type="auto"/>
          </w:tcPr>
          <w:p>
            <w:pPr>
              <w:spacing w:line="240" w:lineRule="auto" w:before="0" w:after="0"/>
              <w:pStyle w:val="Compact"/>
            </w:pPr>
            <w:r>
              <w:rPr>
                <w:sz w:val="20"/>
                <w:szCs w:val="20"/>
              </w:rPr>
              <w:t xml:space="preserve">[-3.6599, 2.9362]</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0.3168</w:t>
            </w:r>
          </w:p>
        </w:tc>
        <w:tc>
          <w:tcPr>
            <w:tcW w:w="0" w:type="auto"/>
          </w:tcPr>
          <w:p>
            <w:pPr>
              <w:spacing w:line="240" w:lineRule="auto" w:before="0" w:after="0"/>
              <w:pStyle w:val="Compact"/>
            </w:pPr>
            <w:r>
              <w:rPr>
                <w:sz w:val="20"/>
                <w:szCs w:val="20"/>
              </w:rPr>
              <w:t xml:space="preserve">2.6495</w:t>
            </w:r>
          </w:p>
        </w:tc>
        <w:tc>
          <w:tcPr>
            <w:tcW w:w="0" w:type="auto"/>
          </w:tcPr>
          <w:p>
            <w:pPr>
              <w:spacing w:line="240" w:lineRule="auto" w:before="0" w:after="0"/>
              <w:pStyle w:val="Compact"/>
            </w:pPr>
            <w:r>
              <w:rPr>
                <w:sz w:val="20"/>
                <w:szCs w:val="20"/>
              </w:rPr>
              <w:t xml:space="preserve">0.1196</w:t>
            </w:r>
          </w:p>
        </w:tc>
        <w:tc>
          <w:tcPr>
            <w:tcW w:w="0" w:type="auto"/>
          </w:tcPr>
          <w:p>
            <w:pPr>
              <w:spacing w:line="240" w:lineRule="auto" w:before="0" w:after="0"/>
              <w:pStyle w:val="Compact"/>
            </w:pPr>
            <w:r>
              <w:rPr>
                <w:sz w:val="20"/>
                <w:szCs w:val="20"/>
              </w:rPr>
              <w:t xml:space="preserve">0.9048</w:t>
            </w:r>
          </w:p>
        </w:tc>
        <w:tc>
          <w:tcPr>
            <w:tcW w:w="0" w:type="auto"/>
          </w:tcPr>
          <w:p>
            <w:pPr>
              <w:spacing w:line="240" w:lineRule="auto" w:before="0" w:after="0"/>
              <w:pStyle w:val="Compact"/>
            </w:pPr>
            <w:r>
              <w:rPr>
                <w:sz w:val="20"/>
                <w:szCs w:val="20"/>
              </w:rPr>
              <w:t xml:space="preserve">[-4.8762, 5.5098]</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-2.1172</w:t>
            </w:r>
          </w:p>
        </w:tc>
        <w:tc>
          <w:tcPr>
            <w:tcW w:w="0" w:type="auto"/>
          </w:tcPr>
          <w:p>
            <w:pPr>
              <w:spacing w:line="240" w:lineRule="auto" w:before="0" w:after="0"/>
              <w:pStyle w:val="Compact"/>
            </w:pPr>
            <w:r>
              <w:rPr>
                <w:sz w:val="20"/>
                <w:szCs w:val="20"/>
              </w:rPr>
              <w:t xml:space="preserve">1.9283</w:t>
            </w:r>
          </w:p>
        </w:tc>
        <w:tc>
          <w:tcPr>
            <w:tcW w:w="0" w:type="auto"/>
          </w:tcPr>
          <w:p>
            <w:pPr>
              <w:spacing w:line="240" w:lineRule="auto" w:before="0" w:after="0"/>
              <w:pStyle w:val="Compact"/>
            </w:pPr>
            <w:r>
              <w:rPr>
                <w:sz w:val="20"/>
                <w:szCs w:val="20"/>
              </w:rPr>
              <w:t xml:space="preserve">-1.098</w:t>
            </w:r>
          </w:p>
        </w:tc>
        <w:tc>
          <w:tcPr>
            <w:tcW w:w="0" w:type="auto"/>
          </w:tcPr>
          <w:p>
            <w:pPr>
              <w:spacing w:line="240" w:lineRule="auto" w:before="0" w:after="0"/>
              <w:pStyle w:val="Compact"/>
            </w:pPr>
            <w:r>
              <w:rPr>
                <w:sz w:val="20"/>
                <w:szCs w:val="20"/>
              </w:rPr>
              <w:t xml:space="preserve">0.2722</w:t>
            </w:r>
          </w:p>
        </w:tc>
        <w:tc>
          <w:tcPr>
            <w:tcW w:w="0" w:type="auto"/>
          </w:tcPr>
          <w:p>
            <w:pPr>
              <w:spacing w:line="240" w:lineRule="auto" w:before="0" w:after="0"/>
              <w:pStyle w:val="Compact"/>
            </w:pPr>
            <w:r>
              <w:rPr>
                <w:sz w:val="20"/>
                <w:szCs w:val="20"/>
              </w:rPr>
              <w:t xml:space="preserve">[-5.8966, 1.6622]</w:t>
            </w:r>
          </w:p>
        </w:tc>
      </w:tr>
    </w:tbl>
    <w:p>
      <w:pPr>
        <w:pStyle w:val="BodyText"/>
      </w:pPr>
      <w:r>
        <w:t xml:space="preserve">Fit: N = 21 R2 = 0.1156 R2_adj = -0.1055 F = 2.4369 F_p = 0.0896</w:t>
      </w:r>
    </w:p>
    <w:p>
      <w:pPr>
        <w:pStyle w:val="CaptionedFigure"/>
      </w:pPr>
      <w:r>
        <w:drawing>
          <wp:inline>
            <wp:extent cx="5669280" cy="3657600"/>
            <wp:effectExtent b="0" l="0" r="0" t="0"/>
            <wp:docPr descr="Figure 1. Figure 1. Five-day abnormal vendor equity return following CISA KEV addition, plotted against NVD CVSS severity." title="" id="84" name="Picture"/>
            <a:graphic>
              <a:graphicData uri="http://schemas.openxmlformats.org/drawingml/2006/picture">
                <pic:pic>
                  <pic:nvPicPr>
                    <pic:cNvPr descr="dissertations\CYBER_AI_10\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Five-day abnormal vendor equity return following CISA KEV addition, plotted against NVD CVSS severity.</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65"/>
        <w:gridCol w:w="465"/>
        <w:gridCol w:w="465"/>
        <w:gridCol w:w="465"/>
        <w:gridCol w:w="465"/>
        <w:gridCol w:w="465"/>
        <w:gridCol w:w="465"/>
        <w:gridCol w:w="465"/>
        <w:gridCol w:w="465"/>
        <w:gridCol w:w="465"/>
        <w:gridCol w:w="465"/>
        <w:gridCol w:w="465"/>
        <w:gridCol w:w="465"/>
        <w:gridCol w:w="465"/>
        <w:gridCol w:w="465"/>
        <w:gridCol w:w="465"/>
        <w:gridCol w:w="465"/>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product</w:t>
            </w:r>
          </w:p>
        </w:tc>
        <w:tc>
          <w:tcPr>
            <w:tcW w:w="0" w:type="auto"/>
          </w:tcPr>
          <w:p>
            <w:pPr>
              <w:spacing w:line="240" w:lineRule="auto" w:before="0" w:after="0"/>
              <w:pStyle w:val="Compact"/>
            </w:pPr>
            <w:r>
              <w:rPr>
                <w:sz w:val="20"/>
                <w:szCs w:val="20"/>
              </w:rPr>
              <w:t xml:space="preserve">ticker</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nvd_published</w:t>
            </w:r>
          </w:p>
        </w:tc>
        <w:tc>
          <w:tcPr>
            <w:tcW w:w="0" w:type="auto"/>
          </w:tcPr>
          <w:p>
            <w:pPr>
              <w:spacing w:line="240" w:lineRule="auto" w:before="0" w:after="0"/>
              <w:pStyle w:val="Compact"/>
            </w:pPr>
            <w:r>
              <w:rPr>
                <w:sz w:val="20"/>
                <w:szCs w:val="20"/>
              </w:rPr>
              <w:t xml:space="preserve">kev_added</w:t>
            </w:r>
          </w:p>
        </w:tc>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event_trade_date</w:t>
            </w:r>
          </w:p>
        </w:tc>
        <w:tc>
          <w:tcPr>
            <w:tcW w:w="0" w:type="auto"/>
          </w:tcPr>
          <w:p>
            <w:pPr>
              <w:spacing w:line="240" w:lineRule="auto" w:before="0" w:after="0"/>
              <w:pStyle w:val="Compact"/>
            </w:pPr>
            <w:r>
              <w:rPr>
                <w:sz w:val="20"/>
                <w:szCs w:val="20"/>
              </w:rPr>
              <w:t xml:space="preserve">return_5d_pct</w:t>
            </w:r>
          </w:p>
        </w:tc>
        <w:tc>
          <w:tcPr>
            <w:tcW w:w="0" w:type="auto"/>
          </w:tcPr>
          <w:p>
            <w:pPr>
              <w:spacing w:line="240" w:lineRule="auto" w:before="0" w:after="0"/>
              <w:pStyle w:val="Compact"/>
            </w:pPr>
            <w:r>
              <w:rPr>
                <w:sz w:val="20"/>
                <w:szCs w:val="20"/>
              </w:rPr>
              <w:t xml:space="preserve">acwi_return_5d_pct</w:t>
            </w:r>
          </w:p>
        </w:tc>
        <w:tc>
          <w:tcPr>
            <w:tcW w:w="0" w:type="auto"/>
          </w:tcPr>
          <w:p>
            <w:pPr>
              <w:spacing w:line="240" w:lineRule="auto" w:before="0" w:after="0"/>
              <w:pStyle w:val="Compact"/>
            </w:pPr>
            <w:r>
              <w:rPr>
                <w:sz w:val="20"/>
                <w:szCs w:val="20"/>
              </w:rPr>
              <w:t xml:space="preserve">abnormal_return_5d_pct</w:t>
            </w:r>
          </w:p>
        </w:tc>
        <w:tc>
          <w:tcPr>
            <w:tcW w:w="0" w:type="auto"/>
          </w:tcPr>
          <w:p>
            <w:pPr>
              <w:spacing w:line="240" w:lineRule="auto" w:before="0" w:after="0"/>
              <w:pStyle w:val="Compact"/>
            </w:pPr>
            <w:r>
              <w:rPr>
                <w:sz w:val="20"/>
                <w:szCs w:val="20"/>
              </w:rPr>
              <w:t xml:space="preserve">negative_abnormal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CVE-2021-22986</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and BIG-IQ Centralized Management</w:t>
            </w:r>
          </w:p>
        </w:tc>
        <w:tc>
          <w:tcPr>
            <w:tcW w:w="0" w:type="auto"/>
          </w:tcPr>
          <w:p>
            <w:pPr>
              <w:spacing w:line="240" w:lineRule="auto" w:before="0" w:after="0"/>
              <w:pStyle w:val="Compact"/>
            </w:pPr>
            <w:r>
              <w:rPr>
                <w:sz w:val="20"/>
                <w:szCs w:val="20"/>
              </w:rPr>
              <w:t xml:space="preserve">FFIV</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2021-03-31</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0.0755</w:t>
            </w:r>
          </w:p>
        </w:tc>
        <w:tc>
          <w:tcPr>
            <w:tcW w:w="0" w:type="auto"/>
          </w:tcPr>
          <w:p>
            <w:pPr>
              <w:spacing w:line="240" w:lineRule="auto" w:before="0" w:after="0"/>
              <w:pStyle w:val="Compact"/>
            </w:pPr>
            <w:r>
              <w:rPr>
                <w:sz w:val="20"/>
                <w:szCs w:val="20"/>
              </w:rPr>
              <w:t xml:space="preserve">1.2002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CVE-2021-22986 (F5 BIG-IP and BIG-IQ Centralized Management; dateAdded 2021-11-03; ransomware=1); NVD CVE API 2.0 CVE-2021-22986 (published 2021-03-31; CVSS V31 base 9.8); Yahoo Finance chart API adjusted closes for FFIV and ACWI, event window 2021-11-03 to 2021-11-10</w:t>
            </w:r>
          </w:p>
        </w:tc>
      </w:tr>
      <w:tr>
        <w:tc>
          <w:tcPr>
            <w:tcW w:w="0" w:type="auto"/>
          </w:tcPr>
          <w:p>
            <w:pPr>
              <w:spacing w:line="240" w:lineRule="auto" w:before="0" w:after="0"/>
              <w:pStyle w:val="Compact"/>
            </w:pPr>
            <w:r>
              <w:rPr>
                <w:sz w:val="20"/>
                <w:szCs w:val="20"/>
              </w:rPr>
              <w:t xml:space="preserve">CVE-2020-29583</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3704.TW</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2020-12-22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-0.9245</w:t>
            </w:r>
          </w:p>
        </w:tc>
        <w:tc>
          <w:tcPr>
            <w:tcW w:w="0" w:type="auto"/>
          </w:tcPr>
          <w:p>
            <w:pPr>
              <w:spacing w:line="240" w:lineRule="auto" w:before="0" w:after="0"/>
              <w:pStyle w:val="Compact"/>
            </w:pPr>
            <w:r>
              <w:rPr>
                <w:sz w:val="20"/>
                <w:szCs w:val="20"/>
              </w:rPr>
              <w:t xml:space="preserve">0.0755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CVE-2020-29583 (Zyxel Multiple Products; dateAdded 2021-11-03; ransomware=0); NVD CVE API 2.0 CVE-2020-29583 (published 2020-12-22; CVSS V31 base 9.8); Yahoo Finance chart API adjusted closes for 3704.TW and ACWI, event window 2021-11-03 to 2021-11-10</w:t>
            </w:r>
          </w:p>
        </w:tc>
      </w:tr>
      <w:tr>
        <w:tc>
          <w:tcPr>
            <w:tcW w:w="0" w:type="auto"/>
          </w:tcPr>
          <w:p>
            <w:pPr>
              <w:spacing w:line="240" w:lineRule="auto" w:before="0" w:after="0"/>
              <w:pStyle w:val="Compact"/>
            </w:pPr>
            <w:r>
              <w:rPr>
                <w:sz w:val="20"/>
                <w:szCs w:val="20"/>
              </w:rPr>
              <w:t xml:space="preserve">CVE-2022-20703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Small Business RV160, RV260, RV340, and RV345 Series Routers</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2022-02-10</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-2.5646</w:t>
            </w:r>
          </w:p>
        </w:tc>
        <w:tc>
          <w:tcPr>
            <w:tcW w:w="0" w:type="auto"/>
          </w:tcPr>
          <w:p>
            <w:pPr>
              <w:spacing w:line="240" w:lineRule="auto" w:before="0" w:after="0"/>
              <w:pStyle w:val="Compact"/>
            </w:pPr>
            <w:r>
              <w:rPr>
                <w:sz w:val="20"/>
                <w:szCs w:val="20"/>
              </w:rPr>
              <w:t xml:space="preserve">-3.5348</w:t>
            </w:r>
          </w:p>
        </w:tc>
        <w:tc>
          <w:tcPr>
            <w:tcW w:w="0" w:type="auto"/>
          </w:tcPr>
          <w:p>
            <w:pPr>
              <w:spacing w:line="240" w:lineRule="auto" w:before="0" w:after="0"/>
              <w:pStyle w:val="Compact"/>
            </w:pPr>
            <w:r>
              <w:rPr>
                <w:sz w:val="20"/>
                <w:szCs w:val="20"/>
              </w:rPr>
              <w:t xml:space="preserve">0.9703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CVE-2022-20703 (Cisco Small Business RV160, RV260, RV340, and RV345 Series Routers; dateAdded 2022-03-03; ransomware=0); NVD CVE API 2.0 CVE-2022-20703 (published 2022-02-10; CVSS V31 base 10.0); Yahoo Finance chart API adjusted closes for CSCO and ACWI, event window 2022-03-03 to 2022-03-10</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SIMATIC CP</w:t>
            </w:r>
          </w:p>
        </w:tc>
        <w:tc>
          <w:tcPr>
            <w:tcW w:w="0" w:type="auto"/>
          </w:tcPr>
          <w:p>
            <w:pPr>
              <w:spacing w:line="240" w:lineRule="auto" w:before="0" w:after="0"/>
              <w:pStyle w:val="Compact"/>
            </w:pPr>
            <w:r>
              <w:rPr>
                <w:sz w:val="20"/>
                <w:szCs w:val="20"/>
              </w:rPr>
              <w:t xml:space="preserve">SIEGY</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2016-11-18</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1931</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-1.0036</w:t>
            </w:r>
          </w:p>
        </w:tc>
        <w:tc>
          <w:tcPr>
            <w:tcW w:w="0" w:type="auto"/>
          </w:tcPr>
          <w:p>
            <w:pPr>
              <w:spacing w:line="240" w:lineRule="auto" w:before="0" w:after="0"/>
              <w:pStyle w:val="Compact"/>
            </w:pPr>
            <w:r>
              <w:rPr>
                <w:sz w:val="20"/>
                <w:szCs w:val="20"/>
              </w:rPr>
              <w:t xml:space="preserve">-3.5348</w:t>
            </w:r>
          </w:p>
        </w:tc>
        <w:tc>
          <w:tcPr>
            <w:tcW w:w="0" w:type="auto"/>
          </w:tcPr>
          <w:p>
            <w:pPr>
              <w:spacing w:line="240" w:lineRule="auto" w:before="0" w:after="0"/>
              <w:pStyle w:val="Compact"/>
            </w:pPr>
            <w:r>
              <w:rPr>
                <w:sz w:val="20"/>
                <w:szCs w:val="20"/>
              </w:rPr>
              <w:t xml:space="preserve">2.5312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CVE-2016-8562 (Siemens SIMATIC CP; dateAdded 2022-03-03; ransomware=0); NVD CVE API 2.0 CVE-2016-8562 (published 2016-11-18; CVSS V31 base 7.5); Yahoo Finance chart API adjusted closes for SIEGY and ACWI, event window 2022-03-03 to 2022-03-10</w:t>
            </w:r>
          </w:p>
        </w:tc>
      </w:tr>
      <w:tr>
        <w:tc>
          <w:tcPr>
            <w:tcW w:w="0" w:type="auto"/>
          </w:tcPr>
          <w:p>
            <w:pPr>
              <w:spacing w:line="240" w:lineRule="auto" w:before="0" w:after="0"/>
              <w:pStyle w:val="Compact"/>
            </w:pPr>
            <w:r>
              <w:rPr>
                <w:sz w:val="20"/>
                <w:szCs w:val="20"/>
              </w:rPr>
              <w:t xml:space="preserve">CVE-2018-0147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Access Control System (ACS)</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2018-03-08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2.1284</w:t>
            </w:r>
          </w:p>
        </w:tc>
        <w:tc>
          <w:tcPr>
            <w:tcW w:w="0" w:type="auto"/>
          </w:tcPr>
          <w:p>
            <w:pPr>
              <w:spacing w:line="240" w:lineRule="auto" w:before="0" w:after="0"/>
              <w:pStyle w:val="Compact"/>
            </w:pPr>
            <w:r>
              <w:rPr>
                <w:sz w:val="20"/>
                <w:szCs w:val="20"/>
              </w:rPr>
              <w:t xml:space="preserve">0.6413</w:t>
            </w:r>
          </w:p>
        </w:tc>
        <w:tc>
          <w:tcPr>
            <w:tcW w:w="0" w:type="auto"/>
          </w:tcPr>
          <w:p>
            <w:pPr>
              <w:spacing w:line="240" w:lineRule="auto" w:before="0" w:after="0"/>
              <w:pStyle w:val="Compact"/>
            </w:pPr>
            <w:r>
              <w:rPr>
                <w:sz w:val="20"/>
                <w:szCs w:val="20"/>
              </w:rPr>
              <w:t xml:space="preserve">1.4871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CVE-2018-0147 (Cisco Secure Access Control System (ACS); dateAdded 2022-03-25; ransomware=0); NVD CVE API 2.0 CVE-2018-0147 (published 2018-03-08; CVSS V31 base 9.8); Yahoo Finance chart API adjusted closes for CSCO and ACWI, event window 2022-03-25 to 2022-04-01</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U.motion Builder</w:t>
            </w:r>
          </w:p>
        </w:tc>
        <w:tc>
          <w:tcPr>
            <w:tcW w:w="0" w:type="auto"/>
          </w:tcPr>
          <w:p>
            <w:pPr>
              <w:spacing w:line="240" w:lineRule="auto" w:before="0" w:after="0"/>
              <w:pStyle w:val="Compact"/>
            </w:pPr>
            <w:r>
              <w:rPr>
                <w:sz w:val="20"/>
                <w:szCs w:val="20"/>
              </w:rPr>
              <w:t xml:space="preserve">SBGSF</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2022-04-15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2022-04-18</w:t>
            </w:r>
          </w:p>
        </w:tc>
        <w:tc>
          <w:tcPr>
            <w:tcW w:w="0" w:type="auto"/>
          </w:tcPr>
          <w:p>
            <w:pPr>
              <w:spacing w:line="240" w:lineRule="auto" w:before="0" w:after="0"/>
              <w:pStyle w:val="Compact"/>
            </w:pPr>
            <w:r>
              <w:rPr>
                <w:sz w:val="20"/>
                <w:szCs w:val="20"/>
              </w:rPr>
              <w:t xml:space="preserve">-2.1774</w:t>
            </w:r>
          </w:p>
        </w:tc>
        <w:tc>
          <w:tcPr>
            <w:tcW w:w="0" w:type="auto"/>
          </w:tcPr>
          <w:p>
            <w:pPr>
              <w:spacing w:line="240" w:lineRule="auto" w:before="0" w:after="0"/>
              <w:pStyle w:val="Compact"/>
            </w:pPr>
            <w:r>
              <w:rPr>
                <w:sz w:val="20"/>
                <w:szCs w:val="20"/>
              </w:rPr>
              <w:t xml:space="preserve">-2.6568</w:t>
            </w:r>
          </w:p>
        </w:tc>
        <w:tc>
          <w:tcPr>
            <w:tcW w:w="0" w:type="auto"/>
          </w:tcPr>
          <w:p>
            <w:pPr>
              <w:spacing w:line="240" w:lineRule="auto" w:before="0" w:after="0"/>
              <w:pStyle w:val="Compact"/>
            </w:pPr>
            <w:r>
              <w:rPr>
                <w:sz w:val="20"/>
                <w:szCs w:val="20"/>
              </w:rPr>
              <w:t xml:space="preserve">0.4793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CVE-2018-7841 (Schneider Electric U.motion Builder; dateAdded 2022-04-15; ransomware=0); NVD CVE API 2.0 CVE-2018-7841 (published 2019-05-22; CVSS V31 base 9.8); Yahoo Finance chart API adjusted closes for SBGSF and ACWI, event window 2022-04-18 to 2022-04-25</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DOPSoft 2</w:t>
            </w:r>
          </w:p>
        </w:tc>
        <w:tc>
          <w:tcPr>
            <w:tcW w:w="0" w:type="auto"/>
          </w:tcPr>
          <w:p>
            <w:pPr>
              <w:spacing w:line="240" w:lineRule="auto" w:before="0" w:after="0"/>
              <w:pStyle w:val="Compact"/>
            </w:pPr>
            <w:r>
              <w:rPr>
                <w:sz w:val="20"/>
                <w:szCs w:val="20"/>
              </w:rPr>
              <w:t xml:space="preserve">2308.TW</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2021-09-17</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-3.1835</w:t>
            </w:r>
          </w:p>
        </w:tc>
        <w:tc>
          <w:tcPr>
            <w:tcW w:w="0" w:type="auto"/>
          </w:tcPr>
          <w:p>
            <w:pPr>
              <w:spacing w:line="240" w:lineRule="auto" w:before="0" w:after="0"/>
              <w:pStyle w:val="Compact"/>
            </w:pPr>
            <w:r>
              <w:rPr>
                <w:sz w:val="20"/>
                <w:szCs w:val="20"/>
              </w:rPr>
              <w:t xml:space="preserve">-4.0211</w:t>
            </w:r>
          </w:p>
        </w:tc>
        <w:tc>
          <w:tcPr>
            <w:tcW w:w="0" w:type="auto"/>
          </w:tcPr>
          <w:p>
            <w:pPr>
              <w:spacing w:line="240" w:lineRule="auto" w:before="0" w:after="0"/>
              <w:pStyle w:val="Compact"/>
            </w:pPr>
            <w:r>
              <w:rPr>
                <w:sz w:val="20"/>
                <w:szCs w:val="20"/>
              </w:rPr>
              <w:t xml:space="preserve">0.8375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CVE-2021-38406 (Delta Electronics DOPSoft 2; dateAdded 2022-08-25; ransomware=0); NVD CVE API 2.0 CVE-2021-38406 (published 2021-09-17; CVSS V31 base 7.8); Yahoo Finance chart API adjusted closes for 2308.TW and ACWI, event window 2022-08-25 to 2022-09-01</w:t>
            </w:r>
          </w:p>
        </w:tc>
      </w:tr>
      <w:tr>
        <w:tc>
          <w:tcPr>
            <w:tcW w:w="0" w:type="auto"/>
          </w:tcPr>
          <w:p>
            <w:pPr>
              <w:spacing w:line="240" w:lineRule="auto" w:before="0" w:after="0"/>
              <w:pStyle w:val="Compact"/>
            </w:pPr>
            <w:r>
              <w:rPr>
                <w:sz w:val="20"/>
                <w:szCs w:val="20"/>
              </w:rPr>
              <w:t xml:space="preserve">CVE-2020-3153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AnyConnect Secure</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2020-02-19</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978</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6.1449</w:t>
            </w:r>
          </w:p>
        </w:tc>
        <w:tc>
          <w:tcPr>
            <w:tcW w:w="0" w:type="auto"/>
          </w:tcPr>
          <w:p>
            <w:pPr>
              <w:spacing w:line="240" w:lineRule="auto" w:before="0" w:after="0"/>
              <w:pStyle w:val="Compact"/>
            </w:pPr>
            <w:r>
              <w:rPr>
                <w:sz w:val="20"/>
                <w:szCs w:val="20"/>
              </w:rPr>
              <w:t xml:space="preserve">2.4001</w:t>
            </w:r>
          </w:p>
        </w:tc>
        <w:tc>
          <w:tcPr>
            <w:tcW w:w="0" w:type="auto"/>
          </w:tcPr>
          <w:p>
            <w:pPr>
              <w:spacing w:line="240" w:lineRule="auto" w:before="0" w:after="0"/>
              <w:pStyle w:val="Compact"/>
            </w:pPr>
            <w:r>
              <w:rPr>
                <w:sz w:val="20"/>
                <w:szCs w:val="20"/>
              </w:rPr>
              <w:t xml:space="preserve">3.7448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CVE-2020-3153 (Cisco AnyConnect Secure; dateAdded 2022-10-24; ransomware=1); NVD CVE API 2.0 CVE-2020-3153 (published 2020-02-19; CVSS V31 base 6.5); Yahoo Finance chart API adjusted closes for CSCO and ACWI, event window 2022-10-24 to 2022-10-31</w:t>
            </w:r>
          </w:p>
        </w:tc>
      </w:tr>
      <w:tr>
        <w:tc>
          <w:tcPr>
            <w:tcW w:w="0" w:type="auto"/>
          </w:tcPr>
          <w:p>
            <w:pPr>
              <w:spacing w:line="240" w:lineRule="auto" w:before="0" w:after="0"/>
              <w:pStyle w:val="Compact"/>
            </w:pPr>
            <w:r>
              <w:rPr>
                <w:sz w:val="20"/>
                <w:szCs w:val="20"/>
              </w:rPr>
              <w:t xml:space="preserve">CVE-2023-27997</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 and FortiProxy SSL-VPN</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1.8184</w:t>
            </w:r>
          </w:p>
        </w:tc>
        <w:tc>
          <w:tcPr>
            <w:tcW w:w="0" w:type="auto"/>
          </w:tcPr>
          <w:p>
            <w:pPr>
              <w:spacing w:line="240" w:lineRule="auto" w:before="0" w:after="0"/>
              <w:pStyle w:val="Compact"/>
            </w:pPr>
            <w:r>
              <w:rPr>
                <w:sz w:val="20"/>
                <w:szCs w:val="20"/>
              </w:rPr>
              <w:t xml:space="preserve">0.5831</w:t>
            </w:r>
          </w:p>
        </w:tc>
        <w:tc>
          <w:tcPr>
            <w:tcW w:w="0" w:type="auto"/>
          </w:tcPr>
          <w:p>
            <w:pPr>
              <w:spacing w:line="240" w:lineRule="auto" w:before="0" w:after="0"/>
              <w:pStyle w:val="Compact"/>
            </w:pPr>
            <w:r>
              <w:rPr>
                <w:sz w:val="20"/>
                <w:szCs w:val="20"/>
              </w:rPr>
              <w:t xml:space="preserve">1.2353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CVE-2023-27997 (Fortinet FortiOS and FortiProxy SSL-VPN; dateAdded 2023-06-13; ransomware=1); NVD CVE API 2.0 CVE-2023-27997 (published 2023-06-13; CVSS V31 base 9.8); Yahoo Finance chart API adjusted closes for FTNT and ACWI, event window 2023-06-13 to 2023-06-21</w:t>
            </w:r>
          </w:p>
        </w:tc>
      </w:tr>
      <w:tr>
        <w:tc>
          <w:tcPr>
            <w:tcW w:w="0" w:type="auto"/>
          </w:tcPr>
          <w:p>
            <w:pPr>
              <w:spacing w:line="240" w:lineRule="auto" w:before="0" w:after="0"/>
              <w:pStyle w:val="Compact"/>
            </w:pPr>
            <w:r>
              <w:rPr>
                <w:sz w:val="20"/>
                <w:szCs w:val="20"/>
              </w:rPr>
              <w:t xml:space="preserve">CVE-2017-6884</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EMG2926 Routers</w:t>
            </w:r>
          </w:p>
        </w:tc>
        <w:tc>
          <w:tcPr>
            <w:tcW w:w="0" w:type="auto"/>
          </w:tcPr>
          <w:p>
            <w:pPr>
              <w:spacing w:line="240" w:lineRule="auto" w:before="0" w:after="0"/>
              <w:pStyle w:val="Compact"/>
            </w:pPr>
            <w:r>
              <w:rPr>
                <w:sz w:val="20"/>
                <w:szCs w:val="20"/>
              </w:rPr>
              <w:t xml:space="preserve">3704.TW</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2017-04-06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2356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-3.9773</w:t>
            </w:r>
          </w:p>
        </w:tc>
        <w:tc>
          <w:tcPr>
            <w:tcW w:w="0" w:type="auto"/>
          </w:tcPr>
          <w:p>
            <w:pPr>
              <w:spacing w:line="240" w:lineRule="auto" w:before="0" w:after="0"/>
              <w:pStyle w:val="Compact"/>
            </w:pPr>
            <w:r>
              <w:rPr>
                <w:sz w:val="20"/>
                <w:szCs w:val="20"/>
              </w:rPr>
              <w:t xml:space="preserve">-2.5464</w:t>
            </w:r>
          </w:p>
        </w:tc>
        <w:tc>
          <w:tcPr>
            <w:tcW w:w="0" w:type="auto"/>
          </w:tcPr>
          <w:p>
            <w:pPr>
              <w:spacing w:line="240" w:lineRule="auto" w:before="0" w:after="0"/>
              <w:pStyle w:val="Compact"/>
            </w:pPr>
            <w:r>
              <w:rPr>
                <w:sz w:val="20"/>
                <w:szCs w:val="20"/>
              </w:rPr>
              <w:t xml:space="preserve">-1.4308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CVE-2017-6884 (Zyxel EMG2926 Routers; dateAdded 2023-09-18; ransomware=1); NVD CVE API 2.0 CVE-2017-6884 (published 2017-04-06; CVSS V31 base 8.8); Yahoo Finance chart API adjusted closes for 3704.TW and ACWI, event window 2023-09-18 to 2023-09-25</w:t>
            </w:r>
          </w:p>
        </w:tc>
      </w:tr>
      <w:tr>
        <w:tc>
          <w:tcPr>
            <w:tcW w:w="0" w:type="auto"/>
          </w:tcPr>
          <w:p>
            <w:pPr>
              <w:spacing w:line="240" w:lineRule="auto" w:before="0" w:after="0"/>
              <w:pStyle w:val="Compact"/>
            </w:pPr>
            <w:r>
              <w:rPr>
                <w:sz w:val="20"/>
                <w:szCs w:val="20"/>
              </w:rPr>
              <w:t xml:space="preserve">CVE-2023-46748</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Configuration Utility</w:t>
            </w:r>
          </w:p>
        </w:tc>
        <w:tc>
          <w:tcPr>
            <w:tcW w:w="0" w:type="auto"/>
          </w:tcPr>
          <w:p>
            <w:pPr>
              <w:spacing w:line="240" w:lineRule="auto" w:before="0" w:after="0"/>
              <w:pStyle w:val="Compact"/>
            </w:pPr>
            <w:r>
              <w:rPr>
                <w:sz w:val="20"/>
                <w:szCs w:val="20"/>
              </w:rPr>
              <w:t xml:space="preserve">FFIV</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2023-10-26</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4.6173</w:t>
            </w:r>
          </w:p>
        </w:tc>
        <w:tc>
          <w:tcPr>
            <w:tcW w:w="0" w:type="auto"/>
          </w:tcPr>
          <w:p>
            <w:pPr>
              <w:spacing w:line="240" w:lineRule="auto" w:before="0" w:after="0"/>
              <w:pStyle w:val="Compact"/>
            </w:pPr>
            <w:r>
              <w:rPr>
                <w:sz w:val="20"/>
                <w:szCs w:val="20"/>
              </w:rPr>
              <w:t xml:space="preserve">4.6864</w:t>
            </w:r>
          </w:p>
        </w:tc>
        <w:tc>
          <w:tcPr>
            <w:tcW w:w="0" w:type="auto"/>
          </w:tcPr>
          <w:p>
            <w:pPr>
              <w:spacing w:line="240" w:lineRule="auto" w:before="0" w:after="0"/>
              <w:pStyle w:val="Compact"/>
            </w:pPr>
            <w:r>
              <w:rPr>
                <w:sz w:val="20"/>
                <w:szCs w:val="20"/>
              </w:rPr>
              <w:t xml:space="preserve">-0.0691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CVE-2023-46748 (F5 BIG-IP Configuration Utility; dateAdded 2023-10-31; ransomware=0); NVD CVE API 2.0 CVE-2023-46748 (published 2023-10-26; CVSS V31 base 8.8); Yahoo Finance chart API adjusted closes for FFIV and ACWI, event window 2023-10-31 to 2023-11-07</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Vision PLC and HMI</w:t>
            </w:r>
          </w:p>
        </w:tc>
        <w:tc>
          <w:tcPr>
            <w:tcW w:w="0" w:type="auto"/>
          </w:tcPr>
          <w:p>
            <w:pPr>
              <w:spacing w:line="240" w:lineRule="auto" w:before="0" w:after="0"/>
              <w:pStyle w:val="Compact"/>
            </w:pPr>
            <w:r>
              <w:rPr>
                <w:sz w:val="20"/>
                <w:szCs w:val="20"/>
              </w:rPr>
              <w:t xml:space="preserve">UNIT.TA</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2023-12-05</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0.8525</w:t>
            </w:r>
          </w:p>
        </w:tc>
        <w:tc>
          <w:tcPr>
            <w:tcW w:w="0" w:type="auto"/>
          </w:tcPr>
          <w:p>
            <w:pPr>
              <w:spacing w:line="240" w:lineRule="auto" w:before="0" w:after="0"/>
              <w:pStyle w:val="Compact"/>
            </w:pPr>
            <w:r>
              <w:rPr>
                <w:sz w:val="20"/>
                <w:szCs w:val="20"/>
              </w:rPr>
              <w:t xml:space="preserve">3.485</w:t>
            </w:r>
          </w:p>
        </w:tc>
        <w:tc>
          <w:tcPr>
            <w:tcW w:w="0" w:type="auto"/>
          </w:tcPr>
          <w:p>
            <w:pPr>
              <w:spacing w:line="240" w:lineRule="auto" w:before="0" w:after="0"/>
              <w:pStyle w:val="Compact"/>
            </w:pPr>
            <w:r>
              <w:rPr>
                <w:sz w:val="20"/>
                <w:szCs w:val="20"/>
              </w:rPr>
              <w:t xml:space="preserve">-2.6325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CVE-2023-6448 (Unitronics Vision PLC and HMI; dateAdded 2023-12-11; ransomware=0); NVD CVE API 2.0 CVE-2023-6448 (published 2023-12-05; CVSS V31 base 9.8); Yahoo Finance chart API adjusted closes for UNIT.TA and ACWI, event window 2023-12-11 to 2023-12-19</w:t>
            </w:r>
          </w:p>
        </w:tc>
      </w:tr>
      <w:tr>
        <w:tc>
          <w:tcPr>
            <w:tcW w:w="0" w:type="auto"/>
          </w:tcPr>
          <w:p>
            <w:pPr>
              <w:spacing w:line="240" w:lineRule="auto" w:before="0" w:after="0"/>
              <w:pStyle w:val="Compact"/>
            </w:pPr>
            <w:r>
              <w:rPr>
                <w:sz w:val="20"/>
                <w:szCs w:val="20"/>
              </w:rPr>
              <w:t xml:space="preserve">CVE-2024-3400</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PANW</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-2.1666</w:t>
            </w:r>
          </w:p>
        </w:tc>
        <w:tc>
          <w:tcPr>
            <w:tcW w:w="0" w:type="auto"/>
          </w:tcPr>
          <w:p>
            <w:pPr>
              <w:spacing w:line="240" w:lineRule="auto" w:before="0" w:after="0"/>
              <w:pStyle w:val="Compact"/>
            </w:pPr>
            <w:r>
              <w:rPr>
                <w:sz w:val="20"/>
                <w:szCs w:val="20"/>
              </w:rPr>
              <w:t xml:space="preserve">-4.1005</w:t>
            </w:r>
          </w:p>
        </w:tc>
        <w:tc>
          <w:tcPr>
            <w:tcW w:w="0" w:type="auto"/>
          </w:tcPr>
          <w:p>
            <w:pPr>
              <w:spacing w:line="240" w:lineRule="auto" w:before="0" w:after="0"/>
              <w:pStyle w:val="Compact"/>
            </w:pPr>
            <w:r>
              <w:rPr>
                <w:sz w:val="20"/>
                <w:szCs w:val="20"/>
              </w:rPr>
              <w:t xml:space="preserve">1.934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CVE-2024-3400 (Palo Alto Networks PAN-OS; dateAdded 2024-04-12; ransomware=1); NVD CVE API 2.0 CVE-2024-3400 (published 2024-04-12; CVSS V31 base 10.0); Yahoo Finance chart API adjusted closes for PANW and ACWI, event window 2024-04-12 to 2024-04-19</w:t>
            </w:r>
          </w:p>
        </w:tc>
      </w:tr>
      <w:tr>
        <w:tc>
          <w:tcPr>
            <w:tcW w:w="0" w:type="auto"/>
          </w:tcPr>
          <w:p>
            <w:pPr>
              <w:spacing w:line="240" w:lineRule="auto" w:before="0" w:after="0"/>
              <w:pStyle w:val="Compact"/>
            </w:pPr>
            <w:r>
              <w:rPr>
                <w:sz w:val="20"/>
                <w:szCs w:val="20"/>
              </w:rPr>
              <w:t xml:space="preserve">CVE-2024-23113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2024-02-15</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237</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5.5798</w:t>
            </w:r>
          </w:p>
        </w:tc>
        <w:tc>
          <w:tcPr>
            <w:tcW w:w="0" w:type="auto"/>
          </w:tcPr>
          <w:p>
            <w:pPr>
              <w:spacing w:line="240" w:lineRule="auto" w:before="0" w:after="0"/>
              <w:pStyle w:val="Compact"/>
            </w:pPr>
            <w:r>
              <w:rPr>
                <w:sz w:val="20"/>
                <w:szCs w:val="20"/>
              </w:rPr>
              <w:t xml:space="preserve">0.8064</w:t>
            </w:r>
          </w:p>
        </w:tc>
        <w:tc>
          <w:tcPr>
            <w:tcW w:w="0" w:type="auto"/>
          </w:tcPr>
          <w:p>
            <w:pPr>
              <w:spacing w:line="240" w:lineRule="auto" w:before="0" w:after="0"/>
              <w:pStyle w:val="Compact"/>
            </w:pPr>
            <w:r>
              <w:rPr>
                <w:sz w:val="20"/>
                <w:szCs w:val="20"/>
              </w:rPr>
              <w:t xml:space="preserve">4.7734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CVE-2024-23113 (Fortinet Multiple Products; dateAdded 2024-10-09; ransomware=0); NVD CVE API 2.0 CVE-2024-23113 (published 2024-02-15; CVSS V31 base 9.8); Yahoo Finance chart API adjusted closes for FTNT and ACWI, event window 2024-10-09 to 2024-10-16</w:t>
            </w:r>
          </w:p>
        </w:tc>
      </w:tr>
      <w:tr>
        <w:tc>
          <w:tcPr>
            <w:tcW w:w="0" w:type="auto"/>
          </w:tcPr>
          <w:p>
            <w:pPr>
              <w:spacing w:line="240" w:lineRule="auto" w:before="0" w:after="0"/>
              <w:pStyle w:val="Compact"/>
            </w:pPr>
            <w:r>
              <w:rPr>
                <w:sz w:val="20"/>
                <w:szCs w:val="20"/>
              </w:rPr>
              <w:t xml:space="preserve">CVE-2024-47575</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FortiManager</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-4.4881</w:t>
            </w:r>
          </w:p>
        </w:tc>
        <w:tc>
          <w:tcPr>
            <w:tcW w:w="0" w:type="auto"/>
          </w:tcPr>
          <w:p>
            <w:pPr>
              <w:spacing w:line="240" w:lineRule="auto" w:before="0" w:after="0"/>
              <w:pStyle w:val="Compact"/>
            </w:pPr>
            <w:r>
              <w:rPr>
                <w:sz w:val="20"/>
                <w:szCs w:val="20"/>
              </w:rPr>
              <w:t xml:space="preserve">-0.8096</w:t>
            </w:r>
          </w:p>
        </w:tc>
        <w:tc>
          <w:tcPr>
            <w:tcW w:w="0" w:type="auto"/>
          </w:tcPr>
          <w:p>
            <w:pPr>
              <w:spacing w:line="240" w:lineRule="auto" w:before="0" w:after="0"/>
              <w:pStyle w:val="Compact"/>
            </w:pPr>
            <w:r>
              <w:rPr>
                <w:sz w:val="20"/>
                <w:szCs w:val="20"/>
              </w:rPr>
              <w:t xml:space="preserve">-3.6785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CVE-2024-47575 (Fortinet FortiManager; dateAdded 2024-10-23; ransomware=0); NVD CVE API 2.0 CVE-2024-47575 (published 2024-10-23; CVSS V31 base 9.8); Yahoo Finance chart API adjusted closes for FTNT and ACWI, event window 2024-10-23 to 2024-10-30</w:t>
            </w:r>
          </w:p>
        </w:tc>
      </w:tr>
      <w:tr>
        <w:tc>
          <w:tcPr>
            <w:tcW w:w="0" w:type="auto"/>
          </w:tcPr>
          <w:p>
            <w:pPr>
              <w:spacing w:line="240" w:lineRule="auto" w:before="0" w:after="0"/>
              <w:pStyle w:val="Compact"/>
            </w:pPr>
            <w:r>
              <w:rPr>
                <w:sz w:val="20"/>
                <w:szCs w:val="20"/>
              </w:rPr>
              <w:t xml:space="preserve">CVE-2014-2120</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Adaptive Security Appliance (ASA)</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2014-03-19</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3891</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-2.7631</w:t>
            </w:r>
          </w:p>
        </w:tc>
        <w:tc>
          <w:tcPr>
            <w:tcW w:w="0" w:type="auto"/>
          </w:tcPr>
          <w:p>
            <w:pPr>
              <w:spacing w:line="240" w:lineRule="auto" w:before="0" w:after="0"/>
              <w:pStyle w:val="Compact"/>
            </w:pPr>
            <w:r>
              <w:rPr>
                <w:sz w:val="20"/>
                <w:szCs w:val="20"/>
              </w:rPr>
              <w:t xml:space="preserve">-1.5562</w:t>
            </w:r>
          </w:p>
        </w:tc>
        <w:tc>
          <w:tcPr>
            <w:tcW w:w="0" w:type="auto"/>
          </w:tcPr>
          <w:p>
            <w:pPr>
              <w:spacing w:line="240" w:lineRule="auto" w:before="0" w:after="0"/>
              <w:pStyle w:val="Compact"/>
            </w:pPr>
            <w:r>
              <w:rPr>
                <w:sz w:val="20"/>
                <w:szCs w:val="20"/>
              </w:rPr>
              <w:t xml:space="preserve">-1.2069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CVE-2014-2120 (Cisco Adaptive Security Appliance (ASA); dateAdded 2024-11-12; ransomware=0); NVD CVE API 2.0 CVE-2014-2120 (published 2014-03-19; CVSS V31 base 6.1); Yahoo Finance chart API adjusted closes for CSCO and ACWI, event window 2024-11-12 to 2024-11-19</w:t>
            </w:r>
          </w:p>
        </w:tc>
      </w:tr>
      <w:tr>
        <w:tc>
          <w:tcPr>
            <w:tcW w:w="0" w:type="auto"/>
          </w:tcPr>
          <w:p>
            <w:pPr>
              <w:spacing w:line="240" w:lineRule="auto" w:before="0" w:after="0"/>
              <w:pStyle w:val="Compact"/>
            </w:pPr>
            <w:r>
              <w:rPr>
                <w:sz w:val="20"/>
                <w:szCs w:val="20"/>
              </w:rPr>
              <w:t xml:space="preserve">CVE-2024-3393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PANW</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2024-12-27</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-5.731</w:t>
            </w:r>
          </w:p>
        </w:tc>
        <w:tc>
          <w:tcPr>
            <w:tcW w:w="0" w:type="auto"/>
          </w:tcPr>
          <w:p>
            <w:pPr>
              <w:spacing w:line="240" w:lineRule="auto" w:before="0" w:after="0"/>
              <w:pStyle w:val="Compact"/>
            </w:pPr>
            <w:r>
              <w:rPr>
                <w:sz w:val="20"/>
                <w:szCs w:val="20"/>
              </w:rPr>
              <w:t xml:space="preserve">-0.7392</w:t>
            </w:r>
          </w:p>
        </w:tc>
        <w:tc>
          <w:tcPr>
            <w:tcW w:w="0" w:type="auto"/>
          </w:tcPr>
          <w:p>
            <w:pPr>
              <w:spacing w:line="240" w:lineRule="auto" w:before="0" w:after="0"/>
              <w:pStyle w:val="Compact"/>
            </w:pPr>
            <w:r>
              <w:rPr>
                <w:sz w:val="20"/>
                <w:szCs w:val="20"/>
              </w:rPr>
              <w:t xml:space="preserve">-4.9918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CVE-2024-3393 (Palo Alto Networks PAN-OS; dateAdded 2024-12-30; ransomware=0); NVD CVE API 2.0 CVE-2024-3393 (published 2024-12-27; CVSS V31 base 7.5); Yahoo Finance chart API adjusted closes for PANW and ACWI, event window 2024-12-30 to 2025-01-07</w:t>
            </w:r>
          </w:p>
        </w:tc>
      </w:tr>
      <w:tr>
        <w:tc>
          <w:tcPr>
            <w:tcW w:w="0" w:type="auto"/>
          </w:tcPr>
          <w:p>
            <w:pPr>
              <w:spacing w:line="240" w:lineRule="auto" w:before="0" w:after="0"/>
              <w:pStyle w:val="Compact"/>
            </w:pPr>
            <w:r>
              <w:rPr>
                <w:sz w:val="20"/>
                <w:szCs w:val="20"/>
              </w:rPr>
              <w:t xml:space="preserve">CVE-2025-0111</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PANW</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2025-02-12</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-8.6213</w:t>
            </w:r>
          </w:p>
        </w:tc>
        <w:tc>
          <w:tcPr>
            <w:tcW w:w="0" w:type="auto"/>
          </w:tcPr>
          <w:p>
            <w:pPr>
              <w:spacing w:line="240" w:lineRule="auto" w:before="0" w:after="0"/>
              <w:pStyle w:val="Compact"/>
            </w:pPr>
            <w:r>
              <w:rPr>
                <w:sz w:val="20"/>
                <w:szCs w:val="20"/>
              </w:rPr>
              <w:t xml:space="preserve">-3.4764</w:t>
            </w:r>
          </w:p>
        </w:tc>
        <w:tc>
          <w:tcPr>
            <w:tcW w:w="0" w:type="auto"/>
          </w:tcPr>
          <w:p>
            <w:pPr>
              <w:spacing w:line="240" w:lineRule="auto" w:before="0" w:after="0"/>
              <w:pStyle w:val="Compact"/>
            </w:pPr>
            <w:r>
              <w:rPr>
                <w:sz w:val="20"/>
                <w:szCs w:val="20"/>
              </w:rPr>
              <w:t xml:space="preserve">-5.1449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CVE-2025-0111 (Palo Alto Networks PAN-OS; dateAdded 2025-02-20; ransomware=0); NVD CVE API 2.0 CVE-2025-0111 (published 2025-02-12; CVSS V31 base 6.5); Yahoo Finance chart API adjusted closes for PANW and ACWI, event window 2025-02-20 to 2025-02-27</w:t>
            </w:r>
          </w:p>
        </w:tc>
      </w:tr>
      <w:tr>
        <w:tc>
          <w:tcPr>
            <w:tcW w:w="0" w:type="auto"/>
          </w:tcPr>
          <w:p>
            <w:pPr>
              <w:spacing w:line="240" w:lineRule="auto" w:before="0" w:after="0"/>
              <w:pStyle w:val="Compact"/>
            </w:pPr>
            <w:r>
              <w:rPr>
                <w:sz w:val="20"/>
                <w:szCs w:val="20"/>
              </w:rPr>
              <w:t xml:space="preserve">CVE-2019-6693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2019-11-21</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-2.1165</w:t>
            </w:r>
          </w:p>
        </w:tc>
        <w:tc>
          <w:tcPr>
            <w:tcW w:w="0" w:type="auto"/>
          </w:tcPr>
          <w:p>
            <w:pPr>
              <w:spacing w:line="240" w:lineRule="auto" w:before="0" w:after="0"/>
              <w:pStyle w:val="Compact"/>
            </w:pPr>
            <w:r>
              <w:rPr>
                <w:sz w:val="20"/>
                <w:szCs w:val="20"/>
              </w:rPr>
              <w:t xml:space="preserve">2.0158</w:t>
            </w:r>
          </w:p>
        </w:tc>
        <w:tc>
          <w:tcPr>
            <w:tcW w:w="0" w:type="auto"/>
          </w:tcPr>
          <w:p>
            <w:pPr>
              <w:spacing w:line="240" w:lineRule="auto" w:before="0" w:after="0"/>
              <w:pStyle w:val="Compact"/>
            </w:pPr>
            <w:r>
              <w:rPr>
                <w:sz w:val="20"/>
                <w:szCs w:val="20"/>
              </w:rPr>
              <w:t xml:space="preserve">-4.1323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CVE-2019-6693 (Fortinet FortiOS; dateAdded 2025-06-25; ransomware=1); NVD CVE API 2.0 CVE-2019-6693 (published 2019-11-21; CVSS V31 base 6.5); Yahoo Finance chart API adjusted closes for FTNT and ACWI, event window 2025-06-25 to 2025-07-02</w:t>
            </w:r>
          </w:p>
        </w:tc>
      </w:tr>
      <w:tr>
        <w:tc>
          <w:tcPr>
            <w:tcW w:w="0" w:type="auto"/>
          </w:tcPr>
          <w:p>
            <w:pPr>
              <w:spacing w:line="240" w:lineRule="auto" w:before="0" w:after="0"/>
              <w:pStyle w:val="Compact"/>
            </w:pPr>
            <w:r>
              <w:rPr>
                <w:sz w:val="20"/>
                <w:szCs w:val="20"/>
              </w:rPr>
              <w:t xml:space="preserve">CVE-2026-20131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Firewall Management Center (FMC)</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2026-03-04</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5.8763</w:t>
            </w:r>
          </w:p>
        </w:tc>
        <w:tc>
          <w:tcPr>
            <w:tcW w:w="0" w:type="auto"/>
          </w:tcPr>
          <w:p>
            <w:pPr>
              <w:spacing w:line="240" w:lineRule="auto" w:before="0" w:after="0"/>
              <w:pStyle w:val="Compact"/>
            </w:pPr>
            <w:r>
              <w:rPr>
                <w:sz w:val="20"/>
                <w:szCs w:val="20"/>
              </w:rPr>
              <w:t xml:space="preserve">-2.3835</w:t>
            </w:r>
          </w:p>
        </w:tc>
        <w:tc>
          <w:tcPr>
            <w:tcW w:w="0" w:type="auto"/>
          </w:tcPr>
          <w:p>
            <w:pPr>
              <w:spacing w:line="240" w:lineRule="auto" w:before="0" w:after="0"/>
              <w:pStyle w:val="Compact"/>
            </w:pPr>
            <w:r>
              <w:rPr>
                <w:sz w:val="20"/>
                <w:szCs w:val="20"/>
              </w:rPr>
              <w:t xml:space="preserve">8.2598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CVE-2026-20131 (Cisco Secure Firewall Management Center (FMC); dateAdded 2026-03-19; ransomware=1); NVD CVE API 2.0 CVE-2026-20131 (published 2026-03-04; CVSS V31 base 10.0); Yahoo Finance chart API adjusted closes for CSCO and ACWI, event window 2026-03-19 to 2026-03-26</w:t>
            </w:r>
          </w:p>
        </w:tc>
      </w:tr>
      <w:tr>
        <w:tc>
          <w:tcPr>
            <w:tcW w:w="0" w:type="auto"/>
          </w:tcPr>
          <w:p>
            <w:pPr>
              <w:spacing w:line="240" w:lineRule="auto" w:before="0" w:after="0"/>
              <w:pStyle w:val="Compact"/>
            </w:pPr>
            <w:r>
              <w:rPr>
                <w:sz w:val="20"/>
                <w:szCs w:val="20"/>
              </w:rPr>
              <w:t xml:space="preserve">CVE-2026-50751</w:t>
            </w:r>
          </w:p>
        </w:tc>
        <w:tc>
          <w:tcPr>
            <w:tcW w:w="0" w:type="auto"/>
          </w:tcPr>
          <w:p>
            <w:pPr>
              <w:spacing w:line="240" w:lineRule="auto" w:before="0" w:after="0"/>
              <w:pStyle w:val="Compact"/>
            </w:pPr>
            <w:r>
              <w:rPr>
                <w:sz w:val="20"/>
                <w:szCs w:val="20"/>
              </w:rPr>
              <w:t xml:space="preserve">Check Point</w:t>
            </w:r>
          </w:p>
        </w:tc>
        <w:tc>
          <w:tcPr>
            <w:tcW w:w="0" w:type="auto"/>
          </w:tcPr>
          <w:p>
            <w:pPr>
              <w:spacing w:line="240" w:lineRule="auto" w:before="0" w:after="0"/>
              <w:pStyle w:val="Compact"/>
            </w:pPr>
            <w:r>
              <w:rPr>
                <w:sz w:val="20"/>
                <w:szCs w:val="20"/>
              </w:rPr>
              <w:t xml:space="preserve">Security Gateway</w:t>
            </w:r>
          </w:p>
        </w:tc>
        <w:tc>
          <w:tcPr>
            <w:tcW w:w="0" w:type="auto"/>
          </w:tcPr>
          <w:p>
            <w:pPr>
              <w:spacing w:line="240" w:lineRule="auto" w:before="0" w:after="0"/>
              <w:pStyle w:val="Compact"/>
            </w:pPr>
            <w:r>
              <w:rPr>
                <w:sz w:val="20"/>
                <w:szCs w:val="20"/>
              </w:rPr>
              <w:t xml:space="preserve">CHKP</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-9.1003</w:t>
            </w:r>
          </w:p>
        </w:tc>
        <w:tc>
          <w:tcPr>
            <w:tcW w:w="0" w:type="auto"/>
          </w:tcPr>
          <w:p>
            <w:pPr>
              <w:spacing w:line="240" w:lineRule="auto" w:before="0" w:after="0"/>
              <w:pStyle w:val="Compact"/>
            </w:pPr>
            <w:r>
              <w:rPr>
                <w:sz w:val="20"/>
                <w:szCs w:val="20"/>
              </w:rPr>
              <w:t xml:space="preserve">3.0292</w:t>
            </w:r>
          </w:p>
        </w:tc>
        <w:tc>
          <w:tcPr>
            <w:tcW w:w="0" w:type="auto"/>
          </w:tcPr>
          <w:p>
            <w:pPr>
              <w:spacing w:line="240" w:lineRule="auto" w:before="0" w:after="0"/>
              <w:pStyle w:val="Compact"/>
            </w:pPr>
            <w:r>
              <w:rPr>
                <w:sz w:val="20"/>
                <w:szCs w:val="20"/>
              </w:rPr>
              <w:t xml:space="preserve">-12.1295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CVE-2026-50751 (Check Point Security Gateway; dateAdded 2026-06-08; ransomware=1); NVD CVE API 2.0 CVE-2026-50751 (published 2026-06-08; CVSS V31 base 9.3); Yahoo Finance chart API adjusted closes for CHKP and ACWI, event window 2026-06-08 to 2026-06-15</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abnormal_return_5d_pct</w:t>
            </w:r>
          </w:p>
        </w:tc>
        <w:tc>
          <w:tcPr>
            <w:tcW w:w="0" w:type="auto"/>
          </w:tcPr>
          <w:p>
            <w:pPr>
              <w:spacing w:line="240" w:lineRule="auto" w:before="0" w:after="0"/>
              <w:pStyle w:val="Compact"/>
            </w:pPr>
            <w:r>
              <w:rPr>
                <w:sz w:val="20"/>
                <w:szCs w:val="20"/>
              </w:rPr>
              <w:t xml:space="preserve">Five-trading-day vendor equity return less the contemporaneous ACWI exchange-traded-fund return, in percentage points.</w:t>
            </w:r>
          </w:p>
        </w:tc>
        <w:tc>
          <w:tcPr>
            <w:tcW w:w="0" w:type="auto"/>
          </w:tcPr>
          <w:p>
            <w:pPr>
              <w:spacing w:line="240" w:lineRule="auto" w:before="0" w:after="0"/>
              <w:pStyle w:val="Compact"/>
            </w:pPr>
            <w:r>
              <w:rPr>
                <w:sz w:val="20"/>
                <w:szCs w:val="20"/>
              </w:rPr>
              <w:t xml:space="preserve">Adjusted closes from the Yahoo Finance chart API, calculated from the trading-day close before KEV addition through the fifth trading-day close after addition.</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severity score on the zero-to-ten scale.</w:t>
            </w:r>
          </w:p>
        </w:tc>
        <w:tc>
          <w:tcPr>
            <w:tcW w:w="0" w:type="auto"/>
          </w:tcPr>
          <w:p>
            <w:pPr>
              <w:spacing w:line="240" w:lineRule="auto" w:before="0" w:after="0"/>
              <w:pStyle w:val="Compact"/>
            </w:pPr>
            <w:r>
              <w:rPr>
                <w:sz w:val="20"/>
                <w:szCs w:val="20"/>
              </w:rPr>
              <w:t xml:space="preserve">NVD CVE API 2.0, preferring CVSS v3.1, then v3.0, then v2.</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Indicator for an internet-facing remote-access, VPN, firewall, or gateway product.</w:t>
            </w:r>
          </w:p>
        </w:tc>
        <w:tc>
          <w:tcPr>
            <w:tcW w:w="0" w:type="auto"/>
          </w:tcPr>
          <w:p>
            <w:pPr>
              <w:spacing w:line="240" w:lineRule="auto" w:before="0" w:after="0"/>
              <w:pStyle w:val="Compact"/>
            </w:pPr>
            <w:r>
              <w:rPr>
                <w:sz w:val="20"/>
                <w:szCs w:val="20"/>
              </w:rPr>
              <w:t xml:space="preserve">Fixed classification of CISA KEV vendor and product strings.</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that CISA reports known ransomware-campaign use.</w:t>
            </w:r>
          </w:p>
        </w:tc>
        <w:tc>
          <w:tcPr>
            <w:tcW w:w="0" w:type="auto"/>
          </w:tcPr>
          <w:p>
            <w:pPr>
              <w:spacing w:line="240" w:lineRule="auto" w:before="0" w:after="0"/>
              <w:pStyle w:val="Compact"/>
            </w:pPr>
            <w:r>
              <w:rPr>
                <w:sz w:val="20"/>
                <w:szCs w:val="20"/>
              </w:rPr>
              <w:t xml:space="preserve">CISA KEV knownRansomwareCampaignUse field.</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Indicator that the vulnerability was published in 2022 or later, after BOD 22-01 established the KEV governance regime.</w:t>
            </w:r>
          </w:p>
        </w:tc>
        <w:tc>
          <w:tcPr>
            <w:tcW w:w="0" w:type="auto"/>
          </w:tcPr>
          <w:p>
            <w:pPr>
              <w:spacing w:line="240" w:lineRule="auto" w:before="0" w:after="0"/>
              <w:pStyle w:val="Compact"/>
            </w:pPr>
            <w:r>
              <w:rPr>
                <w:sz w:val="20"/>
                <w:szCs w:val="20"/>
              </w:rPr>
              <w:t xml:space="preserve">Derived from the NVD publication date.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Row-level provenance for the vulnerability and price window.</w:t>
            </w:r>
          </w:p>
        </w:tc>
        <w:tc>
          <w:tcPr>
            <w:tcW w:w="0" w:type="auto"/>
          </w:tcPr>
          <w:p>
            <w:pPr>
              <w:spacing w:line="240" w:lineRule="auto" w:before="0" w:after="0"/>
              <w:pStyle w:val="Compact"/>
            </w:pPr>
            <w:r>
              <w:rPr>
                <w:sz w:val="20"/>
                <w:szCs w:val="20"/>
              </w:rPr>
              <w:t xml:space="preserve">CISA KEV v2026.06.18, NVD CVE API 2.0, and Yahoo Finance chart API.</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-7.3628</w:t>
            </w:r>
          </w:p>
        </w:tc>
        <w:tc>
          <w:tcPr>
            <w:tcW w:w="0" w:type="auto"/>
          </w:tcPr>
          <w:p>
            <w:pPr>
              <w:spacing w:line="240" w:lineRule="auto" w:before="0" w:after="0"/>
              <w:pStyle w:val="Compact"/>
            </w:pPr>
            <w:r>
              <w:rPr>
                <w:sz w:val="20"/>
                <w:szCs w:val="20"/>
              </w:rPr>
              <w:t xml:space="preserve">4.6511</w:t>
            </w:r>
          </w:p>
        </w:tc>
        <w:tc>
          <w:tcPr>
            <w:tcW w:w="0" w:type="auto"/>
          </w:tcPr>
          <w:p>
            <w:pPr>
              <w:spacing w:line="240" w:lineRule="auto" w:before="0" w:after="0"/>
              <w:pStyle w:val="Compact"/>
            </w:pPr>
            <w:r>
              <w:rPr>
                <w:sz w:val="20"/>
                <w:szCs w:val="20"/>
              </w:rPr>
              <w:t xml:space="preserve">-1.583</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[-16.4787, 1.7532]</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0.4981</w:t>
            </w:r>
          </w:p>
        </w:tc>
        <w:tc>
          <w:tcPr>
            <w:tcW w:w="0" w:type="auto"/>
          </w:tcPr>
          <w:p>
            <w:pPr>
              <w:spacing w:line="240" w:lineRule="auto" w:before="0" w:after="0"/>
              <w:pStyle w:val="Compact"/>
            </w:pPr>
            <w:r>
              <w:rPr>
                <w:sz w:val="20"/>
                <w:szCs w:val="20"/>
              </w:rPr>
              <w:t xml:space="preserve">1.8858</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[-0.0369, 1.9157]</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-0.3618</w:t>
            </w:r>
          </w:p>
        </w:tc>
        <w:tc>
          <w:tcPr>
            <w:tcW w:w="0" w:type="auto"/>
          </w:tcPr>
          <w:p>
            <w:pPr>
              <w:spacing w:line="240" w:lineRule="auto" w:before="0" w:after="0"/>
              <w:pStyle w:val="Compact"/>
            </w:pPr>
            <w:r>
              <w:rPr>
                <w:sz w:val="20"/>
                <w:szCs w:val="20"/>
              </w:rPr>
              <w:t xml:space="preserve">1.6827</w:t>
            </w:r>
          </w:p>
        </w:tc>
        <w:tc>
          <w:tcPr>
            <w:tcW w:w="0" w:type="auto"/>
          </w:tcPr>
          <w:p>
            <w:pPr>
              <w:spacing w:line="240" w:lineRule="auto" w:before="0" w:after="0"/>
              <w:pStyle w:val="Compact"/>
            </w:pPr>
            <w:r>
              <w:rPr>
                <w:sz w:val="20"/>
                <w:szCs w:val="20"/>
              </w:rPr>
              <w:t xml:space="preserve">-0.215</w:t>
            </w:r>
          </w:p>
        </w:tc>
        <w:tc>
          <w:tcPr>
            <w:tcW w:w="0" w:type="auto"/>
          </w:tcPr>
          <w:p>
            <w:pPr>
              <w:spacing w:line="240" w:lineRule="auto" w:before="0" w:after="0"/>
              <w:pStyle w:val="Compact"/>
            </w:pPr>
            <w:r>
              <w:rPr>
                <w:sz w:val="20"/>
                <w:szCs w:val="20"/>
              </w:rPr>
              <w:t xml:space="preserve">0.8297</w:t>
            </w:r>
          </w:p>
        </w:tc>
        <w:tc>
          <w:tcPr>
            <w:tcW w:w="0" w:type="auto"/>
          </w:tcPr>
          <w:p>
            <w:pPr>
              <w:spacing w:line="240" w:lineRule="auto" w:before="0" w:after="0"/>
              <w:pStyle w:val="Compact"/>
            </w:pPr>
            <w:r>
              <w:rPr>
                <w:sz w:val="20"/>
                <w:szCs w:val="20"/>
              </w:rPr>
              <w:t xml:space="preserve">[-3.6599, 2.9362]</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0.3168</w:t>
            </w:r>
          </w:p>
        </w:tc>
        <w:tc>
          <w:tcPr>
            <w:tcW w:w="0" w:type="auto"/>
          </w:tcPr>
          <w:p>
            <w:pPr>
              <w:spacing w:line="240" w:lineRule="auto" w:before="0" w:after="0"/>
              <w:pStyle w:val="Compact"/>
            </w:pPr>
            <w:r>
              <w:rPr>
                <w:sz w:val="20"/>
                <w:szCs w:val="20"/>
              </w:rPr>
              <w:t xml:space="preserve">2.6495</w:t>
            </w:r>
          </w:p>
        </w:tc>
        <w:tc>
          <w:tcPr>
            <w:tcW w:w="0" w:type="auto"/>
          </w:tcPr>
          <w:p>
            <w:pPr>
              <w:spacing w:line="240" w:lineRule="auto" w:before="0" w:after="0"/>
              <w:pStyle w:val="Compact"/>
            </w:pPr>
            <w:r>
              <w:rPr>
                <w:sz w:val="20"/>
                <w:szCs w:val="20"/>
              </w:rPr>
              <w:t xml:space="preserve">0.1196</w:t>
            </w:r>
          </w:p>
        </w:tc>
        <w:tc>
          <w:tcPr>
            <w:tcW w:w="0" w:type="auto"/>
          </w:tcPr>
          <w:p>
            <w:pPr>
              <w:spacing w:line="240" w:lineRule="auto" w:before="0" w:after="0"/>
              <w:pStyle w:val="Compact"/>
            </w:pPr>
            <w:r>
              <w:rPr>
                <w:sz w:val="20"/>
                <w:szCs w:val="20"/>
              </w:rPr>
              <w:t xml:space="preserve">0.9048</w:t>
            </w:r>
          </w:p>
        </w:tc>
        <w:tc>
          <w:tcPr>
            <w:tcW w:w="0" w:type="auto"/>
          </w:tcPr>
          <w:p>
            <w:pPr>
              <w:spacing w:line="240" w:lineRule="auto" w:before="0" w:after="0"/>
              <w:pStyle w:val="Compact"/>
            </w:pPr>
            <w:r>
              <w:rPr>
                <w:sz w:val="20"/>
                <w:szCs w:val="20"/>
              </w:rPr>
              <w:t xml:space="preserve">[-4.8762, 5.5098]</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-2.1172</w:t>
            </w:r>
          </w:p>
        </w:tc>
        <w:tc>
          <w:tcPr>
            <w:tcW w:w="0" w:type="auto"/>
          </w:tcPr>
          <w:p>
            <w:pPr>
              <w:spacing w:line="240" w:lineRule="auto" w:before="0" w:after="0"/>
              <w:pStyle w:val="Compact"/>
            </w:pPr>
            <w:r>
              <w:rPr>
                <w:sz w:val="20"/>
                <w:szCs w:val="20"/>
              </w:rPr>
              <w:t xml:space="preserve">1.9283</w:t>
            </w:r>
          </w:p>
        </w:tc>
        <w:tc>
          <w:tcPr>
            <w:tcW w:w="0" w:type="auto"/>
          </w:tcPr>
          <w:p>
            <w:pPr>
              <w:spacing w:line="240" w:lineRule="auto" w:before="0" w:after="0"/>
              <w:pStyle w:val="Compact"/>
            </w:pPr>
            <w:r>
              <w:rPr>
                <w:sz w:val="20"/>
                <w:szCs w:val="20"/>
              </w:rPr>
              <w:t xml:space="preserve">-1.098</w:t>
            </w:r>
          </w:p>
        </w:tc>
        <w:tc>
          <w:tcPr>
            <w:tcW w:w="0" w:type="auto"/>
          </w:tcPr>
          <w:p>
            <w:pPr>
              <w:spacing w:line="240" w:lineRule="auto" w:before="0" w:after="0"/>
              <w:pStyle w:val="Compact"/>
            </w:pPr>
            <w:r>
              <w:rPr>
                <w:sz w:val="20"/>
                <w:szCs w:val="20"/>
              </w:rPr>
              <w:t xml:space="preserve">0.2722</w:t>
            </w:r>
          </w:p>
        </w:tc>
        <w:tc>
          <w:tcPr>
            <w:tcW w:w="0" w:type="auto"/>
          </w:tcPr>
          <w:p>
            <w:pPr>
              <w:spacing w:line="240" w:lineRule="auto" w:before="0" w:after="0"/>
              <w:pStyle w:val="Compact"/>
            </w:pPr>
            <w:r>
              <w:rPr>
                <w:sz w:val="20"/>
                <w:szCs w:val="20"/>
              </w:rPr>
              <w:t xml:space="preserve">[-5.8966, 1.6622]</w:t>
            </w:r>
          </w:p>
        </w:tc>
      </w:tr>
    </w:tbl>
    <w:p>
      <w:pPr>
        <w:pStyle w:val="BodyText"/>
      </w:pPr>
      <w:r>
        <w:t xml:space="preserve">Fit: N = 21 R2 = 0.1156 R2_adj = -0.1055 F = 2.4369 F_p = 0.0896</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5" Target="https://doi.org/10.1016/j.actaastro.2024.09.003" TargetMode="External" /><Relationship Type="http://schemas.openxmlformats.org/officeDocument/2006/relationships/hyperlink" Id="rId77" Target="https://doi.org/10.1016/j.actaastro.2025.08.048" TargetMode="External" /><Relationship Type="http://schemas.openxmlformats.org/officeDocument/2006/relationships/hyperlink" Id="rId70" Target="https://doi.org/10.64861/TRSQ4124" TargetMode="External" /><Relationship Type="http://schemas.openxmlformats.org/officeDocument/2006/relationships/hyperlink" Id="rId73" Target="https://doi.org/10.64861/VEWW9997" TargetMode="External" /><Relationship Type="http://schemas.openxmlformats.org/officeDocument/2006/relationships/hyperlink" Id="rId68" Target="https://doi.org/10.64861/WXIJ8208"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4.09.003" TargetMode="External" /><Relationship Type="http://schemas.openxmlformats.org/officeDocument/2006/relationships/hyperlink" Id="rId77" Target="https://doi.org/10.1016/j.actaastro.2025.08.048" TargetMode="External" /><Relationship Type="http://schemas.openxmlformats.org/officeDocument/2006/relationships/hyperlink" Id="rId70" Target="https://doi.org/10.64861/TRSQ4124" TargetMode="External" /><Relationship Type="http://schemas.openxmlformats.org/officeDocument/2006/relationships/hyperlink" Id="rId73" Target="https://doi.org/10.64861/VEWW9997" TargetMode="External" /><Relationship Type="http://schemas.openxmlformats.org/officeDocument/2006/relationships/hyperlink" Id="rId68" Target="https://doi.org/10.64861/WXIJ820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2026-06-27T20:34:31Z</dcterms:created>
  <dcterms:modified xsi:type="dcterms:W3CDTF">2026-06-27T20:34:31Z</dcterms:modified>
</cp:coreProperties>
</file>

<file path=docProps/custom.xml><?xml version="1.0" encoding="utf-8"?>
<Properties xmlns="http://schemas.openxmlformats.org/officeDocument/2006/custom-properties" xmlns:vt="http://schemas.openxmlformats.org/officeDocument/2006/docPropsVTypes"/>
</file>