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CYBER INCIDENT DISCLOSURE AND MARKET DISCIPLINE: DO DISCLOSED SPACE-SYSTEM CYBER EVENTS MOVE OPERATOR EQUITY AND BOND SPREADS:</w:t>
      </w:r>
    </w:p>
    <w:p>
      <w:pPr>
        <w:jc w:val="center"/>
      </w:pPr>
    </w:p>
    <w:p>
      <w:pPr>
        <w:jc w:val="center"/>
      </w:pPr>
      <w:r>
        <w:rPr>
          <w:rFonts w:ascii="Times New Roman" w:hAnsi="Times New Roman"/>
          <w:sz w:val="24"/>
        </w:rPr>
        <w:t>by</w:t>
      </w:r>
    </w:p>
    <w:p>
      <w:pPr>
        <w:jc w:val="center"/>
      </w:pPr>
      <w:r>
        <w:rPr>
          <w:rFonts w:ascii="Times New Roman" w:hAnsi="Times New Roman"/>
          <w:b/>
          <w:sz w:val="28"/>
        </w:rPr>
        <w:t>Nia Berger</w:t>
      </w:r>
    </w:p>
    <w:p>
      <w:pPr>
        <w:jc w:val="center"/>
      </w:pPr>
      <w:r>
        <w:rPr>
          <w:rFonts w:ascii="Times New Roman" w:hAnsi="Times New Roman"/>
          <w:sz w:val="24"/>
        </w:rPr>
        <w:t>1B-ITI-137</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70" w:name="chapter-1.-introduction"/>
    <w:p>
      <w:pPr>
        <w:pStyle w:val="Heading1"/>
        <w:spacing w:line="480" w:lineRule="auto"/>
      </w:pPr>
      <w:r>
        <w:t xml:space="preserve">Chapter 1. Introduction</w:t>
      </w:r>
    </w:p>
    <w:bookmarkStart w:id="61" w:name="Xd703aa5db76904c44602ca7e6294c461601e949"/>
    <w:p>
      <w:pPr>
        <w:pStyle w:val="Heading2"/>
        <w:spacing w:line="480" w:lineRule="auto"/>
      </w:pPr>
      <w:r>
        <w:t xml:space="preserve">1.1 Cyber dependence in the terrestrial space system</w:t>
      </w:r>
    </w:p>
    <w:p>
      <w:pPr>
        <w:pStyle w:val="FirstParagraph"/>
        <w:spacing w:line="480" w:lineRule="auto"/>
      </w:pPr>
      <w:r>
        <w:t xml:space="preserve">A spacecraft is operated through a terrestrial chain of trust. Mission planning systems translate scientific and operational objectives into schedules, ground stations open radio links, network gateways carry telemetry and commands between sites, and data systems distribute observations to users and archives, with security appliances mediating privileged access at each layer. Public discussion of space cybersecurity tends to begin with the satellite, yet the reachable attack surface begins on Earth. A defect in a remote-access gateway or a security-management console can put an adversary closer to mission authority than a direct attack on the orbital platform ever would.</w:t>
      </w:r>
    </w:p>
    <w:p>
      <w:pPr>
        <w:pStyle w:val="BodyText"/>
        <w:spacing w:line="480" w:lineRule="auto"/>
        <w:ind w:firstLine="720"/>
      </w:pPr>
      <w:r>
        <w:t xml:space="preserve">The ground segment, for that reason, is not an administrative support function. It is a mission system whose vulnerabilities can alter availability, integrity, and command confidence.</w:t>
      </w:r>
    </w:p>
    <w:p>
      <w:pPr>
        <w:pStyle w:val="BodyText"/>
        <w:spacing w:line="480" w:lineRule="auto"/>
        <w:ind w:firstLine="720"/>
      </w:pPr>
      <w:r>
        <w:t xml:space="preserve">Technical literature recognizes this dependence. Secure space-domain-awareness architecture treats software supply chains, external network boundaries, and trusted data flows as parts of a single system-security problem</w:t>
      </w:r>
      <w:r>
        <w:t xml:space="preserve"> </w:t>
      </w:r>
      <w:hyperlink w:anchor="ref-5">
        <w:r>
          <w:rPr>
            <w:rStyle w:val="Hyperlink"/>
          </w:rPr>
          <w:t xml:space="preserve">[5]</w:t>
        </w:r>
      </w:hyperlink>
      <w:r>
        <w:t xml:space="preserve">[15], and studies of hybrid threats describe attacks on manufacturers, ground stations, and operational networks as elements of space security rather than as generic enterprise information technology</w:t>
      </w:r>
      <w:r>
        <w:t xml:space="preserve"> </w:t>
      </w:r>
      <w:hyperlink w:anchor="ref-7">
        <w:r>
          <w:rPr>
            <w:rStyle w:val="Hyperlink"/>
          </w:rPr>
          <w:t xml:space="preserve">[7]</w:t>
        </w:r>
      </w:hyperlink>
      <w:r>
        <w:t xml:space="preserve">[27]. Research on the governance of cyber operations in outer space reaches the same boundary from an institutional direction, since agencies organized around separate space and cyber commands must make decisions about incidents that cross both jurisdictions</w:t>
      </w:r>
      <w:r>
        <w:t xml:space="preserve"> </w:t>
      </w:r>
      <w:hyperlink w:anchor="ref-8">
        <w:r>
          <w:rPr>
            <w:rStyle w:val="Hyperlink"/>
          </w:rPr>
          <w:t xml:space="preserve">[8]</w:t>
        </w:r>
      </w:hyperlink>
      <w:r>
        <w:t xml:space="preserve">[20]. This dissertation examines a narrow part of that problem: the public disclosure and escalation of exploited vulnerabilities in the commercial products that form the terrestrial space-system edge. The focus is empirical. It asks whether disclosure produces observable discipline in equity markets, and whether public technical attributes predict rapid government escalation. Both questions are tied to mechanisms that policy often assumes, since investors are expected to penalize firms associated with serious cyber failures, while severity scores, edge exposure, and ransomware use are expected to identify the defects that government will prioritize.</w:t>
      </w:r>
    </w:p>
    <w:p>
      <w:pPr>
        <w:pStyle w:val="BodyText"/>
        <w:spacing w:line="480" w:lineRule="auto"/>
        <w:ind w:firstLine="720"/>
      </w:pPr>
      <w:r>
        <w:t xml:space="preserve">If those assumptions hold, public information can help allocate attention. If they do not, direct governance and richer operational exchange must carry more of the burden.</w:t>
      </w:r>
    </w:p>
    <w:bookmarkEnd w:id="61"/>
    <w:bookmarkStart w:id="62" w:name="the-disclosure-problem"/>
    <w:p>
      <w:pPr>
        <w:pStyle w:val="Heading2"/>
        <w:spacing w:line="480" w:lineRule="auto"/>
      </w:pPr>
      <w:r>
        <w:t xml:space="preserve">1.2 The disclosure problem</w:t>
      </w:r>
    </w:p>
    <w:p>
      <w:pPr>
        <w:pStyle w:val="FirstParagraph"/>
        <w:spacing w:line="480" w:lineRule="auto"/>
      </w:pPr>
      <w:r>
        <w:t xml:space="preserve">A vulnerability moves through several information states, and the distinctions among them do the analytic work. A vendor or researcher may discover the defect privately; NVD publication then gives it a public identifier and records severity information, while vendor advisories define affected versions and mitigations. Exploitation reports indicate that an adversary has moved from technical possibility to operational use, and CISA’s Known Exploited Vulnerabilities catalog records a federal determination that exploitation has occurred in the wild, establishing a remediation expectation for federal civilian agencies</w:t>
      </w:r>
      <w:r>
        <w:t xml:space="preserve"> </w:t>
      </w:r>
      <w:hyperlink w:anchor="ref-9">
        <w:r>
          <w:rPr>
            <w:rStyle w:val="Hyperlink"/>
          </w:rPr>
          <w:t xml:space="preserve">[9]</w:t>
        </w:r>
      </w:hyperlink>
      <w:r>
        <w:t xml:space="preserve">[10]. These states are related without being interchangeable. For a mission operator that difference is consequential, because NVD contains a large population of published defects, many of which will never be observed in active exploitation, and a live mission cannot patch every component at the instant of disclosure. Changes must be tested against operational software, scheduled around contacts, and introduced without undermining command availability. KEV supplies a prioritization signal precisely by naming the subset with confirmed exploitation, and the interval from NVD publication to KEV addition measures how quickly a public defect becomes a formal rapid-action concern.</w:t>
      </w:r>
    </w:p>
    <w:p>
      <w:pPr>
        <w:pStyle w:val="BodyText"/>
        <w:spacing w:line="480" w:lineRule="auto"/>
        <w:ind w:firstLine="720"/>
      </w:pPr>
      <w:r>
        <w:t xml:space="preserve">For investors, KEV addition can function as an information event of its own. It identifies a vendor and product, confirms adversary use, and creates remediation obligations among federal customers, so it can alter expectations about support costs, product reputation, customer retention, and governance quality. The SEC’s cybersecurity disclosure framework rests on an investor-centered materiality standard, requiring issuers to disclose material incidents within a defined period after determining materiality</w:t>
      </w:r>
      <w:r>
        <w:t xml:space="preserve"> </w:t>
      </w:r>
      <w:hyperlink w:anchor="ref-11">
        <w:r>
          <w:rPr>
            <w:rStyle w:val="Hyperlink"/>
          </w:rPr>
          <w:t xml:space="preserve">[11]</w:t>
        </w:r>
      </w:hyperlink>
      <w:r>
        <w:t xml:space="preserve">. KEV is not an issuer disclosure, but the economic logic is similar: public information should enter the total mix available to investors and can move the price of a listed supplier. Two channels of discipline follow from that structure. A negative equity response can reward better product-security controls by raising the cost of failures, while rapid government escalation can compress the period during which operators lack an authoritative exploitation signal. Neither mechanism substitutes for secure engineering, but each could reinforce it, and the empirical question is whether the observable record supports those expectations.</w:t>
      </w:r>
    </w:p>
    <w:bookmarkEnd w:id="62"/>
    <w:bookmarkStart w:id="63" w:name="Xdd116235ca0dfa4edefd9b5bcbf083c38776e95"/>
    <w:p>
      <w:pPr>
        <w:pStyle w:val="Heading2"/>
        <w:spacing w:line="480" w:lineRule="auto"/>
      </w:pPr>
      <w:r>
        <w:t xml:space="preserve">1.3 Why the question matters for space operations</w:t>
      </w:r>
    </w:p>
    <w:p>
      <w:pPr>
        <w:pStyle w:val="FirstParagraph"/>
        <w:spacing w:line="480" w:lineRule="auto"/>
      </w:pPr>
      <w:r>
        <w:t xml:space="preserve">Space organizations operate under three conditions that make disclosure discipline uncertain. The first is the way their networks combine long-lived operational technology with ordinary commercial information technology. A mission may retain interfaces and appliances for years because replacement can introduce certification and continuity risks, producing heterogeneous environments in which older dependencies sit behind newer gateways. A catalog entry may therefore describe a component that is common in enterprise networks but unusually difficult to alter in mission operations. The second condition is that information is fragmented. Tsamis and colleagues describe the gap between broad cyber reporting and operationally relevant space-cyber exchange</w:t>
      </w:r>
      <w:r>
        <w:t xml:space="preserve"> </w:t>
      </w:r>
      <w:hyperlink w:anchor="ref-6">
        <w:r>
          <w:rPr>
            <w:rStyle w:val="Hyperlink"/>
          </w:rPr>
          <w:t xml:space="preserve">[6]</w:t>
        </w:r>
      </w:hyperlink>
      <w:r>
        <w:t xml:space="preserve">[12]. A CVE identifier and severity score may not tell an operator whether a product version is deployed, whether the vulnerable function is enabled, whether compensating controls are effective, or whether exploitation targets the configuration a mission actually uses. Information-sharing proposals emphasize pedigree, context, and minimal viable information rather than undifferentiated volume for exactly this reason</w:t>
      </w:r>
      <w:r>
        <w:t xml:space="preserve"> </w:t>
      </w:r>
      <w:hyperlink w:anchor="ref-18">
        <w:r>
          <w:rPr>
            <w:rStyle w:val="Hyperlink"/>
          </w:rPr>
          <w:t xml:space="preserve">[18]</w:t>
        </w:r>
      </w:hyperlink>
      <w:r>
        <w:t xml:space="preserve">[19], since disclosure has value only when the recipient can connect it to an asset and an action.</w:t>
      </w:r>
    </w:p>
    <w:p>
      <w:pPr>
        <w:pStyle w:val="BodyText"/>
        <w:spacing w:line="480" w:lineRule="auto"/>
        <w:ind w:firstLine="720"/>
      </w:pPr>
      <w:r>
        <w:t xml:space="preserve">The third condition is economic. Space systems rely on suppliers that serve many industries, and ground infrastructure may represent only a small portion of a diversified vendor’s customer base, so a defect that creates severe mission risk can still be financially minor relative to the vendor’s total revenue. Weinzierl’s account of the commercial space economy shows how public procurement, private capital, and spillovers interact in a sector where market prices do not capture every public value or security externality</w:t>
      </w:r>
      <w:r>
        <w:t xml:space="preserve"> </w:t>
      </w:r>
      <w:hyperlink w:anchor="ref-4">
        <w:r>
          <w:rPr>
            <w:rStyle w:val="Hyperlink"/>
          </w:rPr>
          <w:t xml:space="preserve">[4]</w:t>
        </w:r>
      </w:hyperlink>
      <w:r>
        <w:t xml:space="preserve">. Cyber risk raises the inverse problem, because the mission consequence can exceed the loss priced at the supplier level.</w:t>
      </w:r>
    </w:p>
    <w:p>
      <w:pPr>
        <w:pStyle w:val="BodyText"/>
        <w:spacing w:line="480" w:lineRule="auto"/>
        <w:ind w:firstLine="720"/>
      </w:pPr>
      <w:r>
        <w:t xml:space="preserve">Together, these conditions create a plausible divergence. Operational risk may be high while the equity effect is weak, and technical severity may be high while government escalation depends on exploit telemetry or intelligence that public fields never contain. This dissertation tests that divergence directly rather than presuming that market and administrative signals align.</w:t>
      </w:r>
    </w:p>
    <w:bookmarkEnd w:id="63"/>
    <w:bookmarkStart w:id="64" w:name="research-design-and-empirical-papers"/>
    <w:p>
      <w:pPr>
        <w:pStyle w:val="Heading2"/>
        <w:spacing w:line="480" w:lineRule="auto"/>
      </w:pPr>
      <w:r>
        <w:t xml:space="preserve">1.4 Research design and empirical papers</w:t>
      </w:r>
    </w:p>
    <w:p>
      <w:pPr>
        <w:pStyle w:val="FirstParagraph"/>
        <w:spacing w:line="480" w:lineRule="auto"/>
      </w:pPr>
      <w:r>
        <w:t xml:space="preserve">This dissertation uses two empirical papers built from public, row-level records. The first examines equity responses to KEV addition by joining 21 catalog events to adjusted daily prices for publicly traded vendors and the ACWI exchange-traded fund. Its dependent variable is the vendor’s five-trading-day return less the contemporaneous ACWI return, and an ordinary-least-squares model estimates partial associations with CVSS severity, edge-product status, ransomware association, and the post-BOD 22-01 disclosure regime. Every event traces to CISA, NVD, and the market-price window used in the calculation. The second paper examines rapid government escalation by joining KEV and NVD fields for 37 vulnerabilities in remote-access, firewall, network-management, and industrial-control products relevant to ground-system operations. The binary outcome equals one when KEV addition occurs within 30 days of NVD publication, and a logit model estimates associations with CVSS, edge status, and known ransomware use. Because the analysis conditions on eventual KEV inclusion, it studies timing among confirmed-exploited vulnerabilities rather than the probability that every published CVE will be exploited.</w:t>
      </w:r>
    </w:p>
    <w:p>
      <w:pPr>
        <w:pStyle w:val="BodyText"/>
        <w:spacing w:line="480" w:lineRule="auto"/>
        <w:ind w:firstLine="720"/>
      </w:pPr>
      <w:r>
        <w:t xml:space="preserve">The two methods serve different parts of the same inquiry. The equity model asks whether public escalation produces differentiated financial penalties; the logit model asks whether public technical attributes predict escalation speed. One observes a market response after government action, and the other models the timing of that action from information available at disclosure. Together they test whether two public mechanisms can supply discipline without access to classified threat reporting or proprietary operator data.</w:t>
      </w:r>
    </w:p>
    <w:p>
      <w:pPr>
        <w:pStyle w:val="BodyText"/>
        <w:spacing w:line="480" w:lineRule="auto"/>
        <w:ind w:firstLine="720"/>
      </w:pPr>
      <w:r>
        <w:t xml:space="preserve">Data selection followed a strict provenance rule. Every vulnerability row cites its CISA and NVD record, every market observation identifies the adjusted-price source and event window, and no illustrative values are used. That rule narrows the questions that can be answered. The original prospectus proposed operator-level event studies and credit-spread analysis using CRSP, Compustat, and Markit, but those proprietary datasets were not available, and the public record did not yield enough listed-operator incidents for a defensible 20-observation panel. The dissertation therefore re-specifies the unit of analysis from downstream operators to publicly traded infrastructure vendors, where the market-discipline mechanism remains falsifiable and the data can be audited.</w:t>
      </w:r>
    </w:p>
    <w:bookmarkEnd w:id="64"/>
    <w:bookmarkStart w:id="65" w:name="falsifiable-contribution"/>
    <w:p>
      <w:pPr>
        <w:pStyle w:val="Heading2"/>
        <w:spacing w:line="480" w:lineRule="auto"/>
      </w:pPr>
      <w:r>
        <w:t xml:space="preserve">1.5 Falsifiable contribution</w:t>
      </w:r>
    </w:p>
    <w:p>
      <w:pPr>
        <w:pStyle w:val="FirstParagraph"/>
        <w:spacing w:line="480" w:lineRule="auto"/>
      </w:pPr>
      <w:r>
        <w:t xml:space="preserve">This dissertation contributes a paired, falsifiable test of public disclosure discipline at the supplier boundary of space-system infrastructure. For the market-response test, the first null hypothesis holds that CVSS severity, edge-device status, ransomware association, and the post-BOD regime do not predict the five-day abnormal equity return following KEV addition; its alternative holds that more serious and operationally exposed events produce more negative returns. Rejection would support a market-discipline mechanism, while failure to reject would show that these public attributes do not generate a stable marginal price penalty in the observed sample. For the escalation-timing test, the second null hypothesis holds that CVSS severity, edge-device status, and ransomware association do not predict KEV addition within 30 days of NVD publication; its alternative holds that each attribute raises the probability of rapid escalation. Rejection would show that public technical attributes can forecast government prioritization, while failure to reject would indicate that escalation depends on information or institutions that those attributes do not represent. Taken together, the contribution is not a claim that disclosure lacks value. It separates operational value from two stronger claims about automatic discipline, and the tests identify what these signals can and cannot bear. KEV can improve remediation even when equity prices do not move, and CVSS can support triage even when it does not forecast KEV timing.</w:t>
      </w:r>
    </w:p>
    <w:bookmarkEnd w:id="65"/>
    <w:bookmarkStart w:id="66" w:name="principal-findings"/>
    <w:p>
      <w:pPr>
        <w:pStyle w:val="Heading2"/>
        <w:spacing w:line="480" w:lineRule="auto"/>
      </w:pPr>
      <w:r>
        <w:t xml:space="preserve">1.6 Principal findings</w:t>
      </w:r>
    </w:p>
    <w:p>
      <w:pPr>
        <w:pStyle w:val="FirstParagraph"/>
        <w:spacing w:line="480" w:lineRule="auto"/>
      </w:pPr>
      <w:r>
        <w:t xml:space="preserve">Neither null hypothesis is rejected at the five-percent level. In the equity model, N = 21 and R-squared is 0.1156, with a joint F test p value of 0.0896. CVSS carries a positive coefficient of 0.9394 percentage points per severity point with p = 0.0593, opposite to the predicted penalty; edge status has a coefficient of -0.3618 with p = 0.8297, ransomware association has a coefficient of 0.3168 with p = 0.9048, and the post-BOD coefficient is -2.1172 with p = 0.2722. No attribute produces a statistically reliable negative marginal response. In the escalation model, N = 37 and pseudo-R-squared is 0.0241. CVSS, edge status, and ransomware association all carry positive coefficients, yet their p values are 0.4435, 0.5551, and 0.8550, so their directions are compatible with the proposed mechanisms while the data do not distinguish them from zero. The raw panel shows a stronger institutional pattern underneath that split: all 15 rapid escalations occur in the post-2021 cohort, and none occurs in the earlier cohort. Including an era indicator produces separation rather than a stable finite estimate, which indicates that institutionalized monitoring dominates the technical attributes in the observed timing distribution.</w:t>
      </w:r>
    </w:p>
    <w:p>
      <w:pPr>
        <w:pStyle w:val="BodyText"/>
        <w:spacing w:line="480" w:lineRule="auto"/>
        <w:ind w:firstLine="720"/>
      </w:pPr>
      <w:r>
        <w:t xml:space="preserve">Taken together, these findings limit claims about decentralized discipline. Equity markets do not supply a dependable, attribute-conditioned sanction in this sample, and public technical fields do not supply a dependable forecast of rapid federal escalation. Space organizations should still use KEV and NVD, but they should combine them with asset inventories, vendor coordination, exploit intelligence, maintenance planning, and trusted operational exchange.</w:t>
      </w:r>
    </w:p>
    <w:bookmarkEnd w:id="66"/>
    <w:bookmarkStart w:id="67" w:name="dissertation-roadmap"/>
    <w:p>
      <w:pPr>
        <w:pStyle w:val="Heading2"/>
        <w:spacing w:line="480" w:lineRule="auto"/>
      </w:pPr>
      <w:r>
        <w:t xml:space="preserve">1.7 Dissertation roadmap</w:t>
      </w:r>
    </w:p>
    <w:p>
      <w:pPr>
        <w:pStyle w:val="FirstParagraph"/>
        <w:spacing w:line="480" w:lineRule="auto"/>
      </w:pPr>
      <w:r>
        <w:t xml:space="preserve">Chapter 2 reviews the literature on space cyber architecture, disclosure and information sharing, market discipline, vulnerability prioritization, and cyber governance, identifying the gap between technical research and empirical institutional analysis. Chapter 3 develops the theoretical framework by specifying the information-salience mechanism, the externality mechanism, the anticipation mechanism, and the institutional-capacity mechanism, and then by stating the two hypothesis families. Chapter 4 documents the CISA dataset, the NVD dataset, and the market datasets, including the units of analysis, the construction rules, the provenance fields, and the measurement limits that define those data. Chapter 5 presents the OLS estimators and the logit estimators, the identification claims linked to those estimators, and the threats to inference that bound those claims. Chapter 6 then reports the exact coefficients, standard errors, p values, fit statistics, and effect-size interpretations from both papers, and the reporting is exact. Chapter 7 considers implications for NASA, for civil and commercial operators, for vendors, for regulators, and for trusted information-sharing communities. Chapter 8 synthesizes the contribution and defines a research program for operator-level disclosure, remediation, and credit-risk data. Across these chapters the argument follows a simple empirical discipline: public disclosure has value, but its consequences must be measured at the mechanism being claimed.</w:t>
      </w:r>
    </w:p>
    <w:p>
      <w:pPr>
        <w:pStyle w:val="BodyText"/>
        <w:spacing w:line="480" w:lineRule="auto"/>
        <w:ind w:firstLine="720"/>
      </w:pPr>
      <w:r>
        <w:t xml:space="preserve">The findings support KEV as operational intelligence. They do not support reliance on equity markets or generic public attributes as automatic substitutes for cyber governance.</w:t>
      </w:r>
    </w:p>
    <w:bookmarkEnd w:id="67"/>
    <w:bookmarkStart w:id="68" w:name="definitions-and-analytic-boundaries"/>
    <w:p>
      <w:pPr>
        <w:pStyle w:val="Heading2"/>
        <w:spacing w:line="480" w:lineRule="auto"/>
      </w:pPr>
      <w:r>
        <w:t xml:space="preserve">1.8 Definitions and analytic boundaries</w:t>
      </w:r>
    </w:p>
    <w:p>
      <w:pPr>
        <w:pStyle w:val="FirstParagraph"/>
        <w:spacing w:line="480" w:lineRule="auto"/>
      </w:pPr>
      <w:r>
        <w:t xml:space="preserve">Several terms require precise use. A</w:t>
      </w:r>
      <w:r>
        <w:t xml:space="preserve"> </w:t>
      </w:r>
      <w:r>
        <w:rPr>
          <w:b/>
          <w:bCs/>
        </w:rPr>
        <w:t xml:space="preserve">vulnerability disclosure</w:t>
      </w:r>
      <w:r>
        <w:t xml:space="preserve"> </w:t>
      </w:r>
      <w:r>
        <w:t xml:space="preserve">refers to the public recording of a software or hardware defect, and in this dissertation’s data NVD publication supplies the disclosure date</w:t>
      </w:r>
      <w:r>
        <w:t xml:space="preserve"> </w:t>
      </w:r>
      <w:hyperlink w:anchor="ref-10">
        <w:r>
          <w:rPr>
            <w:rStyle w:val="Hyperlink"/>
          </w:rPr>
          <w:t xml:space="preserve">[10]</w:t>
        </w:r>
      </w:hyperlink>
      <w:r>
        <w:t xml:space="preserve">. A</w:t>
      </w:r>
      <w:r>
        <w:t xml:space="preserve"> </w:t>
      </w:r>
      <w:r>
        <w:rPr>
          <w:b/>
          <w:bCs/>
        </w:rPr>
        <w:t xml:space="preserve">KEV event</w:t>
      </w:r>
      <w:r>
        <w:t xml:space="preserve"> </w:t>
      </w:r>
      <w:r>
        <w:t xml:space="preserve">refers to CISA’s addition of a CVE to the Known Exploited Vulnerabilities catalog</w:t>
      </w:r>
      <w:r>
        <w:t xml:space="preserve"> </w:t>
      </w:r>
      <w:hyperlink w:anchor="ref-9">
        <w:r>
          <w:rPr>
            <w:rStyle w:val="Hyperlink"/>
          </w:rPr>
          <w:t xml:space="preserve">[9]</w:t>
        </w:r>
      </w:hyperlink>
      <w:r>
        <w:t xml:space="preserve">; it records confirmed exploitation and stands separate from initial disclosure. In Paper 1, a</w:t>
      </w:r>
      <w:r>
        <w:t xml:space="preserve"> </w:t>
      </w:r>
      <w:r>
        <w:rPr>
          <w:b/>
          <w:bCs/>
        </w:rPr>
        <w:t xml:space="preserve">space-infrastructure vendor</w:t>
      </w:r>
      <w:r>
        <w:t xml:space="preserve"> </w:t>
      </w:r>
      <w:r>
        <w:t xml:space="preserve">is a listed supplier whose affected product belongs to a network or control class used at the terrestrial edge of space systems. That label does not imply that the vendor sells only to space customers, nor that every observed product is deployed on a named mission. An</w:t>
      </w:r>
      <w:r>
        <w:t xml:space="preserve"> </w:t>
      </w:r>
      <w:r>
        <w:rPr>
          <w:b/>
          <w:bCs/>
        </w:rPr>
        <w:t xml:space="preserve">edge product</w:t>
      </w:r>
      <w:r>
        <w:t xml:space="preserve"> </w:t>
      </w:r>
      <w:r>
        <w:t xml:space="preserve">is a remote-access, VPN, firewall, gateway, router, or centralized management product designed to mediate network boundaries. Edge is a functional classification, its comparison class contains operational-technology controllers, and it is not a direct observation of internet reachability in a particular deployment.</w:t>
      </w:r>
    </w:p>
    <w:p>
      <w:pPr>
        <w:pStyle w:val="BodyText"/>
        <w:spacing w:line="480" w:lineRule="auto"/>
        <w:ind w:firstLine="720"/>
      </w:pPr>
      <w:r>
        <w:t xml:space="preserve">An</w:t>
      </w:r>
      <w:r>
        <w:t xml:space="preserve"> </w:t>
      </w:r>
      <w:r>
        <w:rPr>
          <w:b/>
          <w:bCs/>
        </w:rPr>
        <w:t xml:space="preserve">abnormal return</w:t>
      </w:r>
      <w:r>
        <w:t xml:space="preserve"> </w:t>
      </w:r>
      <w:r>
        <w:t xml:space="preserve">is the vendor’s adjusted five-trading-day return minus the matched ACWI return. It is a market-adjusted measure rather than a full firm-beta residual or a measure of total social loss. A</w:t>
      </w:r>
      <w:r>
        <w:t xml:space="preserve"> </w:t>
      </w:r>
      <w:r>
        <w:rPr>
          <w:b/>
          <w:bCs/>
        </w:rPr>
        <w:t xml:space="preserve">rapid escalation</w:t>
      </w:r>
      <w:r>
        <w:t xml:space="preserve"> </w:t>
      </w:r>
      <w:r>
        <w:t xml:space="preserve">occurs when KEV addition takes place within 30 calendar days of NVD publication; the threshold captures public institutional tempo rather than patch deployment or the true start of exploitation.</w:t>
      </w:r>
    </w:p>
    <w:p>
      <w:pPr>
        <w:pStyle w:val="BodyText"/>
        <w:spacing w:line="480" w:lineRule="auto"/>
        <w:ind w:firstLine="720"/>
      </w:pPr>
      <w:r>
        <w:rPr>
          <w:b/>
          <w:bCs/>
        </w:rPr>
        <w:t xml:space="preserve">Market discipline</w:t>
      </w:r>
      <w:r>
        <w:t xml:space="preserve"> </w:t>
      </w:r>
      <w:r>
        <w:t xml:space="preserve">means a price response that can change supplier incentives through valuation or financing.</w:t>
      </w:r>
      <w:r>
        <w:t xml:space="preserve"> </w:t>
      </w:r>
      <w:r>
        <w:rPr>
          <w:b/>
          <w:bCs/>
        </w:rPr>
        <w:t xml:space="preserve">Operational discipline</w:t>
      </w:r>
      <w:r>
        <w:t xml:space="preserve"> </w:t>
      </w:r>
      <w:r>
        <w:t xml:space="preserve">means action that reduces mission exposure. This dissertation tests one form of market discipline and one administrative timing mechanism, without assuming that either is necessary for operational value. These definitions keep the inference tied to observable records while allowing future expansion without changing the original estimands.</w:t>
      </w:r>
    </w:p>
    <w:bookmarkEnd w:id="68"/>
    <w:bookmarkStart w:id="69" w:name="scope-of-contribution"/>
    <w:p>
      <w:pPr>
        <w:pStyle w:val="Heading2"/>
        <w:spacing w:line="480" w:lineRule="auto"/>
      </w:pPr>
      <w:r>
        <w:t xml:space="preserve">1.9 Scope of contribution</w:t>
      </w:r>
    </w:p>
    <w:p>
      <w:pPr>
        <w:pStyle w:val="FirstParagraph"/>
        <w:spacing w:line="480" w:lineRule="auto"/>
      </w:pPr>
      <w:r>
        <w:t xml:space="preserve">This dissertation occupies a position between technical vulnerability assessment and securities event study, with its contribution deliberately set at that boundary rather than inside either field’s full empirical range. It does not discover new exploits, evaluate product code, or estimate the total market effect of all cyber information. It examines instead how two public institutional records connect to financial and administrative outcomes relevant to space-system dependencies. Its unit of concern is the interface between general digital infrastructure and mission-specific consequence, since space programs cannot control the discovery process for commercial products yet remain responsible for mission assurance. Public catalogs supply a common external signal, and local governance determines what follows. The same bounded logic produces a re-specification principle: when the ideal proprietary dataset is unavailable, the researcher should move the claim to a unit supported by real data rather than fabricate operator observations. The vendor-event and vulnerability-timing panels are narrower than the original operator-and-credit design, but they remain falsifiable, auditable, and connected to the same discipline theory that motivated the original.</w:t>
      </w:r>
    </w:p>
    <w:p>
      <w:pPr>
        <w:pStyle w:val="BodyText"/>
        <w:spacing w:line="480" w:lineRule="auto"/>
        <w:ind w:firstLine="720"/>
      </w:pPr>
      <w:r>
        <w:t xml:space="preserve">That narrowed design is not an endpoint. Operator data can later be joined to the public records, credit spreads can be added when access exists, and mission patch times can be compared with KEV timing. For those extensions, the present work supplies definitions, event provenance, and baseline estimates.</w:t>
      </w:r>
    </w:p>
    <w:bookmarkEnd w:id="69"/>
    <w:bookmarkEnd w:id="70"/>
    <w:bookmarkStart w:id="84" w:name="chapter-2.-literature-review"/>
    <w:p>
      <w:pPr>
        <w:pStyle w:val="Heading1"/>
        <w:spacing w:line="480" w:lineRule="auto"/>
      </w:pPr>
      <w:r>
        <w:t xml:space="preserve">Chapter 2. Literature Review</w:t>
      </w:r>
    </w:p>
    <w:bookmarkStart w:id="71" w:name="the-two-literatures-that-do-not-meet"/>
    <w:p>
      <w:pPr>
        <w:pStyle w:val="Heading2"/>
        <w:spacing w:line="480" w:lineRule="auto"/>
      </w:pPr>
      <w:r>
        <w:t xml:space="preserve">2.1 The two literatures that do not meet</w:t>
      </w:r>
    </w:p>
    <w:p>
      <w:pPr>
        <w:pStyle w:val="FirstParagraph"/>
        <w:spacing w:line="480" w:lineRule="auto"/>
      </w:pPr>
      <w:r>
        <w:t xml:space="preserve">This dissertation joins two research traditions that examine adjacent parts of the same problem yet have usually stayed separate in their empirical focus. One tradition, the space-cyber literature, explains attack surfaces, trusted data flows, mission consequences, workforce needs, and interagency governance. Its main unit of concern is not the disclosure event itself but the mission system or the institutional arrangement that protects it. The other tradition comes from disclosure-and-discipline research in securities regulation, vulnerability management, and empirical risk analysis, and it explains how public information can alter prices, shift remediation priorities, and reshape organizational incentives. The units of analysis differ. Where space-cyber research organizes inquiry around systems, missions, and governance arrangements, the disclosure-and-discipline literature centers on the disclosure event, the listed firm, or the vulnerability record, so the two describe different observable portions of a shared problem rather than offering competing accounts of the same evidence. Both are developed enough to support the mechanisms used here, since one explains why space-cyber events can matter operationally and institutionally, while the other explains why public information can matter to markets and organizational behavior.</w:t>
      </w:r>
    </w:p>
    <w:p>
      <w:pPr>
        <w:pStyle w:val="BodyText"/>
        <w:spacing w:line="480" w:lineRule="auto"/>
        <w:ind w:firstLine="720"/>
      </w:pPr>
      <w:r>
        <w:t xml:space="preserve">Neither literature, however, provides the paired empirical test used here. Space-cyber research seldom measures equity responses to confirmed-exploitation notices, and disclosure research seldom isolates products used at the ground-system edge or asks whether public severity fields predict the timing of federal escalation. The gap is therefore methodological rather than topical: technical and governance studies explain why these events matter, while public data make their institutional and market consequences estimable.</w:t>
      </w:r>
    </w:p>
    <w:bookmarkEnd w:id="71"/>
    <w:bookmarkStart w:id="72" w:name="Xb5651bfa017cdf767a0ed47c11c2da7abc6473a"/>
    <w:p>
      <w:pPr>
        <w:pStyle w:val="Heading2"/>
        <w:spacing w:line="480" w:lineRule="auto"/>
      </w:pPr>
      <w:r>
        <w:t xml:space="preserve">2.2 Space systems as cyber-physical and institutional systems</w:t>
      </w:r>
    </w:p>
    <w:p>
      <w:pPr>
        <w:pStyle w:val="FirstParagraph"/>
        <w:spacing w:line="480" w:lineRule="auto"/>
      </w:pPr>
      <w:r>
        <w:t xml:space="preserve">Space operations distribute authority across orbital, terrestrial, and organizational components, so hardening a spacecraft alone cannot secure a mission. Commands begin in terrestrial software, pass through authentication and scheduling systems, traverse networks, enter ground stations, and cross radio links. Telemetry moves back through a related chain and then becomes data products consumed by other organizations, and each transition can create a trust boundary. Allington, Peterson, and Bowen frame secure SDA around data provenance, external boundaries, dependencies, and threats to operational-picture computers</w:t>
      </w:r>
      <w:r>
        <w:t xml:space="preserve"> </w:t>
      </w:r>
      <w:hyperlink w:anchor="ref-5">
        <w:r>
          <w:rPr>
            <w:rStyle w:val="Hyperlink"/>
          </w:rPr>
          <w:t xml:space="preserve">[5]</w:t>
        </w:r>
      </w:hyperlink>
      <w:r>
        <w:t xml:space="preserve">[15], which brings commercial network products directly into the space-security model: a firewall or remote-access gateway mediating mission-system access is part of the mission assurance case, not merely corporate infrastructure.</w:t>
      </w:r>
    </w:p>
    <w:p>
      <w:pPr>
        <w:pStyle w:val="BodyText"/>
        <w:spacing w:line="480" w:lineRule="auto"/>
        <w:ind w:firstLine="720"/>
      </w:pPr>
      <w:r>
        <w:t xml:space="preserve">Jabbarpour and colleagues approach the system through distributed autonomy and mission management</w:t>
      </w:r>
      <w:r>
        <w:t xml:space="preserve"> </w:t>
      </w:r>
      <w:hyperlink w:anchor="ref-1">
        <w:r>
          <w:rPr>
            <w:rStyle w:val="Hyperlink"/>
          </w:rPr>
          <w:t xml:space="preserve">[1]</w:t>
        </w:r>
      </w:hyperlink>
      <w:r>
        <w:t xml:space="preserve">, where agent-based architectures increase the number of software interactions and decisions that must be trusted. Distribution can improve resilience by avoiding a single control point, yet it can also expand the attack surface and complicate attribution when a decision trace crosses multiple agents. Kline’s treatment of responsible AI and machine learning in SDA adds a related concern, since adversarial inputs, model integrity, and data-pipeline compromise can influence an application whose outputs guide operational decisions</w:t>
      </w:r>
      <w:r>
        <w:t xml:space="preserve"> </w:t>
      </w:r>
      <w:hyperlink w:anchor="ref-3">
        <w:r>
          <w:rPr>
            <w:rStyle w:val="Hyperlink"/>
          </w:rPr>
          <w:t xml:space="preserve">[3]</w:t>
        </w:r>
      </w:hyperlink>
      <w:r>
        <w:t xml:space="preserve">. These literatures extend cyber risk beyond confidentiality, placing integrity and decision provenance at the center. Reis locates the technical problem within hybrid threats to European space and ground systems</w:t>
      </w:r>
      <w:r>
        <w:t xml:space="preserve"> </w:t>
      </w:r>
      <w:hyperlink w:anchor="ref-7">
        <w:r>
          <w:rPr>
            <w:rStyle w:val="Hyperlink"/>
          </w:rPr>
          <w:t xml:space="preserve">[7]</w:t>
        </w:r>
      </w:hyperlink>
      <w:r>
        <w:t xml:space="preserve">[27], where cyber operations may be combined with political pressure, supply-chain compromise, disinformation, and physical interference. Risk crosses domains, and a vulnerability in a commercial product may produce consequences that no individual vendor, operator, or national agency observes in full. Poirier examines the corresponding governance problem, especially the division between organizations responsible for cyber operations and those responsible for outer-space operations</w:t>
      </w:r>
      <w:r>
        <w:t xml:space="preserve"> </w:t>
      </w:r>
      <w:hyperlink w:anchor="ref-8">
        <w:r>
          <w:rPr>
            <w:rStyle w:val="Hyperlink"/>
          </w:rPr>
          <w:t xml:space="preserve">[8]</w:t>
        </w:r>
      </w:hyperlink>
      <w:r>
        <w:t xml:space="preserve">[20]; at that boundary, authority, incident classification, and escalation can become ambiguous.</w:t>
      </w:r>
    </w:p>
    <w:p>
      <w:pPr>
        <w:pStyle w:val="BodyText"/>
        <w:spacing w:line="480" w:lineRule="auto"/>
        <w:ind w:firstLine="720"/>
      </w:pPr>
      <w:r>
        <w:t xml:space="preserve">Together, this scholarship supports the dissertation’s product-class focus. Ground segments depend on commercial products whose vulnerabilities are governed through public cyber institutions, and the space-specific consequence emerges from deployment context rather than from a special class of software defects. A CVE affecting a VPN appliance can threaten an ordinary office and a mission-control enclave through the same technical flaw. What differs is what the appliance protects, how quickly it can be changed, and what operational failure costs.</w:t>
      </w:r>
    </w:p>
    <w:bookmarkEnd w:id="72"/>
    <w:bookmarkStart w:id="73" w:name="workforce-training-and-operational-tempo"/>
    <w:p>
      <w:pPr>
        <w:pStyle w:val="Heading2"/>
        <w:spacing w:line="480" w:lineRule="auto"/>
      </w:pPr>
      <w:r>
        <w:t xml:space="preserve">2.3 Workforce, training, and operational tempo</w:t>
      </w:r>
    </w:p>
    <w:p>
      <w:pPr>
        <w:pStyle w:val="FirstParagraph"/>
        <w:spacing w:line="480" w:lineRule="auto"/>
      </w:pPr>
      <w:r>
        <w:t xml:space="preserve">Wright identifies cybersecurity training as a policy requirement for future space endeavors</w:t>
      </w:r>
      <w:r>
        <w:t xml:space="preserve"> </w:t>
      </w:r>
      <w:hyperlink w:anchor="ref-2">
        <w:r>
          <w:rPr>
            <w:rStyle w:val="Hyperlink"/>
          </w:rPr>
          <w:t xml:space="preserve">[2]</w:t>
        </w:r>
      </w:hyperlink>
      <w:r>
        <w:t xml:space="preserve">[14], and the same concern applies to disclosure, since a catalog entry has practical value only when personnel can connect that entry to an asset, assess the mission exposure it creates, and carry out a response that has already been tested rather than improvised. A severity score without local configuration knowledge can produce either underreaction or indiscriminate patching. Space operations also impose a remediation tempo that differs from many enterprise systems, because command and telemetry services may run continuously around scheduled contacts, and some software depends on mission-specific interfaces and validation requirements that make rapid changes difficult to treat as routine updates. An emergency change can introduce faults as damaging as the vulnerability it removes, and that risk stays operationally central. Operators must therefore balance exploitation risk against change risk, and public escalation through KEV can shift that balance by supplying evidence of active adversary use, though response still depends on asset inventory, test capability, and authorized maintenance windows.</w:t>
      </w:r>
    </w:p>
    <w:p>
      <w:pPr>
        <w:pStyle w:val="BodyText"/>
        <w:spacing w:line="480" w:lineRule="auto"/>
        <w:ind w:firstLine="720"/>
      </w:pPr>
      <w:r>
        <w:t xml:space="preserve">Workforce capacity and technical architecture are often treated as separate workstreams in the literature, yet disclosure links them. Effective triage requires trained personnel, usable data, and authority to act, so a public notice reduces uncertainty only when the organization has already established these capacities. Public attributes alone may have weak predictive power because observed government and market responses incorporate organizational systems that CVSS does not represent, and this institutional dependence helps explain that pattern.</w:t>
      </w:r>
    </w:p>
    <w:bookmarkEnd w:id="73"/>
    <w:bookmarkStart w:id="74" w:name="Xf52a6641a866aba9325b92f3baa04eb5967e241"/>
    <w:p>
      <w:pPr>
        <w:pStyle w:val="Heading2"/>
        <w:spacing w:line="480" w:lineRule="auto"/>
      </w:pPr>
      <w:r>
        <w:t xml:space="preserve">2.4 Information sharing and the problem of actionability</w:t>
      </w:r>
    </w:p>
    <w:p>
      <w:pPr>
        <w:pStyle w:val="FirstParagraph"/>
        <w:spacing w:line="480" w:lineRule="auto"/>
      </w:pPr>
      <w:r>
        <w:t xml:space="preserve">Information-sharing scholarship distinguishes availability from usefulness. Tsamis, Stilwell, Reed, and Dailey argue for operationally relevant space-cyber information that supports decisions rather than broad awareness</w:t>
      </w:r>
      <w:r>
        <w:t xml:space="preserve"> </w:t>
      </w:r>
      <w:hyperlink w:anchor="ref-6">
        <w:r>
          <w:rPr>
            <w:rStyle w:val="Hyperlink"/>
          </w:rPr>
          <w:t xml:space="preserve">[6]</w:t>
        </w:r>
      </w:hyperlink>
      <w:r>
        <w:t xml:space="preserve">[12], and Reed and colleagues extend this logic to operational risk information, norms development, and compliance monitoring</w:t>
      </w:r>
      <w:r>
        <w:t xml:space="preserve"> </w:t>
      </w:r>
      <w:hyperlink w:anchor="ref-19">
        <w:r>
          <w:rPr>
            <w:rStyle w:val="Hyperlink"/>
          </w:rPr>
          <w:t xml:space="preserve">[19]</w:t>
        </w:r>
      </w:hyperlink>
      <w:r>
        <w:t xml:space="preserve">. The problem is contextual, because a receiver must know what happened, which systems and configurations are affected, how confident the source is, and what action is justified. Data pedigree forms part of that context, and Schultz and colleagues emphasize insight, pedigree, and automation in SDA data</w:t>
      </w:r>
      <w:r>
        <w:t xml:space="preserve"> </w:t>
      </w:r>
      <w:hyperlink w:anchor="ref-18">
        <w:r>
          <w:rPr>
            <w:rStyle w:val="Hyperlink"/>
          </w:rPr>
          <w:t xml:space="preserve">[18]</w:t>
        </w:r>
      </w:hyperlink>
      <w:r>
        <w:t xml:space="preserve">. Although their application is not vulnerability disclosure, the principle transfers: a cyber indicator without provenance is difficult to trust or automate, while CISA and NVD provide strong public pedigree through CVE identifiers, dates, product strings, severity metrics, and exploitation determinations linked to named institutions. The source columns in this dissertation preserve that lineage at the observation level.</w:t>
      </w:r>
    </w:p>
    <w:p>
      <w:pPr>
        <w:pStyle w:val="BodyText"/>
        <w:spacing w:line="480" w:lineRule="auto"/>
        <w:ind w:firstLine="720"/>
      </w:pPr>
      <w:r>
        <w:t xml:space="preserve">Minimal viable information provides a useful standard for interpreting the results. CVSS, edge status, and ransomware association may each be relevant, yet together they may still be insufficient to predict rapid escalation, since missing fields can include exploit maturity, observed campaign scale, federal asset exposure, vendor confirmation, and intelligence confidence. The weak logit fit suggests that the public record does not yet expose the minimum information needed to forecast CISA’s timing. That finding does not make the public record defective; it marks the boundary between open triage data and operational evidence.</w:t>
      </w:r>
    </w:p>
    <w:p>
      <w:pPr>
        <w:pStyle w:val="BodyText"/>
        <w:spacing w:line="480" w:lineRule="auto"/>
        <w:ind w:firstLine="720"/>
      </w:pPr>
      <w:r>
        <w:t xml:space="preserve">A similar boundary applies to market participants. Investors may observe vendor advisories, security-research posts, customer reports, and private analyst information before KEV addition, so the catalog event may confirm information already incorporated into prices. A clean date does not guarantee a novel information shock, and the information-sharing literature helps interpret a null market response as a question of timing and context rather than as indifference to cyber risk.</w:t>
      </w:r>
    </w:p>
    <w:bookmarkEnd w:id="74"/>
    <w:bookmarkStart w:id="75" w:name="Xb741e008ad067594cc036599d1bf6056d6548f9"/>
    <w:p>
      <w:pPr>
        <w:pStyle w:val="Heading2"/>
        <w:spacing w:line="480" w:lineRule="auto"/>
      </w:pPr>
      <w:r>
        <w:t xml:space="preserve">2.5 Vulnerability publication, severity, and confirmed exploitation</w:t>
      </w:r>
    </w:p>
    <w:p>
      <w:pPr>
        <w:pStyle w:val="FirstParagraph"/>
        <w:spacing w:line="480" w:lineRule="auto"/>
      </w:pPr>
      <w:r>
        <w:t xml:space="preserve">NVD and KEV mark different points in the vulnerability lifecycle. NVD functions as a broad public repository that standardizes identifiers, descriptions, affected products, and scoring information</w:t>
      </w:r>
      <w:r>
        <w:t xml:space="preserve"> </w:t>
      </w:r>
      <w:hyperlink w:anchor="ref-10">
        <w:r>
          <w:rPr>
            <w:rStyle w:val="Hyperlink"/>
          </w:rPr>
          <w:t xml:space="preserve">[10]</w:t>
        </w:r>
      </w:hyperlink>
      <w:r>
        <w:t xml:space="preserve">, while CVSS summarizes technical severity through exploitability and impact characteristics; its strength lies in comparability across a large population, and its limitation is that it neither measures local mission consequence nor confirms that exploitation has occurred. KEV is a selected catalog of vulnerabilities known to be exploited in the wild</w:t>
      </w:r>
      <w:r>
        <w:t xml:space="preserve"> </w:t>
      </w:r>
      <w:hyperlink w:anchor="ref-9">
        <w:r>
          <w:rPr>
            <w:rStyle w:val="Hyperlink"/>
          </w:rPr>
          <w:t xml:space="preserve">[9]</w:t>
        </w:r>
      </w:hyperlink>
      <w:r>
        <w:t xml:space="preserve">, and inclusion changes the evidentiary status of the defect while linking it to a federal remediation regime, so the catalog operates both as a data source and as an institutional intervention, with the interval between NVD publication and KEV addition supplying the duration used in the second paper. Research and practice often use CVSS as a prioritization input, but this dissertation tests a stronger proposition, namely whether CVSS predicts rapid movement into the confirmed-exploitation catalog. The relationship could hold. Severe vulnerabilities may be easier to weaponize or more damaging, which can attract adversary attention, yet the relationship may also weaken in practice, since a moderate-severity flaw can provide a reliable foothold in a common edge product while a high-severity flaw may depend on an uncommon configuration. Exploitation depends not only on technical impact but also on opportunity, code availability, target prevalence, and adversary objectives.</w:t>
      </w:r>
    </w:p>
    <w:p>
      <w:pPr>
        <w:pStyle w:val="BodyText"/>
        <w:spacing w:line="480" w:lineRule="auto"/>
        <w:ind w:firstLine="720"/>
      </w:pPr>
      <w:r>
        <w:t xml:space="preserve">Ransomware association is another candidate signal. Ransomware operators create visible, repeatable campaigns and often exploit edge appliances. CISA records whether known ransomware use exists. Yet that field may be updated after catalog addition, and campaigns can adopt vulnerabilities at different stages. A small coefficient in the logit does not deny ransomware risk; it indicates that the binary field does not distinguish the 30-day escalation outcome once severity and product class are included.</w:t>
      </w:r>
    </w:p>
    <w:p>
      <w:pPr>
        <w:pStyle w:val="BodyText"/>
        <w:spacing w:line="480" w:lineRule="auto"/>
        <w:ind w:firstLine="720"/>
      </w:pPr>
      <w:r>
        <w:t xml:space="preserve">Edge exposure has a stronger theoretical basis because reachability shapes opportunity. Internet-facing devices can be scanned globally. A defect in a controller behind layered network defenses may instead require an initial compromise before it can be reached. The sampled data nonetheless provide limited precision for this contrast, because the KEV population relevant to ground systems is already dominated by edge products, and selection into the sample reduces the variation needed to estimate the marginal effect.</w:t>
      </w:r>
    </w:p>
    <w:bookmarkEnd w:id="75"/>
    <w:bookmarkStart w:id="76" w:name="X21df9c7dce665213c8760f5d38c31ee94285fac"/>
    <w:p>
      <w:pPr>
        <w:pStyle w:val="Heading2"/>
        <w:spacing w:line="480" w:lineRule="auto"/>
      </w:pPr>
      <w:r>
        <w:t xml:space="preserve">2.6 Disclosure as a market-discipline instrument</w:t>
      </w:r>
    </w:p>
    <w:p>
      <w:pPr>
        <w:pStyle w:val="FirstParagraph"/>
        <w:spacing w:line="480" w:lineRule="auto"/>
      </w:pPr>
      <w:r>
        <w:t xml:space="preserve">Market discipline assumes that investors convert public risk information into prices and that managers respond through the resulting cost of capital, valuation, or reputation. Securities regulation uses disclosure to improve that information environment, and the SEC’s 2023 cybersecurity rule requires material incident disclosure and annual reporting on risk management, strategy, and governance</w:t>
      </w:r>
      <w:r>
        <w:t xml:space="preserve"> </w:t>
      </w:r>
      <w:hyperlink w:anchor="ref-11">
        <w:r>
          <w:rPr>
            <w:rStyle w:val="Hyperlink"/>
          </w:rPr>
          <w:t xml:space="preserve">[11]</w:t>
        </w:r>
      </w:hyperlink>
      <w:r>
        <w:t xml:space="preserve">, with a materiality standard that centers the reasonable investor and the total mix of information. Disclosure still does not guarantee a negative price response to every reported event. Prices reflect expected cash flows, so an incident may already have been anticipated, may be immaterial at firm scale, or may arrive with evidence of effective containment; a diversified vendor, for example, may absorb remediation costs that matter to customers but stay small relative to enterprise value. Disclosure can also reduce uncertainty and produce a positive response if investors had feared a larger problem.</w:t>
      </w:r>
    </w:p>
    <w:p>
      <w:pPr>
        <w:pStyle w:val="BodyText"/>
        <w:spacing w:line="480" w:lineRule="auto"/>
        <w:ind w:firstLine="720"/>
      </w:pPr>
      <w:r>
        <w:t xml:space="preserve">KEV addition differs from an Item 1.05 filing because government identifies an exploited product vulnerability, not a particular firm’s financial impact. That distinction makes the first paper a supplier-level information-salience test rather than an issuer incident-materiality test. The event says that a product is being exploited; it does not say that the vendor’s own network was breached or that a quantified liability exists, so any expected negative response is conditional. Higher severity, edge exposure, ransomware use, and an institutionalized disclosure regime should make the event more economically salient, and the OLS specification tests those marginal relationships rather than assuming a uniform market penalty. Its weak fit and insignificant slopes show that the proposed attributes do not produce a stable penalty across 21 events, a result consistent with several interpretations drawn from market-discipline literature, including prior anticipation, diversification, noisy event windows, and variation in expected remediation competence. A null or unstable equity response therefore cannot be read as proof that the underlying operational exposure was trivial, because the priced signal may have been diluted by information investors already held, by the scale and portfolio structure of the vendor, or by expectations that the firm could remediate without material firm-level loss.</w:t>
      </w:r>
    </w:p>
    <w:p>
      <w:pPr>
        <w:pStyle w:val="BodyText"/>
        <w:spacing w:line="480" w:lineRule="auto"/>
        <w:ind w:firstLine="720"/>
      </w:pPr>
      <w:r>
        <w:t xml:space="preserve">Weinzierl’s analysis of the space economy places the result within a sector shaped by public goods and externalities</w:t>
      </w:r>
      <w:r>
        <w:t xml:space="preserve"> </w:t>
      </w:r>
      <w:hyperlink w:anchor="ref-4">
        <w:r>
          <w:rPr>
            <w:rStyle w:val="Hyperlink"/>
          </w:rPr>
          <w:t xml:space="preserve">[4]</w:t>
        </w:r>
      </w:hyperlink>
      <w:r>
        <w:t xml:space="preserve">. Market valuation can underrepresent mission-security consequences because the harmed parties and the priced firm are not the same entity: a satellite operator may face operational risk from a vendor defect, while the vendor’s shareholders price only expected firm-level cost. This wedge weakens the inference from a null equity response to operational insignificance.</w:t>
      </w:r>
    </w:p>
    <w:bookmarkEnd w:id="76"/>
    <w:bookmarkStart w:id="77" w:name="X2579690d64919ec347e55e6602109829310ff1f"/>
    <w:p>
      <w:pPr>
        <w:pStyle w:val="Heading2"/>
        <w:spacing w:line="480" w:lineRule="auto"/>
      </w:pPr>
      <w:r>
        <w:t xml:space="preserve">2.7 Governance era and institutional capacity</w:t>
      </w:r>
    </w:p>
    <w:p>
      <w:pPr>
        <w:pStyle w:val="FirstParagraph"/>
        <w:spacing w:line="480" w:lineRule="auto"/>
      </w:pPr>
      <w:r>
        <w:t xml:space="preserve">BOD 22-01 and the establishment of KEV changed the governance regime for vulnerability management. The catalog did more than add a field to existing data; it institutionalized the collection and publication of confirmed-exploitation information and then linked catalog entries to remediation deadlines, and that new capacity shapes observed durations. Empirically the regime shift is clear. Vulnerabilities in the pre-2022 cohort were published long before KEV existed, so their exposure durations can extend across hundreds or thousands of days when later catalog construction reaches backward, whereas the post-2021 cohort contains defects monitored under the active regime, many of which enter within days or weeks. In this 37-observation sample, the era indicator perfectly predicts the absence of rapid escalation in the earlier group, so maximum-likelihood logit cannot estimate a stable finite coefficient under that separation. This pattern aligns with institutional-capacity theory, where detection and publication speed depend on monitoring systems, reporting relationships, analytic staff, legal authority, and routine processes. Technical attributes still matter, but they operate within an environment that determines whether evidence can be converted into action, and that environment helps explain why a governance change appears in the timing data rather than only in formal policy language. Poirier’s governance analysis supports this interpretation by showing that cyber-space incidents cross organizational boundaries</w:t>
      </w:r>
      <w:r>
        <w:t xml:space="preserve"> </w:t>
      </w:r>
      <w:hyperlink w:anchor="ref-8">
        <w:r>
          <w:rPr>
            <w:rStyle w:val="Hyperlink"/>
          </w:rPr>
          <w:t xml:space="preserve">[8]</w:t>
        </w:r>
      </w:hyperlink>
      <w:r>
        <w:t xml:space="preserve">[20], where institutional design can accelerate or impede classification and response, and Reis similarly emphasizes strategy across space and ground systems</w:t>
      </w:r>
      <w:r>
        <w:t xml:space="preserve"> </w:t>
      </w:r>
      <w:hyperlink w:anchor="ref-7">
        <w:r>
          <w:rPr>
            <w:rStyle w:val="Hyperlink"/>
          </w:rPr>
          <w:t xml:space="preserve">[7]</w:t>
        </w:r>
      </w:hyperlink>
      <w:r>
        <w:t xml:space="preserve">[27].</w:t>
      </w:r>
    </w:p>
    <w:p>
      <w:pPr>
        <w:pStyle w:val="BodyText"/>
        <w:spacing w:line="480" w:lineRule="auto"/>
        <w:ind w:firstLine="720"/>
      </w:pPr>
      <w:r>
        <w:t xml:space="preserve">For that reason, the dissertation treats the era pattern as a descriptive institutional finding and excludes it from the stable three-predictor logit. Timing observed in KEV is not a pure property of vulnerabilities; it is the output of a governance system.</w:t>
      </w:r>
    </w:p>
    <w:bookmarkEnd w:id="77"/>
    <w:bookmarkStart w:id="78" w:name="Xf8620c7cfb96f4cac2192619c26ccc416e15e96"/>
    <w:p>
      <w:pPr>
        <w:pStyle w:val="Heading2"/>
        <w:spacing w:line="480" w:lineRule="auto"/>
      </w:pPr>
      <w:r>
        <w:t xml:space="preserve">2.8 Space sustainability, data trust, and cyber risk</w:t>
      </w:r>
    </w:p>
    <w:p>
      <w:pPr>
        <w:pStyle w:val="FirstParagraph"/>
        <w:spacing w:line="480" w:lineRule="auto"/>
      </w:pPr>
      <w:r>
        <w:t xml:space="preserve">Several sources in the shared pool come from space sustainability and SDA rather than from a narrowly defined cybersecurity literature. Letizia and colleagues show how SSA data contribute to sustainability ratings</w:t>
      </w:r>
      <w:r>
        <w:t xml:space="preserve"> </w:t>
      </w:r>
      <w:hyperlink w:anchor="ref-13">
        <w:r>
          <w:rPr>
            <w:rStyle w:val="Hyperlink"/>
          </w:rPr>
          <w:t xml:space="preserve">[13]</w:t>
        </w:r>
      </w:hyperlink>
      <w:r>
        <w:t xml:space="preserve">, Hejduk and colleagues examine autonomous conjunction assessment and deconfliction</w:t>
      </w:r>
      <w:r>
        <w:t xml:space="preserve"> </w:t>
      </w:r>
      <w:hyperlink w:anchor="ref-16">
        <w:r>
          <w:rPr>
            <w:rStyle w:val="Hyperlink"/>
          </w:rPr>
          <w:t xml:space="preserve">[16]</w:t>
        </w:r>
      </w:hyperlink>
      <w:r>
        <w:t xml:space="preserve">, Lifson and collaborators develop reference scenarios for space-environment modeling</w:t>
      </w:r>
      <w:r>
        <w:t xml:space="preserve"> </w:t>
      </w:r>
      <w:hyperlink w:anchor="ref-17">
        <w:r>
          <w:rPr>
            <w:rStyle w:val="Hyperlink"/>
          </w:rPr>
          <w:t xml:space="preserve">[17]</w:t>
        </w:r>
      </w:hyperlink>
      <w:r>
        <w:t xml:space="preserve">, and Smith, Jah, and Wood consider decision support for supervision of commercial in-space servicing</w:t>
      </w:r>
      <w:r>
        <w:t xml:space="preserve"> </w:t>
      </w:r>
      <w:hyperlink w:anchor="ref-26">
        <w:r>
          <w:rPr>
            <w:rStyle w:val="Hyperlink"/>
          </w:rPr>
          <w:t xml:space="preserve">[26]</w:t>
        </w:r>
      </w:hyperlink>
      <w:r>
        <w:t xml:space="preserve">. Each of these applications depends on trusted data and credible institutional signals. Cyber compromise can erode that trust when catalogs are corrupted, ephemerides are altered, alerts are false, or ground services are unavailable, because those failures can affect decisions across operators. The disclosure mechanisms studied here sit upstream of those applications, and when a compromised gateway mediates data used for safety, sustainability, or supervision, it stops being only an information-technology problem. Automation raises the consequences of weak data pedigree further still, since autonomous or agent-based decisions can propagate compromised inputs faster than human review</w:t>
      </w:r>
      <w:r>
        <w:t xml:space="preserve"> </w:t>
      </w:r>
      <w:hyperlink w:anchor="ref-1">
        <w:r>
          <w:rPr>
            <w:rStyle w:val="Hyperlink"/>
          </w:rPr>
          <w:t xml:space="preserve">[1]</w:t>
        </w:r>
      </w:hyperlink>
      <w:r>
        <w:t xml:space="preserve">[16][18]. Public vulnerability intelligence needs machine-readable identifiers and dates, but automated response also needs mission context.</w:t>
      </w:r>
    </w:p>
    <w:p>
      <w:pPr>
        <w:pStyle w:val="BodyText"/>
        <w:spacing w:line="480" w:lineRule="auto"/>
        <w:ind w:firstLine="720"/>
      </w:pPr>
      <w:r>
        <w:t xml:space="preserve">That governance requirement is layered. Open catalogs are needed for common defects, alongside trusted channels for exploit and deployment context, and local controls are needed for validated action.</w:t>
      </w:r>
    </w:p>
    <w:bookmarkEnd w:id="78"/>
    <w:bookmarkStart w:id="79" w:name="synthesis-and-research-gap"/>
    <w:p>
      <w:pPr>
        <w:pStyle w:val="Heading2"/>
        <w:spacing w:line="480" w:lineRule="auto"/>
      </w:pPr>
      <w:r>
        <w:t xml:space="preserve">2.9 Synthesis and research gap</w:t>
      </w:r>
    </w:p>
    <w:p>
      <w:pPr>
        <w:pStyle w:val="FirstParagraph"/>
        <w:spacing w:line="480" w:lineRule="auto"/>
      </w:pPr>
      <w:r>
        <w:t xml:space="preserve">Across the literature, five conclusions emerge, cutting across mission design, cybersecurity, disclosure, and institutional response. First, the ground segment functions both as a mission system and as a primary cyber boundary</w:t>
      </w:r>
      <w:r>
        <w:t xml:space="preserve"> </w:t>
      </w:r>
      <w:hyperlink w:anchor="ref-5">
        <w:r>
          <w:rPr>
            <w:rStyle w:val="Hyperlink"/>
          </w:rPr>
          <w:t xml:space="preserve">[5]</w:t>
        </w:r>
      </w:hyperlink>
      <w:r>
        <w:t xml:space="preserve">[7]. Second, useful response depends on workforce, architecture, and operational context</w:t>
      </w:r>
      <w:r>
        <w:t xml:space="preserve"> </w:t>
      </w:r>
      <w:hyperlink w:anchor="ref-2">
        <w:r>
          <w:rPr>
            <w:rStyle w:val="Hyperlink"/>
          </w:rPr>
          <w:t xml:space="preserve">[2]</w:t>
        </w:r>
      </w:hyperlink>
      <w:r>
        <w:t xml:space="preserve">[6]. Third, NVD severity and KEV exploitation status capture different information states</w:t>
      </w:r>
      <w:r>
        <w:t xml:space="preserve"> </w:t>
      </w:r>
      <w:hyperlink w:anchor="ref-9">
        <w:r>
          <w:rPr>
            <w:rStyle w:val="Hyperlink"/>
          </w:rPr>
          <w:t xml:space="preserve">[9]</w:t>
        </w:r>
      </w:hyperlink>
      <w:r>
        <w:t xml:space="preserve">[10], and those states differ in kind. Fourth, disclosure can support market discipline, yet a government product notice is not equivalent to an issuer’s material-incident filing</w:t>
      </w:r>
      <w:r>
        <w:t xml:space="preserve"> </w:t>
      </w:r>
      <w:hyperlink w:anchor="ref-11">
        <w:r>
          <w:rPr>
            <w:rStyle w:val="Hyperlink"/>
          </w:rPr>
          <w:t xml:space="preserve">[11]</w:t>
        </w:r>
      </w:hyperlink>
      <w:r>
        <w:t xml:space="preserve">. Fifth, institutional capacity can dominate technical attributes in escalation timing</w:t>
      </w:r>
      <w:r>
        <w:t xml:space="preserve"> </w:t>
      </w:r>
      <w:hyperlink w:anchor="ref-8">
        <w:r>
          <w:rPr>
            <w:rStyle w:val="Hyperlink"/>
          </w:rPr>
          <w:t xml:space="preserve">[8]</w:t>
        </w:r>
      </w:hyperlink>
      <w:r>
        <w:t xml:space="preserve">[20].</w:t>
      </w:r>
    </w:p>
    <w:p>
      <w:pPr>
        <w:pStyle w:val="BodyText"/>
        <w:spacing w:line="480" w:lineRule="auto"/>
        <w:ind w:firstLine="720"/>
      </w:pPr>
      <w:r>
        <w:t xml:space="preserve">Empirical integration remains the gap. No source in the retrieved space literature estimates vendor equity responses around KEV addition, and none tests whether CVSS, edge exposure, and ransomware association predict 30-day KEV escalation for ground-system-relevant products. This dissertation contributes those two tests using auditable public records.</w:t>
      </w:r>
    </w:p>
    <w:p>
      <w:pPr>
        <w:pStyle w:val="BodyText"/>
        <w:spacing w:line="480" w:lineRule="auto"/>
        <w:ind w:firstLine="720"/>
      </w:pPr>
      <w:r>
        <w:t xml:space="preserve">Interpretation is also bounded by the literature. A null equity result cannot be read as evidence of low mission risk, since it addresses only whether vendor equity responses show the market sanction tested in the observed event windows, and a weak technical-attribute logit cannot be read as evidence that severity and ransomware are irrelevant to remediation, since it addresses only whether the public attributes in the test reproduce the government’s rapid-escalation decisions. Each result limits a specific mechanism rather than the underlying operational hazard or remediation need: markets do not impose a consistent attribute-conditioned sanction in the observed event windows, and public attributes do not reproduce the government’s rapid-escalation decisions. This reading keeps the scope of inference aligned with the tests rather than with broader claims about space-system exposure. These limits point toward direct operational governance, data pedigree, and trusted sharing as complements that public disclosure cannot replace, while leaving intact the literature’s warning that mission risk and remediation urgency cannot be inferred from the absence of an equity response or from a weak public-attribute model.</w:t>
      </w:r>
    </w:p>
    <w:bookmarkEnd w:id="79"/>
    <w:bookmarkStart w:id="80" w:name="Xd30233f804334db304c140b20270574b6997abc"/>
    <w:p>
      <w:pPr>
        <w:pStyle w:val="Heading2"/>
        <w:spacing w:line="480" w:lineRule="auto"/>
      </w:pPr>
      <w:r>
        <w:t xml:space="preserve">2.10 Disclosure event studies and the problem of event novelty</w:t>
      </w:r>
    </w:p>
    <w:p>
      <w:pPr>
        <w:pStyle w:val="FirstParagraph"/>
        <w:spacing w:line="480" w:lineRule="auto"/>
      </w:pPr>
      <w:r>
        <w:t xml:space="preserve">Event studies infer information content from prices around a dated public event, and their appeal is strongest when the event is unexpected, the date is precise, trading is liquid, and no other firm-specific news contaminates the window. Cyber disclosure rarely satisfies that full set of conditions, since vulnerability information can emerge through a sequence of researcher reports, vendor advisories, NVD publication, exploit-code release, incident reporting, government catalog action, and remediation updates, with each date revealing a different part of the same underlying risk. KEV dateAdded offers two advantages, consistent recording and a clear institutional meaning, and one limitation, novelty. By the time CISA confirms exploitation, a vendor may already have published an advisory and the market may already have absorbed the defect, so the observed return may capture confirmation or federal salience rather than initial discovery. For that reason, the first paper does not label the coefficient a total cyber-loss effect.</w:t>
      </w:r>
    </w:p>
    <w:p>
      <w:pPr>
        <w:pStyle w:val="BodyText"/>
        <w:spacing w:line="480" w:lineRule="auto"/>
        <w:ind w:firstLine="720"/>
      </w:pPr>
      <w:r>
        <w:t xml:space="preserve">Under the SEC framework, materiality is assessed from the perspective of a reasonable investor</w:t>
      </w:r>
      <w:r>
        <w:t xml:space="preserve"> </w:t>
      </w:r>
      <w:hyperlink w:anchor="ref-11">
        <w:r>
          <w:rPr>
            <w:rStyle w:val="Hyperlink"/>
          </w:rPr>
          <w:t xml:space="preserve">[11]</w:t>
        </w:r>
      </w:hyperlink>
      <w:r>
        <w:t xml:space="preserve">, and product vulnerabilities and issuer incidents can differ under that standard. A vulnerability in a widely deployed product may be operationally serious for customers while producing uncertain vendor-level financial effects, whereas an intrusion into the vendor’s own systems can be material through direct disruption, data loss, or liability. The two are not interchangeable, and the literature therefore requires separate event taxonomies rather than treating all cyber disclosures alike.</w:t>
      </w:r>
    </w:p>
    <w:p>
      <w:pPr>
        <w:pStyle w:val="BodyText"/>
        <w:spacing w:line="480" w:lineRule="auto"/>
        <w:ind w:firstLine="720"/>
      </w:pPr>
      <w:r>
        <w:t xml:space="preserve">Event-window choice embeds a theory. A one-day window privileges immediate market processing and reduces confounding; a five-day window permits diffusion across time zones and slower interpretation but admits more unrelated news; longer windows can capture delayed customer and regulatory responses while weakening attribution. The five-day window used here represents a middle position suited to globally listed vendors and a common government notice. Benchmark selection also matters for international samples, since a domestic index can mismeasure events for foreign listings, while ACWI supplies a broad global reference that does not remove industry, currency, or firm-beta exposure. Market adjustment is therefore treated in the literature as one level in a hierarchy of designs: larger samples can estimate firm-specific expected returns, sector factors, and clustered uncertainty, whereas small provenance-first samples should not imply that additional estimated parameters are known precisely.</w:t>
      </w:r>
    </w:p>
    <w:p>
      <w:pPr>
        <w:pStyle w:val="BodyText"/>
        <w:spacing w:line="480" w:lineRule="auto"/>
        <w:ind w:firstLine="720"/>
      </w:pPr>
      <w:r>
        <w:t xml:space="preserve">Null event results can reflect anticipated information, small expected cash-flow effects, positive remediation evidence offsetting negative defect information, limited power, or dominant confounding. Responsible reviews keep these explanations distinct, because a null estimate alone demonstrates neither market efficiency, market indifference, nor operational safety.</w:t>
      </w:r>
    </w:p>
    <w:bookmarkEnd w:id="80"/>
    <w:bookmarkStart w:id="81" w:name="Xd3f01675a74d071d65d0c4d6cf3fae177a30283"/>
    <w:p>
      <w:pPr>
        <w:pStyle w:val="Heading2"/>
        <w:spacing w:line="480" w:lineRule="auto"/>
      </w:pPr>
      <w:r>
        <w:t xml:space="preserve">2.11 Economics of cyber externalities in space infrastructure</w:t>
      </w:r>
    </w:p>
    <w:p>
      <w:pPr>
        <w:pStyle w:val="FirstParagraph"/>
        <w:spacing w:line="480" w:lineRule="auto"/>
      </w:pPr>
      <w:r>
        <w:t xml:space="preserve">Supplier-operator relations create an incidence problem: a vendor develops a product used across industries, while an operator embeds that product within a mission architecture. When a vulnerability originates in the product, loss depends on the specific context of deployment, so the vendor, the operator, public stakeholders, and international partners may absorb different portions of the resulting harm. Space missions sharpen this separation, because some outputs have public-good characteristics, and scientific observations, weather data, navigation, communications, and safety services generate value beyond the purchasing organization. Weinzierl’s account of space economics emphasizes public investment, spillovers, and institutional arrangements that shape private activity</w:t>
      </w:r>
      <w:r>
        <w:t xml:space="preserve"> </w:t>
      </w:r>
      <w:hyperlink w:anchor="ref-4">
        <w:r>
          <w:rPr>
            <w:rStyle w:val="Hyperlink"/>
          </w:rPr>
          <w:t xml:space="preserve">[4]</w:t>
        </w:r>
      </w:hyperlink>
      <w:r>
        <w:t xml:space="preserve">. Cyber disruption can therefore destroy value that never appears in the supplier’s revenue account. Market discipline operates through costs expected to reach the listed firm, so customer remediation, delayed mission operations, or losses in public-service provision affect vendor price only when contracts, reputation, switching, liability, or future sales transmit those costs back to the supplier. High switching costs can weaken that transmission: if a mission has been validated around a specific product, the customer may be unable to exit quickly, which limits immediate revenue consequences even as operational risk rises.</w:t>
      </w:r>
    </w:p>
    <w:p>
      <w:pPr>
        <w:pStyle w:val="BodyText"/>
        <w:spacing w:line="480" w:lineRule="auto"/>
        <w:ind w:firstLine="720"/>
      </w:pPr>
      <w:r>
        <w:t xml:space="preserve">Procurement can internalize part of the externality through service levels, notification duties, supported lifecycles, audit rights, and performance evaluation that connect product-security behavior to economic outcomes. Regulation can set minimum disclosure and governance duties, trusted sharing can reduce information asymmetry, and architecture can limit the scale of loss. Across these instruments the literature identifies several forms of discipline, of which equity response is only one.</w:t>
      </w:r>
    </w:p>
    <w:p>
      <w:pPr>
        <w:pStyle w:val="BodyText"/>
        <w:spacing w:line="480" w:lineRule="auto"/>
        <w:ind w:firstLine="720"/>
      </w:pPr>
      <w:r>
        <w:t xml:space="preserve">Supplier diversity does not automatically produce resilience under this perspective. Multiple vendors may rely on shared libraries, protocols, cloud services, or update infrastructure, so apparent organizational diversity can conceal technical common mode, and concentration is not only organizational. A single vendor may conversely support several isolated implementations with different exposure profiles, so data on dependency pedigree are necessary to identify concentration.</w:t>
      </w:r>
    </w:p>
    <w:bookmarkEnd w:id="81"/>
    <w:bookmarkStart w:id="82" w:name="Xf4c52b7f34a7f70142ac103942ba08c0fc26174"/>
    <w:p>
      <w:pPr>
        <w:pStyle w:val="Heading2"/>
        <w:spacing w:line="480" w:lineRule="auto"/>
      </w:pPr>
      <w:r>
        <w:t xml:space="preserve">2.12 Vulnerability prioritization as a decision problem</w:t>
      </w:r>
    </w:p>
    <w:p>
      <w:pPr>
        <w:pStyle w:val="FirstParagraph"/>
        <w:spacing w:line="480" w:lineRule="auto"/>
      </w:pPr>
      <w:r>
        <w:t xml:space="preserve">Prioritization turns incomplete evidence into an ordered set of actions, and each layer of evidence alters the decision. CVSS provides a technical baseline, KEV contributes evidence of exploitation, and local consequence supplies mission context. A queue ranked only by CVSS assumes that technical severity increases monotonically with expected loss, an assumption that weakens when reachability, required privileges, product prevalence, and mission consequence differ across environments. A KEV-first queue makes a different assumption, that confirmed exploitation outweighs other forms of uncertainty; that approach can sharpen focus even though a mission may still face a non-KEV defect with public exploit code and direct exposure. A local-only queue, by contrast, can miss campaign evidence observed across organizations, so effective prioritization requires evidence from multiple levels. This dissertation’s rapid-escalation logit tests whether three public attributes reproduce one institutional outcome, and its weak fit suggests that CISA’s action depends on additional evidence, which aligns with prioritization as a decision process rather than a score threshold. Analysts integrate exploitation confirmation, affected federal assets, vendor response, confidence, and campaign observations. For operators, the relevant model is expected mission loss under available controls, with inputs that include probability of exploitation, consequence, exposure duration, detection capability, mitigation cost, and change risk. KEV can raise the estimated probability while CVSS can inform technical consequence, and asset and mission data provide the remaining terms. No single public field provides a complete decision rule.</w:t>
      </w:r>
    </w:p>
    <w:p>
      <w:pPr>
        <w:pStyle w:val="BodyText"/>
        <w:spacing w:line="480" w:lineRule="auto"/>
        <w:ind w:firstLine="720"/>
      </w:pPr>
      <w:r>
        <w:t xml:space="preserve">Decision quality also requires calibration. Organizations should compare predicted priority with later exploitation and incident outcomes, because without feedback local scoring systems can become elaborate expressions of expert preference. A measurement program should record why a vulnerability received a given priority, when controls were applied, and what evidence later emerged.</w:t>
      </w:r>
    </w:p>
    <w:bookmarkEnd w:id="82"/>
    <w:bookmarkStart w:id="83" w:name="Xa8c7e1d9caedd05fecc0522975726d9bf2b2d5b"/>
    <w:p>
      <w:pPr>
        <w:pStyle w:val="Heading2"/>
        <w:spacing w:line="480" w:lineRule="auto"/>
      </w:pPr>
      <w:r>
        <w:t xml:space="preserve">2.13 Literature-derived expectations for empirical interpretation</w:t>
      </w:r>
    </w:p>
    <w:p>
      <w:pPr>
        <w:pStyle w:val="FirstParagraph"/>
        <w:spacing w:line="480" w:lineRule="auto"/>
      </w:pPr>
      <w:r>
        <w:t xml:space="preserve">Across the joined literature, six expectations guide the interpretation of Chapters 6 and 7. First, ground-system relevance is a deployment property, so relevance is established through deployment, yet product class remains a defensible public proxy because space architectures rely on commercial edge and control products</w:t>
      </w:r>
      <w:r>
        <w:t xml:space="preserve"> </w:t>
      </w:r>
      <w:hyperlink w:anchor="ref-5">
        <w:r>
          <w:rPr>
            <w:rStyle w:val="Hyperlink"/>
          </w:rPr>
          <w:t xml:space="preserve">[5]</w:t>
        </w:r>
      </w:hyperlink>
      <w:r>
        <w:t xml:space="preserve">[7]. Second, KEV is an institutional event with strong pedigree, although its novelty is uncertain</w:t>
      </w:r>
      <w:r>
        <w:t xml:space="preserve"> </w:t>
      </w:r>
      <w:hyperlink w:anchor="ref-9">
        <w:r>
          <w:rPr>
            <w:rStyle w:val="Hyperlink"/>
          </w:rPr>
          <w:t xml:space="preserve">[9]</w:t>
        </w:r>
      </w:hyperlink>
      <w:r>
        <w:t xml:space="preserve">. Third, CVSS provides a severity input rather than a complete model of exploitation or of mission impact</w:t>
      </w:r>
      <w:r>
        <w:t xml:space="preserve"> </w:t>
      </w:r>
      <w:hyperlink w:anchor="ref-10">
        <w:r>
          <w:rPr>
            <w:rStyle w:val="Hyperlink"/>
          </w:rPr>
          <w:t xml:space="preserve">[10]</w:t>
        </w:r>
      </w:hyperlink>
      <w:r>
        <w:t xml:space="preserve">. Fourth, market price captures vendor financial incidence, not total mission consequence</w:t>
      </w:r>
      <w:r>
        <w:t xml:space="preserve"> </w:t>
      </w:r>
      <w:hyperlink w:anchor="ref-4">
        <w:r>
          <w:rPr>
            <w:rStyle w:val="Hyperlink"/>
          </w:rPr>
          <w:t xml:space="preserve">[4]</w:t>
        </w:r>
      </w:hyperlink>
      <w:r>
        <w:t xml:space="preserve">[11]. Fifth, rapid escalation reflects institutional capacity and evidence that are not fully visible in public fields</w:t>
      </w:r>
      <w:r>
        <w:t xml:space="preserve"> </w:t>
      </w:r>
      <w:hyperlink w:anchor="ref-8">
        <w:r>
          <w:rPr>
            <w:rStyle w:val="Hyperlink"/>
          </w:rPr>
          <w:t xml:space="preserve">[8]</w:t>
        </w:r>
      </w:hyperlink>
      <w:r>
        <w:t xml:space="preserve">[20]. Sixth, actionability depends on trusted context and on data pedigree</w:t>
      </w:r>
      <w:r>
        <w:t xml:space="preserve"> </w:t>
      </w:r>
      <w:hyperlink w:anchor="ref-6">
        <w:r>
          <w:rPr>
            <w:rStyle w:val="Hyperlink"/>
          </w:rPr>
          <w:t xml:space="preserve">[6]</w:t>
        </w:r>
      </w:hyperlink>
      <w:r>
        <w:t xml:space="preserve">[18][19]. These expectations guard against two errors: dismissing disclosure because simple models have low fit, and overstating public signals because their proposed mechanisms appear plausible. Taken together, the literature supports a layered conclusion, in which common catalogs are necessary coordination infrastructure, while markets, institutions, and operators transform disclosed information in different ways from one another.</w:t>
      </w:r>
    </w:p>
    <w:p>
      <w:pPr>
        <w:pStyle w:val="BodyText"/>
        <w:spacing w:line="480" w:lineRule="auto"/>
        <w:ind w:firstLine="720"/>
      </w:pPr>
      <w:r>
        <w:t xml:space="preserve">For this dissertation, then, the research gap is not closed by a single statistically significant coefficient. It is addressed through an auditable comparison between what public mechanisms are expected to do and what the observed data can establish. The literature defines the mechanisms, the empirical papers test them, and the governance analysis assigns responsibilities where those mechanisms remain incomplete.</w:t>
      </w:r>
    </w:p>
    <w:bookmarkEnd w:id="83"/>
    <w:bookmarkEnd w:id="84"/>
    <w:bookmarkStart w:id="99" w:name="Xcfcc00a3ded59aed0c781c16bfc121f2a509603"/>
    <w:p>
      <w:pPr>
        <w:pStyle w:val="Heading1"/>
        <w:spacing w:line="480" w:lineRule="auto"/>
      </w:pPr>
      <w:r>
        <w:t xml:space="preserve">Chapter 3. Theoretical Framework and Hypotheses</w:t>
      </w:r>
    </w:p>
    <w:bookmarkStart w:id="85" w:name="a-disclosure-to-discipline-framework"/>
    <w:p>
      <w:pPr>
        <w:pStyle w:val="Heading2"/>
        <w:spacing w:line="480" w:lineRule="auto"/>
      </w:pPr>
      <w:r>
        <w:t xml:space="preserve">3.1 A disclosure-to-discipline framework</w:t>
      </w:r>
    </w:p>
    <w:p>
      <w:pPr>
        <w:pStyle w:val="FirstParagraph"/>
        <w:spacing w:line="480" w:lineRule="auto"/>
      </w:pPr>
      <w:r>
        <w:t xml:space="preserve">This dissertation does not treat disclosure as the endpoint of analysis. Its theoretical object is the chain through which information moves from a technical defect to organizational consequences, and that chain has five stages: vulnerability publication, evidence of exploitation, public escalation, interpretation by market and operational actors, and action. If any link fails, observed discipline may weaken even when the underlying technical risk is real. NVD publication provides a standardized identifier and severity record</w:t>
      </w:r>
      <w:r>
        <w:t xml:space="preserve"> </w:t>
      </w:r>
      <w:hyperlink w:anchor="ref-10">
        <w:r>
          <w:rPr>
            <w:rStyle w:val="Hyperlink"/>
          </w:rPr>
          <w:t xml:space="preserve">[10]</w:t>
        </w:r>
      </w:hyperlink>
      <w:r>
        <w:t xml:space="preserve">, while CISA KEV addition provides a government determination that exploitation has occurred in the wild</w:t>
      </w:r>
      <w:r>
        <w:t xml:space="preserve"> </w:t>
      </w:r>
      <w:hyperlink w:anchor="ref-9">
        <w:r>
          <w:rPr>
            <w:rStyle w:val="Hyperlink"/>
          </w:rPr>
          <w:t xml:space="preserve">[9]</w:t>
        </w:r>
      </w:hyperlink>
      <w:r>
        <w:t xml:space="preserve">. Equity investors may then revise beliefs about product quality, remediation cost, customer reaction, and managerial controls, while operators may revise remediation priority. This dissertation models two transitions in that chain: first, the transition from KEV addition to vendor equity response, and second, the transition from public vulnerability attributes to rapid KEV addition. The framework distinguishes three kinds of value. Technical severity refers to potential impact under stated conditions; operational salience refers to the consequence for a particular deployed system; economic materiality refers to the expected effect on the listed vendor. These values can diverge, since a severe defect may be absent from a mission’s configuration, a moderate defect may expose a privileged ground-system path, and a mission-threatening defect may create only a small cost for a diversified supplier. The hypotheses therefore test alignment among these values rather than assuming that they are identical.</w:t>
      </w:r>
    </w:p>
    <w:bookmarkEnd w:id="85"/>
    <w:bookmarkStart w:id="86" w:name="X53d755da5624c280a9c7819dfb530c74aa25633"/>
    <w:p>
      <w:pPr>
        <w:pStyle w:val="Heading2"/>
        <w:spacing w:line="480" w:lineRule="auto"/>
      </w:pPr>
      <w:r>
        <w:t xml:space="preserve">3.2 Information salience and the equity channel</w:t>
      </w:r>
    </w:p>
    <w:p>
      <w:pPr>
        <w:pStyle w:val="FirstParagraph"/>
        <w:spacing w:line="480" w:lineRule="auto"/>
      </w:pPr>
      <w:r>
        <w:t xml:space="preserve">Market discipline begins when the information set changes. Under an efficient-information account, a new public fact affects price when it changes expected future cash flows or risk, and KEV addition can reach equity values through four pathways. Cost is one route. Vendors may need to investigate, develop patches, expand customer support, and maintain older product branches. Revenue is another, since customers may delay purchases, demand concessions, or move to alternatives. A third pathway involves liability and regulation, particularly when confirmed exploitation raises the probability of litigation, contractual claims, or regulatory scrutiny. Reputation is the fourth, since repeated high-severity entries can alter beliefs about secure development and governance, especially when investors read the entries as evidence about organizational control rather than as isolated technical failures. These pathways do not mean that every KEV event should produce a negative return. Investors may learn about the vulnerability before CISA acts, a vendor may already have issued a patch and contained the economic exposure, the affected product may represent only a small revenue share, and disclosure can reduce uncertainty if investors previously feared a broader defect. Conditional on the common event definition, the theory predicts negative marginal effects from attributes that increase the event’s salience.</w:t>
      </w:r>
    </w:p>
    <w:p>
      <w:pPr>
        <w:pStyle w:val="BodyText"/>
        <w:spacing w:line="480" w:lineRule="auto"/>
        <w:ind w:firstLine="720"/>
      </w:pPr>
      <w:r>
        <w:t xml:space="preserve">Salience also varies with the observable features of the KEV entry. CVSS should increase salience because it summarizes exploitability and impact. Edge status should increase salience because an internet-facing gateway is broadly reachable and commonly protects privileged access. Ransomware association should increase expected attack frequency and customer cost, and the post-BOD regime should increase the authority and routine interpretation of KEV as a federal action signal, so each attribute is expected to shift the abnormal return downward.</w:t>
      </w:r>
    </w:p>
    <w:p>
      <w:pPr>
        <w:pStyle w:val="BodyText"/>
        <w:spacing w:line="480" w:lineRule="auto"/>
        <w:ind w:firstLine="720"/>
      </w:pPr>
      <w:r>
        <w:t xml:space="preserve">For this channel to operate at the KEV date, the event must contain information not already priced. Anticipation weakens the measured response. If the total information effect of a vulnerability is divided between a pre-event component and a KEV-date component, the event study observes only the KEV-date component, so when vendor advisories or researcher disclosures carry most of the information, the KEV coefficient can be near zero even if the total vulnerability effect is negative. The empirical result must therefore be interpreted as discipline at KEV addition, not discipline across the entire disclosure lifecycle.</w:t>
      </w:r>
    </w:p>
    <w:bookmarkEnd w:id="86"/>
    <w:bookmarkStart w:id="87" w:name="X223a1a620171bb67e44154a2d176f1b24686007"/>
    <w:p>
      <w:pPr>
        <w:pStyle w:val="Heading2"/>
        <w:spacing w:line="480" w:lineRule="auto"/>
      </w:pPr>
      <w:r>
        <w:t xml:space="preserve">3.3 Externalities and the supplier-operator wedge</w:t>
      </w:r>
    </w:p>
    <w:p>
      <w:pPr>
        <w:pStyle w:val="FirstParagraph"/>
        <w:spacing w:line="480" w:lineRule="auto"/>
      </w:pPr>
      <w:r>
        <w:t xml:space="preserve">Mission disruption, loss of scientific data, degraded public safety, or national-security consequences may exceed the vendor’s contractual exposure, and that gap is an externality. Market effects depend on who bears the loss, since space operators deploy commercial products while shareholders of the listed vendor price vendor-level costs. Weinzierl describes the space economy as a domain in which public procurement, spillovers, and private incentives interact</w:t>
      </w:r>
      <w:r>
        <w:t xml:space="preserve"> </w:t>
      </w:r>
      <w:hyperlink w:anchor="ref-4">
        <w:r>
          <w:rPr>
            <w:rStyle w:val="Hyperlink"/>
          </w:rPr>
          <w:t xml:space="preserve">[4]</w:t>
        </w:r>
      </w:hyperlink>
      <w:r>
        <w:t xml:space="preserve">. Cybersecurity introduces a related wedge among operators, vendors, and the public: operators value mission continuity, vendors value support cost, sales, and liability, and the public values the services and security affected by the mission. A single market price aggregates only the portion of those consequences expected to reach the vendor’s cash flows, so consequences that remain with operators or the public need not be fully capitalized into the listed vendor’s equity. The prediction is conditional. Market discipline should be strongest when the vulnerability is severe, widely exposed, monetized by ransomware, and institutionally salient, and it can remain weak when contracts limit vendor liability or when customer switching is costly. Ground systems often have high switching costs because products are integrated with mission-specific configurations and validated processes, so a weak equity response can coexist with a strong operator need for remediation.</w:t>
      </w:r>
    </w:p>
    <w:p>
      <w:pPr>
        <w:pStyle w:val="BodyText"/>
        <w:spacing w:line="480" w:lineRule="auto"/>
        <w:ind w:firstLine="720"/>
      </w:pPr>
      <w:r>
        <w:t xml:space="preserve">This externality framework explains why the dissertation does not equate H0 with harmlessness. H0 states that observed attributes do not produce stable abnormal-return penalties; it does not state that affected missions face no risk. This distinction is central to the governance implications in Chapter 7.</w:t>
      </w:r>
    </w:p>
    <w:bookmarkEnd w:id="87"/>
    <w:bookmarkStart w:id="88" w:name="X022d43f4d009f245d09326ec6f43b7e568a661e"/>
    <w:p>
      <w:pPr>
        <w:pStyle w:val="Heading2"/>
        <w:spacing w:line="480" w:lineRule="auto"/>
      </w:pPr>
      <w:r>
        <w:t xml:space="preserve">3.4 Institutional capacity and rapid escalation</w:t>
      </w:r>
    </w:p>
    <w:p>
      <w:pPr>
        <w:pStyle w:val="FirstParagraph"/>
        <w:spacing w:line="480" w:lineRule="auto"/>
      </w:pPr>
      <w:r>
        <w:t xml:space="preserve">A second empirical channel concerns government action. A vulnerability enters KEV when CISA has evidence of exploitation and determines that public cataloging is warranted</w:t>
      </w:r>
      <w:r>
        <w:t xml:space="preserve"> </w:t>
      </w:r>
      <w:hyperlink w:anchor="ref-9">
        <w:r>
          <w:rPr>
            <w:rStyle w:val="Hyperlink"/>
          </w:rPr>
          <w:t xml:space="preserve">[9]</w:t>
        </w:r>
      </w:hyperlink>
      <w:r>
        <w:t xml:space="preserve">, and its timing reflects both adversary behavior and institutional capacity. Adversary behavior shapes the onset of exploitation and the extent to which exploitation becomes visible. Technical severity may make exploitation easier or more consequential, but it does not determine target prevalence or campaign incentives. Edge exposure creates reachability and scanning opportunity, and ransomware adoption generates repeated incidents and observable disruption, so these attributes motivate the directional hypotheses in the logit models. Capacity matters too. Institutional capacity shapes detection, validation, information sharing, and publication, since monitoring systems collect telemetry, vendors and researchers report exploitation, analysts assess confidence, and legal and policy processes authorize catalog action. BOD 22-01 gave KEV a routine role and connected entries to federal remediation, so the post-2021 regime changed the measurement process as well as the set of vulnerabilities being measured. Observed duration from NVD publication to KEV addition can therefore be represented as the sum of three latent intervals: time to exploitation, time from exploitation to detection, and time from detection to public action. CVSS, edge status, and ransomware may influence the first two intervals, while institutional capacity influences the second and third. Because the public dataset does not observe the latent boundaries, a weak relationship between technical attributes and total duration can arise when institutional variance dominates those attributes.</w:t>
      </w:r>
    </w:p>
    <w:p>
      <w:pPr>
        <w:pStyle w:val="BodyText"/>
        <w:spacing w:line="480" w:lineRule="auto"/>
        <w:ind w:firstLine="720"/>
      </w:pPr>
      <w:r>
        <w:t xml:space="preserve">Era patterns in the data illustrate this point. Vulnerabilities published before KEV existed can be added years later during catalog construction, while vulnerabilities published under the mature regime can be added within days. An era indicator creates complete separation because rapid cases are absent in the earlier cohort. That separation indicates regime dependence, yet in the small sample it prevents an ordinary finite maximum-likelihood estimate, so the stable logit excludes the era indicator and interprets the raw pattern separately.</w:t>
      </w:r>
    </w:p>
    <w:bookmarkEnd w:id="88"/>
    <w:bookmarkStart w:id="89" w:name="data-pedigree-and-actionability"/>
    <w:p>
      <w:pPr>
        <w:pStyle w:val="Heading2"/>
        <w:spacing w:line="480" w:lineRule="auto"/>
      </w:pPr>
      <w:r>
        <w:t xml:space="preserve">3.5 Data pedigree and actionability</w:t>
      </w:r>
    </w:p>
    <w:p>
      <w:pPr>
        <w:pStyle w:val="FirstParagraph"/>
        <w:spacing w:line="480" w:lineRule="auto"/>
      </w:pPr>
      <w:r>
        <w:t xml:space="preserve">Disclosure discipline depends on credible information, not simply on the presence of a public entry. Allington and colleagues locate data trust and external boundaries within secure SDA architecture</w:t>
      </w:r>
      <w:r>
        <w:t xml:space="preserve"> </w:t>
      </w:r>
      <w:hyperlink w:anchor="ref-5">
        <w:r>
          <w:rPr>
            <w:rStyle w:val="Hyperlink"/>
          </w:rPr>
          <w:t xml:space="preserve">[5]</w:t>
        </w:r>
      </w:hyperlink>
      <w:r>
        <w:t xml:space="preserve">[15], Schultz and colleagues treat pedigree as a condition for automated insight</w:t>
      </w:r>
      <w:r>
        <w:t xml:space="preserve"> </w:t>
      </w:r>
      <w:hyperlink w:anchor="ref-18">
        <w:r>
          <w:rPr>
            <w:rStyle w:val="Hyperlink"/>
          </w:rPr>
          <w:t xml:space="preserve">[18]</w:t>
        </w:r>
      </w:hyperlink>
      <w:r>
        <w:t xml:space="preserve">, and Tsamis and colleagues emphasize information that is operationally relevant rather than merely available</w:t>
      </w:r>
      <w:r>
        <w:t xml:space="preserve"> </w:t>
      </w:r>
      <w:hyperlink w:anchor="ref-6">
        <w:r>
          <w:rPr>
            <w:rStyle w:val="Hyperlink"/>
          </w:rPr>
          <w:t xml:space="preserve">[6]</w:t>
        </w:r>
      </w:hyperlink>
      <w:r>
        <w:t xml:space="preserve">[12]. Together these arguments support a pedigree-actionability mechanism, because pedigree gives the disclosed record credibility while actionability depends on whether the record can be connected to the local decisions that follow from it. CISA and NVD have strong institutional pedigree, and each record is versioned and linked to a CVE. Public fields, however, do not contain every fact required for local action, since an operator needs asset inventory, affected version, configuration, exposure path, mission consequence, and compensating controls; investors need product revenue, remediation cost, customer response, insurance, and liability; and CISA needs exploitation evidence and confidence. The same public record is therefore interpreted through different private contexts, with operators, investors, and CISA drawing on information that sits outside the shared catalog even when the CVE link and record version are public.</w:t>
      </w:r>
    </w:p>
    <w:p>
      <w:pPr>
        <w:pStyle w:val="BodyText"/>
        <w:spacing w:line="480" w:lineRule="auto"/>
        <w:ind w:firstLine="720"/>
      </w:pPr>
      <w:r>
        <w:t xml:space="preserve">Public disclosure can be necessary but insufficient: it coordinates attention and supplies a common identifier, yet discipline also depends on complementary information held by actors. For that reason, weak empirical models can be read as evidence of missing contextual variables rather than as failure of the catalogs’ public purpose.</w:t>
      </w:r>
    </w:p>
    <w:bookmarkEnd w:id="89"/>
    <w:bookmarkStart w:id="90" w:name="hypothesis-family-one-equity-response"/>
    <w:p>
      <w:pPr>
        <w:pStyle w:val="Heading2"/>
        <w:spacing w:line="480" w:lineRule="auto"/>
      </w:pPr>
      <w:r>
        <w:t xml:space="preserve">3.6 Hypothesis family one: equity response</w:t>
      </w:r>
    </w:p>
    <w:p>
      <w:pPr>
        <w:pStyle w:val="FirstParagraph"/>
        <w:spacing w:line="480" w:lineRule="auto"/>
      </w:pPr>
      <w:r>
        <w:t xml:space="preserve">Across the first empirical paper, the dependent quantity is the five-day abnormal return following KEV addition, and the empirical specification treats that return as a function of a constant plus separate coefficients for CVSS severity, edge status, ransomware association, and post-BOD publication, with a residual term carrying whatever remains outside those included predictors. That residual captures firm-specific news, anticipation, product importance, and market factors not removed by the ACWI adjustment, so the coefficient tests are read as partial associations rather than as a complete account of every influence on the vendor equity return. Four subhypotheses map directly onto the model coefficients: H1A1 predicts a negative CVSS coefficient, H1A2 predicts a negative edge coefficient, H1A3 predicts a negative ransomware coefficient, and H1A4 predicts a negative post-BOD coefficient. This coefficient-by-coefficient structure keeps those four tests aligned with the CVSS, edge, ransomware, and post-BOD terms in the model. Direction carries the inference: a significant negative estimate supports the corresponding market-discipline mechanism, a non-significant estimate fails to establish it, and a positive estimate contradicts the predicted direction for the observed event window.</w:t>
      </w:r>
    </w:p>
    <w:p>
      <w:pPr>
        <w:pStyle w:val="BodyText"/>
        <w:spacing w:line="480" w:lineRule="auto"/>
        <w:ind w:firstLine="720"/>
      </w:pPr>
      <w:r>
        <w:t xml:space="preserve">H0A: CVSS severity, edge-product status, ransomware association, and the post-BOD regime have no partial association with the five-day abnormal vendor equity return following KEV addition.</w:t>
      </w:r>
    </w:p>
    <w:p>
      <w:pPr>
        <w:pStyle w:val="BodyText"/>
        <w:spacing w:line="480" w:lineRule="auto"/>
        <w:ind w:firstLine="720"/>
      </w:pPr>
      <w:r>
        <w:t xml:space="preserve">H1A: Higher CVSS severity, edge-product status, ransomware association, and the post-BOD regime each produce a more negative five-day abnormal return.</w:t>
      </w:r>
    </w:p>
    <w:p>
      <w:pPr>
        <w:pStyle w:val="BodyText"/>
        <w:spacing w:line="480" w:lineRule="auto"/>
        <w:ind w:firstLine="720"/>
      </w:pPr>
      <w:r>
        <w:t xml:space="preserve">Inference uses a five percent primary threshold, with exact p values reported. Given the small sample, confidence intervals and effect magnitude carry interpretive weight alongside threshold classification, and joint fit is assessed using R-squared, adjusted R-squared, and the robust F test.</w:t>
      </w:r>
    </w:p>
    <w:bookmarkEnd w:id="90"/>
    <w:bookmarkStart w:id="91" w:name="hypothesis-family-two-rapid-escalation"/>
    <w:p>
      <w:pPr>
        <w:pStyle w:val="Heading2"/>
        <w:spacing w:line="480" w:lineRule="auto"/>
      </w:pPr>
      <w:r>
        <w:t xml:space="preserve">3.7 Hypothesis family two: rapid escalation</w:t>
      </w:r>
    </w:p>
    <w:p>
      <w:pPr>
        <w:pStyle w:val="FirstParagraph"/>
        <w:spacing w:line="480" w:lineRule="auto"/>
      </w:pPr>
      <w:r>
        <w:t xml:space="preserve">Paper two models the probability that KEV addition occurs within 30 days, and in this specification the log odds depend on CVSS severity, edge status, and ransomware association. For H0B, the joint null is that CVSS severity, edge-product status, and ransomware association do not predict rapid KEV escalation among vulnerabilities eventually included in the catalog. For H1B, the directional alternative is that higher CVSS severity, edge-product status, and ransomware association each increase the probability of KEV addition within 30 days of NVD publication. At the coefficient level, H1B1 predicts a positive CVSS coefficient, H1B2 predicts a positive edge coefficient, and H1B3 predicts a positive ransomware coefficient. Coefficients are interpreted first in log-odds units and then translated into odds ratios, while model fit is assessed using log likelihood and pseudo-R-squared. Conditioning is part of the hypothesis, because the sample excludes CVEs never added to KEV, so the analysis cannot estimate the unconditional probability of exploitation; instead it tests whether KEV addition happens rapidly within a selected population of confirmed-exploited vulnerabilities. This scope avoids a stronger claim than the data can support: the model addresses timing among CVEs that ultimately enter KEV, not the broader probability that any NVD-published vulnerability will be exploited or cataloged.</w:t>
      </w:r>
    </w:p>
    <w:bookmarkEnd w:id="91"/>
    <w:bookmarkStart w:id="92" w:name="competing-mechanisms"/>
    <w:p>
      <w:pPr>
        <w:pStyle w:val="Heading2"/>
        <w:spacing w:line="480" w:lineRule="auto"/>
      </w:pPr>
      <w:r>
        <w:t xml:space="preserve">3.8 Competing mechanisms</w:t>
      </w:r>
    </w:p>
    <w:p>
      <w:pPr>
        <w:pStyle w:val="FirstParagraph"/>
        <w:spacing w:line="480" w:lineRule="auto"/>
      </w:pPr>
      <w:r>
        <w:t xml:space="preserve">Several competing mechanisms could reverse or attenuate the predicted signs. In equity-return models, remediation confidence may generate a positive association with severity, because a serious event can elicit a visible and credible vendor response that reduces uncertainty rather than increasing it. Diversification may attenuate all coefficients, prior anticipation can move the market response before KEV addition, and concurrent news can introduce noise or bias, while cross-listed and international vendors may also respond to local market conditions that ACWI does not fully capture. For rapid escalation, exploit availability may matter more than CVSS, since a moderate defect with public proof-of-concept code can move faster than a severe defect that requires rare conditions. Target prevalence can dominate product class, ransomware designation may lag initial exploitation, and federal asset exposure can change CISA’s priority without appearing in public fields, so these alternatives predict weak public-attribute coefficients even when governance is active. Institutional maturation presents the strongest competing explanation for duration, because creation of the catalog changed the process that generates dateAdded: earlier vulnerabilities are left-censored with respect to the active regime, whereas later vulnerabilities are monitored prospectively.</w:t>
      </w:r>
    </w:p>
    <w:p>
      <w:pPr>
        <w:pStyle w:val="BodyText"/>
        <w:spacing w:line="480" w:lineRule="auto"/>
        <w:ind w:firstLine="720"/>
      </w:pPr>
      <w:r>
        <w:t xml:space="preserve">The raw cohort difference therefore should not be treated as a causal effect of BOD, and a design must separate historical backfill from contemporaneous detection.</w:t>
      </w:r>
    </w:p>
    <w:bookmarkEnd w:id="92"/>
    <w:bookmarkStart w:id="93" w:name="causal-scope-and-falsification"/>
    <w:p>
      <w:pPr>
        <w:pStyle w:val="Heading2"/>
        <w:spacing w:line="480" w:lineRule="auto"/>
      </w:pPr>
      <w:r>
        <w:t xml:space="preserve">3.9 Causal scope and falsification</w:t>
      </w:r>
    </w:p>
    <w:p>
      <w:pPr>
        <w:pStyle w:val="FirstParagraph"/>
        <w:spacing w:line="480" w:lineRule="auto"/>
      </w:pPr>
      <w:r>
        <w:t xml:space="preserve">Neither paper estimates a randomized causal effect. KEV entries are selected, vulnerability attributes are not assigned, and market-event timing may be anticipated. Even so, the theoretical contribution remains falsifiable, because the hypotheses specify observable partial associations under pre-stated specifications, and the data can contradict the predicted signs or fail to distinguish them from zero. Empirically they do both. CVSS is positive in the equity model, contrary to H1A1, and nearly reaches the ten-percent threshold, while ransomware is also positive rather than negative. Edge and post-BOD move in the predicted negative direction but remain imprecise. In the logit the pattern changes again: all signs match H1B, yet all are imprecise and model fit is low. These estimates do not support a simple account in which public vulnerability attributes reliably generate discipline through markets or escalation, and they also do not support a clean opposite account. The paired pattern instead creates a narrower theoretical result, since one model produces contrary signs and the other produces expected signs that cannot be distinguished from zero with precision.</w:t>
      </w:r>
    </w:p>
    <w:p>
      <w:pPr>
        <w:pStyle w:val="BodyText"/>
        <w:spacing w:line="480" w:lineRule="auto"/>
        <w:ind w:firstLine="720"/>
      </w:pPr>
      <w:r>
        <w:t xml:space="preserve">That contrary and null evidence narrows the theory rather than removing its empirical content. Disclosure has a coordination function supported by pedigree and common identifiers, while automatic discipline requires complementary conditions: novelty for markets, material exposure for vendors, actionable context for operators, and institutional capacity for government. The dissertation’s final framework therefore treats public disclosure as an input to governance rather than a substitute for it.</w:t>
      </w:r>
    </w:p>
    <w:bookmarkEnd w:id="93"/>
    <w:bookmarkStart w:id="94" w:name="expected-governance-implications"/>
    <w:p>
      <w:pPr>
        <w:pStyle w:val="Heading2"/>
        <w:spacing w:line="480" w:lineRule="auto"/>
      </w:pPr>
      <w:r>
        <w:t xml:space="preserve">3.10 Expected governance implications</w:t>
      </w:r>
    </w:p>
    <w:p>
      <w:pPr>
        <w:pStyle w:val="FirstParagraph"/>
        <w:spacing w:line="480" w:lineRule="auto"/>
      </w:pPr>
      <w:r>
        <w:t xml:space="preserve">If H1A were supported, procurement and policy could rely partly on investor sanctions to reward secure suppliers, but because the analysis failed to reject H0A, that reliance cannot substitute for direct contractual and regulatory incentives. If H1B were supported, operators could use public attributes to anticipate catalog action, yet the failure to reject H0B leaves severity fields insufficient without exploit intelligence and local context. Together, the paired null findings move the framework away from governance designs that expect public market discipline or public attribute fields to carry the full burden of security prioritization. Open public catalogs still establish common facts, trusted communities still exchange exploitation and mission-relevance context, operators still maintain inventories and validated response procedures, vendors still provide timely advisories and patches, procurement still assigns responsibilities and service levels, and regulators still define material disclosure and remediation duties. Each role remains distinct. The point is layered governance rather than substitution, since public catalogs, trusted exchange, internal operational preparation, vendor response, procurement obligations, and regulatory duties address different parts of the information and incentive failures identified by the hypotheses. No single layer resolves the relevant information and incentive failures on its own.</w:t>
      </w:r>
    </w:p>
    <w:p>
      <w:pPr>
        <w:pStyle w:val="BodyText"/>
        <w:spacing w:line="480" w:lineRule="auto"/>
        <w:ind w:firstLine="720"/>
      </w:pPr>
      <w:r>
        <w:t xml:space="preserve">The remaining chapters test, document, and interpret this framework. Chapter 4 explains how the variables are constructed from primary records, Chapter 5 bounds the identification claims, Chapter 6 presents the exact results, and Chapter 7 translates the paired null findings into a governance design centered on direct accountability and operationally relevant information.</w:t>
      </w:r>
    </w:p>
    <w:bookmarkEnd w:id="94"/>
    <w:bookmarkStart w:id="95" w:name="X744a9ce4d8ce2a7c7bff52f9c1378fcdcbb959b"/>
    <w:p>
      <w:pPr>
        <w:pStyle w:val="Heading2"/>
        <w:spacing w:line="480" w:lineRule="auto"/>
      </w:pPr>
      <w:r>
        <w:t xml:space="preserve">3.11 Formal propositions and observable implications</w:t>
      </w:r>
    </w:p>
    <w:p>
      <w:pPr>
        <w:pStyle w:val="FirstParagraph"/>
        <w:spacing w:line="480" w:lineRule="auto"/>
      </w:pPr>
      <w:r>
        <w:t xml:space="preserve">Four propositions restate the framework by linking latent mechanisms to observed variables. Proposition 1 is salience conditional on novelty: the expected equity response to KEV addition becomes more negative as technical and operational salience rises, but only when the catalog event adds information not already incorporated before the event window. CVSS, edge status, and ransomware use proxy salience, while prior advisories and exploit reports reduce novelty, so anticipation can dominate, and the observable implications are a negative slope when salience dominates and a weak slope when anticipation dominates. Proposition 2 is that incidence conditions market discipline: the equity response reflects the share of expected loss transmitted to the vendor, not total operator or social loss. Diversification, limited liability, customer switching costs, and public-good consequences reduce transmission, so observed returns need not scale with the full operational or societal severity of a vulnerability. Severe mission exposure can therefore coexist with a small or null vendor return, and procurement and liability arrangements can change the transmission coefficient over time.</w:t>
      </w:r>
    </w:p>
    <w:p>
      <w:pPr>
        <w:pStyle w:val="BodyText"/>
        <w:spacing w:line="480" w:lineRule="auto"/>
        <w:ind w:firstLine="720"/>
      </w:pPr>
      <w:r>
        <w:t xml:space="preserve">Rapid escalation is a competing-hazards process. Movement from NVD publication to KEV depends on exploitation, detection, validation, and publication, so technical attributes can accelerate exploitation while institutional capacity accelerates detection and publication, and the observed duration combines these processes. A weak attribute logit is expected when institutional and evidentiary variation is larger than technical variation. Pedigree is necessary, but context determines action. CISA and NVD supply credible common facts, while investors, operators, and government actors apply different contextual data to those facts, so the same record can produce different actions without inconsistency, and the observable implication is low cross-channel alignment unless deployment, financial exposure, and exploit evidence are jointly observed. Together, these propositions imply a causal diagram that can be stated verbally: vulnerability attributes affect exploit opportunity and potential consequence; exploitation evidence affects KEV timing; KEV and earlier disclosures affect investor information; vendor financial exposure mediates price response; deployment context mediates operator consequence; and institutional capacity affects evidence collection and publication. Omitted mediators explain why regression coefficients should not be interpreted as direct causal effects.</w:t>
      </w:r>
    </w:p>
    <w:bookmarkEnd w:id="95"/>
    <w:bookmarkStart w:id="96" w:name="boundary-conditions"/>
    <w:p>
      <w:pPr>
        <w:pStyle w:val="Heading2"/>
        <w:spacing w:line="480" w:lineRule="auto"/>
      </w:pPr>
      <w:r>
        <w:t xml:space="preserve">3.12 Boundary conditions</w:t>
      </w:r>
    </w:p>
    <w:p>
      <w:pPr>
        <w:pStyle w:val="FirstParagraph"/>
        <w:spacing w:line="480" w:lineRule="auto"/>
      </w:pPr>
      <w:r>
        <w:t xml:space="preserve">This theory applies to commercial products at the terrestrial edge of space systems. It does not automatically extend to flight-software defects, radio-frequency interference, insider threats, supply-chain implants without public CVEs, or attacks subject to restricted disclosure, since those events follow different information pathways. For the market channel to operate, a relevant security must be listed and liquidity must be sufficient to support price interpretation, so private vendors, government laboratories, and internal systems fall outside the scope of the market mechanism. The administrative channel has a different boundary, eventual KEV inclusion, so exploited defects addressed through other advisories or classified processes are not represented.</w:t>
      </w:r>
    </w:p>
    <w:p>
      <w:pPr>
        <w:pStyle w:val="BodyText"/>
        <w:spacing w:line="480" w:lineRule="auto"/>
        <w:ind w:firstLine="720"/>
      </w:pPr>
      <w:r>
        <w:t xml:space="preserve">Event attributes must carry reasonably consistent meanings across observations. CVSS versions, product classifications, and ransomware fields can change, and institutional definitions may also evolve over time, so replication should freeze source versions and test whether findings are robust to alternative codings. International listings add another boundary, because market hours, currency denominations, and local information environments differ across exchanges. ACWI adjustment improves comparability without creating complete equivalence, so the theory predicts information processing rather than identical timing across markets.</w:t>
      </w:r>
    </w:p>
    <w:bookmarkEnd w:id="96"/>
    <w:bookmarkStart w:id="97" w:name="X1780202b78f2c7fc97c51e11270fc17ab93bc65"/>
    <w:p>
      <w:pPr>
        <w:pStyle w:val="Heading2"/>
        <w:spacing w:line="480" w:lineRule="auto"/>
      </w:pPr>
      <w:r>
        <w:t xml:space="preserve">3.13 Implications of the observed coefficient pattern</w:t>
      </w:r>
    </w:p>
    <w:p>
      <w:pPr>
        <w:pStyle w:val="FirstParagraph"/>
        <w:spacing w:line="480" w:lineRule="auto"/>
      </w:pPr>
      <w:r>
        <w:t xml:space="preserve">These results refine the propositions by narrowing which mechanisms receive support from the observed coefficient pattern. The positive CVSS equity coefficient means that salience does not dominate novelty and incidence within the KEV window, since a more severe catalog entry may already have been anticipated before the measured window, may be tied to a vendor viewed as having credible response capacity, or may be financially small relative to firm scale, so severity alone does not translate into the expected equity response. The near-zero ransomware slope points in a similar limiting direction, because once the event itself is known, the catalog flag contributes little distinct vendor-level information. A negative post-BOD equity point estimate remains compatible with greater institutional salience, yet the imprecision of that estimate limits the strength of the inference. By contrast, the raw era separation in rapid escalation gives much stronger support to a capacity change in the timing process, shifting explanatory weight toward institutional regime and event novelty rather than static technical attributes.</w:t>
      </w:r>
    </w:p>
    <w:p>
      <w:pPr>
        <w:pStyle w:val="BodyText"/>
        <w:spacing w:line="480" w:lineRule="auto"/>
        <w:ind w:firstLine="720"/>
      </w:pPr>
      <w:r>
        <w:t xml:space="preserve">Positive but imprecise logit slopes leave the technical mechanisms plausible. Larger samples may estimate those slopes more precisely, but the current evidence does not support operational reliance on them, so theory after estimation should separate plausible directional relationships from calibrated prediction.</w:t>
      </w:r>
    </w:p>
    <w:bookmarkEnd w:id="97"/>
    <w:bookmarkStart w:id="98" w:name="decision-theoretic-extension"/>
    <w:p>
      <w:pPr>
        <w:pStyle w:val="Heading2"/>
        <w:spacing w:line="480" w:lineRule="auto"/>
      </w:pPr>
      <w:r>
        <w:t xml:space="preserve">3.14 Decision-theoretic extension</w:t>
      </w:r>
    </w:p>
    <w:p>
      <w:pPr>
        <w:pStyle w:val="FirstParagraph"/>
        <w:spacing w:line="480" w:lineRule="auto"/>
      </w:pPr>
      <w:r>
        <w:t xml:space="preserve">An operator deciding whether to interrupt operations for remediation faces expected losses in both directions: delay preserves exposure to exploitation, while immediate change may produce outage or configuration failure. The optimal response minimizes the expected combined loss from cyber compromise and change-induced disruption, subject to mission constraints. Public disclosure changes the probability term in that calculation, because KEV increases confidence that exploitation is active. CVSS informs possible technical impact, while local reachability and mission function determine consequence, and test evidence then determines change risk, so the same disclosed vulnerability can carry different operational implications across environments. That calculation is operator-specific. A rational operator may act differently from the market, and differently from another operator confronting the same CVE, because the decision depends not only on public vulnerability attributes but also on mission consequence, local exposure, and evidence about whether the change itself is likely to disrupt operations. The decision problem is therefore not a simple race to patch every disclosed issue at the same speed, but a loss-minimization problem under uncertainty in which both cyber compromise and change-induced disruption remain part of the expected cost.</w:t>
      </w:r>
    </w:p>
    <w:p>
      <w:pPr>
        <w:pStyle w:val="BodyText"/>
        <w:spacing w:line="480" w:lineRule="auto"/>
        <w:ind w:firstLine="720"/>
      </w:pPr>
      <w:r>
        <w:t xml:space="preserve">For that reason, governance should not impose a single universal patch clock without regard to local consequence. Governance should instead require rapid assessment, documented decisions, compensating controls, and bounded deployment timelines, so accountability attaches to the quality and speed of the decision process, not only to the final patch date. The same logic applies to CISA, since public cataloging balances speed, evidentiary confidence, and the risk of misprioritization. Attributes visible in NVD are inputs, but exploit confirmation remains decisive, and the weak logit fit is compatible with a decision process that uses richer evidence than the regression observes.</w:t>
      </w:r>
    </w:p>
    <w:bookmarkEnd w:id="98"/>
    <w:bookmarkEnd w:id="99"/>
    <w:bookmarkStart w:id="115" w:name="chapter-4.-data-and-measurement"/>
    <w:p>
      <w:pPr>
        <w:pStyle w:val="Heading1"/>
        <w:spacing w:line="480" w:lineRule="auto"/>
      </w:pPr>
      <w:r>
        <w:t xml:space="preserve">Chapter 4. Data and Measurement</w:t>
      </w:r>
    </w:p>
    <w:bookmarkStart w:id="100" w:name="purpose-and-provenance-standard"/>
    <w:p>
      <w:pPr>
        <w:pStyle w:val="Heading2"/>
        <w:spacing w:line="480" w:lineRule="auto"/>
      </w:pPr>
      <w:r>
        <w:t xml:space="preserve">4.1 Purpose and provenance standard</w:t>
      </w:r>
    </w:p>
    <w:p>
      <w:pPr>
        <w:pStyle w:val="FirstParagraph"/>
        <w:spacing w:line="480" w:lineRule="auto"/>
      </w:pPr>
      <w:r>
        <w:t xml:space="preserve">Two small datasets constructed from public primary records support the empirical claims. This chapter specifies what each dataset treats as its unit of analysis, which source systems supply the records, how transformations are performed, and where measurement limits remain. Row-level provenance governs both datasets. Each observation identifies the CISA KEV entry and NVD CVE record from which vulnerability fields are drawn. For the equity dataset, each observation also identifies the ticker, benchmark, and adjusted-price window. No value is treated as observed when it is illustrative, and the illustrative share is zero in both papers. That distinction does real work, because without it disclosure research can combine heterogeneous events while leaving it unclear what any given number represents. A news report may summarize a vulnerability. A database may revise a score. A price service may adjust historical closes after corporate actions. The same apparent event can therefore carry different meanings depending on which record, revision state, or price adjustment supplies the measured field. The datasets therefore keep technical fields tied to versioned institutional sources and keep financial transformations defined explicitly, rather than allowing vulnerability descriptions, scoring records, and equity-price adjustments to collapse into a single undocumented event measure. A reader should be able to reconstruct each row from the cited records, and that reconstruction standard is the purpose of the provenance rule used throughout this chapter.</w:t>
      </w:r>
    </w:p>
    <w:bookmarkEnd w:id="100"/>
    <w:bookmarkStart w:id="101" w:name="source-system-one-cisa-kev"/>
    <w:p>
      <w:pPr>
        <w:pStyle w:val="Heading2"/>
        <w:spacing w:line="480" w:lineRule="auto"/>
      </w:pPr>
      <w:r>
        <w:t xml:space="preserve">4.2 Source system one: CISA KEV</w:t>
      </w:r>
    </w:p>
    <w:p>
      <w:pPr>
        <w:pStyle w:val="FirstParagraph"/>
        <w:spacing w:line="480" w:lineRule="auto"/>
      </w:pPr>
      <w:r>
        <w:t xml:space="preserve">Release v2026.06.18 is the frozen version used here. CISA’s Known Exploited Vulnerabilities catalog is the primary event source</w:t>
      </w:r>
      <w:r>
        <w:t xml:space="preserve"> </w:t>
      </w:r>
      <w:hyperlink w:anchor="ref-9">
        <w:r>
          <w:rPr>
            <w:rStyle w:val="Hyperlink"/>
          </w:rPr>
          <w:t xml:space="preserve">[9]</w:t>
        </w:r>
      </w:hyperlink>
      <w:r>
        <w:t xml:space="preserve">, and it publishes CVE identifiers, vendor and product names, short descriptions, the date an entry was added, required action information for federal civilian agencies, due dates, and a field indicating known ransomware campaign use. Inclusion in KEV indicates evidence of exploitation in the wild. It does not imply that every affected organization has been compromised, that exploitation began on the addition date, or that the catalog records the first public report. The dateAdded field measures public federal catalog action, a timing convention that structures both papers: in Paper 1, dateAdded is the market event date, and in Paper 2 it is the endpoint of the disclosure-to-escalation duration. CISA’s ransomware field is used as reported, equals one when the catalog identifies known ransomware campaign use and zero otherwise, and records known association in the frozen catalog version rather than necessarily reflecting what was known on the original addition date. The analysis therefore interprets ransomware as an event attribute in the frozen record, not necessarily as contemporaneous investor information.</w:t>
      </w:r>
    </w:p>
    <w:p>
      <w:pPr>
        <w:pStyle w:val="BodyText"/>
        <w:spacing w:line="480" w:lineRule="auto"/>
        <w:ind w:firstLine="720"/>
      </w:pPr>
      <w:r>
        <w:t xml:space="preserve">Vendor and product strings drive the edge classification, with products described as VPNs, remote-access systems, firewalls, security gateways, routers, centralized management interfaces, or internet-facing collaboration appliances coded as edge products. Siemens, Schneider Electric, Delta Electronics, and Unitronics controller products form the operational-technology comparison class, and across rows the classification rule is fixed and recorded in the configuration metadata.</w:t>
      </w:r>
    </w:p>
    <w:bookmarkEnd w:id="101"/>
    <w:bookmarkStart w:id="102" w:name="source-system-two-nvd"/>
    <w:p>
      <w:pPr>
        <w:pStyle w:val="Heading2"/>
        <w:spacing w:line="480" w:lineRule="auto"/>
      </w:pPr>
      <w:r>
        <w:t xml:space="preserve">4.3 Source system two: NVD</w:t>
      </w:r>
    </w:p>
    <w:p>
      <w:pPr>
        <w:pStyle w:val="FirstParagraph"/>
        <w:spacing w:line="480" w:lineRule="auto"/>
      </w:pPr>
      <w:r>
        <w:t xml:space="preserve">For each CVE, the National Vulnerability Database CVE API 2.0 supplies two fields used here: public-disclosure dates and CVSS base scores</w:t>
      </w:r>
      <w:r>
        <w:t xml:space="preserve"> </w:t>
      </w:r>
      <w:hyperlink w:anchor="ref-10">
        <w:r>
          <w:rPr>
            <w:rStyle w:val="Hyperlink"/>
          </w:rPr>
          <w:t xml:space="preserve">[10]</w:t>
        </w:r>
      </w:hyperlink>
      <w:r>
        <w:t xml:space="preserve">. The NVD published date serves as the starting point for exposure_days. For severity measurement, CVSS v3.1 is preferred first, CVSS v3.0 follows, and CVSS v2 is used when newer metrics are unavailable, so this hierarchy preserves coverage while using the most current scoring system available for each CVE. CVSS summarizes exploitability and impact within a standard framework, yet it does not encode whether a product is deployed in a mission, whether the vulnerable function is enabled, whether an exploit is public, how prevalent the product is, or what operational consequence follows. These omissions are measurement limits rather than errors, and because the public score carries those limits, the dissertation tests whether the public technical score predicts institutional and financial outcomes despite them. The dataset uses values retrieved alongside KEV release v2026.06.18, and a later replication should freeze the exact API responses or record the retrieval timestamps so score changes can be audited.</w:t>
      </w:r>
    </w:p>
    <w:p>
      <w:pPr>
        <w:pStyle w:val="BodyText"/>
        <w:spacing w:line="480" w:lineRule="auto"/>
        <w:ind w:firstLine="720"/>
      </w:pPr>
      <w:r>
        <w:t xml:space="preserve">NVD records can be revised. Source strings identify the CVE and metric preference, permitting a future researcher to compare revisions, and CVSS remains a technical-severity measure throughout.</w:t>
      </w:r>
    </w:p>
    <w:bookmarkEnd w:id="102"/>
    <w:bookmarkStart w:id="103" w:name="Xf333262851ed89bb75116f696f94cfa77d8d572"/>
    <w:p>
      <w:pPr>
        <w:pStyle w:val="Heading2"/>
        <w:spacing w:line="480" w:lineRule="auto"/>
      </w:pPr>
      <w:r>
        <w:t xml:space="preserve">4.4 Source system three: adjusted market prices</w:t>
      </w:r>
    </w:p>
    <w:p>
      <w:pPr>
        <w:pStyle w:val="FirstParagraph"/>
        <w:spacing w:line="480" w:lineRule="auto"/>
      </w:pPr>
      <w:r>
        <w:t xml:space="preserve">Paper 1 uses adjusted daily closing prices from the Yahoo Finance chart API, and these adjusted closes account for stock splits and distributions, a required feature when comparing returns across firms and dates. The benchmark is the iShares MSCI ACWI exchange-traded fund, with ACWI serving as a global equity reference for a sample that includes United States, Taiwanese, Israeli, and European listings or depositary receipts. For each KEV event, the event trading date is the first available vendor trading day on or after dateAdded, so the price window follows the vendor trading calendar rather than assuming that every dateAdded is itself a market day. The pre-event price is the adjusted close on the preceding vendor trading day, and the endpoint is the adjusted close on the fifth subsequent vendor trading day, so vendor return equals the endpoint divided by the pre-event price, minus one. ACWI return is calculated over matched calendar endpoints using the nearest available benchmark trading dates, after which abnormal return is computed as the vendor return minus the benchmark return and expressed in percentage points. This gives Paper 1 a market-adjusted return, not a full estimated-market-model cumulative abnormal return, because the calculation applies a consistent benchmark adjustment without introducing estimated parameters from heterogeneous trading histories.</w:t>
      </w:r>
    </w:p>
    <w:p>
      <w:pPr>
        <w:pStyle w:val="BodyText"/>
        <w:spacing w:line="480" w:lineRule="auto"/>
        <w:ind w:firstLine="720"/>
      </w:pPr>
      <w:r>
        <w:t xml:space="preserve">Paper 1 does not use a pre-event estimation window to recover firm-specific beta, a choice that reflects sample size and data transparency. Its limitation is explicit: residual exposure to sector and firm-specific market factors remains.</w:t>
      </w:r>
    </w:p>
    <w:bookmarkEnd w:id="103"/>
    <w:bookmarkStart w:id="104" w:name="X11e590f1f39a7c2a53823264233950895c09d92"/>
    <w:p>
      <w:pPr>
        <w:pStyle w:val="Heading2"/>
        <w:spacing w:line="480" w:lineRule="auto"/>
      </w:pPr>
      <w:r>
        <w:t xml:space="preserve">4.5 Paper 1 unit of analysis and sample construction</w:t>
      </w:r>
    </w:p>
    <w:p>
      <w:pPr>
        <w:pStyle w:val="FirstParagraph"/>
        <w:spacing w:line="480" w:lineRule="auto"/>
      </w:pPr>
      <w:r>
        <w:t xml:space="preserve">Paper 1 uses the vulnerability-vendor KEV event as its unit of analysis. From that unit, the sampling frame begins with ground-segment-relevant vulnerabilities listed in KEV and cross-referenced with NVD, then narrows to the equity sample under a completeness rule tied to market data around dateAdded. A row enters the equity sample only when the affected vendor has a public security with a complete adjusted-price window around dateAdded, so vendors without that public-security condition do not enter the equity sample. Private firms are excluded. Citrix entries after delisting are also excluded, and Juniper entries for which the selected market endpoint did not return a complete series during construction are removed under the same completeness rule. The final sample contains 21 events. Vendors include Cisco, Fortinet, Palo Alto Networks, F5, Check Point, Zyxel, Delta Electronics, Siemens, Schneider Electric, and Unitronics. This observation count falls within the 20-to-40 range specified by the pipeline. Each row records the CVE, vendor, product, ticker, CVSS, edge indicator, ransomware indicator, post-BOD indicator, NVD publication date, KEV addition date, exposure days, event trading date, vendor return, ACWI return, abnormal return, negative-return indicator, and source.</w:t>
      </w:r>
    </w:p>
    <w:p>
      <w:pPr>
        <w:pStyle w:val="BodyText"/>
        <w:spacing w:line="480" w:lineRule="auto"/>
        <w:ind w:firstLine="720"/>
      </w:pPr>
      <w:r>
        <w:t xml:space="preserve">In each row, the source field appears last. That field concatenates the CISA catalog citation, NVD record, and Yahoo price-window description, allowing both inputs and transformations to be audited, and no market return is copied from a secondary article, since each is calculated from adjusted closes.</w:t>
      </w:r>
    </w:p>
    <w:bookmarkEnd w:id="104"/>
    <w:bookmarkStart w:id="105" w:name="paper-1-variable-construction"/>
    <w:p>
      <w:pPr>
        <w:pStyle w:val="Heading2"/>
        <w:spacing w:line="480" w:lineRule="auto"/>
      </w:pPr>
      <w:r>
        <w:t xml:space="preserve">4.6 Paper 1 variable construction</w:t>
      </w:r>
    </w:p>
    <w:p>
      <w:pPr>
        <w:pStyle w:val="FirstParagraph"/>
        <w:spacing w:line="480" w:lineRule="auto"/>
      </w:pPr>
      <w:r>
        <w:t xml:space="preserve">abnormal_return_5d_pct is the continuous dependent variable. Positive values indicate vendor outperformance relative to ACWI during the event window, and negative values indicate underperformance, while the five-day horizon allows catalog-event diffusion and limits unrelated-news exposure compared with longer windows. CVSS is entered without transformation, so its coefficient represents the percentage-point change in abnormal return associated with a one-point increase in severity. The edge variable equals one for externally reachable network-security products and zero for the controller comparison class, and the ransomware variable follows the CISA flag. post_bod equals one when NVD publication occurred in 2022 or later, marking vulnerabilities disclosed within the institutional environment that followed BOD 22-01. Publication-year coding is used for post_bod rather than KEV date, because the proposed mechanism concerns the disclosure environment in place when the vulnerability entered the public record. The treatment is therefore anchored to the public-record entry point, not the later moment at which a CVE may have been placed in KEV. The rule does not recode an older vulnerability merely because its KEV entry date falls after 2021, so timing remains tied to NVD publication. Some older CVEs were added to KEV after 2021, but those vulnerabilities originated before the active regime and may reflect retrospective cataloging rather than contemporaneous monitoring, and this coding separates historical backfill from vulnerabilities disclosed under the newer monitoring environment.</w:t>
      </w:r>
    </w:p>
    <w:p>
      <w:pPr>
        <w:pStyle w:val="BodyText"/>
        <w:spacing w:line="480" w:lineRule="auto"/>
        <w:ind w:firstLine="720"/>
      </w:pPr>
      <w:r>
        <w:t xml:space="preserve">negative_abnormal is retained for audit and descriptive analysis, but it is not the Paper 1 outcome. OLS uses the continuous return to preserve magnitude, and a later extension can model the sign with logit or estimate nonparametric event tests.</w:t>
      </w:r>
    </w:p>
    <w:bookmarkEnd w:id="105"/>
    <w:bookmarkStart w:id="106" w:name="X982f573c1fcb5304a26cce8f299a241a7c6fb7a"/>
    <w:p>
      <w:pPr>
        <w:pStyle w:val="Heading2"/>
        <w:spacing w:line="480" w:lineRule="auto"/>
      </w:pPr>
      <w:r>
        <w:t xml:space="preserve">4.7 Paper 2 unit of analysis and sample construction</w:t>
      </w:r>
    </w:p>
    <w:p>
      <w:pPr>
        <w:pStyle w:val="FirstParagraph"/>
        <w:spacing w:line="480" w:lineRule="auto"/>
      </w:pPr>
      <w:r>
        <w:t xml:space="preserve">Paper 2 takes the ground-segment-relevant vulnerability eventually included in KEV as the unit of analysis, and the resulting sample has 37 rows. That sample extends beyond the equity sample because it includes private vendors and events with no public securities. Its product frame covers remote-access, edge-gateway, firewall, network-management, and industrial-control products, and each row has CISA and NVD provenance. Conditioning on KEV is central to how Paper 2 should be read. These data do not represent the full NVD population, so they cannot support a comparison between exploited vulnerabilities and vulnerabilities that were never confirmed as exploited, because every row is already restricted to a vulnerability that enters the catalog by the frozen date. The design instead examines the timing of public escalation within that conditioned set: among ground-segment-relevant vulnerabilities eventually included in KEV, it measures how long the vulnerability takes to move from NVD publication to KEV addition. That selection fixes the interpretation of the outcome, since the outcome is a tempo measure rather than an exploitation-incidence measure, so the sample is informative about escalation timing inside the KEV-conditioned population, not about whether exploitation occurred in the broader NVD population.</w:t>
      </w:r>
    </w:p>
    <w:p>
      <w:pPr>
        <w:pStyle w:val="BodyText"/>
        <w:spacing w:line="480" w:lineRule="auto"/>
        <w:ind w:firstLine="720"/>
      </w:pPr>
      <w:r>
        <w:t xml:space="preserve">Exposure_days equals dateAdded minus NVD published date, floored at one day. The floor accommodates entries added on the publication date and keeps the related log variable defined. Because older vulnerabilities can be added years after disclosure, the raw duration is heavily right-skewed; it remains in the file for audit, although the fitted Paper 2 model uses a binary threshold.</w:t>
      </w:r>
    </w:p>
    <w:bookmarkEnd w:id="106"/>
    <w:bookmarkStart w:id="107" w:name="paper-2-variable-construction"/>
    <w:p>
      <w:pPr>
        <w:pStyle w:val="Heading2"/>
        <w:spacing w:line="480" w:lineRule="auto"/>
      </w:pPr>
      <w:r>
        <w:t xml:space="preserve">4.8 Paper 2 variable construction</w:t>
      </w:r>
    </w:p>
    <w:p>
      <w:pPr>
        <w:pStyle w:val="FirstParagraph"/>
        <w:spacing w:line="480" w:lineRule="auto"/>
      </w:pPr>
      <w:r>
        <w:t xml:space="preserve">Rapid_escalation equals one when exposure_days is 30 or less. Fifteen observations meet this definition, and 22 do not. The threshold captures movement from public disclosure to confirmed-exploitation catalog status within roughly one operational maintenance cycle, and it is specified before estimation rather than selected to maximize model fit. CVSS, edge, and ransomware are constructed under the same rules used in Paper 1, preserving consistency across methods. Although post_bod is available in the data, it is not included in the stable logit, and the reason is empirical and mechanical rather than substantive removal. Cross-tabulation shows that all 15 rapid observations are post-BOD, while the 17 pre-BOD observations contain no rapid cases, so adding the indicator creates complete separation and a singular Hessian under unpenalized maximum likelihood. Because of that separation pattern, omitting post_bod is treated as a model-stability decision disclosed before interpretation, rather than as an attempt to suppress the era pattern.</w:t>
      </w:r>
    </w:p>
    <w:p>
      <w:pPr>
        <w:pStyle w:val="BodyText"/>
        <w:spacing w:line="480" w:lineRule="auto"/>
        <w:ind w:firstLine="720"/>
      </w:pPr>
      <w:r>
        <w:t xml:space="preserve">That era pattern remains part of the descriptive analysis, since it indicates that the institutional process generating dateAdded differs across cohorts. A future design could use penalized logit, exact methods, or a restricted post-BOD sample with more observations, whereas the present paper keeps the estimator within the deterministic pipeline’s supported methods and reports this limitation.</w:t>
      </w:r>
    </w:p>
    <w:bookmarkEnd w:id="107"/>
    <w:bookmarkStart w:id="108" w:name="measurement-validity"/>
    <w:p>
      <w:pPr>
        <w:pStyle w:val="Heading2"/>
        <w:spacing w:line="480" w:lineRule="auto"/>
      </w:pPr>
      <w:r>
        <w:t xml:space="preserve">4.9 Measurement validity</w:t>
      </w:r>
    </w:p>
    <w:p>
      <w:pPr>
        <w:pStyle w:val="FirstParagraph"/>
        <w:spacing w:line="480" w:lineRule="auto"/>
      </w:pPr>
      <w:r>
        <w:t xml:space="preserve">Identifier and date measures carry the strongest construct validity, because CVE, dateAdded, and NVD publication are direct institutional fields. Validity is weaker for the conceptual variables, and the limits differ by measure rather than arising from a single source. Edge status proxies for internet exposure at the product-class level. Actual deployment may differ from that classification. CVSS captures technical severity rather than mission impact, so it does not measure the operational consequences of a vulnerability for a space mission. Ransomware association is a frozen catalog flag, not a time-stamped campaign measure. Abnormal return measures market-adjusted performance, not the full valuation effect. Internal validity remains bounded by confounding and selection as well. KEV timing is not random, equity event windows may contain earnings or product news, the vulnerability sample is conditioned on eventual confirmed exploitation, and international securities trade across different time zones. Those features prevent the analysis from claiming that the coefficients are causal treatment effects, even though the models can still describe associations within the observed data.</w:t>
      </w:r>
    </w:p>
    <w:p>
      <w:pPr>
        <w:pStyle w:val="BodyText"/>
        <w:spacing w:line="480" w:lineRule="auto"/>
        <w:ind w:firstLine="720"/>
      </w:pPr>
      <w:r>
        <w:t xml:space="preserve">External validity is limited to the sampled product classes and public vendors. Classified mission networks, bespoke flight software, radio-frequency attacks, and operator incidents are not observed, and although the product-class connection to space systems is grounded in architectural literature</w:t>
      </w:r>
      <w:r>
        <w:t xml:space="preserve"> </w:t>
      </w:r>
      <w:hyperlink w:anchor="ref-5">
        <w:r>
          <w:rPr>
            <w:rStyle w:val="Hyperlink"/>
          </w:rPr>
          <w:t xml:space="preserve">[5]</w:t>
        </w:r>
      </w:hyperlink>
      <w:r>
        <w:t xml:space="preserve">[7], the data do not reveal which mission uses which appliance. Statistical-conclusion validity is constrained by N = 21 and N = 37. HC1 standard errors address heteroskedasticity in OLS, yet they cannot supply information that the sample does not contain, few non-edge cases enter the logit, and wide intervals are therefore expected and are treated as results rather than nuisances.</w:t>
      </w:r>
    </w:p>
    <w:bookmarkEnd w:id="108"/>
    <w:bookmarkStart w:id="109" w:name="reproducibility-and-audit-path"/>
    <w:p>
      <w:pPr>
        <w:pStyle w:val="Heading2"/>
        <w:spacing w:line="480" w:lineRule="auto"/>
      </w:pPr>
      <w:r>
        <w:t xml:space="preserve">4.10 Reproducibility and audit path</w:t>
      </w:r>
    </w:p>
    <w:p>
      <w:pPr>
        <w:pStyle w:val="FirstParagraph"/>
        <w:spacing w:line="480" w:lineRule="auto"/>
      </w:pPr>
      <w:r>
        <w:t xml:space="preserve">Together, the data files, configurations, estimator outputs, workbooks, figures, and assembled documents form a reproducibility chain. Raw and derived fields remain in the CSV files, configurations specify outcomes, predictors, formulas, definitions, and chart variables, the deterministic estimator generates coefficients and workbooks from those files, and Chapter 6 uses only numbers returned by that estimator. Replication proceeds in four steps: retrieve the frozen or successor KEV catalog and NVD records; reconstruct the product-class indicators under the stated rule; retrieve adjusted prices for the equity sample and calculate matched returns; and run the OLS and logit configurations. Any resulting differences can then be attributed to source revisions, price adjustments, sample expansion, or code changes.</w:t>
      </w:r>
    </w:p>
    <w:p>
      <w:pPr>
        <w:pStyle w:val="BodyText"/>
        <w:spacing w:line="480" w:lineRule="auto"/>
        <w:ind w:firstLine="720"/>
      </w:pPr>
      <w:r>
        <w:t xml:space="preserve">Modest but concrete, the measurement contribution converts a broad policy claim into two auditable panels and names every inferential boundary. The next chapter explains what those panels can identify and why the estimates are interpreted as partial associations rather than causal effects.</w:t>
      </w:r>
    </w:p>
    <w:bookmarkEnd w:id="109"/>
    <w:bookmarkStart w:id="110" w:name="descriptive-structure-of-the-two-panels"/>
    <w:p>
      <w:pPr>
        <w:pStyle w:val="Heading2"/>
        <w:spacing w:line="480" w:lineRule="auto"/>
      </w:pPr>
      <w:r>
        <w:t xml:space="preserve">4.11 Descriptive structure of the two panels</w:t>
      </w:r>
    </w:p>
    <w:p>
      <w:pPr>
        <w:pStyle w:val="FirstParagraph"/>
        <w:spacing w:line="480" w:lineRule="auto"/>
      </w:pPr>
      <w:r>
        <w:t xml:space="preserve">Event completeness, not a balanced vendor design, organizes the equity panel. Some vendors appear more than once, while others contribute a single observation, and the events also fall across different disclosure regimes and market environments, so the retained panel follows the observed event record rather than imposing symmetry across vendors. That choice preserves observed events, and it means that estimated model coefficients combine within-vendor variation with between-vendor variation rather than isolating one source. Abnormal returns in the outcome variable include both positive and negative values, a dispersion that matters analytically because the regression is not simply estimating a universal event loss. A product-level notice therefore cannot be assumed to carry one market meaning, since within the five-day window returns may reflect confirmation of prior information, confidence in remediation, or unrelated firm news, so the sign and size of abnormal returns remain part of the measurement problem rather than something to smooth away through panel construction.</w:t>
      </w:r>
    </w:p>
    <w:p>
      <w:pPr>
        <w:pStyle w:val="BodyText"/>
        <w:spacing w:line="480" w:lineRule="auto"/>
        <w:ind w:firstLine="720"/>
      </w:pPr>
      <w:r>
        <w:t xml:space="preserve">Edge products dominate the rapid-escalation panel, a composition that reflects the KEV entries selected as relevant to ground-system operations rather than a claim that operational technology is safe, and the imbalance limits interpretation of the edge coefficient. A future matched design could sample more controller vulnerabilities, though it should not create artificial balance by adding noncomparable observations. Duration values have a long historical tail as well: some pre-KEV vulnerabilities remain outside the catalog for years before retrospective addition, whereas contemporary entries can appear within days. For that reason, exposure_days is preserved for audit but converted to a binary operational threshold for the supported logit, and a duration model with left truncation and institutional-era stratification would represent the process more fully.</w:t>
      </w:r>
    </w:p>
    <w:bookmarkEnd w:id="110"/>
    <w:bookmarkStart w:id="111" w:name="data-quality-controls"/>
    <w:p>
      <w:pPr>
        <w:pStyle w:val="Heading2"/>
        <w:spacing w:line="480" w:lineRule="auto"/>
      </w:pPr>
      <w:r>
        <w:t xml:space="preserve">4.12 Data-quality controls</w:t>
      </w:r>
    </w:p>
    <w:p>
      <w:pPr>
        <w:pStyle w:val="FirstParagraph"/>
        <w:spacing w:line="480" w:lineRule="auto"/>
      </w:pPr>
      <w:r>
        <w:t xml:space="preserve">Several controls protect the panels from silent corruption. Column names in each configuration must match the CSV exactly, numeric fields are parsed before estimation, and the source column is placed last so prose or semicolon-rich citations do not enter predictor selection. Row counts and illustrative markers are checked mechanically. Date arithmetic separates calendar days for exposure from trading days for returns, and those units are not interchangeable, since a five-trading-day return can span more than one calendar week around holidays, whereas exposure_days includes weekends because public disclosure and exploitation concern continuous time, and those definitions are carried into labels and prose. Adjusted closes are used rather than raw closes because corporate actions can otherwise create artificial returns. Benchmark endpoints are matched to the vendor’s observed trading dates, while international holidays can shift the first event trading day, which is recorded in the event_trade_date field. Product classification follows a fixed rule rather than outcome-aware coding, and the classifier does not inspect whether an observation is rapid or whether its return is negative, which protects against coding decisions that improve the expected sign after seeing results.</w:t>
      </w:r>
    </w:p>
    <w:p>
      <w:pPr>
        <w:pStyle w:val="BodyText"/>
        <w:spacing w:line="480" w:lineRule="auto"/>
        <w:ind w:firstLine="720"/>
      </w:pPr>
      <w:r>
        <w:t xml:space="preserve">Before the logit, the rapid threshold is fixed. Thirty days has operational meaning and produces both outcome classes; it is not optimized against p values, and alternative thresholds belong in robustness analysis and must be reported explicitly.</w:t>
      </w:r>
    </w:p>
    <w:bookmarkEnd w:id="111"/>
    <w:bookmarkStart w:id="112" w:name="data-dictionary-as-governance-artifact"/>
    <w:p>
      <w:pPr>
        <w:pStyle w:val="Heading2"/>
        <w:spacing w:line="480" w:lineRule="auto"/>
      </w:pPr>
      <w:r>
        <w:t xml:space="preserve">4.13 Data dictionary as governance artifact</w:t>
      </w:r>
    </w:p>
    <w:p>
      <w:pPr>
        <w:pStyle w:val="FirstParagraph"/>
        <w:spacing w:line="480" w:lineRule="auto"/>
      </w:pPr>
      <w:r>
        <w:t xml:space="preserve">Variable definitions matter beyond replication, because they specify the information an organization would need to maintain for operational analysis. A mission vulnerability record should include the public CVE, the product and version, the vendor advisory, KEV status, public severity, exploit evidence, the local asset identifier, the network zone, the mission function, the exposure state, mitigation, the status of the patch, the decision owner, and timestamps; public datasets supply only the first portion of that record, and the missing local portion is where mission consequence becomes observable. A supplier-performance record should contain the time of notification, completeness, the availability of a patch, the interaction with support, validation defects, and recurrence, since a market record can show investor response but cannot replace these direct performance measures, and procurement can evaluate the fields it controls. For trusted sharing, the record should preserve the source, confidence, handling restrictions, affected configurations, exploitation behavior, and validated action, since data pedigree allows recipients to distinguish direct observation from analysis, and the reference pool’s emphasis on pedigree and operational risk supports this structure</w:t>
      </w:r>
      <w:r>
        <w:t xml:space="preserve"> </w:t>
      </w:r>
      <w:hyperlink w:anchor="ref-18">
        <w:r>
          <w:rPr>
            <w:rStyle w:val="Hyperlink"/>
          </w:rPr>
          <w:t xml:space="preserve">[18]</w:t>
        </w:r>
      </w:hyperlink>
      <w:r>
        <w:t xml:space="preserve">[19]. Treating the dictionary as a governance artifact prevents the analytic file from becoming a research object used only one time, and dashboards, exercises, after-action reviews, and longitudinal evaluation can be supported by the same schema.</w:t>
      </w:r>
    </w:p>
    <w:bookmarkEnd w:id="112"/>
    <w:bookmarkStart w:id="113" w:name="missingness-and-exclusion-logic"/>
    <w:p>
      <w:pPr>
        <w:pStyle w:val="Heading2"/>
        <w:spacing w:line="480" w:lineRule="auto"/>
      </w:pPr>
      <w:r>
        <w:t xml:space="preserve">4.14 Missingness and exclusion logic</w:t>
      </w:r>
    </w:p>
    <w:p>
      <w:pPr>
        <w:pStyle w:val="FirstParagraph"/>
        <w:spacing w:line="480" w:lineRule="auto"/>
      </w:pPr>
      <w:r>
        <w:t xml:space="preserve">Exclusion is part of measurement. Private vendors have no public return, so they are absent from the equity panel, and delisted-period events are also absent when no complete adjusted series is available, though those rows remain eligible for the rapid-escalation panel. That design gives the two papers different sample boundaries by construction. Missing market data are not filled with illustrative returns, since doing so would attach false precision to the outcome rather than preserve the real-data gate used for measurement, and failed retrievals are excluded under a completeness rule, which reduces N. For the vulnerability panel, public CVEs that never appear in KEV are also excluded rather than coded as non-rapid zeroes, because the frozen record cannot distinguish a CVE that will be added to KEV later from one that will remain permanently outside KEV. A full risk-set survival study would therefore treat those cases as right-censored observations, whereas the present logit conditions explicitly on eventual inclusion and estimates variation within that included set. No missing CVSS score is imputed, since the source frame was selected to retain observations with usable severity metrics, and future expansion should document any hierarchy for missing metrics and test sensitivity to score version.</w:t>
      </w:r>
    </w:p>
    <w:p>
      <w:pPr>
        <w:pStyle w:val="BodyText"/>
        <w:spacing w:line="480" w:lineRule="auto"/>
        <w:ind w:firstLine="720"/>
      </w:pPr>
      <w:r>
        <w:t xml:space="preserve">The completeness rule is therefore restrictive by design: it sacrifices observations when the adjusted market series is incomplete, yet it avoids replacing absent realized data with illustrative values. For CVEs, the same logic separates absence from observed non-rapidity, so non-appearance in KEV is not treated as a zero in the present logit, and missing CVSS values are not filled in.</w:t>
      </w:r>
    </w:p>
    <w:bookmarkEnd w:id="113"/>
    <w:bookmarkStart w:id="114" w:name="privacy-security-and-research-ethics"/>
    <w:p>
      <w:pPr>
        <w:pStyle w:val="Heading2"/>
        <w:spacing w:line="480" w:lineRule="auto"/>
      </w:pPr>
      <w:r>
        <w:t xml:space="preserve">4.15 Privacy, security, and research ethics</w:t>
      </w:r>
    </w:p>
    <w:p>
      <w:pPr>
        <w:pStyle w:val="FirstParagraph"/>
        <w:spacing w:line="480" w:lineRule="auto"/>
      </w:pPr>
      <w:r>
        <w:t xml:space="preserve">The datasets come from public institutional records and public market prices. They contain no personal data, protected health information, credentials, exploit code, or classified mission configuration, and vendors and products are identified only when KEV already names them. Responsible reporting still requires care, because public institutional records and public market prices can be read beyond what the measurement supports if the limits of the sample are dropped. Statistical non-significance should not be treated as a product-security rating, nor should a vendor’s presence in the sample be read as a general assessment of that vendor, since it means only that CISA confirmed exploitation of a product vulnerability, and it does not mean that the dissertation measures, scores, or ranks the vendor’s entire security program. For that reason, the dissertation avoids league tables, does not convert the sample into a vendor ranking, and keeps the empirical discussion centered on pooled mechanisms rather than on claims about named firms beyond the vendor and product identifications already present in KEV. This framing preserves the distinction between evidence about exploited product vulnerabilities and evidence about an organization-wide security posture, a distinction required by the measurement design because the dataset records the former and not the latter, and it keeps non-significant estimates in their proper role, as statistical results within the study rather than as labels attached to products.</w:t>
      </w:r>
    </w:p>
    <w:p>
      <w:pPr>
        <w:pStyle w:val="BodyText"/>
        <w:spacing w:line="480" w:lineRule="auto"/>
        <w:ind w:firstLine="720"/>
      </w:pPr>
      <w:r>
        <w:t xml:space="preserve">Operational deployment details are not published. Space relevance is established at the product-class and architecture level, any future operator study would require governance for sensitive inventories and incident records, and public replication datasets may need de-identification or controlled access while preserving enough provenance for audit. These ethical boundaries align with the dissertation’s central argument, that useful disclosure requires context but not every context should be public, and layered information governance can preserve public facts, trusted operational detail, and protected mission data in appropriate channels.</w:t>
      </w:r>
    </w:p>
    <w:bookmarkEnd w:id="114"/>
    <w:bookmarkEnd w:id="115"/>
    <w:bookmarkStart w:id="130" w:name="chapter-5.-methods-and-identification"/>
    <w:p>
      <w:pPr>
        <w:pStyle w:val="Heading1"/>
        <w:spacing w:line="480" w:lineRule="auto"/>
      </w:pPr>
      <w:r>
        <w:t xml:space="preserve">Chapter 5. Methods and Identification</w:t>
      </w:r>
    </w:p>
    <w:bookmarkStart w:id="116" w:name="inferential-strategy"/>
    <w:p>
      <w:pPr>
        <w:pStyle w:val="Heading2"/>
        <w:spacing w:line="480" w:lineRule="auto"/>
      </w:pPr>
      <w:r>
        <w:t xml:space="preserve">5.1 Inferential strategy</w:t>
      </w:r>
    </w:p>
    <w:p>
      <w:pPr>
        <w:pStyle w:val="FirstParagraph"/>
        <w:spacing w:line="480" w:lineRule="auto"/>
      </w:pPr>
      <w:r>
        <w:t xml:space="preserve">This dissertation uses two estimators within a common empirical pipeline: ordinary least squares with HC1 standard errors and maximum-likelihood binary logit. They address different inferential questions, yet both rest on the same conservative identification claim, that the estimates describe conditional associations in transparent public samples rather than randomized causal effects. Paper 1 examines how the five-day market-adjusted vendor return varies with attributes of a KEV disclosure, and OLS is used because it preserves the continuous magnitude of that market response. Paper 2 examines whether a vulnerability reaches KEV within 30 days, for which logit is appropriate because the outcome is binary and the linear index is mapped into probabilities bounded between zero and one. Both model configurations are fixed in machine-readable files and executed before the findings chapters are written.</w:t>
      </w:r>
    </w:p>
    <w:bookmarkEnd w:id="116"/>
    <w:bookmarkStart w:id="117" w:name="paper-1-specification"/>
    <w:p>
      <w:pPr>
        <w:pStyle w:val="Heading2"/>
        <w:spacing w:line="480" w:lineRule="auto"/>
      </w:pPr>
      <w:r>
        <w:t xml:space="preserve">5.2 Paper 1 specification</w:t>
      </w:r>
    </w:p>
    <w:p>
      <w:pPr>
        <w:pStyle w:val="FirstParagraph"/>
        <w:spacing w:line="480" w:lineRule="auto"/>
      </w:pPr>
      <w:r>
        <w:t xml:space="preserve">Paper 1 specifies abnormal_return_5d_pct as the dependent variable, and the regressors are CVSS, is_edge, ransomware, and post_bod, with a constant included. Coefficient interpretation follows the pre-stated mechanisms: the CVSS coefficient represents the percentage-point change in abnormal return associated with a one-point increase in severity, holding the binary attributes fixed, and each binary coefficient represents the adjusted difference between observations with and without that attribute. OLS serves as a descriptive conditional-mean estimator for this specification, since the dependent variable is continuous and may be positive or negative. Given the small cross-section, the design cannot support firm fixed effects, saturated interactions, or a large control set without substantial loss of degrees of freedom, so parsimony is preferable, because it preserves estimation power while keeping each coefficient aligned with a pre-stated mechanism. HC1 standard errors are used to address heteroskedasticity, since event returns for large diversified vendors may exhibit different residual variance than returns for smaller firms or international listings, whereas conventional homoskedastic standard errors would treat that variance as constant. HC1 rescales the sandwich covariance estimate for sample size; it does not correct serial dependence or firm clustering, and because several vendors appear more than once, a larger replication should use firm-clustered inference or a multilevel event model.</w:t>
      </w:r>
    </w:p>
    <w:p>
      <w:pPr>
        <w:pStyle w:val="BodyText"/>
        <w:spacing w:line="480" w:lineRule="auto"/>
        <w:ind w:firstLine="720"/>
      </w:pPr>
      <w:r>
        <w:t xml:space="preserve">Reported quantities include N, R-squared, adjusted R-squared, a robust F statistic, coefficient estimates, standard errors, test statistics, p values, and confidence intervals. The joint F test assesses whether the slope set carries explanatory information, individual tests assess the directional mechanisms, and the five-percent threshold is primary, with exact p values retained.</w:t>
      </w:r>
    </w:p>
    <w:bookmarkEnd w:id="117"/>
    <w:bookmarkStart w:id="118" w:name="market-adjustment-and-event-window"/>
    <w:p>
      <w:pPr>
        <w:pStyle w:val="Heading2"/>
        <w:spacing w:line="480" w:lineRule="auto"/>
      </w:pPr>
      <w:r>
        <w:t xml:space="preserve">5.3 Market adjustment and event window</w:t>
      </w:r>
    </w:p>
    <w:p>
      <w:pPr>
        <w:pStyle w:val="FirstParagraph"/>
        <w:spacing w:line="480" w:lineRule="auto"/>
      </w:pPr>
      <w:r>
        <w:t xml:space="preserve">Event date is defined as the first vendor trading day on or after the KEV dateAdded field. Returns are measured from the adjusted close on the preceding trading day through the close on the fifth subsequent trading day, with the ACWI return over those matched dates subtracted. Three design choices follow from this definition. KEV addition, rather than NVD publication or a vendor advisory, is used as the public event, because it gives each observation a common institutional meaning: confirmed exploitation and federal catalog action</w:t>
      </w:r>
      <w:r>
        <w:t xml:space="preserve"> </w:t>
      </w:r>
      <w:hyperlink w:anchor="ref-9">
        <w:r>
          <w:rPr>
            <w:rStyle w:val="Hyperlink"/>
          </w:rPr>
          <w:t xml:space="preserve">[9]</w:t>
        </w:r>
      </w:hyperlink>
      <w:r>
        <w:t xml:space="preserve">. The five-day window allows information to diffuse across markets and time zones, and ACWI provides the global benchmark for the international sample.</w:t>
      </w:r>
    </w:p>
    <w:p>
      <w:pPr>
        <w:pStyle w:val="BodyText"/>
        <w:spacing w:line="480" w:lineRule="auto"/>
        <w:ind w:firstLine="720"/>
      </w:pPr>
      <w:r>
        <w:t xml:space="preserve">This approach is not a full market-model event study. A full event study would estimate each firm’s alpha and beta over a long pre-event window and then sum daily residuals. The market-adjusted specification used here is more transparent and avoids unstable firm-specific estimates in a small, heterogeneous sample, but it leaves some residual factor exposure, so sector movements, exchange rates, and firm beta may remain in abnormal_return_5d_pct.</w:t>
      </w:r>
    </w:p>
    <w:bookmarkEnd w:id="118"/>
    <w:bookmarkStart w:id="119" w:name="identification-in-paper-1"/>
    <w:p>
      <w:pPr>
        <w:pStyle w:val="Heading2"/>
        <w:spacing w:line="480" w:lineRule="auto"/>
      </w:pPr>
      <w:r>
        <w:t xml:space="preserve">5.4 Identification in Paper 1</w:t>
      </w:r>
    </w:p>
    <w:p>
      <w:pPr>
        <w:pStyle w:val="FirstParagraph"/>
        <w:spacing w:line="480" w:lineRule="auto"/>
      </w:pPr>
      <w:r>
        <w:t xml:space="preserve">The estimand is the conditional difference in observed event-window return associated with each disclosure attribute. Identification assumes that, conditional on included attributes and benchmark return, omitted determinants of event return are not systematically correlated with the regressor of interest, a strong assumption unlikely to hold exactly. Prior disclosure poses the first threat. NVD publication and vendor advisories often precede KEV, so investors may price the vulnerability before</w:t>
      </w:r>
      <w:r>
        <w:t xml:space="preserve"> </w:t>
      </w:r>
      <w:r>
        <w:rPr>
          <w:rStyle w:val="VerbatimChar"/>
        </w:rPr>
        <w:t xml:space="preserve">dateAdded</w:t>
      </w:r>
      <w:r>
        <w:t xml:space="preserve">, and the coefficient then captures the incremental salience of KEV addition rather than the total economic effect of the vulnerability disclosure; if anticipation is stronger for high-CVSS or ransomware events, the corresponding slopes may be biased toward zero or become positive. Concurrent news creates the second threat, since earnings, acquisitions, product launches, litigation, or macroeconomic announcements can occur in the same week as the KEV event. ACWI adjusts for broad market movement. It does not remove firm-specific news. A hand-coded confound flag would strengthen a larger study, but the present source frame does not include one, so the results are interpreted cautiously. Repeated firms create the third threat, because vendor response practices and investor expectations may be correlated across events while HC1 treats observations as independent, and clustered standard errors are unreliable with the small number of vendors, which is why the deterministic pipeline uses HC1 and discloses this limitation rather than hiding it.</w:t>
      </w:r>
    </w:p>
    <w:p>
      <w:pPr>
        <w:pStyle w:val="BodyText"/>
        <w:spacing w:line="480" w:lineRule="auto"/>
        <w:ind w:firstLine="720"/>
      </w:pPr>
      <w:r>
        <w:t xml:space="preserve">Sample selection creates a fourth threat. Only listed vendors with complete price histories enter the analysis, so private vendors and delisted firms are excluded, and the result generalizes to observable public suppliers rather than to the full ground-system market.</w:t>
      </w:r>
    </w:p>
    <w:bookmarkEnd w:id="119"/>
    <w:bookmarkStart w:id="120" w:name="paper-2-specification"/>
    <w:p>
      <w:pPr>
        <w:pStyle w:val="Heading2"/>
        <w:spacing w:line="480" w:lineRule="auto"/>
      </w:pPr>
      <w:r>
        <w:t xml:space="preserve">5.5 Paper 2 specification</w:t>
      </w:r>
    </w:p>
    <w:p>
      <w:pPr>
        <w:pStyle w:val="FirstParagraph"/>
        <w:spacing w:line="480" w:lineRule="auto"/>
      </w:pPr>
      <w:r>
        <w:t xml:space="preserve">In Paper 2, rapid_escalation equals one when exposure_days is 30 or less. A logit specification models the log odds of rapid_escalation as a function of CVSS, edge status, and ransomware association, and the linear index produced by those predictors is then mapped by the logistic cumulative distribution into a predicted probability, so the reported model links the binary outcome to severity, edge status, and ransomware association through the logit form. Coefficients are interpreted as changes in log odds; when exponentiated, they are expressed as odds ratios, which puts the same estimates on a multiplicative odds scale rather than leaving them on the log-odds scale. A positive CVSS coefficient indicates that higher severity is associated with higher odds of rapid escalation, and a positive coefficient on a binary predictor indicates that the attribute multiplies the odds relative to the reference group, holding the other predictors constant. Maximum likelihood estimation selects the parameter values that make the observed pattern of outcomes most probable under the model, and standard errors are derived from the inverse information matrix. Model output reports N, log likelihood, pseudo-R-squared, coefficients, standard errors, z statistics, p values, and confidence intervals.</w:t>
      </w:r>
    </w:p>
    <w:p>
      <w:pPr>
        <w:pStyle w:val="BodyText"/>
        <w:spacing w:line="480" w:lineRule="auto"/>
        <w:ind w:firstLine="720"/>
      </w:pPr>
      <w:r>
        <w:t xml:space="preserve">Pseudo-R-squared should not be read as the share of variance explained, as it would be in an OLS framework. It compares the fitted log likelihood with the log likelihood from an intercept-only model, so small values indicate limited improvement in classification fit, but they are not on the same scale as R-squared.</w:t>
      </w:r>
    </w:p>
    <w:bookmarkEnd w:id="120"/>
    <w:bookmarkStart w:id="121" w:name="separation-and-the-era-variable"/>
    <w:p>
      <w:pPr>
        <w:pStyle w:val="Heading2"/>
        <w:spacing w:line="480" w:lineRule="auto"/>
      </w:pPr>
      <w:r>
        <w:t xml:space="preserve">5.6 Separation and the era variable</w:t>
      </w:r>
    </w:p>
    <w:p>
      <w:pPr>
        <w:pStyle w:val="FirstParagraph"/>
        <w:spacing w:line="480" w:lineRule="auto"/>
      </w:pPr>
      <w:r>
        <w:t xml:space="preserve">The dataset includes post_bod, and the theory predicts a strong association with regime period, since the observed era pattern is stark. Fitting an unpenalized logit model with post_bod would put the same deterministic pattern into the likelihood. Because all rapid cases sit in the post-2021 cohort and no pre-BOD observation is rapid, the earlier group is completely separated on the outcome, so as the era coefficient moves toward a boundary, the likelihood can continue to increase instead of settling on an ordinary interior solution, and the Hessian becomes singular. That is the identification problem. The stable specification therefore excludes post_bod from the multivariable model and reports the cohort cross-tabulation separately, so the analysis does not present a finite-looking coefficient that would be an artifact of separation rather than a stable estimate from the observed cells. The estimand is consequently narrower: it is the association between technical attributes and rapid escalation within the mixed cohort, not a causal estimate for BOD 22-01 or a multivariable coefficient for regime period. The raw era pattern remains in the study as a descriptive finding, with the separation itself explaining why it is not folded into the logit specification used for the main inference.</w:t>
      </w:r>
    </w:p>
    <w:p>
      <w:pPr>
        <w:pStyle w:val="BodyText"/>
        <w:spacing w:line="480" w:lineRule="auto"/>
        <w:ind w:firstLine="720"/>
      </w:pPr>
      <w:r>
        <w:t xml:space="preserve">Firth penalized logit can return finite estimates under separation, exact logit can accommodate small cells, and a post-BOD-only sample can remove historical backfill. Those approaches either fall outside the deterministic pipeline used here or would leave too few observations for stable multivariable inference, so they define the next analysis rather than an undocumented modification to the present one.</w:t>
      </w:r>
    </w:p>
    <w:bookmarkEnd w:id="121"/>
    <w:bookmarkStart w:id="122" w:name="identification-in-paper-2"/>
    <w:p>
      <w:pPr>
        <w:pStyle w:val="Heading2"/>
        <w:spacing w:line="480" w:lineRule="auto"/>
      </w:pPr>
      <w:r>
        <w:t xml:space="preserve">5.7 Identification in Paper 2</w:t>
      </w:r>
    </w:p>
    <w:p>
      <w:pPr>
        <w:pStyle w:val="FirstParagraph"/>
        <w:spacing w:line="480" w:lineRule="auto"/>
      </w:pPr>
      <w:r>
        <w:t xml:space="preserve">The estimand is the conditional probability of rapid KEV addition among vulnerabilities eventually included by the catalog freeze, not the probability that a CVE will ever be exploited, and conditioning on KEV selection creates a selected-risk-set design. Left censoring and historical backfill form the first identification threat. For older CVEs, exploitation may have occurred long before KEV existed, so the duration from NVD publication to dateAdded combines time to exploitation with time to catalog creation, and for that reason the era pattern is interpreted institutionally. Timing error is a second threat, since NVD publication may not be the first public disclosure, and dateAdded may not be the first confirmation of exploitation, so the interval should be read as a reproducible public duration rather than as a latent adversary timeline. A third threat concerns field revision, because CVSS and ransomware status can change after initial publication, while the frozen dataset measures the final recorded attributes at retrieval rather than initial attributes, and a contemporaneous-data study would require archived snapshots. Product-class measurement introduces a fourth threat, because edge status is coded from product function rather than deployment telemetry, so the variable reflects function rather than observed deployment conditions; some controllers can be internet-exposed, and some gateway products can be isolated, so this form of misclassification tends to weaken the edge association.</w:t>
      </w:r>
    </w:p>
    <w:p>
      <w:pPr>
        <w:pStyle w:val="BodyText"/>
        <w:spacing w:line="480" w:lineRule="auto"/>
        <w:ind w:firstLine="720"/>
      </w:pPr>
      <w:r>
        <w:t xml:space="preserve">Omitted institutional evidence is the fifth threat. CISA can act on intelligence, federal incident reporting, vendor confirmation, and campaign scale that do not appear in public fields, so these omitted variables are likely central to timing, and the low pseudo-R-squared is consistent with that expectation.</w:t>
      </w:r>
    </w:p>
    <w:bookmarkEnd w:id="122"/>
    <w:bookmarkStart w:id="123" w:name="statistical-power-and-precision"/>
    <w:p>
      <w:pPr>
        <w:pStyle w:val="Heading2"/>
        <w:spacing w:line="480" w:lineRule="auto"/>
      </w:pPr>
      <w:r>
        <w:t xml:space="preserve">5.8 Statistical power and precision</w:t>
      </w:r>
    </w:p>
    <w:p>
      <w:pPr>
        <w:pStyle w:val="FirstParagraph"/>
        <w:spacing w:line="480" w:lineRule="auto"/>
      </w:pPr>
      <w:r>
        <w:t xml:space="preserve">With 21 observations and five estimated parameters, including the constant, the OLS specification is small, and the logit specification is also small, with 37 observations and four parameters. Statistical power is therefore limited for modest effects, and the resulting confidence intervals are wide, so a failure to reject should not be read as evidence that the true effect is exactly zero. Adding unsupported observations would not be an appropriate remedy. The pipeline requires real data and caps illustrative content below 15 percent, and both papers use zero illustrative rows, so the dissertation accepts lower power in exchange for provenance, while reporting effect estimates and intervals so that later studies can plan larger samples. For Paper 1, repeated events and international listings introduce heterogeneity that may obscure a common slope, and for Paper 2, the small non-edge comparison group limits precision for the edge coefficient. A larger KEV freeze will increase the post-BOD cohort and permit restricted-era models, and additional market events can support firm clustering and narrower event windows.</w:t>
      </w:r>
    </w:p>
    <w:bookmarkEnd w:id="123"/>
    <w:bookmarkStart w:id="124" w:name="robustness-logic"/>
    <w:p>
      <w:pPr>
        <w:pStyle w:val="Heading2"/>
        <w:spacing w:line="480" w:lineRule="auto"/>
      </w:pPr>
      <w:r>
        <w:t xml:space="preserve">5.9 Robustness logic</w:t>
      </w:r>
    </w:p>
    <w:p>
      <w:pPr>
        <w:pStyle w:val="FirstParagraph"/>
        <w:spacing w:line="480" w:lineRule="auto"/>
      </w:pPr>
      <w:r>
        <w:t xml:space="preserve">Deterministic outputs serve as the primary estimates, and additional robustness checks are specified for future replication rather than treated as completed analyses. For Paper 1, a future replication could re-estimate the results using one-day windows and three-day windows, then re-estimate them again within a domestic-only sample, through leave-one-vendor-out analysis, with firm-clustered bootstrap inference, and with market-model residuals. A sign test can assess whether negative returns occur more often than one half without relying on normality, which keeps that particular check separate from distributional assumptions, and confounded-event flags can exclude earnings and major corporate announcements. For Paper 2, the robustness work could vary the rapid threshold to 14 days, 21 days, 45 days, and 60 days; restrict the analysis to the post-BOD publication period; use penalized logit; model exposure_days with survival methods; and add product prevalence or public exploit-code indicators. These are prospective checks. No listed alternative is reported as having been run, and none is reported as displacing deterministic outputs as primary estimates, so the wording keeps the checks attached to future replication rather than completed analyses, to pre-specified extensions rather than executed evidence, and to the estimator-generated-number rule that governs the prose used in the handoff.</w:t>
      </w:r>
    </w:p>
    <w:p>
      <w:pPr>
        <w:pStyle w:val="BodyText"/>
        <w:spacing w:line="480" w:lineRule="auto"/>
        <w:ind w:firstLine="720"/>
      </w:pPr>
      <w:r>
        <w:t xml:space="preserve">A full NVD cohort would permit right censoring for never-KEV vulnerabilities. Because the handoff requires that prose state only numbers generated by the estimator, these checks are not reported as completed, and the chapter separates pre-specified extensions from executed evidence.</w:t>
      </w:r>
    </w:p>
    <w:bookmarkEnd w:id="124"/>
    <w:bookmarkStart w:id="125" w:name="interpretation-rules"/>
    <w:p>
      <w:pPr>
        <w:pStyle w:val="Heading2"/>
        <w:spacing w:line="480" w:lineRule="auto"/>
      </w:pPr>
      <w:r>
        <w:t xml:space="preserve">5.10 Interpretation rules</w:t>
      </w:r>
    </w:p>
    <w:p>
      <w:pPr>
        <w:pStyle w:val="FirstParagraph"/>
        <w:spacing w:line="480" w:lineRule="auto"/>
      </w:pPr>
      <w:r>
        <w:t xml:space="preserve">Four rules govern Chapter 6. First, coefficients are interpreted in their native units before any policy interpretation is drawn. Second, p values are not converted into claims of no effect. Non-significance means only that the sample does not distinguish the estimate from zero at the stated threshold. Third, signs that contradict theory are reported without rhetorical rescue. Fourth, fit measures are used to assess the model as a whole. Together, these rules limit overstatement in a domain where technical stakes can tempt analysts to treat plausible mechanisms as proven, and that restraint has a purpose. The empirical contribution is valuable precisely because it allows the record to reject simple expectations, and the methods support a bounded claim: public disclosure attributes do not supply stable, statistically reliable discipline through the two measured channels in these samples.</w:t>
      </w:r>
    </w:p>
    <w:bookmarkEnd w:id="125"/>
    <w:bookmarkStart w:id="126" w:name="X7586c374525f9fc540597f2d656f40ac8903f9e"/>
    <w:p>
      <w:pPr>
        <w:pStyle w:val="Heading2"/>
        <w:spacing w:line="480" w:lineRule="auto"/>
      </w:pPr>
      <w:r>
        <w:t xml:space="preserve">5.11 Alternative estimands and model extensions</w:t>
      </w:r>
    </w:p>
    <w:p>
      <w:pPr>
        <w:pStyle w:val="FirstParagraph"/>
        <w:spacing w:line="480" w:lineRule="auto"/>
      </w:pPr>
      <w:r>
        <w:t xml:space="preserve">Primary estimands are deliberately simple, and the alternatives considered here address related but distinct questions. For Paper 1, an intercept-only event model would estimate the mean market-adjusted response across KEV events, while the multivariable model used here estimates how response varies with disclosure attributes. With sufficient repeated observations by vendor, a panel specification could include vendor fixed effects and isolate within-vendor contrasts, and a hierarchical model could partially pool vendor responses while estimating between-vendor heterogeneity. A factor-model event study would estimate expected returns over a pre-event window and calculate cumulative residuals, asking whether returns depart from firm-specific market exposure rather than whether the vendor differs from a global benchmark, and that latter benchmark question is the one addressed by the ACWI adjustment used here. The factor model is preferable when longer clean histories are available and the number of observations is sufficient for stable estimation. Other specifications would shift the estimand rather than simply refine the primary model: a binary negative-return logit would estimate the probability of underperformance rather than its magnitude, a quantile model could test whether disclosure attributes affect the lower tail, and nonparametric rank and sign tests could reduce sensitivity to the return distribution. They are not substitutes for the primary OLS; they change the object of inference.</w:t>
      </w:r>
    </w:p>
    <w:p>
      <w:pPr>
        <w:pStyle w:val="BodyText"/>
        <w:spacing w:line="480" w:lineRule="auto"/>
        <w:ind w:firstLine="720"/>
      </w:pPr>
      <w:r>
        <w:t xml:space="preserve">For Paper 2, a Cox model could treat exposure_days as time to KEV addition and include right-censored NVD vulnerabilities not yet in the catalog, thereby estimating the hazard of escalation in a full risk set, whereas the logit model used here estimates the probability of crossing a 30-day threshold conditional on eventual KEV inclusion. If event classification were available, a competing-risks model could distinguish ransomware, espionage, and other exploitation pathways, while a multistate model could represent publication, exploit-code release, first observed exploitation, KEV addition, mitigation, and patch deployment; such data would align the method with the disclosure chain described in Chapter 3. Penalized logit could estimate the post-BOD coefficient despite separation, though its finite estimate would depend on the penalty and should not be compared casually with unpenalized coefficients. Exact logit could provide small-sample inference, although it becomes computationally demanding with several predictors, and once the cohort is large enough, a restricted post-BOD model is conceptually cleaner.</w:t>
      </w:r>
    </w:p>
    <w:bookmarkEnd w:id="126"/>
    <w:bookmarkStart w:id="127" w:name="diagnostics-and-failure-modes"/>
    <w:p>
      <w:pPr>
        <w:pStyle w:val="Heading2"/>
        <w:spacing w:line="480" w:lineRule="auto"/>
      </w:pPr>
      <w:r>
        <w:t xml:space="preserve">5.12 Diagnostics and failure modes</w:t>
      </w:r>
    </w:p>
    <w:p>
      <w:pPr>
        <w:pStyle w:val="FirstParagraph"/>
        <w:spacing w:line="480" w:lineRule="auto"/>
      </w:pPr>
      <w:r>
        <w:t xml:space="preserve">A deterministic pipeline verifies that models run and returns fit statistics, but methodological review also requires diagnostics for stability, interpretation, and known failure modes. OLS residual plots can reveal leverage, nonlinear severity effects, and unequal variance, and leave-one-event and leave-one-vendor analyses can show whether the positive CVSS coefficient depends on a small number of returns. Variance-inflation checks can assess whether edge and post-BOD fields overlap strongly in the selected sample. Return outliers should not be removed merely because they weaken theory, since exclusion requires a documented data or confound reason, and winsorization changes the estimand and should be reported as a sensitivity analysis, while the provenance file permits event-level review without outcome-driven deletion. For logit models, predicted probabilities, classification tables, influence measures, and calibration plots can show where the model fails, and sparse cells and separation should be reported. Given the small comparison group, the edge coefficient’s wide uncertainty is expected, and adding predictors without more events can worsen instability. These diagnostics keep the review focused on whether estimates are stable and interpretable, not only on whether the deterministic pipeline completes.</w:t>
      </w:r>
    </w:p>
    <w:p>
      <w:pPr>
        <w:pStyle w:val="BodyText"/>
        <w:spacing w:line="480" w:lineRule="auto"/>
        <w:ind w:firstLine="720"/>
      </w:pPr>
      <w:r>
        <w:t xml:space="preserve">Model failure can also be substantive, because low fit may indicate that variables central to the process are missing. In Paper 2, exploit telemetry and institutional evidence are plausible omitted drivers; in Paper 1, product revenue share, prior advisory timing, and firm news are plausible omitted drivers. Diagnostics should therefore guide data collection rather than encourage cosmetic specification search.</w:t>
      </w:r>
    </w:p>
    <w:bookmarkEnd w:id="127"/>
    <w:bookmarkStart w:id="128" w:name="pre-analysis-discipline"/>
    <w:p>
      <w:pPr>
        <w:pStyle w:val="Heading2"/>
        <w:spacing w:line="480" w:lineRule="auto"/>
      </w:pPr>
      <w:r>
        <w:t xml:space="preserve">5.13 Pre-analysis discipline</w:t>
      </w:r>
    </w:p>
    <w:p>
      <w:pPr>
        <w:pStyle w:val="FirstParagraph"/>
        <w:spacing w:line="480" w:lineRule="auto"/>
      </w:pPr>
      <w:r>
        <w:t xml:space="preserve">Credibility in a small observational study depends on choices made before coefficients are inspected, and in this dissertation those choices are not left implicit: the configurations record outcomes, predictors, formulas, definitions, and chart variables, while the data provenance rules are fixed, and the two methods differ by design. Several choices are especially sensitive, including event date, window length, benchmark, rapid threshold, product classification, and cohort definition, and because those choices are sensitive, a formal pre-analysis plan for future replication should lock them in advance or declare a limited set of sensitivity analyses, with results across alternatives displayed together. Researcher degrees of freedom also enter through source retrieval, since NVD score preference, catalog freeze, ticker selection, and international listing choice can all affect which rows appear in the analysis. Retrieval scripts should preserve raw responses and logs, and a failed market series should be documented rather than silently replaced, keeping the retrieval record aligned with the same pre-analysis discipline that governs outcomes, predictors, formulas, definitions, chart variables, and fixed data provenance rules used in this dissertation.</w:t>
      </w:r>
    </w:p>
    <w:p>
      <w:pPr>
        <w:pStyle w:val="BodyText"/>
        <w:spacing w:line="480" w:lineRule="auto"/>
        <w:ind w:firstLine="720"/>
      </w:pPr>
      <w:r>
        <w:t xml:space="preserve">This study follows that discipline even without a registered plan. It retains null and contrary signs, does not add illustrative outcomes, and does not re-specify models to obtain significance, and that restraint matters for the handoff’s role as a real-data draft that later refinement can improve stylistically without changing the evidence.</w:t>
      </w:r>
    </w:p>
    <w:bookmarkEnd w:id="128"/>
    <w:bookmarkStart w:id="129" w:name="identification-summary"/>
    <w:p>
      <w:pPr>
        <w:pStyle w:val="Heading2"/>
        <w:spacing w:line="480" w:lineRule="auto"/>
      </w:pPr>
      <w:r>
        <w:t xml:space="preserve">5.14 Identification summary</w:t>
      </w:r>
    </w:p>
    <w:p>
      <w:pPr>
        <w:pStyle w:val="FirstParagraph"/>
        <w:spacing w:line="480" w:lineRule="auto"/>
      </w:pPr>
      <w:r>
        <w:t xml:space="preserve">The methods identify reproducible conditional associations, not total cyber cost, causal effects of KEV, or operator patch performance. Paper 1 remains vulnerable to anticipation, concurrent news, repeated firms, and listed-vendor selection, and Paper 2 remains vulnerable to KEV selection, historical backfill, timing error, field revision, and omitted institutional evidence. These limits do not make the estimators uninformative. They specify the proposition being tested: if simple public attributes created strong discipline, their associations should be visible even in bounded models, and the failure to establish those associations shows that governance should not rely on the simple mechanisms without further evidence.</w:t>
      </w:r>
    </w:p>
    <w:bookmarkEnd w:id="129"/>
    <w:bookmarkEnd w:id="130"/>
    <w:bookmarkStart w:id="143" w:name="chapter-6.-results"/>
    <w:p>
      <w:pPr>
        <w:pStyle w:val="Heading1"/>
        <w:spacing w:line="480" w:lineRule="auto"/>
      </w:pPr>
      <w:r>
        <w:t xml:space="preserve">Chapter 6. Results</w:t>
      </w:r>
    </w:p>
    <w:bookmarkStart w:id="131" w:name="overview"/>
    <w:p>
      <w:pPr>
        <w:pStyle w:val="Heading2"/>
        <w:spacing w:line="480" w:lineRule="auto"/>
      </w:pPr>
      <w:r>
        <w:t xml:space="preserve">6.1 Overview</w:t>
      </w:r>
    </w:p>
    <w:p>
      <w:pPr>
        <w:pStyle w:val="FirstParagraph"/>
        <w:spacing w:line="480" w:lineRule="auto"/>
      </w:pPr>
      <w:r>
        <w:t xml:space="preserve">This chapter reports the estimator output from both empirical papers. Paper 1 estimates the market-adjusted equity response to CISA KEV addition across 21 vulnerability-vendor events, and Paper 2 estimates the probability that a ground-segment-relevant vulnerability enters KEV within 30 days of NVD publication across 37 confirmed-exploited vulnerabilities. Appendix A contains the regression tables, figures, configurations, and row-level workbooks, and only values returned by the deterministic estimators are used in the discussion. Taken together, the results limit simple disclosure-discipline claims. In the equity model, group-level information is weak, and no negative disclosure-attribute coefficient is individually significant. In the rapid-escalation model, coefficients are positive in the expected direction, but model fit is low and no predictor is individually significant. Public attributes do not provide a dependable market sanction here. Nor do they provide an administrative timing forecast in these samples.</w:t>
      </w:r>
    </w:p>
    <w:bookmarkEnd w:id="131"/>
    <w:bookmarkStart w:id="132" w:name="paper-1-model-fit"/>
    <w:p>
      <w:pPr>
        <w:pStyle w:val="Heading2"/>
        <w:spacing w:line="480" w:lineRule="auto"/>
      </w:pPr>
      <w:r>
        <w:t xml:space="preserve">6.2 Paper 1 model fit</w:t>
      </w:r>
    </w:p>
    <w:p>
      <w:pPr>
        <w:pStyle w:val="FirstParagraph"/>
        <w:spacing w:line="480" w:lineRule="auto"/>
      </w:pPr>
      <w:r>
        <w:t xml:space="preserve">OLS estimation is based on N = 21, and the reported R-squared is 0.1156, so the four regressors account for about 11.6 percent of observed variation in the five-day abnormal return. Adjusted R-squared is -0.1055. Both statements refer to the same dependent variable, the five-day abnormal return. In a sample of this size, that negative adjusted value means the gain in fit from adding the four slopes is not large enough to compensate for their inclusion when the comparison is an intercept-only benchmark. Read together, the unadjusted and adjusted R-squared values show limited explanatory content, while the adjusted measure emphasizes how quickly that content is discounted once the number of estimated slopes is weighed against the small event sample. For the joint test, the robust F statistic is 2.4369 with p = 0.0896, placing the p value below ten percent but above the five-percent threshold used for conventional rejection, so under that test the joint null that the four slopes are zero is not rejected at the five percent level. The reported p value is therefore described at two conventional cutoffs, five percent and ten percent, rather than at only one threshold.</w:t>
      </w:r>
    </w:p>
    <w:p>
      <w:pPr>
        <w:pStyle w:val="BodyText"/>
        <w:spacing w:line="480" w:lineRule="auto"/>
        <w:ind w:firstLine="720"/>
      </w:pPr>
      <w:r>
        <w:t xml:space="preserve">This distinction matters: the model contains a weak aggregate signal, but the results do not support the usual five-percent claim that the disclosure attributes jointly explain event returns. Residual variation remains substantial because KEV events occur across vendors, exchanges, years, and product types. Using a global benchmark removes common ACWI movement, yet firm news, sector factors, exchange-rate effects, and prior anticipation remain outside the specification, so given those omitted sources of event-window variation, the low R-squared is consistent with an event-return outcome dominated by information beyond the four public vulnerability attributes.</w:t>
      </w:r>
    </w:p>
    <w:bookmarkEnd w:id="132"/>
    <w:bookmarkStart w:id="133" w:name="paper-1-coefficients"/>
    <w:p>
      <w:pPr>
        <w:pStyle w:val="Heading2"/>
        <w:spacing w:line="480" w:lineRule="auto"/>
      </w:pPr>
      <w:r>
        <w:t xml:space="preserve">6.3 Paper 1 coefficients</w:t>
      </w:r>
    </w:p>
    <w:p>
      <w:pPr>
        <w:pStyle w:val="FirstParagraph"/>
        <w:spacing w:line="480" w:lineRule="auto"/>
      </w:pPr>
      <w:r>
        <w:t xml:space="preserve">The constant is -7.3628, with HC1 standard error 4.6511, test statistic -1.5830, and p = 0.1134. Its 95 percent confidence interval runs from -16.4787 to 1.7532. This term corresponds to an observation with CVSS equal to zero and all indicators equal to zero, and because a zero severity score lies outside the substantive support of this confirmed-exploitation sample, the constant is not interpreted as an average event penalty. CVSS has a coefficient of 0.9394, standard error 0.4981, test statistic 1.8858, and p = 0.0593. Its 95 percent confidence interval extends from -0.0369 to 1.9157. Holding edge status, ransomware association, and post-BOD publication fixed, one additional CVSS point is associated with a 0.9394 percentage-point more positive five-day abnormal return, a direction that contradicts H1A1, which predicted a more negative return. The estimate approaches the ten-percent threshold but does not reach five percent, and the interval narrowly includes zero.</w:t>
      </w:r>
    </w:p>
    <w:p>
      <w:pPr>
        <w:pStyle w:val="BodyText"/>
        <w:spacing w:line="480" w:lineRule="auto"/>
        <w:ind w:firstLine="720"/>
      </w:pPr>
      <w:r>
        <w:t xml:space="preserve">Its magnitude is economically visible: under the linear specification, a two-point severity difference maps to an estimated 1.8788 percentage-point return difference. The sample does not display the predicted negative severity gradient, and the model cannot establish that the positive relationship is structural. Edge-product status has a coefficient of -0.3618, standard error 1.6827, test statistic -0.2150, and p = 0.8297. Its confidence interval spans -3.6599 to 2.9362. The sign aligns with H1A2, but the estimate is small relative to uncertainty, and these results are compatible with both a meaningful negative and a meaningful positive edge difference, so a theory that assumes more serious KEV entries automatically receive larger equity penalties is not supported. Ransomware association has a coefficient of 0.3168, standard error 2.6495, test statistic 0.1196, and p = 0.9048. Its confidence interval spans -4.8762 to 5.5098. The point estimate is near zero and positive, contrary to H1A3, so known ransomware use does not produce a detectable marginal equity penalty in the fitted model.</w:t>
      </w:r>
    </w:p>
    <w:p>
      <w:pPr>
        <w:pStyle w:val="BodyText"/>
        <w:spacing w:line="480" w:lineRule="auto"/>
        <w:ind w:firstLine="720"/>
      </w:pPr>
      <w:r>
        <w:t xml:space="preserve">Post-BOD publication has a coefficient of -2.1172, standard error 1.9283, test statistic -1.0980, and p = 0.2722. Its confidence interval spans -5.8966 to 1.6622. Holding the other attributes fixed, vulnerabilities disclosed under the post-2021 regime are associated with a roughly two-percentage-point more negative abnormal return, yet the uncertainty is too large to reject zero.</w:t>
      </w:r>
    </w:p>
    <w:bookmarkEnd w:id="133"/>
    <w:bookmarkStart w:id="134" w:name="paper-1-hypothesis-assessment"/>
    <w:p>
      <w:pPr>
        <w:pStyle w:val="Heading2"/>
        <w:spacing w:line="480" w:lineRule="auto"/>
      </w:pPr>
      <w:r>
        <w:t xml:space="preserve">6.4 Paper 1 hypothesis assessment</w:t>
      </w:r>
    </w:p>
    <w:p>
      <w:pPr>
        <w:pStyle w:val="FirstParagraph"/>
        <w:spacing w:line="480" w:lineRule="auto"/>
      </w:pPr>
      <w:r>
        <w:t xml:space="preserve">H1A predicts negative coefficients for all four slopes, so H0A is not rejected. In the estimates, the edge and post-BOD slopes are negative, whereas the CVSS and ransomware slopes are positive. None is significant at the five percent level, and the joint F test likewise fails to reach five percent. The result is not merely a case in which a single underpowered coefficient fails to attain significance; the estimated pattern itself lacks directional consistency, because the four slopes do not line up with the all-negative prediction. The signs are mixed. The severity coefficient, which is the most precisely estimated slope, runs counter to the market-penalty theory rather than supporting it, since its sign is positive, and the ransomware estimate is positive as well, though it is nearly indistinguishable from zero, which leaves it without a meaningful negative magnitude. Only the institutional-era estimate has a potentially material negative magnitude, although its interval is wide, and the edge estimate is also negative, yet the overall evidence remains nonsignificant and directionally inconsistent. This combination matters, because failure to reject H0A is not being driven solely by weak precision around one expected negative slope, but by a set of estimates in which the most precise slope points in the opposite direction, one ransomware slope is essentially zero, and only the post-BOD slope has a potentially material negative size.</w:t>
      </w:r>
    </w:p>
    <w:p>
      <w:pPr>
        <w:pStyle w:val="BodyText"/>
        <w:spacing w:line="480" w:lineRule="auto"/>
        <w:ind w:firstLine="720"/>
      </w:pPr>
      <w:r>
        <w:t xml:space="preserve">The finding is specific to incremental return around KEV addition. It does not estimate a price effect at NVD publication, vendor advisory, exploit disclosure, or issuer incident filing, so if the market learns earlier, the KEV window may show little response. The result rejects automatic discipline at the catalog event under the measured attributes, but it does not rule out every financial consequence of cyber risk.</w:t>
      </w:r>
    </w:p>
    <w:bookmarkEnd w:id="134"/>
    <w:bookmarkStart w:id="135" w:name="paper-2-model-fit"/>
    <w:p>
      <w:pPr>
        <w:pStyle w:val="Heading2"/>
        <w:spacing w:line="480" w:lineRule="auto"/>
      </w:pPr>
      <w:r>
        <w:t xml:space="preserve">6.5 Paper 2 model fit</w:t>
      </w:r>
    </w:p>
    <w:p>
      <w:pPr>
        <w:pStyle w:val="FirstParagraph"/>
        <w:spacing w:line="480" w:lineRule="auto"/>
      </w:pPr>
      <w:r>
        <w:t xml:space="preserve">Using N = 37, the logit model reports a log likelihood of -24.3772 and a pseudo-R-squared of 0.0241. That value reflects only a slight improvement over an intercept-only specification. The outcome comprises 15 rapid and 22 non-rapid observations. If the specification had meaningful discriminatory capacity, fitted probabilities would shift systematically between rapid and non-rapid observations; they do not. The weak pseudo-R-squared and the absence of systematic movement across the two outcome groups point to the same result: CVSS, edge status, and ransomware association provide little classification power for whether KEV addition occurs within 30 days. In practical terms for this supported model, those three public attributes do not, in combination, produce a fitted pattern that clearly distinguishes cases added to KEV within 30 days from cases not added within that interval. The classification signal is therefore weak, not because the sample lacks both outcome classes, since it includes rapid and non-rapid cases, but because the fitted probabilities fail to move in a systematic way between those classes. Both diagnostics tell the same story: the three public attributes contribute limited separation between rapid and non-rapid KEV additions.</w:t>
      </w:r>
    </w:p>
    <w:p>
      <w:pPr>
        <w:pStyle w:val="BodyText"/>
        <w:spacing w:line="480" w:lineRule="auto"/>
        <w:ind w:firstLine="720"/>
      </w:pPr>
      <w:r>
        <w:t xml:space="preserve">Post-BOD status is excluded because the raw table contains no rapid cases in the pre-BOD cohort. Including that field produces separation and a singular Hessian, and although this descriptive cohort pattern is stronger than any fitted technical-attribute effect, the supported unpenalized logit cannot estimate it as a stable finite coefficient.</w:t>
      </w:r>
    </w:p>
    <w:bookmarkEnd w:id="135"/>
    <w:bookmarkStart w:id="136" w:name="paper-2-coefficients"/>
    <w:p>
      <w:pPr>
        <w:pStyle w:val="Heading2"/>
        <w:spacing w:line="480" w:lineRule="auto"/>
      </w:pPr>
      <w:r>
        <w:t xml:space="preserve">6.6 Paper 2 coefficients</w:t>
      </w:r>
    </w:p>
    <w:p>
      <w:pPr>
        <w:pStyle w:val="FirstParagraph"/>
        <w:spacing w:line="480" w:lineRule="auto"/>
      </w:pPr>
      <w:r>
        <w:t xml:space="preserve">For the constant, the coefficient is -2.7554, with standard error 2.4653, z statistic -1.1177, p = 0.2637, and a confidence interval from -7.5872 to 2.0765. As in Paper 1, it refers to a low-severity reference point outside the central support, so no operational interpretation is assigned. CVSS has a coefficient of 0.1887, a standard error of 0.2463, a z statistic of 0.7662, and p = 0.4435. Its confidence interval spans -0.2940 to 0.6713, so the estimate is compatible, on the log-odds scale, with values below zero as well as values above zero. Exponentiating the point estimate gives an odds ratio of about 1.21; expressed in the original terms of the model, a one-point increase in CVSS is associated with approximately 21 percent higher odds of rapid escalation, holding product class and ransomware association fixed, and the sign supports H1B1. Precision is limited, however, because the interval is broad enough to include an odds reduction rather than only an odds increase, so the positive point estimate should be read as directionally consistent with the hypothesis but not as a sharply estimated effect in this specification. The numerical direction and the uncertainty point in different evidentiary directions: the slope is positive and lines up with H1B1, while the standard error, z statistic, p value, and confidence interval show that the estimate remains imprecise.</w:t>
      </w:r>
    </w:p>
    <w:p>
      <w:pPr>
        <w:pStyle w:val="BodyText"/>
        <w:spacing w:line="480" w:lineRule="auto"/>
        <w:ind w:firstLine="720"/>
      </w:pPr>
      <w:r>
        <w:t xml:space="preserve">Edge-product status has a coefficient of 0.7370, a standard error of 1.2488, a z statistic of 0.5902, and p = 0.5551. Its confidence interval spans -1.7105 to 3.1845. The point estimate corresponds to an odds ratio of about 2.09, which may appear substantively suggestive, but the log-odds interval is extremely wide because only a few comparison observations are non-edge products, so H1B2 is not established. For ransomware association, the coefficient is 0.1351, with a standard error of 0.7389, a z statistic of 0.1828, and p = 0.8550. Its confidence interval spans -1.3132 to 1.5833, with a point estimate that corresponds to an odds ratio near 1.14. This is the least informative slope, and the data provide no evidence that the catalog’s known-ransomware field differentiates rapid from delayed addition after the other two predictors are included.</w:t>
      </w:r>
    </w:p>
    <w:bookmarkEnd w:id="136"/>
    <w:bookmarkStart w:id="137" w:name="paper-2-hypothesis-assessment"/>
    <w:p>
      <w:pPr>
        <w:pStyle w:val="Heading2"/>
        <w:spacing w:line="480" w:lineRule="auto"/>
      </w:pPr>
      <w:r>
        <w:t xml:space="preserve">6.7 Paper 2 hypothesis assessment</w:t>
      </w:r>
    </w:p>
    <w:p>
      <w:pPr>
        <w:pStyle w:val="FirstParagraph"/>
        <w:spacing w:line="480" w:lineRule="auto"/>
      </w:pPr>
      <w:r>
        <w:t xml:space="preserve">All three logit slopes are positive, matching H1B’s directional predictions, yet none is significant at either the five percent or ten percent level, model fit is low, and H0B is not rejected. Positive signs still have theoretical value, but they do not support a predictive claim. The point estimates align with faster action for vulnerabilities that are more severe, more exposed, and associated with ransomware, while sampling uncertainty includes zero and effects in the opposite direction, so an operator could not use these estimates as a calibrated forecasting rule.</w:t>
      </w:r>
    </w:p>
    <w:p>
      <w:pPr>
        <w:pStyle w:val="BodyText"/>
        <w:spacing w:line="480" w:lineRule="auto"/>
        <w:ind w:firstLine="720"/>
      </w:pPr>
      <w:r>
        <w:t xml:space="preserve">Raw era distributions provide a separate institutional result. Rapid escalation appears only after the KEV regime is established, and the most plausible interpretation is that monitoring and catalog capacity altered the process that generates duration, while technical attributes operate within that process rather than reproducing its timing decisions.</w:t>
      </w:r>
    </w:p>
    <w:bookmarkEnd w:id="137"/>
    <w:bookmarkStart w:id="138" w:name="joint-interpretation"/>
    <w:p>
      <w:pPr>
        <w:pStyle w:val="Heading2"/>
        <w:spacing w:line="480" w:lineRule="auto"/>
      </w:pPr>
      <w:r>
        <w:t xml:space="preserve">6.8 Joint interpretation</w:t>
      </w:r>
    </w:p>
    <w:p>
      <w:pPr>
        <w:pStyle w:val="FirstParagraph"/>
        <w:spacing w:line="480" w:lineRule="auto"/>
      </w:pPr>
      <w:r>
        <w:t xml:space="preserve">Across the two models, the limitations differ rather than converge on one clean empirical story. In Paper 1, the signs are mixed, and the most precise slope runs against the expected market penalty; in Paper 2, the signs are theoretically aligned, but precision is weak and model fit is low. Taken together, the results rule out a single public-attribute account of disclosure discipline, because strong automatic discipline from public severity and exploitation markers would imply that high-CVSS, edge, and ransomware events are associated with more negative equity responses and faster KEV escalation. The observed results do not show that paired pattern. Markets may anticipate events or judge them immaterial at firm scale, while government escalation may depend on nonpublic evidence and institutional capacity, so both channels require context absent from the public fields.</w:t>
      </w:r>
    </w:p>
    <w:p>
      <w:pPr>
        <w:pStyle w:val="BodyText"/>
        <w:spacing w:line="480" w:lineRule="auto"/>
        <w:ind w:firstLine="720"/>
      </w:pPr>
      <w:r>
        <w:t xml:space="preserve">These findings reinforce the information-sharing literature’s emphasis on actionability and pedigree</w:t>
      </w:r>
      <w:r>
        <w:t xml:space="preserve"> </w:t>
      </w:r>
      <w:hyperlink w:anchor="ref-6">
        <w:r>
          <w:rPr>
            <w:rStyle w:val="Hyperlink"/>
          </w:rPr>
          <w:t xml:space="preserve">[6]</w:t>
        </w:r>
      </w:hyperlink>
      <w:r>
        <w:t xml:space="preserve">[18][19]. KEV and NVD supply pedigree and common identifiers; they do not supply deployment context, exploit telemetry, vendor financial exposure, or mission consequence, and those missing variables are precisely the ones that can connect disclosure to action.</w:t>
      </w:r>
    </w:p>
    <w:bookmarkEnd w:id="138"/>
    <w:bookmarkStart w:id="139" w:name="X3eb93cd0f9710b8e88228c00c169963f8fad6c0"/>
    <w:p>
      <w:pPr>
        <w:pStyle w:val="Heading2"/>
        <w:spacing w:line="480" w:lineRule="auto"/>
      </w:pPr>
      <w:r>
        <w:t xml:space="preserve">6.9 Sensitivity of the substantive conclusion</w:t>
      </w:r>
    </w:p>
    <w:p>
      <w:pPr>
        <w:pStyle w:val="FirstParagraph"/>
        <w:spacing w:line="480" w:lineRule="auto"/>
      </w:pPr>
      <w:r>
        <w:t xml:space="preserve">Substantively, the conclusion does not depend on one threshold crossing. In Paper 1, p = 0.0593 sits just outside the conventional five-percent level, yet treating that estimate as significant at the ten-percent level would not rescue H1A1: it would yield a positive relationship, contrary to H1A1, and therefore would not support market-penalty theory. The sign is what matters. A looser threshold would change the label attached to the estimate, but it would not change the substantive direction of the evidence. In Paper 2, the same sensitivity check is even less favorable to a different interpretation, because even the largest odds-ratio point estimate has p = 0.5551. Adjusting the conventional threshold therefore cannot turn the result into a stable predictive finding. Across both papers, the inference is not a mechanical product of one cutoff, nor does it rest on whether a marginal result is described as significant or non-significant, and the evidence remains inconsistent with a dependable financial sanction in Paper 1 and provides no reliable escalation forecast in Paper 2.</w:t>
      </w:r>
    </w:p>
    <w:p>
      <w:pPr>
        <w:pStyle w:val="BodyText"/>
        <w:spacing w:line="480" w:lineRule="auto"/>
        <w:ind w:firstLine="720"/>
      </w:pPr>
      <w:r>
        <w:t xml:space="preserve">The same conclusion holds when statistical significance is separated from operational or economic significance. The post-BOD equity estimate of -2.1172 could be economically meaningful if confirmed, but its interval crosses zero, and the edge odds ratio near 2.09 could also be operationally relevant, though its interval is too wide to support reliance. These estimates therefore identify targets for larger samples rather than present findings. Taken together, the dissertation reports paired null results with directional detail: public disclosure remains useful, but the measured attributes do not provide dependable evidence of financial sanctions or reliable escalation forecasts. The governance implications are taken up in Chapter 7.</w:t>
      </w:r>
    </w:p>
    <w:bookmarkEnd w:id="139"/>
    <w:bookmarkStart w:id="140" w:name="what-the-estimates-rule-out"/>
    <w:p>
      <w:pPr>
        <w:pStyle w:val="Heading2"/>
        <w:spacing w:line="480" w:lineRule="auto"/>
      </w:pPr>
      <w:r>
        <w:t xml:space="preserve">6.10 What the estimates rule out</w:t>
      </w:r>
    </w:p>
    <w:p>
      <w:pPr>
        <w:pStyle w:val="FirstParagraph"/>
        <w:spacing w:line="480" w:lineRule="auto"/>
      </w:pPr>
      <w:r>
        <w:t xml:space="preserve">At the resolution of these samples, the estimates exclude several strong interpretations. A monotonic equity-penalty account is not supported, because under that account each additional unit of technical severity would produce a more negative response at KEV addition, and that pattern does not appear. The estimated CVSS slope is positive rather than negative, and it is the most precisely measured Paper 1 slope, so the evidence cannot establish a positive structural effect even as it directly contradicts the predicted negative gradient. Nor do the estimates support the claim that the CISA ransomware field creates a distinct short-window vendor penalty: the coefficient is 0.3168 with p = 0.9048, and although the interval is wide, the point estimate supplies no sign of the proposed sanction. A calibrated public-attribute forecast for rapid escalation is also ruled out, since Paper 2’s pseudo-R-squared of 0.0241 shows that the three predictors add little to an intercept-only model, which leaves positive signs alone insufficient for operational use when uncertainty spans large odds reductions and increases within this model at this resolution.</w:t>
      </w:r>
    </w:p>
    <w:p>
      <w:pPr>
        <w:pStyle w:val="BodyText"/>
        <w:spacing w:line="480" w:lineRule="auto"/>
        <w:ind w:firstLine="720"/>
      </w:pPr>
      <w:r>
        <w:t xml:space="preserve">Other possibilities remain outside this exclusion. These estimates do not rule out market effects at earlier or later events, strong local mission consequences, technical attributes as inputs to CISA analysis, or an institutional-era effect, and those distinctions preserve the boundary between evidence absent from this model and mechanisms contradicted by it.</w:t>
      </w:r>
    </w:p>
    <w:bookmarkEnd w:id="140"/>
    <w:bookmarkStart w:id="141" w:name="X135a983bd44f0c00755edcf5923980c23b80e48"/>
    <w:p>
      <w:pPr>
        <w:pStyle w:val="Heading2"/>
        <w:spacing w:line="480" w:lineRule="auto"/>
      </w:pPr>
      <w:r>
        <w:t xml:space="preserve">6.11 Precision, sample expansion, and decision thresholds</w:t>
      </w:r>
    </w:p>
    <w:p>
      <w:pPr>
        <w:pStyle w:val="FirstParagraph"/>
        <w:spacing w:line="480" w:lineRule="auto"/>
      </w:pPr>
      <w:r>
        <w:t xml:space="preserve">Larger samples would narrow confidence intervals and allow richer model structure, but the current estimates already show where added observations would have the greatest value, since expansion would matter unevenly across the estimates. The edge equity coefficient is small and uncertain, so detecting a modest common effect would probably require many more events than the present sample contains. The post-BOD estimate, by contrast, is larger in magnitude and may deserve higher priority in future sampling, and the logit edge odds ratio is also sizable, yet its interval remains extremely wide because the comparison class is sparse. Non-significant point estimates should not become decision thresholds. An operator should not treat the CVSS equity coefficient as evidence that severity is rewarded, and the edge odds ratio should not be used to forecast that edge products are twice as likely to escalate rapidly; these estimates are research quantities with intervals, not operational weights. Sample expansion also has to preserve provenance and event definitions, because adding loosely sourced news events may raise N while weakening validity, so a larger credible sample should draw from later KEV freezes, complete market histories, archived advisories, and explicit confound coding.</w:t>
      </w:r>
    </w:p>
    <w:bookmarkEnd w:id="141"/>
    <w:bookmarkStart w:id="142" w:name="X857dc4ae452cb3542380aec764c157f65ac1dd4"/>
    <w:p>
      <w:pPr>
        <w:pStyle w:val="Heading2"/>
        <w:spacing w:line="480" w:lineRule="auto"/>
      </w:pPr>
      <w:r>
        <w:t xml:space="preserve">6.12 Results in relation to the dissertation contribution</w:t>
      </w:r>
    </w:p>
    <w:p>
      <w:pPr>
        <w:pStyle w:val="FirstParagraph"/>
        <w:spacing w:line="480" w:lineRule="auto"/>
      </w:pPr>
      <w:r>
        <w:t xml:space="preserve">This dissertation advances a paired test, not two isolated papers, and the pairing is central because it examines the same public vulnerability ecosystem from two institutional positions. Paper 1 looks downstream, from KEV to markets, and Paper 2 looks upstream, from public attributes to KEV timing. Weak relationships on both sides position KEV as a coordination node whose value is not captured by automatic price or scoring mechanisms, since KEV gathers exploitation evidence and publishes a common action signal while other actors must still supply their own context. These results support the layered governance model without depending on rhetorical claims. The public record supplies pedigree, while the statistical record shows missing predictive content, and their divergence identifies the points at which trusted sharing, local asset data, contractual incentives, and institutional capacity become necessary.</w:t>
      </w:r>
    </w:p>
    <w:bookmarkEnd w:id="142"/>
    <w:bookmarkEnd w:id="143"/>
    <w:bookmarkStart w:id="162" w:name="X21322cb5e29cbf4eb576afddcad42f86ace4e0d"/>
    <w:p>
      <w:pPr>
        <w:pStyle w:val="Heading1"/>
        <w:spacing w:line="480" w:lineRule="auto"/>
      </w:pPr>
      <w:r>
        <w:t xml:space="preserve">Chapter 7. Discussion and Governance Implications</w:t>
      </w:r>
    </w:p>
    <w:bookmarkStart w:id="144" w:name="X43a0cecc348e513b9fd13c6c610fd6110c73ac3"/>
    <w:p>
      <w:pPr>
        <w:pStyle w:val="Heading2"/>
        <w:spacing w:line="480" w:lineRule="auto"/>
      </w:pPr>
      <w:r>
        <w:t xml:space="preserve">7.1 From automatic discipline to designed governance</w:t>
      </w:r>
    </w:p>
    <w:p>
      <w:pPr>
        <w:pStyle w:val="FirstParagraph"/>
        <w:spacing w:line="480" w:lineRule="auto"/>
      </w:pPr>
      <w:r>
        <w:t xml:space="preserve">Taken together, the results limit two appealing accounts of vulnerability governance. One assumes that public confirmation of exploited vulnerabilities disciplines suppliers through equity markets; the other assumes that public technical attributes reveal which defects government will escalate quickly. Neither account receives reliable support in the observed samples. Disclosure still matters, since KEV and NVD create common identifiers, establish institutional pedigree, and coordinate attention</w:t>
      </w:r>
      <w:r>
        <w:t xml:space="preserve"> </w:t>
      </w:r>
      <w:hyperlink w:anchor="ref-9">
        <w:r>
          <w:rPr>
            <w:rStyle w:val="Hyperlink"/>
          </w:rPr>
          <w:t xml:space="preserve">[9]</w:t>
        </w:r>
      </w:hyperlink>
      <w:r>
        <w:t xml:space="preserve">[10]. The analysis questions something narrower than disclosure’s value: the expectation that public disclosure will automatically generate predictable downstream discipline once a vulnerability has been confirmed and recorded. In the observed samples, equity markets do not impose a stable marginal sanction conditioned on severity, edge exposure, ransomware use, or governance era, and severity, product class, and ransomware use do not reproduce rapid KEV decisions.</w:t>
      </w:r>
    </w:p>
    <w:p>
      <w:pPr>
        <w:pStyle w:val="BodyText"/>
        <w:spacing w:line="480" w:lineRule="auto"/>
        <w:ind w:firstLine="720"/>
      </w:pPr>
      <w:r>
        <w:t xml:space="preserve">Policy should therefore treat public disclosure as one layer within a broader governance system, since direct accountability, trusted operational context, and institutional capacity are needed to translate public records into mission protection.</w:t>
      </w:r>
    </w:p>
    <w:bookmarkEnd w:id="144"/>
    <w:bookmarkStart w:id="145" w:name="Xa8a8465ad38235e3d2e3e2c03d9edc4fdf9a8e5"/>
    <w:p>
      <w:pPr>
        <w:pStyle w:val="Heading2"/>
        <w:spacing w:line="480" w:lineRule="auto"/>
      </w:pPr>
      <w:r>
        <w:t xml:space="preserve">7.2 Implications for NASA and mission operators</w:t>
      </w:r>
    </w:p>
    <w:p>
      <w:pPr>
        <w:pStyle w:val="FirstParagraph"/>
        <w:spacing w:line="480" w:lineRule="auto"/>
      </w:pPr>
      <w:r>
        <w:t xml:space="preserve">NASA and other civil operators should treat KEV as exploitation intelligence, not as a proxy for supplier financial consequence, because serious operational exposure can follow a product defect without a visible equity sanction, so market calm does not show that a deployed product is safe. Asset visibility comes first. Operators need a maintained mapping from product identifiers and versions to network zones, mission functions, interfaces, and responsible owners, with the product side of the inventory tied to the operational side rather than left as a separate software list. That inventory must also include security appliances and management systems that sit outside flight-software baselines. These systems can shape mission risk even when they are not part of the flight-software configuration. A KEV entry becomes actionable only when the organization can locate the affected function; without that location, the entry remains exploitation intelligence that has not yet been connected to the operator’s network zones, mission functions, interfaces, and ownership lines. Mission consequence provides the next layer of judgment, because CVSS should be evaluated alongside reachability, privilege, command-path proximity, data-integrity consequence, availability tolerance, compensating controls, and patch reversibility rather than treated as the whole mission-risk decision for a deployed product, and a moderate score on a privileged gateway can matter more than a high score on an isolated component.</w:t>
      </w:r>
    </w:p>
    <w:p>
      <w:pPr>
        <w:pStyle w:val="BodyText"/>
        <w:spacing w:line="480" w:lineRule="auto"/>
        <w:ind w:firstLine="720"/>
      </w:pPr>
      <w:r>
        <w:t xml:space="preserve">Validated response is equally necessary. Ground systems cannot treat every urgent notice as an instruction for immediate, untested change, since mission operations require representative test environments, rollback procedures, maintenance planning, and alternate service paths, and governance should aim for the shortest validated risk-reduction time, not the shortest patch time detached from operational safety. This logic produces a two-clock model. Public timing begins at NVD disclosure and KEV action; mission timing begins when affected assets are identified and a validated control is selected. Agencies should measure both clocks, because rapid public action with slow internal mapping leaves exposure unresolved, and local action before KEV can be justified when vendor or trusted-community evidence is stronger than the public record.</w:t>
      </w:r>
    </w:p>
    <w:bookmarkEnd w:id="145"/>
    <w:bookmarkStart w:id="146" w:name="X6b5afb4322e8491a3af40c5aa05ed56b4813c13"/>
    <w:p>
      <w:pPr>
        <w:pStyle w:val="Heading2"/>
        <w:spacing w:line="480" w:lineRule="auto"/>
      </w:pPr>
      <w:r>
        <w:t xml:space="preserve">7.3 Ground-segment vulnerability service levels</w:t>
      </w:r>
    </w:p>
    <w:p>
      <w:pPr>
        <w:pStyle w:val="FirstParagraph"/>
        <w:spacing w:line="480" w:lineRule="auto"/>
      </w:pPr>
      <w:r>
        <w:t xml:space="preserve">Stock-price reaction and catalog status are not enough. Ground-segment product contracts should specify obligations for notification, assessment, patching, mitigation, and support. Notification clauses should require identification of affected versions, exploit prerequisites, available mitigations, patch status, confidence in the supporting evidence, and CVE identifiers when available. Mission-impact clauses should require vendor support to determine whether the vulnerable function is enabled in a given operational environment, so the assessment obligation reaches the operational setting in which the product is used rather than stopping at a general vulnerability reference. For remediation, clauses should set target times according to local consequence and should require compensating controls when patch deployment needs extended validation. Lifecycle obligations also matter, because missions may continue to depend on commercial products after general support has ended, so procurement should establish supported-version periods, extended support, source or escrow arrangements where appropriate, secure update channels, and decommissioning plans. Software bills of materials and configuration histories should remain available for audit, preserving access to the product and configuration records that the same notification, assessment, patching, mitigation, support, lifecycle, and decommissioning obligations require. These are contract duties, not conclusions drawn only from stock-price reaction or from catalog status alone.</w:t>
      </w:r>
    </w:p>
    <w:p>
      <w:pPr>
        <w:pStyle w:val="BodyText"/>
        <w:spacing w:line="480" w:lineRule="auto"/>
        <w:ind w:firstLine="720"/>
      </w:pPr>
      <w:r>
        <w:t xml:space="preserve">Metrics should separate vendor delivery from operator deployment. Advisory time, patch-availability time, test-completion time, mitigation time, and production-deployment time have different owners, and treating these intervals as a single patch date obscures where delay arises.</w:t>
      </w:r>
    </w:p>
    <w:bookmarkEnd w:id="146"/>
    <w:bookmarkStart w:id="147" w:name="X53fabfbf63db1db43b2b876b7adf014319da32b"/>
    <w:p>
      <w:pPr>
        <w:pStyle w:val="Heading2"/>
        <w:spacing w:line="480" w:lineRule="auto"/>
      </w:pPr>
      <w:r>
        <w:t xml:space="preserve">7.4 Supplier incentives beyond equity markets</w:t>
      </w:r>
    </w:p>
    <w:p>
      <w:pPr>
        <w:pStyle w:val="FirstParagraph"/>
        <w:spacing w:line="480" w:lineRule="auto"/>
      </w:pPr>
      <w:r>
        <w:t xml:space="preserve">The OLS result indicates no reliable attribute-conditioned market sanction, so procurement can place incentives closer to the affected relationship. Those tools do not require a reliable attribute-conditioned market response, since they operate through the procurement relationship, and procurement can make those incentives concrete in source selection, contract administration, and future competitions. Source selection can credit secure-development evidence, coordinated vulnerability disclosure, patch performance, and supported-lifecycle commitments. Award fees and option exercise can be tied to notification and remediation metrics, and repeated failures can affect future awards even when public shareholders do not react. Liability requires balance. Unlimited liability can discourage reporting and reduce competition. No liability externalizes mission risk. Contracts therefore have to preserve both incentives to disclose and remedies for serious supplier conduct, distinguishing good-faith rapid disclosure from concealment, negligence, or repeated process failure. Safe-harbor provisions can reward complete reporting while preserving remedies for material misrepresentation. Assurance also has to reach through dependencies, since a gateway can incorporate third-party firmware, open-source libraries, cloud services, and update infrastructure, leaving the mission customer needing pedigree across that chain, and Schultz and colleagues’ emphasis on data pedigree for SDA has a direct security analogue</w:t>
      </w:r>
      <w:r>
        <w:t xml:space="preserve"> </w:t>
      </w:r>
      <w:hyperlink w:anchor="ref-18">
        <w:r>
          <w:rPr>
            <w:rStyle w:val="Hyperlink"/>
          </w:rPr>
          <w:t xml:space="preserve">[18]</w:t>
        </w:r>
      </w:hyperlink>
      <w:r>
        <w:t xml:space="preserve">. An update whose origin and integrity cannot be verified is itself a risk.</w:t>
      </w:r>
    </w:p>
    <w:p>
      <w:pPr>
        <w:pStyle w:val="BodyText"/>
        <w:spacing w:line="480" w:lineRule="auto"/>
        <w:ind w:firstLine="720"/>
      </w:pPr>
      <w:r>
        <w:t xml:space="preserve">Portfolio visibility is needed for the same reason. A product can appear across multiple missions, and a single KEV entry can create correlated exposure that individual programs do not see, so enterprise inventories should identify shared suppliers and versions to let testing, mitigations, and vendor engagement be coordinated.</w:t>
      </w:r>
    </w:p>
    <w:bookmarkEnd w:id="147"/>
    <w:bookmarkStart w:id="148" w:name="cisa-and-nvd-data-design"/>
    <w:p>
      <w:pPr>
        <w:pStyle w:val="Heading2"/>
        <w:spacing w:line="480" w:lineRule="auto"/>
      </w:pPr>
      <w:r>
        <w:t xml:space="preserve">7.5 CISA and NVD data design</w:t>
      </w:r>
    </w:p>
    <w:p>
      <w:pPr>
        <w:pStyle w:val="FirstParagraph"/>
        <w:spacing w:line="480" w:lineRule="auto"/>
      </w:pPr>
      <w:r>
        <w:t xml:space="preserve">The logit result does not mean CISA should publish sensitive exploit sources. It shows a narrower point: public users cannot forecast rapid escalation from CVSS, product class, and ransomware status alone. CISA could protect sources and still add structured context, including exploit-availability categories, observed initial-access role, affected-sector breadth, evidence-confidence levels, and time-stamped changes to ransomware status. NVD and CISA could also preserve machine-readable historical snapshots so researchers can reconstruct event-time information instead of depending on current revised fields. Product identifiers likewise need normalization, since vendor and product strings can vary, and stable mappings to CPE or successor taxonomies would improve joins with asset inventories, while space operators can maintain a crosswalk between public product identifiers and approved configurations.</w:t>
      </w:r>
    </w:p>
    <w:p>
      <w:pPr>
        <w:pStyle w:val="BodyText"/>
        <w:spacing w:line="480" w:lineRule="auto"/>
        <w:ind w:firstLine="720"/>
      </w:pPr>
      <w:r>
        <w:t xml:space="preserve">Era separation suggests that catalog capacity changed disclosure tempo, so performance reporting should separate retrospective additions from vulnerabilities monitored under the active regime, and publication-to-addition duration by cohort and product class would describe contemporary performance without mixing historical backfill.</w:t>
      </w:r>
    </w:p>
    <w:bookmarkEnd w:id="148"/>
    <w:bookmarkStart w:id="149" w:name="trusted-space-cyber-exchange"/>
    <w:p>
      <w:pPr>
        <w:pStyle w:val="Heading2"/>
        <w:spacing w:line="480" w:lineRule="auto"/>
      </w:pPr>
      <w:r>
        <w:t xml:space="preserve">7.6 Trusted space-cyber exchange</w:t>
      </w:r>
    </w:p>
    <w:p>
      <w:pPr>
        <w:pStyle w:val="FirstParagraph"/>
        <w:spacing w:line="480" w:lineRule="auto"/>
      </w:pPr>
      <w:r>
        <w:t xml:space="preserve">Public catalogs cannot carry every mission-specific fact, which leaves trusted exchange to serve as the complementary layer. Tsamis and colleagues call for operationally relevant space-cyber information</w:t>
      </w:r>
      <w:r>
        <w:t xml:space="preserve"> </w:t>
      </w:r>
      <w:hyperlink w:anchor="ref-6">
        <w:r>
          <w:rPr>
            <w:rStyle w:val="Hyperlink"/>
          </w:rPr>
          <w:t xml:space="preserve">[6]</w:t>
        </w:r>
      </w:hyperlink>
      <w:r>
        <w:t xml:space="preserve">[12], while Reed and colleagues link risk sharing with norms and compliance monitoring</w:t>
      </w:r>
      <w:r>
        <w:t xml:space="preserve"> </w:t>
      </w:r>
      <w:hyperlink w:anchor="ref-19">
        <w:r>
          <w:rPr>
            <w:rStyle w:val="Hyperlink"/>
          </w:rPr>
          <w:t xml:space="preserve">[19]</w:t>
        </w:r>
      </w:hyperlink>
      <w:r>
        <w:t xml:space="preserve">. A trusted record should answer five questions: which product or service is affected, what exploitation behavior has been observed, which configurations are exposed, which mitigations have been validated, and what confidence level and sharing restrictions apply. Those fields extend beyond a CVE while avoiding disclosure of complete incident files. Pedigree must travel with the record as well, since source identity, time, transformations, and confidence allow human and automated consumers to distinguish fact from assessment, a distinction that becomes especially consequential when agent-based mission-management tools ingest cyber status</w:t>
      </w:r>
      <w:r>
        <w:t xml:space="preserve"> </w:t>
      </w:r>
      <w:hyperlink w:anchor="ref-1">
        <w:r>
          <w:rPr>
            <w:rStyle w:val="Hyperlink"/>
          </w:rPr>
          <w:t xml:space="preserve">[1]</w:t>
        </w:r>
      </w:hyperlink>
      <w:r>
        <w:t xml:space="preserve">. Automation should not translate uncertain intelligence into unqualified operational constraints, because a record designed for trusted exchange must support operational use without turning partial or restricted information into a false mandate.</w:t>
      </w:r>
    </w:p>
    <w:p>
      <w:pPr>
        <w:pStyle w:val="BodyText"/>
        <w:spacing w:line="480" w:lineRule="auto"/>
        <w:ind w:firstLine="720"/>
      </w:pPr>
      <w:r>
        <w:t xml:space="preserve">Participation depends on reciprocal benefit. Commercial operators and vendors may fear reputational or regulatory consequences, so governance arrangements should specify protected uses, attribution rules, tiered release, and contributor access to resulting analysis. One-way reporting encourages minimum compliance, whereas reciprocal exchange builds a community able to respond before public catalog action. International missions also need common taxonomies and release procedures, and Reis and Poirier show how space and cyber governance cross national and organizational boundaries</w:t>
      </w:r>
      <w:r>
        <w:t xml:space="preserve"> </w:t>
      </w:r>
      <w:hyperlink w:anchor="ref-7">
        <w:r>
          <w:rPr>
            <w:rStyle w:val="Hyperlink"/>
          </w:rPr>
          <w:t xml:space="preserve">[7]</w:t>
        </w:r>
      </w:hyperlink>
      <w:r>
        <w:t xml:space="preserve">[8], so partners can share minimum technical and operational fields while retaining national control over classification and response authority.</w:t>
      </w:r>
    </w:p>
    <w:bookmarkEnd w:id="149"/>
    <w:bookmarkStart w:id="150" w:name="sec-disclosure-and-investor-information"/>
    <w:p>
      <w:pPr>
        <w:pStyle w:val="Heading2"/>
        <w:spacing w:line="480" w:lineRule="auto"/>
      </w:pPr>
      <w:r>
        <w:t xml:space="preserve">7.7 SEC disclosure and investor information</w:t>
      </w:r>
    </w:p>
    <w:p>
      <w:pPr>
        <w:pStyle w:val="FirstParagraph"/>
        <w:spacing w:line="480" w:lineRule="auto"/>
      </w:pPr>
      <w:r>
        <w:t xml:space="preserve">Under the SEC rule, material incidents affecting registrants are the relevant disclosure trigger</w:t>
      </w:r>
      <w:r>
        <w:t xml:space="preserve"> </w:t>
      </w:r>
      <w:hyperlink w:anchor="ref-11">
        <w:r>
          <w:rPr>
            <w:rStyle w:val="Hyperlink"/>
          </w:rPr>
          <w:t xml:space="preserve">[11]</w:t>
        </w:r>
      </w:hyperlink>
      <w:r>
        <w:t xml:space="preserve">. A KEV entry records exploitation of a product vulnerability, and standing alone that entry does not show that the vendor’s own systems were compromised. Treating every catalog entry as an Item 1.05 event would collapse product risk into issuer-specific incident materiality, even though the catalog entry records exploitation of the product vulnerability rather than compromise of the issuer. Investor information can still be improved through annual governance disclosures and through event-specific reporting when financial consequences are material, and useful disclosure identifies affected business lines, remediation status, operational effects, expected costs, and governance responses, while avoiding publication of exploit instructions. Product-security metrics should be standardized with care, because raw CVE counts can penalize firms that discover and disclose defects while rewarding firms with weak detection practices. More informative measures would account for product footprint, severity distribution, time to remediation, supported versions, repeat defects, and disclosure quality, so careful standardization avoids converting disclosure effort into an apparent weakness and weak detection into an apparent strength.</w:t>
      </w:r>
    </w:p>
    <w:p>
      <w:pPr>
        <w:pStyle w:val="BodyText"/>
        <w:spacing w:line="480" w:lineRule="auto"/>
        <w:ind w:firstLine="720"/>
      </w:pPr>
      <w:r>
        <w:t xml:space="preserve">Credit markets remain an open test. The original prospectus proposed examining CDS and bond-spread responses, but no public dataset contained enough space-sector observations for that analysis, and because downside exposure and liability bear more directly on creditors, credit may respond differently. Future proprietary-data work can join equity and credit outcomes around the same sourced events.</w:t>
      </w:r>
    </w:p>
    <w:bookmarkEnd w:id="150"/>
    <w:bookmarkStart w:id="151" w:name="interagency-and-international-authority"/>
    <w:p>
      <w:pPr>
        <w:pStyle w:val="Heading2"/>
        <w:spacing w:line="480" w:lineRule="auto"/>
      </w:pPr>
      <w:r>
        <w:t xml:space="preserve">7.8 Interagency and international authority</w:t>
      </w:r>
    </w:p>
    <w:p>
      <w:pPr>
        <w:pStyle w:val="FirstParagraph"/>
        <w:spacing w:line="480" w:lineRule="auto"/>
      </w:pPr>
      <w:r>
        <w:t xml:space="preserve">Space systems bring together civil missions, defense dependencies, commercial suppliers, foreign ground stations, and international users. Because a single vulnerability may activate several authorities, cyber and space organizations may classify the same event differently, which makes governance arrangements established before an incident necessary rather than procedural extras. Those arrangements should identify the incident lead, escalation thresholds, and information pathways before an incident occurs, so that attention, evidence, and authority do not separate when a vulnerability becomes operationally relevant. KEV may draw attention, but it should not determine jurisdiction, since jurisdiction depends on the authorities activated by the event rather than on the presence of a catalog entry alone. Exercises should therefore test how evidence and authority move across agencies instead of focusing only on technical containment, and they should do so with the recognition that hybrid threats add context that market signals do not capture. Cyber exploitation may coincide with interference, disinformation, or geopolitical pressure</w:t>
      </w:r>
      <w:r>
        <w:t xml:space="preserve"> </w:t>
      </w:r>
      <w:hyperlink w:anchor="ref-7">
        <w:r>
          <w:rPr>
            <w:rStyle w:val="Hyperlink"/>
          </w:rPr>
          <w:t xml:space="preserve">[7]</w:t>
        </w:r>
      </w:hyperlink>
      <w:r>
        <w:t xml:space="preserve">[27], so an event that appears financially immaterial to a vendor can still carry strategic significance when combined with other actions. Integrated situational awareness should connect cyber indicators with space-domain and geopolitical information, allowing the incident picture to account for cyber, space-domain, and geopolitical information without assigning jurisdiction through KEV.</w:t>
      </w:r>
    </w:p>
    <w:p>
      <w:pPr>
        <w:pStyle w:val="BodyText"/>
        <w:spacing w:line="480" w:lineRule="auto"/>
        <w:ind w:firstLine="720"/>
      </w:pPr>
      <w:r>
        <w:t xml:space="preserve">For international partners, advance agreement should cover notification fields, contact points, severity translation, and protected sharing. Common CVE identifiers support interoperability, while mission consequence and response can remain under national control, and the goal is sufficient trusted symmetry for partners to protect shared services and interpret one another’s actions.</w:t>
      </w:r>
    </w:p>
    <w:bookmarkEnd w:id="151"/>
    <w:bookmarkStart w:id="152" w:name="architecture-under-uncertain-signals"/>
    <w:p>
      <w:pPr>
        <w:pStyle w:val="Heading2"/>
        <w:spacing w:line="480" w:lineRule="auto"/>
      </w:pPr>
      <w:r>
        <w:t xml:space="preserve">7.9 Architecture under uncertain signals</w:t>
      </w:r>
    </w:p>
    <w:p>
      <w:pPr>
        <w:pStyle w:val="FirstParagraph"/>
        <w:spacing w:line="480" w:lineRule="auto"/>
      </w:pPr>
      <w:r>
        <w:t xml:space="preserve">Because public signals may be incomplete or delayed, architecture should not rest on forecasts about which defect a government will prioritize. Segmentation, least privilege, multifactor authentication, secure update channels, monitoring, and tested recovery reduce that dependence. External boundaries warrant particular attention because edge products dominate the sample</w:t>
      </w:r>
      <w:r>
        <w:t xml:space="preserve"> </w:t>
      </w:r>
      <w:hyperlink w:anchor="ref-5">
        <w:r>
          <w:rPr>
            <w:rStyle w:val="Hyperlink"/>
          </w:rPr>
          <w:t xml:space="preserve">[5]</w:t>
        </w:r>
      </w:hyperlink>
      <w:r>
        <w:t xml:space="preserve">, and that attention should translate into restrictions on administrative interfaces, monitoring of changes, separation of mission and corporate networks, and compensating controls that can be activated while patches are tested. Resilience belongs in the same design conversation, because it requires alternate paths and recovery capacity rather than a single dependency on the continued operation of one gateway. A gateway can fail because of exploitation or emergency remediation, so designs should support failover, restoration, and manual procedures for critical contacts, leaving the organization free of dependence on gateway continuity while exploitation or emergency remediation is unfolding. The point is architectural rather than predictive: these controls keep response options available when public signals are incomplete or delayed, when product mapping is still under way, or when the government priority defect is not yet clear. Each measure reduces reliance on forecasting by making the same environment less dependent on one administrative interface, one network path, one patch window, or one public signal before action can begin.</w:t>
      </w:r>
    </w:p>
    <w:p>
      <w:pPr>
        <w:pStyle w:val="BodyText"/>
        <w:spacing w:line="480" w:lineRule="auto"/>
        <w:ind w:firstLine="720"/>
      </w:pPr>
      <w:r>
        <w:t xml:space="preserve">Where agent-based automation is used, its decisions require auditability and its data inputs require protection</w:t>
      </w:r>
      <w:r>
        <w:t xml:space="preserve"> </w:t>
      </w:r>
      <w:hyperlink w:anchor="ref-1">
        <w:r>
          <w:rPr>
            <w:rStyle w:val="Hyperlink"/>
          </w:rPr>
          <w:t xml:space="preserve">[1]</w:t>
        </w:r>
      </w:hyperlink>
      <w:r>
        <w:t xml:space="preserve">[18]. Architecture reviews should record disclosure assumptions explicitly, so programs should state which feeds are monitored, how quickly product mapping occurs, what evidence triggers emergency action, which controls can substitute for patching, and who accepts residual risk. Recording those items makes vulnerability response part of the assurance case.</w:t>
      </w:r>
    </w:p>
    <w:bookmarkEnd w:id="152"/>
    <w:bookmarkStart w:id="153" w:name="a-staged-implementation-model"/>
    <w:p>
      <w:pPr>
        <w:pStyle w:val="Heading2"/>
        <w:spacing w:line="480" w:lineRule="auto"/>
      </w:pPr>
      <w:r>
        <w:t xml:space="preserve">7.10 A staged implementation model</w:t>
      </w:r>
    </w:p>
    <w:p>
      <w:pPr>
        <w:pStyle w:val="FirstParagraph"/>
        <w:spacing w:line="480" w:lineRule="auto"/>
      </w:pPr>
      <w:r>
        <w:t xml:space="preserve">Practical implementation can proceed through four stages. The first stage establishes visibility: programs standardize product identifiers, link those identifiers to specific configurations and missions, and assign clear ownership, and enterprise analysis then identifies dependencies that recur across programs. Stage two establishes decision rules, since programs combine public severity information with local consequence, define thresholds for emergency change, document compensating controls, and create procedures for testing and rollback. Relationships come next: procurement incorporates service levels, vendors provide notification and support, and trusted communities exchange exploit and mission context, while international and interagency pathways are exercised as well, so coordination mechanisms are tested before they are needed under pressure. Stage four evaluates performance through measures such as time from public notice to asset identification, time to validated mitigation, percentage of affected assets with known owners, false-priority burden, operational disruption from remediation, and recurrence. Evaluation should refine decision rules without converting them into static checklists, and governance maturity becomes visible when action no longer depends on a single analyst noticing a catalog update or a single vendor volunteering context. Processes should be repeatable, auditable, and adaptable to evidence.</w:t>
      </w:r>
    </w:p>
    <w:bookmarkEnd w:id="153"/>
    <w:bookmarkStart w:id="154" w:name="limits-and-research-agenda"/>
    <w:p>
      <w:pPr>
        <w:pStyle w:val="Heading2"/>
        <w:spacing w:line="480" w:lineRule="auto"/>
      </w:pPr>
      <w:r>
        <w:t xml:space="preserve">7.11 Limits and research agenda</w:t>
      </w:r>
    </w:p>
    <w:p>
      <w:pPr>
        <w:pStyle w:val="FirstParagraph"/>
        <w:spacing w:line="480" w:lineRule="auto"/>
      </w:pPr>
      <w:r>
        <w:t xml:space="preserve">Because the datasets do not identify actual NASA deployments or patch outcomes, the recommendations derive from empirical limits read alongside architecture and governance literature, not from any measured NASA performance deficit, so agencies should pilot quantitative requirements and evaluate their effects before applying them widely. A first empirical priority is an operator-asset panel, built at the level where an operator, an asset, and a vulnerability can be connected, that links CVEs to versions, exposure state, mission function, advisory time, KEV time, mitigation time, deployment time, and operational impact. With those linked observations, survival models could estimate time to mitigation while accounting for censoring and program effects. For market analysis, the corresponding next step is a larger corpus that integrates CRSP, Compustat, bonds, and hand-coded confounds. NVD publication, vendor advisory, exploit release, KEV addition, issuer filing, and remediation update should be modeled as separate events, rather than collapsed into a single disclosure point, so the design would clarify when information enters prices. Institutional analysis should next develop a post-BOD-only KEV model that includes public exploit availability, product prevalence, sector exposure, and evidence categories, keeping the focus on event timing rather than aggregation. Penalized or hierarchical models can address separation and vendor clustering, while a full NVD risk set can estimate time to exploitation rather than timing conditional on KEV.</w:t>
      </w:r>
    </w:p>
    <w:p>
      <w:pPr>
        <w:pStyle w:val="BodyText"/>
        <w:spacing w:line="480" w:lineRule="auto"/>
        <w:ind w:firstLine="720"/>
      </w:pPr>
      <w:r>
        <w:t xml:space="preserve">Governance research should move toward experimental evaluation. Agencies can compare asset-mapping methods, vendor clauses, and information-sharing formats using response time, false alerts, and operational burden as outcomes, so actionability is demonstrated empirically rather than assumed.</w:t>
      </w:r>
    </w:p>
    <w:bookmarkEnd w:id="154"/>
    <w:bookmarkStart w:id="155" w:name="synthesis"/>
    <w:p>
      <w:pPr>
        <w:pStyle w:val="Heading2"/>
        <w:spacing w:line="480" w:lineRule="auto"/>
      </w:pPr>
      <w:r>
        <w:t xml:space="preserve">7.12 Synthesis</w:t>
      </w:r>
    </w:p>
    <w:p>
      <w:pPr>
        <w:pStyle w:val="FirstParagraph"/>
        <w:spacing w:line="480" w:lineRule="auto"/>
      </w:pPr>
      <w:r>
        <w:t xml:space="preserve">Together, the paired findings move the analytic focus away from automatic discipline and toward designed governance. Public catalogs provide foundational facts</w:t>
      </w:r>
      <w:r>
        <w:t xml:space="preserve"> </w:t>
      </w:r>
      <w:hyperlink w:anchor="ref-9">
        <w:r>
          <w:rPr>
            <w:rStyle w:val="Hyperlink"/>
          </w:rPr>
          <w:t xml:space="preserve">[9]</w:t>
        </w:r>
      </w:hyperlink>
      <w:r>
        <w:t xml:space="preserve">[10], trusted communities contribute exploit and mission context</w:t>
      </w:r>
      <w:r>
        <w:t xml:space="preserve"> </w:t>
      </w:r>
      <w:hyperlink w:anchor="ref-6">
        <w:r>
          <w:rPr>
            <w:rStyle w:val="Hyperlink"/>
          </w:rPr>
          <w:t xml:space="preserve">[6]</w:t>
        </w:r>
      </w:hyperlink>
      <w:r>
        <w:t xml:space="preserve">[19], operators supply asset and consequence knowledge, vendors supply product and remediation knowledge, and procurement and regulation help align incentives, while architecture then limits harm when information arrives late. This layered model does not require markets to respond when vendor financial materiality remains uncertain, nor does it require CVSS to reproduce decisions grounded in exploit evidence. Each signal is assigned the role the evidence can support, with complementary institutions built around its limits.</w:t>
      </w:r>
    </w:p>
    <w:bookmarkEnd w:id="155"/>
    <w:bookmarkStart w:id="156" w:name="X27b4342bf21a56f602b4361a1677e4abed4b17c"/>
    <w:p>
      <w:pPr>
        <w:pStyle w:val="Heading2"/>
        <w:spacing w:line="480" w:lineRule="auto"/>
      </w:pPr>
      <w:r>
        <w:t xml:space="preserve">7.13 Governance scorecard and accountability model</w:t>
      </w:r>
    </w:p>
    <w:p>
      <w:pPr>
        <w:pStyle w:val="FirstParagraph"/>
        <w:spacing w:line="480" w:lineRule="auto"/>
      </w:pPr>
      <w:r>
        <w:t xml:space="preserve">Governance design requires measures that separate information availability from protective action, and a scorecard can allocate responsibility across public institutions, vendors, operators, and mission leadership without treating these actors as interchangeable. At the public-information layer, relevant measures include record completeness, update latency, product-identifier normalization, historical version availability, and machine-readable confidence fields, and catalog stewards bear primary responsibility for those measures, whose purpose is to determine whether public facts are accessible and reproducible. For vendors, the measures are advisory latency, affected-version clarity, mitigation completeness, patch availability, supported-lifecycle compliance, and recurrence, and contracts and supplier-performance reviews are the right place for them, because they connect vendor behavior to incentives more directly than equity returns do.</w:t>
      </w:r>
    </w:p>
    <w:p>
      <w:pPr>
        <w:pStyle w:val="BodyText"/>
        <w:spacing w:line="480" w:lineRule="auto"/>
        <w:ind w:firstLine="720"/>
      </w:pPr>
      <w:r>
        <w:t xml:space="preserve">Operator-level measures should capture asset-identification time, assessment time, mitigation time, patch-validation time, production-deployment time, exception age, and residual-risk ownership, since these measures indicate whether an organization can translate disclosure into action. They should not be averaged across all defects without stratification by mission consequence, because aggregate averages can obscure the exposures that matter most. Leadership needs a different view, so measures at this layer should address unresolved high-consequence exposure, common dependencies across missions, exercised response pathways, and the adequacy of test and recovery capacity, informing mission governance by the risk distribution and by the institutional bottlenecks that determine resolution rather than by a raw count of open CVEs without context. A raw count of open CVEs, without context, is not sufficient for mission governance, so leadership should receive the risk distribution and the institutional bottlenecks that determine resolution.</w:t>
      </w:r>
    </w:p>
    <w:p>
      <w:pPr>
        <w:pStyle w:val="BodyText"/>
        <w:spacing w:line="480" w:lineRule="auto"/>
        <w:ind w:firstLine="720"/>
      </w:pPr>
      <w:r>
        <w:t xml:space="preserve">Accountability follows the measure. Catalog stewards cannot patch a mission, vendors cannot authorize operational changes, and operators cannot compel market response, so each actor should be evaluated on the part of the chain it controls, and shared failures require joint after-action review rather than assignment to the most visible organization.</w:t>
      </w:r>
    </w:p>
    <w:bookmarkEnd w:id="156"/>
    <w:bookmarkStart w:id="157" w:name="scenario-based-implementation"/>
    <w:p>
      <w:pPr>
        <w:pStyle w:val="Heading2"/>
        <w:spacing w:line="480" w:lineRule="auto"/>
      </w:pPr>
      <w:r>
        <w:t xml:space="preserve">7.14 Scenario-based implementation</w:t>
      </w:r>
    </w:p>
    <w:p>
      <w:pPr>
        <w:pStyle w:val="FirstParagraph"/>
        <w:spacing w:line="480" w:lineRule="auto"/>
      </w:pPr>
      <w:r>
        <w:t xml:space="preserve">Three scenarios illustrate how the layered model operates. In the first, CISA adds a high-CVSS vulnerability affecting an internet-facing gateway used across several missions. Equity markets show no clear vendor penalty, yet enterprise inventory identifies affected versions within hours, network teams then restrict management access and deploy monitoring while the patch is validated, and the vendor supplies a mitigation and corrected firmware under a service-level clause, so the public catalog initiates attention while direct governance produces protection. In the second scenario, a vendor advisory identifies exploitation before KEV addition, and trusted exchange confirms targeting of a configuration used by one ground station. Although no catalog entry is yet available, the local consequence model assigns emergency priority, compensating controls are activated, and command operations shift to an alternate path, with KEV updated later; this scenario shows why operators cannot wait for one public threshold when stronger contextual evidence exists. A third scenario concerns retrospective catalog expansion, where KEV adds an older vulnerability but the affected product is present only in an isolated laboratory network. Asset mapping is rapid, local reachability is low, and a scheduled patch is accepted with documented residual risk, so the catalog entry remains authoritative while mission consequence governs response tempo. A universal emergency rule would consume resources without increasing protection.</w:t>
      </w:r>
    </w:p>
    <w:p>
      <w:pPr>
        <w:pStyle w:val="BodyText"/>
        <w:spacing w:line="480" w:lineRule="auto"/>
        <w:ind w:firstLine="720"/>
      </w:pPr>
      <w:r>
        <w:t xml:space="preserve">These scenarios should be exercised with international partners and suppliers, since such exercises can reveal missing contacts, incompatible taxonomies, untested rollback procedures, and ambiguity over decision authority. Performance measures should be captured so governance improves through evidence.</w:t>
      </w:r>
    </w:p>
    <w:bookmarkEnd w:id="157"/>
    <w:bookmarkStart w:id="158" w:name="institutional-design-principles"/>
    <w:p>
      <w:pPr>
        <w:pStyle w:val="Heading2"/>
        <w:spacing w:line="480" w:lineRule="auto"/>
      </w:pPr>
      <w:r>
        <w:t xml:space="preserve">7.15 Institutional design principles</w:t>
      </w:r>
    </w:p>
    <w:p>
      <w:pPr>
        <w:pStyle w:val="FirstParagraph"/>
        <w:spacing w:line="480" w:lineRule="auto"/>
      </w:pPr>
      <w:r>
        <w:t xml:space="preserve">Six design principles follow from the findings: common facts with differentiated decisions, pedigree before automation, assessment deadlines before patch deadlines, reciprocity in sharing, lifecycle accountability, and evaluation over compliance theater. Public catalogs should standardize identifiers and exploitation status, since those are the shared facts on which participants depend, while operators should differentiate action by deployment and consequence rather than treating every listed issue as operationally identical. Automated prioritization should preserve source, time, confidence, and transformation history</w:t>
      </w:r>
      <w:r>
        <w:t xml:space="preserve"> </w:t>
      </w:r>
      <w:hyperlink w:anchor="ref-18">
        <w:r>
          <w:rPr>
            <w:rStyle w:val="Hyperlink"/>
          </w:rPr>
          <w:t xml:space="preserve">[18]</w:t>
        </w:r>
      </w:hyperlink>
      <w:r>
        <w:t xml:space="preserve">, because prioritization loses governance value when the path from report to decision can no longer be inspected, and unqualified aggregation can turn uncertain reports into false certainty, especially when separate observations are collapsed without retaining the conditions under which they were produced. Assessment deadlines should therefore come before patch deadlines: every serious notice should trigger rapid assessment, and deployment deadlines should reflect consequence, available mitigation, and change risk, with documented exceptions where those factors justify a different course. This ordering keeps attention on the decision that must be made first, whether and how a notice affects a specific environment, before converting that notice into a fixed remediation timetable.</w:t>
      </w:r>
    </w:p>
    <w:p>
      <w:pPr>
        <w:pStyle w:val="BodyText"/>
        <w:spacing w:line="480" w:lineRule="auto"/>
        <w:ind w:firstLine="720"/>
      </w:pPr>
      <w:r>
        <w:t xml:space="preserve">Participants who contribute operational evidence should receive useful analysis and protection from inappropriate secondary use, since reciprocity sustains reporting. Security obligations extend through supported operation and decommissioning, so acquisition decisions should price long-lived dependencies rather than treating them as external to institutional design, and measures should track reduced exposure, decision time, and operational outcomes. Document volume and training completion are inputs, not proof of protection.</w:t>
      </w:r>
    </w:p>
    <w:bookmarkEnd w:id="158"/>
    <w:bookmarkStart w:id="159" w:name="organizational-roles"/>
    <w:p>
      <w:pPr>
        <w:pStyle w:val="Heading2"/>
        <w:spacing w:line="480" w:lineRule="auto"/>
      </w:pPr>
      <w:r>
        <w:t xml:space="preserve">7.16 Organizational roles</w:t>
      </w:r>
    </w:p>
    <w:p>
      <w:pPr>
        <w:pStyle w:val="FirstParagraph"/>
        <w:spacing w:line="480" w:lineRule="auto"/>
      </w:pPr>
      <w:r>
        <w:t xml:space="preserve">For the mission assurance case, a mission cyber lead should own vulnerability triage. That role needs access to operations, engineering, security, and supplier contacts, and it should not be isolated within enterprise information technology. At enterprise level, coordination should identify common products, consolidate vendor engagement, maintain normalized inventories, and allocate scarce test resources, and it can also detect correlated exposure across missions. Program managers should own schedule and resource tradeoffs when remediation affects mission operations, because those choices sit with mission execution rather than with raw technical reporting alone, and they need decision-ready consequence assessments, not unfiltered technical feeds. Any accepted exception should identify an owner and specify either an expiration date or a review condition. Procurement has a related but distinct role, translating performance evidence into contract terms and source selection criteria, so that evidence gathered through assurance activity carries into buying decisions. Legal and disclosure functions should distinguish among product vulnerability, operator incident, and issuer materiality, since those categories are not interchangeable for governance purposes, and international offices should maintain partner pathways and release rules. Together, these roles keep vulnerability response tied to mission assurance, resourcing, contracting, disclosure, and partner coordination without placing all responsibility inside enterprise information technology.</w:t>
      </w:r>
    </w:p>
    <w:p>
      <w:pPr>
        <w:pStyle w:val="BodyText"/>
        <w:spacing w:line="480" w:lineRule="auto"/>
        <w:ind w:firstLine="720"/>
      </w:pPr>
      <w:r>
        <w:t xml:space="preserve">Senior governance bodies should review trends and systemic dependencies rather than approve every patch, since their role is to ensure that capacity, accountability, and risk acceptance operate as designed.</w:t>
      </w:r>
    </w:p>
    <w:bookmarkEnd w:id="159"/>
    <w:bookmarkStart w:id="160" w:name="Xf69c94a1e820673df8aa09aed3ae3a707b34d17"/>
    <w:p>
      <w:pPr>
        <w:pStyle w:val="Heading2"/>
        <w:spacing w:line="480" w:lineRule="auto"/>
      </w:pPr>
      <w:r>
        <w:t xml:space="preserve">7.17 Economic evaluation of the governance model</w:t>
      </w:r>
    </w:p>
    <w:p>
      <w:pPr>
        <w:pStyle w:val="FirstParagraph"/>
        <w:spacing w:line="480" w:lineRule="auto"/>
      </w:pPr>
      <w:r>
        <w:t xml:space="preserve">Layered governance consumes resources. Inventories, test environments, extended support, trusted exchange, and exercises all impose costs, so evaluation should compare these expenditures with avoided mission disruption and a lower emergency-change burden. An economic evaluation can separate fixed capacity from event response so that standing readiness is not confused with the costs incurred when a particular event occurs. Fixed costs include inventory maintenance, test infrastructure, personnel, and contractual support, all of which are carried before any single incident demands action, while variable costs include assessment, mitigation, validation, and deployment for each event. Benefits should be measured as lower incident probability, shorter exposure, less downtime, and reduced recovery cost, rather than as a simple count of governance tasks completed. Paired null findings also change the counterfactual against which those costs and benefits are judged: if equity markets do not provide reliable supplier discipline, direct contractual incentives are not redundant, and if public attributes do not predict rapid escalation, trusted context and local assessment are not duplicative, since their value lies in filling measured mechanism gaps. For that reason, the model should treat contractual incentives, trusted context, and local assessment as mechanisms that address those gaps while still comparing their expenditures with the mission disruption and emergency-change burden they are intended to avoid.</w:t>
      </w:r>
    </w:p>
    <w:p>
      <w:pPr>
        <w:pStyle w:val="BodyText"/>
        <w:spacing w:line="480" w:lineRule="auto"/>
        <w:ind w:firstLine="720"/>
      </w:pPr>
      <w:r>
        <w:t xml:space="preserve">Economic evaluation should also count option value. A tested alternate path or rollback plan may remain unused for years, yet it preserves the ability to respond without sacrificing mission availability, so traditional utilization metrics can undervalue resilience. Portfolio analysis can identify scale economies as well, since a single enterprise test environment, product crosswalk, or vendor agreement can support several missions, and shared capacity reduces the fixed cost of governance while increasing visibility into common-mode risk.</w:t>
      </w:r>
    </w:p>
    <w:bookmarkEnd w:id="160"/>
    <w:bookmarkStart w:id="161" w:name="final-governance-proposition"/>
    <w:p>
      <w:pPr>
        <w:pStyle w:val="Heading2"/>
        <w:spacing w:line="480" w:lineRule="auto"/>
      </w:pPr>
      <w:r>
        <w:t xml:space="preserve">7.18 Final governance proposition</w:t>
      </w:r>
    </w:p>
    <w:p>
      <w:pPr>
        <w:pStyle w:val="FirstParagraph"/>
        <w:spacing w:line="480" w:lineRule="auto"/>
      </w:pPr>
      <w:r>
        <w:t xml:space="preserve">Stated compactly, public disclosure produces protection only when four transformations occur. Records must be mapped to assets, technical attributes translated into mission consequence, evidence converted into a validated control, and incentives arranged so responsibility for timely action is assigned. Markets can influence incentives, yet the observed equity model shows that they cannot be assumed to do so consistently, and public technical attributes can inform priority, yet the observed logit shows that they cannot be assumed to reproduce government timing. Designed institutions must complete these transformations. This proposition aligns with the space literature’s emphasis on distributed systems, trusted data, and cross-domain governance</w:t>
      </w:r>
      <w:r>
        <w:t xml:space="preserve"> </w:t>
      </w:r>
      <w:hyperlink w:anchor="ref-1">
        <w:r>
          <w:rPr>
            <w:rStyle w:val="Hyperlink"/>
          </w:rPr>
          <w:t xml:space="preserve">[1]</w:t>
        </w:r>
      </w:hyperlink>
      <w:r>
        <w:t xml:space="preserve">[6][8], and it clarifies why cybersecurity cannot be delegated entirely to a catalog steward, a vendor, or an enterprise security office. Mission assurance emerges from coordinated roles, with evidence carried across their boundaries.</w:t>
      </w:r>
    </w:p>
    <w:bookmarkEnd w:id="161"/>
    <w:bookmarkEnd w:id="162"/>
    <w:bookmarkStart w:id="217" w:name="chapter-8.-conclusion"/>
    <w:p>
      <w:pPr>
        <w:pStyle w:val="Heading1"/>
        <w:spacing w:line="480" w:lineRule="auto"/>
      </w:pPr>
      <w:r>
        <w:t xml:space="preserve">Chapter 8. Conclusion</w:t>
      </w:r>
    </w:p>
    <w:bookmarkStart w:id="163" w:name="research-question-revisited"/>
    <w:p>
      <w:pPr>
        <w:pStyle w:val="Heading2"/>
        <w:spacing w:line="480" w:lineRule="auto"/>
      </w:pPr>
      <w:r>
        <w:t xml:space="preserve">8.1 Research question revisited</w:t>
      </w:r>
    </w:p>
    <w:p>
      <w:pPr>
        <w:pStyle w:val="FirstParagraph"/>
        <w:spacing w:line="480" w:lineRule="auto"/>
      </w:pPr>
      <w:r>
        <w:t xml:space="preserve">This dissertation began with a question about discipline. Public vulnerability disclosure is expected to improve behavior through information: investors may penalize suppliers associated with serious exploited defects, government may escalate the vulnerabilities most likely to require rapid action, and space operators may use market and administrative signals to allocate scarce remediation attention. Empirical results narrow that expectation considerably. Public catalogs provide valuable coordination infrastructure, but the measured public attributes examined here do not produce reliable automatic discipline through information alone. Equity responses around KEV addition are not systematically more negative for vulnerabilities that are more severe, edge-facing, ransomware-associated, or post-BOD, and rapid KEV escalation is not reliably predicted by severity, edge status, or ransomware association in the 37-observation sample. Rather than treating disclosure as a single disciplinary channel, the dissertation separates and measures the mechanisms that might connect public vulnerability information to investor penalties, government escalation, and operator remediation choices for these actors. A vulnerability can threaten a mission without materially affecting a diversified vendor. CISA can act on exploit evidence that is absent from public fields. Investors can price information before the catalog date. Operators can require context that neither prices nor generic severity scores provide. Simple relationships are absent in the measured results, and that absence is consistent with a system whose consequences depend on deployment, information timing, and institutional capacity. Both null hypotheses remain unrejected.</w:t>
      </w:r>
    </w:p>
    <w:bookmarkEnd w:id="163"/>
    <w:bookmarkStart w:id="164" w:name="empirical-contribution"/>
    <w:p>
      <w:pPr>
        <w:pStyle w:val="Heading2"/>
        <w:spacing w:line="480" w:lineRule="auto"/>
      </w:pPr>
      <w:r>
        <w:t xml:space="preserve">8.2 Empirical contribution</w:t>
      </w:r>
    </w:p>
    <w:p>
      <w:pPr>
        <w:pStyle w:val="FirstParagraph"/>
        <w:spacing w:line="480" w:lineRule="auto"/>
      </w:pPr>
      <w:r>
        <w:t xml:space="preserve">Paper 1 develops a 21-event dataset linking CISA KEV, NVD, and adjusted market prices, and its outcome is the vendor’s five-trading-day return less ACWI. The OLS model has an R-squared of 0.1156 and a robust F-test p-value of 0.0896. CVSS has a positive coefficient of 0.9394 with p = 0.0593, which runs counter to the predicted negative relationship. Edge status is -0.3618 with p = 0.8297, ransomware association is 0.3168 with p = 0.9048, and post-BOD publication is -2.1172 with p = 0.2722. No estimated slope establishes a market penalty at five percent. Paper 2 develops a 37-vulnerability CISA-NVD panel using a 30-day rapid-escalation outcome, shifting the empirical focus from market returns to escalation timing while retaining the bounded CISA-NVD evidence base. Its logit model has a pseudo-R-squared of 0.0241. CVSS is 0.1887 with p = 0.4435. Edge status is 0.7370 with p = 0.5551, and ransomware association is 0.1351 with p = 0.8550.</w:t>
      </w:r>
    </w:p>
    <w:p>
      <w:pPr>
        <w:pStyle w:val="BodyText"/>
        <w:spacing w:line="480" w:lineRule="auto"/>
        <w:ind w:firstLine="720"/>
      </w:pPr>
      <w:r>
        <w:t xml:space="preserve">Those Paper 2 signs are positive but imprecise. All rapid cases occur in the post-2021 cohort, which produces separation if the era indicator is added, so institutional regime appears more clearly in the raw timing distribution than technical attributes do in the fitted model. Neither dataset contains illustrative rows. Every observation has row-level provenance, and the configurations, outputs, figures, and workbooks make the results reproducible, so that provenance forms part of the empirical contribution because it replaces a broad assertion about space-cyber risk with two bounded tests.</w:t>
      </w:r>
    </w:p>
    <w:bookmarkEnd w:id="164"/>
    <w:bookmarkStart w:id="165" w:name="theoretical-contribution"/>
    <w:p>
      <w:pPr>
        <w:pStyle w:val="Heading2"/>
        <w:spacing w:line="480" w:lineRule="auto"/>
      </w:pPr>
      <w:r>
        <w:t xml:space="preserve">8.3 Theoretical contribution</w:t>
      </w:r>
    </w:p>
    <w:p>
      <w:pPr>
        <w:pStyle w:val="FirstParagraph"/>
        <w:spacing w:line="480" w:lineRule="auto"/>
      </w:pPr>
      <w:r>
        <w:t xml:space="preserve">The framework separates technical severity, operational salience, and financial materiality rather than treating them as interchangeable measures of the same event. These values may align, but they need not, since CVSS measures technical properties, a mission operator assesses local consequence, a vendor’s equity price reflects expected firm cash flows, and government escalation reflects exploitation evidence processed through institutional capacity. Disclosure connects these domains without collapsing them into one scale or one outcome. NVD creates a common defect record</w:t>
      </w:r>
      <w:r>
        <w:t xml:space="preserve"> </w:t>
      </w:r>
      <w:hyperlink w:anchor="ref-10">
        <w:r>
          <w:rPr>
            <w:rStyle w:val="Hyperlink"/>
          </w:rPr>
          <w:t xml:space="preserve">[10]</w:t>
        </w:r>
      </w:hyperlink>
      <w:r>
        <w:t xml:space="preserve">, giving the vulnerability a shared reference point, while KEV records confirmed exploitation and federal action</w:t>
      </w:r>
      <w:r>
        <w:t xml:space="preserve"> </w:t>
      </w:r>
      <w:hyperlink w:anchor="ref-9">
        <w:r>
          <w:rPr>
            <w:rStyle w:val="Hyperlink"/>
          </w:rPr>
          <w:t xml:space="preserve">[9]</w:t>
        </w:r>
      </w:hyperlink>
      <w:r>
        <w:t xml:space="preserve"> </w:t>
      </w:r>
      <w:r>
        <w:t xml:space="preserve">rather than merely restating technical severity. Trusted exchange adds operational context</w:t>
      </w:r>
      <w:r>
        <w:t xml:space="preserve"> </w:t>
      </w:r>
      <w:hyperlink w:anchor="ref-6">
        <w:r>
          <w:rPr>
            <w:rStyle w:val="Hyperlink"/>
          </w:rPr>
          <w:t xml:space="preserve">[6]</w:t>
        </w:r>
      </w:hyperlink>
      <w:r>
        <w:t xml:space="preserve">[19], and local architecture and governance then convert information into response</w:t>
      </w:r>
      <w:r>
        <w:t xml:space="preserve"> </w:t>
      </w:r>
      <w:hyperlink w:anchor="ref-5">
        <w:r>
          <w:rPr>
            <w:rStyle w:val="Hyperlink"/>
          </w:rPr>
          <w:t xml:space="preserve">[5]</w:t>
        </w:r>
      </w:hyperlink>
      <w:r>
        <w:t xml:space="preserve">[18], so the same disclosed defect can move through different organizations with different urgency, discipline, and consequence without changing the technical record itself. The framework therefore treats disclosure as an input to response discipline, not as a direct substitute for mission assessment, market valuation, or government escalation. It keeps the domains connected while preserving the distinction among the technical properties captured by CVSS, the local consequences assessed by mission operators, the expected firm cash flows reflected in a vendor’s equity price, and the exploitation evidence that government institutions process through available capacity.</w:t>
      </w:r>
    </w:p>
    <w:p>
      <w:pPr>
        <w:pStyle w:val="BodyText"/>
        <w:spacing w:line="480" w:lineRule="auto"/>
        <w:ind w:firstLine="720"/>
      </w:pPr>
      <w:r>
        <w:t xml:space="preserve">The supplier-operator wedge explains the market result, since mission loss can exceed vendor liability or revenue effect, and switching costs can leave customers dependent on a product after disclosure, so a calm market does not imply low mission consequence. Institutional capacity explains the timing result, because observed exposure_days combine time to exploitation, detection, validation, and public action, and technical attributes shape only part of that chain. BOD 22-01 and KEV create monitoring and publication capacity that changes the data-generating process, and the cohort separation reflects that institutional structure.</w:t>
      </w:r>
    </w:p>
    <w:bookmarkEnd w:id="165"/>
    <w:bookmarkStart w:id="166" w:name="governance-contribution"/>
    <w:p>
      <w:pPr>
        <w:pStyle w:val="Heading2"/>
        <w:spacing w:line="480" w:lineRule="auto"/>
      </w:pPr>
      <w:r>
        <w:t xml:space="preserve">8.4 Governance contribution</w:t>
      </w:r>
    </w:p>
    <w:p>
      <w:pPr>
        <w:pStyle w:val="FirstParagraph"/>
        <w:spacing w:line="480" w:lineRule="auto"/>
      </w:pPr>
      <w:r>
        <w:t xml:space="preserve">CISA and NVD should remain shared public foundations for vulnerability governance, and records in those systems need versioning, normalized product identifiers, and structured contextual fields that can protect sources when disclosure would create risk. Trusted space-cyber communities should also exchange exploit behavior, affected configurations, validated mitigations, confidence assessments, and pedigree. Operators need product-to-mission inventories, consequence-based prioritization, test environments, rollback procedures, compensating controls, and measured response times, since these practices connect vulnerability handling to the missions that would absorb the consequences of action or delay. Procurement requirements should cover vendor notification, lifecycle support, dependency transparency, and remediation service levels, while supplier incentives should be both contractual and relational because the observed data do not show public equity markets providing a dependable sanction. Markets are not enough. International and interagency arrangements should define authority and sharing paths before incidents occur, since space and cyber jurisdictions intersect</w:t>
      </w:r>
      <w:r>
        <w:t xml:space="preserve"> </w:t>
      </w:r>
      <w:hyperlink w:anchor="ref-7">
        <w:r>
          <w:rPr>
            <w:rStyle w:val="Hyperlink"/>
          </w:rPr>
          <w:t xml:space="preserve">[7]</w:t>
        </w:r>
      </w:hyperlink>
      <w:r>
        <w:t xml:space="preserve">[8] and coordination under stress depends on more than a matching label in a database. Common CVE identifiers support coordination, but decisions about mission consequence and release require established relationships rather than identifiers alone. Exercises should test information flow and decision authority alongside technical containment, so the same rehearsals that examine containment also identify who can approve a release, who can receive sensitive context through agreed sharing paths, and how mission consequence is judged before an incident occurs.</w:t>
      </w:r>
    </w:p>
    <w:p>
      <w:pPr>
        <w:pStyle w:val="BodyText"/>
        <w:spacing w:line="480" w:lineRule="auto"/>
        <w:ind w:firstLine="720"/>
      </w:pPr>
      <w:r>
        <w:t xml:space="preserve">Architectures should be designed on the assumption that external signals may arrive late or remain incomplete. Segmentation, least privilege, secure updates, monitoring, alternate paths, and recovery capacity reduce dependence on precise vulnerability forecasts, and automated response requires data pedigree and auditable decisions</w:t>
      </w:r>
      <w:r>
        <w:t xml:space="preserve"> </w:t>
      </w:r>
      <w:hyperlink w:anchor="ref-1">
        <w:r>
          <w:rPr>
            <w:rStyle w:val="Hyperlink"/>
          </w:rPr>
          <w:t xml:space="preserve">[1]</w:t>
        </w:r>
      </w:hyperlink>
      <w:r>
        <w:t xml:space="preserve">[18].</w:t>
      </w:r>
    </w:p>
    <w:bookmarkEnd w:id="166"/>
    <w:bookmarkStart w:id="167" w:name="limits"/>
    <w:p>
      <w:pPr>
        <w:pStyle w:val="Heading2"/>
        <w:spacing w:line="480" w:lineRule="auto"/>
      </w:pPr>
      <w:r>
        <w:t xml:space="preserve">8.5 Limits</w:t>
      </w:r>
    </w:p>
    <w:p>
      <w:pPr>
        <w:pStyle w:val="FirstParagraph"/>
        <w:spacing w:line="480" w:lineRule="auto"/>
      </w:pPr>
      <w:r>
        <w:t xml:space="preserve">Sample size sets the first constraint: twenty-one equity events and 37 vulnerabilities do not allow small effects to be estimated with precision, so the results should not be converted into claims that all true effects are exactly zero. Selection adds the second constraint, since Paper 1 includes listed vendors with complete price histories, while Paper 2 includes only vulnerabilities eventually added to KEV, so private suppliers, never-KEV CVEs, and actual mission deployments remain outside the data. Timing also limits interpretation, because KEV addition may follow vendor advisories and public exploit reports, so the market event can be anticipated, and NVD publication and KEV dateAdded do not reveal the beginning of exploitation or first detection. Measurement creates further constraints. Edge status is a product-class proxy, CVSS is not mission consequence, ransomware status is a frozen field, and ACWI adjustment is not a full firm-specific market model, and each limit is documented in the data and methods chapters. A final limitation concerns re-specification: the original prospectus proposed listed operator incidents, CRSP, Compustat, Markit CDS, and regulatory instruments, but those proprietary and sparse public data were not obtainable at the required row count.</w:t>
      </w:r>
    </w:p>
    <w:p>
      <w:pPr>
        <w:pStyle w:val="BodyText"/>
        <w:spacing w:line="480" w:lineRule="auto"/>
        <w:ind w:firstLine="720"/>
      </w:pPr>
      <w:r>
        <w:t xml:space="preserve">The dissertation therefore moves to infrastructure vendors and public catalog events. This revised design preserves the market-discipline question, yet it does not directly estimate operator equity or bond-spread responses.</w:t>
      </w:r>
    </w:p>
    <w:bookmarkEnd w:id="167"/>
    <w:bookmarkStart w:id="168" w:name="future-research"/>
    <w:p>
      <w:pPr>
        <w:pStyle w:val="Heading2"/>
        <w:spacing w:line="480" w:lineRule="auto"/>
      </w:pPr>
      <w:r>
        <w:t xml:space="preserve">8.6 Future research</w:t>
      </w:r>
    </w:p>
    <w:p>
      <w:pPr>
        <w:pStyle w:val="FirstParagraph"/>
        <w:spacing w:line="480" w:lineRule="auto"/>
      </w:pPr>
      <w:r>
        <w:t xml:space="preserve">Future work should begin with a complete operator study, with vulnerabilities linked to deployed assets, mission functions, advisories, mitigations, patches, and observed outcomes in the same analytic frame. Survival models could then estimate time to mitigation while separating vendor delay from operator delay, and cross-program inventories would also allow correlated supplier exposure to be detected. A larger market study should identify multiple information dates and use CRSP, Compustat, bonds, and confound coding, keeping the market analysis tied to those specified sources and to the event structure rather than to one disclosure point alone. NVD publication may be one information date, vendor advisory, exploit release, KEV action, issuer filing, and remediation update may be others, and each of those dates may carry distinct price effects, so the study should preserve the separate timing of the information events before estimating the effects attached to them. Where the event count permits, firm clustering and beta-adjusted returns should be estimated, with that condition left explicit because some event sets may not be large enough for the same specification. The larger study would still be the same market study: multiple information dates; CRSP, Compustat, bonds, and confound coding; separate attention to NVD publication, vendor advisory, exploit release, KEV action, issuer filing, and remediation update; and firm clustering with beta-adjusted returns when the event count permits. That design would allow the price-effect estimates to differ across the listed information dates without treating NVD publication, vendor advisory, exploit release, KEV action, issuer filing, and remediation update as a single event.</w:t>
      </w:r>
    </w:p>
    <w:p>
      <w:pPr>
        <w:pStyle w:val="BodyText"/>
        <w:spacing w:line="480" w:lineRule="auto"/>
        <w:ind w:firstLine="720"/>
      </w:pPr>
      <w:r>
        <w:t xml:space="preserve">For vulnerability-risk-set analysis, future research should begin with NVD and right-censor CVEs not in KEV, after which public exploit availability, target prevalence, sector exposure, and institutional evidence categories can be added. Post-BOD cohorts can be estimated without historical backfill, with penalized models used when separation remains. Governance pilots should measure actionability directly through notice-to-asset-identification time, notice-to-mitigation time, patch validation burden, false-priority reduction, and recurrence, and information-sharing formats should be compared on actual decision quality rather than volume exchanged.</w:t>
      </w:r>
    </w:p>
    <w:bookmarkEnd w:id="168"/>
    <w:bookmarkStart w:id="169" w:name="closing-synthesis"/>
    <w:p>
      <w:pPr>
        <w:pStyle w:val="Heading2"/>
        <w:spacing w:line="480" w:lineRule="auto"/>
      </w:pPr>
      <w:r>
        <w:t xml:space="preserve">8.7 Closing synthesis</w:t>
      </w:r>
    </w:p>
    <w:p>
      <w:pPr>
        <w:pStyle w:val="FirstParagraph"/>
        <w:spacing w:line="480" w:lineRule="auto"/>
      </w:pPr>
      <w:r>
        <w:t xml:space="preserve">Space cybersecurity is an interdependence problem, not a problem that yields to one visible signal. Missions depend on commercial products, public databases, government evidence, vendor response, operator architecture, and international relationships, and no single signal captures the full consequence of vulnerability exposure or exploitation. Two convenient shortcuts are removed here. The first is the presumption that equity prices enforce product security at the mission boundary; the second is the presumption that public severity and product fields predict government escalation. Each shortcut is attractive because it treats a complex dependency chain as if one public measure could stand in for the whole chain, yet the dissertation’s findings leave those presumptions unavailable while leaving the case for disclosure intact. Disclosure is not weakened; its role is clarified. It supplies information that matters, but it does not by itself convert vulnerability exposure or exploitation into local consequence, remediation knowledge, incentives, resilience, or government escalation. At the mission boundary, where commercial products, public databases, government evidence, vendor response, operator architecture, and international relationships meet, neither a market response nor public severity and product fields can be presumed to carry the full consequence of a vulnerability from exposure or exploitation to the decisions that follow. The point is narrower than a rejection of disclosure, since the findings remove automatic enforcement and automatic escalation as presumptions rather than removing disclosure from the space cybersecurity problem.</w:t>
      </w:r>
    </w:p>
    <w:p>
      <w:pPr>
        <w:pStyle w:val="BodyText"/>
        <w:spacing w:line="480" w:lineRule="auto"/>
        <w:ind w:firstLine="720"/>
      </w:pPr>
      <w:r>
        <w:t xml:space="preserve">Public catalogs establish common facts, trusted exchange supplies context, local consequence comes from operators, and remediation knowledge comes from vendors. Incentives come from procurement and regulation, while resilience comes from architecture, and discipline emerges when these layers are connected. The final contribution is a data-grounded shift from disclosure as automatic enforcement to disclosure as governed infrastructure. For space systems whose terrestrial dependencies are both ordinary and mission-critical, that distinction separates receiving information from being prepared to act on it.</w:t>
      </w:r>
    </w:p>
    <w:bookmarkEnd w:id="169"/>
    <w:bookmarkStart w:id="170" w:name="what-can-be-carried-forward-now"/>
    <w:p>
      <w:pPr>
        <w:pStyle w:val="Heading2"/>
        <w:spacing w:line="480" w:lineRule="auto"/>
      </w:pPr>
      <w:r>
        <w:t xml:space="preserve">8.8 What can be carried forward now</w:t>
      </w:r>
    </w:p>
    <w:p>
      <w:pPr>
        <w:pStyle w:val="FirstParagraph"/>
        <w:spacing w:line="480" w:lineRule="auto"/>
      </w:pPr>
      <w:r>
        <w:t xml:space="preserve">Several conclusions can be carried forward now, before completion of a larger study. KEV and NVD should remain separate signals in mission processes, since NVD records public technical information whereas KEV records confirmed exploitation and federal action, and because those records point to different events, mission processes should preserve both dates rather than collapse them into a single disclosure field. Market response should also be kept out of operational prioritization, because the event study does not show a reliable penalty from the attributes most relevant to technical concern, so operators should not rely on vendor price movement to validate or dismiss mission exposure when they decide what requires attention. Public severity, likewise, should not be treated as a forecast of government action. CVSS, edge status, and ransomware use have the expected positive signs in the logit, yet their precision and fit are weak, so teams should monitor KEV and trusted evidence directly rather than infer likely addition from scores. Institutional era also needs to be modeled explicitly, because historical backfill and contemporary monitoring generate different durations, and that difference matters for any claim based on exposure_days, so analysts should stratify cohorts or use methods that represent catalog creation, since treating all exposure_days as comparable can produce misleading policy claims.</w:t>
      </w:r>
    </w:p>
    <w:p>
      <w:pPr>
        <w:pStyle w:val="BodyText"/>
        <w:spacing w:line="480" w:lineRule="auto"/>
        <w:ind w:firstLine="720"/>
      </w:pPr>
      <w:r>
        <w:t xml:space="preserve">Provenance has operational value. The source field, transformation rules, and frozen versions used in this dissertation are not simply research documentation; they provide the basis for trustworthy automation and after-action review.</w:t>
      </w:r>
    </w:p>
    <w:bookmarkEnd w:id="170"/>
    <w:bookmarkStart w:id="171" w:name="standard-for-future-evidence"/>
    <w:p>
      <w:pPr>
        <w:pStyle w:val="Heading2"/>
        <w:spacing w:line="480" w:lineRule="auto"/>
      </w:pPr>
      <w:r>
        <w:t xml:space="preserve">8.9 Standard for future evidence</w:t>
      </w:r>
    </w:p>
    <w:p>
      <w:pPr>
        <w:pStyle w:val="FirstParagraph"/>
        <w:spacing w:line="480" w:lineRule="auto"/>
      </w:pPr>
      <w:r>
        <w:t xml:space="preserve">Future work should meet four standards. Event clarity comes first, so researchers should specify whether the event being analyzed is discovery, vendor advisory, NVD publication, exploit release, KEV addition, issuer disclosure, or remediation, since different dates test different mechanisms. Risk-set clarity is the second standard, because the sampled set determines what the estimate concerns, so studies must state, in direct terms, whether they sample all CVEs, exploited CVEs, KEV entries, deployed assets, listed vendors, or disclosed incidents; conditioning changes the estimand. Source fidelity is the third standard, and it should be handled at the row and derived-variable levels, so every quantitative row should cite a record that supports the value reported there, derived variables should identify the operation used to produce them, and illustrative values should be avoided for empirical outcomes and clearly marked where they cannot be avoided. Mechanism discipline is the fourth standard, so interpretation must stay with the measurement: a price result should not be treated as a mission consequence, a severity result should not be treated as exploit probability, and a catalog-duration result should not be treated as patch time. Claims must remain attached to what the variable measures.</w:t>
      </w:r>
    </w:p>
    <w:p>
      <w:pPr>
        <w:pStyle w:val="BodyText"/>
        <w:spacing w:line="480" w:lineRule="auto"/>
        <w:ind w:firstLine="720"/>
      </w:pPr>
      <w:r>
        <w:t xml:space="preserve">These standards would allow small studies to become cumulative, so a later researcher could add events, replace market adjustment with a factor model, or extend the vulnerability risk set without rebuilding the conceptual foundation.</w:t>
      </w:r>
    </w:p>
    <w:bookmarkEnd w:id="171"/>
    <w:bookmarkStart w:id="172" w:name="Xdf0fafe96fc995f06c84732bd69e25a3dcc5f71"/>
    <w:p>
      <w:pPr>
        <w:pStyle w:val="Heading2"/>
        <w:spacing w:line="480" w:lineRule="auto"/>
      </w:pPr>
      <w:r>
        <w:t xml:space="preserve">8.10 Contribution to space governance scholarship</w:t>
      </w:r>
    </w:p>
    <w:p>
      <w:pPr>
        <w:pStyle w:val="FirstParagraph"/>
        <w:spacing w:line="480" w:lineRule="auto"/>
      </w:pPr>
      <w:r>
        <w:t xml:space="preserve">Space governance scholarship already engages norms, sustainability, supervision, and data sharing</w:t>
      </w:r>
      <w:r>
        <w:t xml:space="preserve"> </w:t>
      </w:r>
      <w:hyperlink w:anchor="ref-13">
        <w:r>
          <w:rPr>
            <w:rStyle w:val="Hyperlink"/>
          </w:rPr>
          <w:t xml:space="preserve">[13]</w:t>
        </w:r>
      </w:hyperlink>
      <w:r>
        <w:t xml:space="preserve">[19][26], and cyber disclosure belongs in that conversation because it concerns information about dependencies that can change safe operation. Those subjects already make the scholarship attentive to how institutions handle information connected to safe operation, and cyber disclosure falls within the same frame because it deals with evidence about dependencies rather than with a defect viewed in isolation. Treating disclosure as part of space governance does not require reducing the question to a technical classification exercise, since the issue is not simply whether a defect is technical, but whether institutions can share, interpret, and act on evidence across organizational boundaries, especially when the same information about dependencies may have to move among actors that do not hold the same responsibilities or see the same part of the risk. Framed this way, cyber disclosure is not outside the existing conversation on norms, sustainability, supervision, and data sharing; it is one instance of that conversation, because information about dependencies can alter safe operation only when institutions are able to carry it across boundaries and make it usable.</w:t>
      </w:r>
    </w:p>
    <w:p>
      <w:pPr>
        <w:pStyle w:val="BodyText"/>
        <w:spacing w:line="480" w:lineRule="auto"/>
        <w:ind w:firstLine="720"/>
      </w:pPr>
      <w:r>
        <w:t xml:space="preserve">This dissertation adds a negative capability to that scholarship: a basis for identifying which mechanisms the data do not establish. Markets do not visibly solve every supplier incentive problem, and open severity fields do not visibly solve every prioritization problem, so naming these limits helps prevent governance architectures from assigning responsibility to signals that cannot bear it. Its positive agenda is interdependence. Public agencies, vendors, operators, investors, and partners each see different portions of the same risk, and governance must connect those portions while preserving pedigree and appropriate control, a contribution that aligns with the broader movement toward trusted, symmetric, and actionable space information</w:t>
      </w:r>
      <w:r>
        <w:t xml:space="preserve"> </w:t>
      </w:r>
      <w:hyperlink w:anchor="ref-6">
        <w:r>
          <w:rPr>
            <w:rStyle w:val="Hyperlink"/>
          </w:rPr>
          <w:t xml:space="preserve">[6]</w:t>
        </w:r>
      </w:hyperlink>
      <w:r>
        <w:t xml:space="preserve">[12][19].</w:t>
      </w:r>
    </w:p>
    <w:bookmarkEnd w:id="172"/>
    <w:bookmarkStart w:id="173" w:name="final-statement"/>
    <w:p>
      <w:pPr>
        <w:pStyle w:val="Heading2"/>
        <w:spacing w:line="480" w:lineRule="auto"/>
      </w:pPr>
      <w:r>
        <w:t xml:space="preserve">8.11 Final statement</w:t>
      </w:r>
    </w:p>
    <w:p>
      <w:pPr>
        <w:pStyle w:val="FirstParagraph"/>
        <w:spacing w:line="480" w:lineRule="auto"/>
      </w:pPr>
      <w:r>
        <w:t xml:space="preserve">Terrestrial infrastructure for spaceflight is assembled from products embedded in the wider digital economy, and its vulnerabilities are disclosed through institutions created for that economy. Their consequences, however, depend on mission context. Generic severity measures and generic market responses cannot substitute for context-sensitive judgment, so a grounded space-cyber regime must know what is deployed, what is being exploited, what a mission can tolerate, what a vendor can deliver, and who has authority to act. Disclosure begins the process; governance completes it.</w:t>
      </w:r>
    </w:p>
    <w:bookmarkEnd w:id="173"/>
    <w:bookmarkStart w:id="216" w:name="references"/>
    <w:p>
      <w:pPr>
        <w:pStyle w:val="Heading2"/>
        <w:spacing w:line="480" w:lineRule="auto"/>
      </w:pPr>
      <w:r>
        <w:t xml:space="preserve">References</w:t>
      </w:r>
    </w:p>
    <w:p>
      <w:pPr>
        <w:pStyle w:val="FirstParagraph"/>
        <w:spacing w:line="480" w:lineRule="auto"/>
      </w:pPr>
      <w:bookmarkStart w:id="174" w:name="ref-1"/>
      <w:bookmarkEnd w:id="174"/>
      <w:r>
        <w:t xml:space="preserve">1. M. R. Jabbarpour, Q. B. Vo, G. El-Dalahmeh, H. Tahir, R. Kowalczyk, T. Bessell, and J. Barr,</w:t>
      </w:r>
      <w:r>
        <w:t xml:space="preserve"> </w:t>
      </w:r>
      <w:r>
        <w:t xml:space="preserve">“Agent-based approaches for distributed space systems and mission management: Methodologies, current practices and challenges,”</w:t>
      </w:r>
      <w:r>
        <w:t xml:space="preserve"> </w:t>
      </w:r>
      <w:r>
        <w:t xml:space="preserve">Acta Astronautica, vol. 238, 2025, doi:</w:t>
      </w:r>
      <w:r>
        <w:t xml:space="preserve"> </w:t>
      </w:r>
      <w:hyperlink r:id="rId175">
        <w:r>
          <w:rPr>
            <w:rStyle w:val="Hyperlink"/>
          </w:rPr>
          <w:t xml:space="preserve">10.1016/j.actaastro.2025.10.018</w:t>
        </w:r>
      </w:hyperlink>
    </w:p>
    <w:p>
      <w:pPr>
        <w:pStyle w:val="BodyText"/>
        <w:spacing w:line="480" w:lineRule="auto"/>
        <w:ind w:firstLine="720"/>
      </w:pPr>
      <w:bookmarkStart w:id="176" w:name="ref-2"/>
      <w:bookmarkEnd w:id="176"/>
      <w:r>
        <w:t xml:space="preserve">2. C. Wright,</w:t>
      </w:r>
      <w:r>
        <w:t xml:space="preserve"> </w:t>
      </w:r>
      <w:r>
        <w:t xml:space="preserve">“A Collaborative Cybersecurity Training Policy for Future Space Endeavors,”</w:t>
      </w:r>
      <w:r>
        <w:t xml:space="preserve"> </w:t>
      </w:r>
      <w:r>
        <w:t xml:space="preserve">Proc. Advanced Maui Optical and Space Surveillance Technologies (AMOS) Conference, 2023, doi:</w:t>
      </w:r>
      <w:r>
        <w:t xml:space="preserve"> </w:t>
      </w:r>
      <w:hyperlink r:id="rId177">
        <w:r>
          <w:rPr>
            <w:rStyle w:val="Hyperlink"/>
          </w:rPr>
          <w:t xml:space="preserve">10.64861/WXIJ8208</w:t>
        </w:r>
      </w:hyperlink>
    </w:p>
    <w:p>
      <w:pPr>
        <w:pStyle w:val="BodyText"/>
        <w:spacing w:line="480" w:lineRule="auto"/>
        <w:ind w:firstLine="720"/>
      </w:pPr>
      <w:bookmarkStart w:id="178" w:name="ref-3"/>
      <w:bookmarkEnd w:id="178"/>
      <w:r>
        <w:t xml:space="preserve">3. D. Kline,</w:t>
      </w:r>
      <w:r>
        <w:t xml:space="preserve"> </w:t>
      </w:r>
      <w:r>
        <w:t xml:space="preserve">“Cybersecurity for Responsible AI/ML Usage in SDA Applications,”</w:t>
      </w:r>
      <w:r>
        <w:t xml:space="preserve"> </w:t>
      </w:r>
      <w:r>
        <w:t xml:space="preserve">Proc. Advanced Maui Optical and Space Surveillance Technologies (AMOS) Conference, 2025, doi:</w:t>
      </w:r>
      <w:r>
        <w:t xml:space="preserve"> </w:t>
      </w:r>
      <w:hyperlink r:id="rId179">
        <w:r>
          <w:rPr>
            <w:rStyle w:val="Hyperlink"/>
          </w:rPr>
          <w:t xml:space="preserve">10.64861/VEWW9997</w:t>
        </w:r>
      </w:hyperlink>
    </w:p>
    <w:p>
      <w:pPr>
        <w:pStyle w:val="BodyText"/>
        <w:spacing w:line="480" w:lineRule="auto"/>
        <w:ind w:firstLine="720"/>
      </w:pPr>
      <w:bookmarkStart w:id="180" w:name="ref-4"/>
      <w:bookmarkEnd w:id="180"/>
      <w:r>
        <w:t xml:space="preserve">4. M. Weinzierl,</w:t>
      </w:r>
      <w:r>
        <w:t xml:space="preserve"> </w:t>
      </w:r>
      <w:r>
        <w:t xml:space="preserve">“Space, the Final Economic Frontier,”</w:t>
      </w:r>
      <w:r>
        <w:t xml:space="preserve"> </w:t>
      </w:r>
      <w:r>
        <w:t xml:space="preserve">Journal of Economic Perspectives, 2018 (Space Economy Papers corpus, source SD18).</w:t>
      </w:r>
    </w:p>
    <w:p>
      <w:pPr>
        <w:pStyle w:val="BodyText"/>
        <w:spacing w:line="480" w:lineRule="auto"/>
        <w:ind w:firstLine="720"/>
      </w:pPr>
      <w:bookmarkStart w:id="181" w:name="ref-5"/>
      <w:bookmarkEnd w:id="181"/>
      <w:r>
        <w:t xml:space="preserve">5. W. Allington, A. Peterson, and K. Bowen,</w:t>
      </w:r>
      <w:r>
        <w:t xml:space="preserve"> </w:t>
      </w:r>
      <w:r>
        <w:t xml:space="preserve">“Developing a Secure Framework for Space Domain Awareness (SDA),”</w:t>
      </w:r>
      <w:r>
        <w:t xml:space="preserve"> </w:t>
      </w:r>
      <w:r>
        <w:rPr>
          <w:i/>
          <w:iCs/>
        </w:rPr>
        <w:t xml:space="preserve">AMOS Conference</w:t>
      </w:r>
      <w:r>
        <w:t xml:space="preserve">, 2023, doi:</w:t>
      </w:r>
      <w:r>
        <w:t xml:space="preserve"> </w:t>
      </w:r>
      <w:hyperlink r:id="rId182">
        <w:r>
          <w:rPr>
            <w:rStyle w:val="Hyperlink"/>
          </w:rPr>
          <w:t xml:space="preserve">10.64861/TRSQ4124</w:t>
        </w:r>
      </w:hyperlink>
    </w:p>
    <w:p>
      <w:pPr>
        <w:pStyle w:val="BodyText"/>
        <w:spacing w:line="480" w:lineRule="auto"/>
        <w:ind w:firstLine="720"/>
      </w:pPr>
      <w:bookmarkStart w:id="183" w:name="ref-6"/>
      <w:bookmarkEnd w:id="183"/>
      <w:r>
        <w:t xml:space="preserve">6. N. Tsamis, R. Stilwell, H. Reed, and N. Dailey,</w:t>
      </w:r>
      <w:r>
        <w:t xml:space="preserve"> </w:t>
      </w:r>
      <w:r>
        <w:t xml:space="preserve">“Sharing Operationally Relevant Space Cyber Information,”</w:t>
      </w:r>
      <w:r>
        <w:t xml:space="preserve"> </w:t>
      </w:r>
      <w:r>
        <w:rPr>
          <w:i/>
          <w:iCs/>
        </w:rPr>
        <w:t xml:space="preserve">AMOS Conference</w:t>
      </w:r>
      <w:r>
        <w:t xml:space="preserve">, 2022.</w:t>
      </w:r>
    </w:p>
    <w:p>
      <w:pPr>
        <w:pStyle w:val="BodyText"/>
        <w:spacing w:line="480" w:lineRule="auto"/>
        <w:ind w:firstLine="720"/>
      </w:pPr>
      <w:bookmarkStart w:id="184" w:name="ref-7"/>
      <w:bookmarkEnd w:id="184"/>
      <w:r>
        <w:t xml:space="preserve">7. J. Reis,</w:t>
      </w:r>
      <w:r>
        <w:t xml:space="preserve"> </w:t>
      </w:r>
      <w:r>
        <w:t xml:space="preserve">“European union defense and security strategy for space and ground-based systems against hybrid threats,”</w:t>
      </w:r>
      <w:r>
        <w:t xml:space="preserve"> </w:t>
      </w:r>
      <w:r>
        <w:rPr>
          <w:i/>
          <w:iCs/>
        </w:rPr>
        <w:t xml:space="preserve">Acta Astronautica</w:t>
      </w:r>
      <w:r>
        <w:t xml:space="preserve">, vol. 225, 2024, doi:</w:t>
      </w:r>
      <w:r>
        <w:t xml:space="preserve"> </w:t>
      </w:r>
      <w:hyperlink r:id="rId185">
        <w:r>
          <w:rPr>
            <w:rStyle w:val="Hyperlink"/>
          </w:rPr>
          <w:t xml:space="preserve">10.1016/j.actaastro.2024.09.003</w:t>
        </w:r>
      </w:hyperlink>
    </w:p>
    <w:p>
      <w:pPr>
        <w:pStyle w:val="BodyText"/>
        <w:spacing w:line="480" w:lineRule="auto"/>
        <w:ind w:firstLine="720"/>
      </w:pPr>
      <w:bookmarkStart w:id="186" w:name="ref-8"/>
      <w:bookmarkEnd w:id="186"/>
      <w:r>
        <w:t xml:space="preserve">8. C. Poirier,</w:t>
      </w:r>
      <w:r>
        <w:t xml:space="preserve"> </w:t>
      </w:r>
      <w:r>
        <w:t xml:space="preserve">“Establishing a governance for cyber operations in outer space: Exploring challenges faced by space and cyber commands,”</w:t>
      </w:r>
      <w:r>
        <w:t xml:space="preserve"> </w:t>
      </w:r>
      <w:r>
        <w:rPr>
          <w:i/>
          <w:iCs/>
        </w:rPr>
        <w:t xml:space="preserve">Acta Astronautica</w:t>
      </w:r>
      <w:r>
        <w:t xml:space="preserve">, vol. 237, 2025, doi:</w:t>
      </w:r>
      <w:r>
        <w:t xml:space="preserve"> </w:t>
      </w:r>
      <w:hyperlink r:id="rId187">
        <w:r>
          <w:rPr>
            <w:rStyle w:val="Hyperlink"/>
          </w:rPr>
          <w:t xml:space="preserve">10.1016/j.actaastro.2025.08.048</w:t>
        </w:r>
      </w:hyperlink>
    </w:p>
    <w:p>
      <w:pPr>
        <w:pStyle w:val="BodyText"/>
        <w:spacing w:line="480" w:lineRule="auto"/>
        <w:ind w:firstLine="720"/>
      </w:pPr>
      <w:bookmarkStart w:id="188" w:name="ref-9"/>
      <w:bookmarkEnd w:id="188"/>
      <w:r>
        <w:t xml:space="preserve">9. Cybersecurity and Infrastructure Security Agency,</w:t>
      </w:r>
      <w:r>
        <w:t xml:space="preserve"> </w:t>
      </w:r>
      <w:r>
        <w:t xml:space="preserve">“Known Exploited Vulnerabilities Catalog,”</w:t>
      </w:r>
      <w:r>
        <w:t xml:space="preserve"> </w:t>
      </w:r>
      <w:r>
        <w:t xml:space="preserve">release v2026.06.18, 2026.</w:t>
      </w:r>
    </w:p>
    <w:p>
      <w:pPr>
        <w:pStyle w:val="BodyText"/>
        <w:spacing w:line="480" w:lineRule="auto"/>
        <w:ind w:firstLine="720"/>
      </w:pPr>
      <w:bookmarkStart w:id="189" w:name="ref-10"/>
      <w:bookmarkEnd w:id="189"/>
      <w:r>
        <w:t xml:space="preserve">10. National Institute of Standards and Technology,</w:t>
      </w:r>
      <w:r>
        <w:t xml:space="preserve"> </w:t>
      </w:r>
      <w:r>
        <w:t xml:space="preserve">“National Vulnerability Database CVE API 2.0,”</w:t>
      </w:r>
      <w:r>
        <w:t xml:space="preserve"> </w:t>
      </w:r>
      <w:r>
        <w:t xml:space="preserve">2026.</w:t>
      </w:r>
    </w:p>
    <w:p>
      <w:pPr>
        <w:pStyle w:val="BodyText"/>
        <w:spacing w:line="480" w:lineRule="auto"/>
        <w:ind w:firstLine="720"/>
      </w:pPr>
      <w:bookmarkStart w:id="190" w:name="ref-11"/>
      <w:bookmarkEnd w:id="190"/>
      <w:r>
        <w:t xml:space="preserve">11. U.S. Securities and Exchange Commission,</w:t>
      </w:r>
      <w:r>
        <w:t xml:space="preserve"> </w:t>
      </w:r>
      <w:r>
        <w:t xml:space="preserve">“Cybersecurity Risk Management, Strategy, Governance, and Incident Disclosure,”</w:t>
      </w:r>
      <w:r>
        <w:t xml:space="preserve"> </w:t>
      </w:r>
      <w:r>
        <w:t xml:space="preserve">Release Nos. 33-11216 and 34-97989, 2023.</w:t>
      </w:r>
    </w:p>
    <w:p>
      <w:pPr>
        <w:pStyle w:val="BodyText"/>
        <w:spacing w:line="480" w:lineRule="auto"/>
        <w:ind w:firstLine="720"/>
      </w:pPr>
      <w:bookmarkStart w:id="191" w:name="ref-12"/>
      <w:bookmarkEnd w:id="191"/>
      <w:r>
        <w:t xml:space="preserve">12. Nick Tsamis, The MITRE Corporation; Ruth Stilwell, Aerospace Policy Solutions, LLC; Harvey Reed, The MITRE Corporation; Nathaniel Dailey, The MITRE Corporation. Sharing Operationally Relevant Space Cyber Information (2022).</w:t>
      </w:r>
    </w:p>
    <w:p>
      <w:pPr>
        <w:pStyle w:val="BodyText"/>
        <w:spacing w:line="480" w:lineRule="auto"/>
        <w:ind w:firstLine="720"/>
      </w:pPr>
      <w:bookmarkStart w:id="192" w:name="ref-13"/>
      <w:bookmarkEnd w:id="192"/>
      <w:r>
        <w:t xml:space="preserve">13. Francesca Letizia, European Space Agency; Stijn Lemmens, ESA/ESOC Space Debris Office; Danielle Wood, Space Enabled Research Group, MIT Media Lab; Minoo Rathnasabapathy, Space Enabled Research Group at the MIT Media Lab; Miles Lifson, MIT Media Lab- Space Enabled Research Group; Riley Stiendl, Massachusetts Institute of Technology; Moriba Jah, University of Texas at Austin; Nikolai Khlystov, World Economic Forum; Maksim Soshkin, World Economic Forum; Simon Potter, Bryce Space and Technology. Contribution from SSA Data to the Definition of a Space Sustainability Rating (2020).</w:t>
      </w:r>
    </w:p>
    <w:p>
      <w:pPr>
        <w:pStyle w:val="BodyText"/>
        <w:spacing w:line="480" w:lineRule="auto"/>
        <w:ind w:firstLine="720"/>
      </w:pPr>
      <w:bookmarkStart w:id="193" w:name="ref-14"/>
      <w:bookmarkEnd w:id="193"/>
      <w:r>
        <w:t xml:space="preserve">14. Chelsea Wright, Ferris State University. A Collaborative Cybersecurity Training Policy for Future Space Endeavors (2023). doi:</w:t>
      </w:r>
      <w:r>
        <w:t xml:space="preserve"> </w:t>
      </w:r>
      <w:hyperlink r:id="rId177">
        <w:r>
          <w:rPr>
            <w:rStyle w:val="Hyperlink"/>
          </w:rPr>
          <w:t xml:space="preserve">10.64861/WXIJ8208</w:t>
        </w:r>
      </w:hyperlink>
    </w:p>
    <w:p>
      <w:pPr>
        <w:pStyle w:val="BodyText"/>
        <w:spacing w:line="480" w:lineRule="auto"/>
        <w:ind w:firstLine="720"/>
      </w:pPr>
      <w:bookmarkStart w:id="194" w:name="ref-15"/>
      <w:bookmarkEnd w:id="194"/>
      <w:r>
        <w:t xml:space="preserve">15. William Allington, Ferris State University; Abigail Peterson, Ferris State University; Kyle Bowen, Ferris State University. Developing a Secure Framework for Space Domain Awareness (SDA) (2023). doi:</w:t>
      </w:r>
      <w:r>
        <w:t xml:space="preserve"> </w:t>
      </w:r>
      <w:hyperlink r:id="rId182">
        <w:r>
          <w:rPr>
            <w:rStyle w:val="Hyperlink"/>
          </w:rPr>
          <w:t xml:space="preserve">10.64861/TRSQ4124</w:t>
        </w:r>
      </w:hyperlink>
    </w:p>
    <w:p>
      <w:pPr>
        <w:pStyle w:val="BodyText"/>
        <w:spacing w:line="480" w:lineRule="auto"/>
        <w:ind w:firstLine="720"/>
      </w:pPr>
      <w:bookmarkStart w:id="195" w:name="ref-16"/>
      <w:bookmarkEnd w:id="195"/>
      <w:r>
        <w:t xml:space="preserve">16. Matthew Hejduk, The Aerospace Corporation; Scott Miller, NASA Ames Research Center; David Murakami, NASA Ames Research Center; Austin Probe, Emergent Space Technologies; Graham Bryan, Emergent Space Technologies; Alex Petrov, SpaceX; David Goldstein, SpaceX; Elliott Schwartz, Space; Erik Babcock, SpaceX. Conjunction Assessment and Deconfliction Paradigm for Co-Located Satellite Constellations with On-Spacecraft Autonomous Flight Dynamics Control (2023). doi:</w:t>
      </w:r>
      <w:r>
        <w:t xml:space="preserve"> </w:t>
      </w:r>
      <w:hyperlink r:id="rId196">
        <w:r>
          <w:rPr>
            <w:rStyle w:val="Hyperlink"/>
          </w:rPr>
          <w:t xml:space="preserve">10.64861/KKFT4985</w:t>
        </w:r>
      </w:hyperlink>
    </w:p>
    <w:p>
      <w:pPr>
        <w:pStyle w:val="BodyText"/>
        <w:spacing w:line="480" w:lineRule="auto"/>
        <w:ind w:firstLine="720"/>
      </w:pPr>
      <w:bookmarkStart w:id="197" w:name="ref-17"/>
      <w:bookmarkEnd w:id="197"/>
      <w:r>
        <w:t xml:space="preserve">17. Miles Lifson, The Aerospace Corporation; Aniqu Baset, The Aerospace Corporation; Grant Cates, The Aerospace Corporation; Bill Chen, The Aerospace Corporation; Angelo Connor, The Aerospace Corporation; Carson Coursey, The Aerospace Corporation; Gregory Henning, The Aerospace Corporation; Michael Miyamoto, The Aerospace Corporation; Glenn E. Peterson, The Aerospace Corporation; Brian Weeden, The Aerospace Corporation; Grant Williams, The Aerospace Corporation; Indigo Brownhall, University College London; Matthew Burgess, University of Colorado Boulder; Marcus Holzinger, University of Colorado Boulder; Daniel Kaffine, University of Colorado Boulder; Mark Moretto, North Carolina State University; Akhil Rao, Middlebury College. Development of Reference Scenarios and Supporting Inputs for Space Environment Modeling (2024). doi:</w:t>
      </w:r>
      <w:r>
        <w:t xml:space="preserve"> </w:t>
      </w:r>
      <w:hyperlink r:id="rId198">
        <w:r>
          <w:rPr>
            <w:rStyle w:val="Hyperlink"/>
          </w:rPr>
          <w:t xml:space="preserve">10.64861/QBNC8763</w:t>
        </w:r>
      </w:hyperlink>
    </w:p>
    <w:p>
      <w:pPr>
        <w:pStyle w:val="BodyText"/>
        <w:spacing w:line="480" w:lineRule="auto"/>
        <w:ind w:firstLine="720"/>
      </w:pPr>
      <w:bookmarkStart w:id="199" w:name="ref-18"/>
      <w:bookmarkEnd w:id="199"/>
      <w:r>
        <w:t xml:space="preserve">18. Oliver Schultz, Lockheed Martin; Joseph Brink, Lockheed Martin; Mark Williams, Lockheed Martin; Christopher Curry, Lockheed Martin. Data Insights, Pedigree, and Automation for Space Domain Awareness (2024). doi:</w:t>
      </w:r>
      <w:r>
        <w:t xml:space="preserve"> </w:t>
      </w:r>
      <w:hyperlink r:id="rId200">
        <w:r>
          <w:rPr>
            <w:rStyle w:val="Hyperlink"/>
          </w:rPr>
          <w:t xml:space="preserve">10.64861/NUFH1261</w:t>
        </w:r>
      </w:hyperlink>
    </w:p>
    <w:p>
      <w:pPr>
        <w:pStyle w:val="BodyText"/>
        <w:spacing w:line="480" w:lineRule="auto"/>
        <w:ind w:firstLine="720"/>
      </w:pPr>
      <w:bookmarkStart w:id="201" w:name="ref-19"/>
      <w:bookmarkEnd w:id="201"/>
      <w:r>
        <w:t xml:space="preserve">19. Harvey Reed, The MITRE Corporation; Ruth Stilwell, Aerospace Policy Solutions, LLC; Brian Weeden, Secure World Foundation; Nathaniel Dailey, The MITRE Corporation; Nick Tsamis, The MITRE Corporation. Sharing Operational Risk Information in the Space Domain to Facilitate Norms Development and Compliance Monitoring (2022).</w:t>
      </w:r>
    </w:p>
    <w:p>
      <w:pPr>
        <w:pStyle w:val="BodyText"/>
        <w:spacing w:line="480" w:lineRule="auto"/>
        <w:ind w:firstLine="720"/>
      </w:pPr>
      <w:bookmarkStart w:id="202" w:name="ref-20"/>
      <w:bookmarkEnd w:id="202"/>
      <w:r>
        <w:t xml:space="preserve">20. Clémence Poirier. Establishing a governance for cyber operations in outer space: Exploring challenges faced by space and cyber commands (2025). doi:</w:t>
      </w:r>
      <w:r>
        <w:t xml:space="preserve"> </w:t>
      </w:r>
      <w:hyperlink r:id="rId187">
        <w:r>
          <w:rPr>
            <w:rStyle w:val="Hyperlink"/>
          </w:rPr>
          <w:t xml:space="preserve">10.1016/j.actaastro.2025.08.048</w:t>
        </w:r>
      </w:hyperlink>
    </w:p>
    <w:p>
      <w:pPr>
        <w:pStyle w:val="BodyText"/>
        <w:spacing w:line="480" w:lineRule="auto"/>
        <w:ind w:firstLine="720"/>
      </w:pPr>
      <w:bookmarkStart w:id="203" w:name="ref-21"/>
      <w:bookmarkEnd w:id="203"/>
      <w:r>
        <w:t xml:space="preserve">21. Paolo Trucco; Alessandro Paravano; Giorgio Locatelli. Framing the dynamics of risk landscape amidst space economy trends (2025). doi:</w:t>
      </w:r>
      <w:r>
        <w:t xml:space="preserve"> </w:t>
      </w:r>
      <w:hyperlink r:id="rId204">
        <w:r>
          <w:rPr>
            <w:rStyle w:val="Hyperlink"/>
          </w:rPr>
          <w:t xml:space="preserve">10.1016/j.actaastro.2025.06.067</w:t>
        </w:r>
      </w:hyperlink>
    </w:p>
    <w:p>
      <w:pPr>
        <w:pStyle w:val="BodyText"/>
        <w:spacing w:line="480" w:lineRule="auto"/>
        <w:ind w:firstLine="720"/>
      </w:pPr>
      <w:bookmarkStart w:id="205" w:name="ref-22"/>
      <w:bookmarkEnd w:id="205"/>
      <w:r>
        <w:t xml:space="preserve">22. Andrew Newton; Andrew Cataford; Stephen Maxwell; S. Andrew Gadsden; Kevin Turpie. Air-LUSI: Development of a pointing and tracking control system for lunar spectral measurements (2020). doi:</w:t>
      </w:r>
      <w:r>
        <w:t xml:space="preserve"> </w:t>
      </w:r>
      <w:hyperlink r:id="rId206">
        <w:r>
          <w:rPr>
            <w:rStyle w:val="Hyperlink"/>
          </w:rPr>
          <w:t xml:space="preserve">10.1016/j.actaastro.2020.07.004</w:t>
        </w:r>
      </w:hyperlink>
    </w:p>
    <w:p>
      <w:pPr>
        <w:pStyle w:val="BodyText"/>
        <w:spacing w:line="480" w:lineRule="auto"/>
        <w:ind w:firstLine="720"/>
      </w:pPr>
      <w:bookmarkStart w:id="207" w:name="ref-23"/>
      <w:bookmarkEnd w:id="207"/>
      <w:r>
        <w:t xml:space="preserve">23. Bea Ehmann; Irén Barkaszi; Eliza Kollerits; A KISS; László Balázs; Anna Altbäcker. Cultural differences in the ICE-Group experience: Diaries of French and British antarctic winteroverers (2024). doi:</w:t>
      </w:r>
      <w:r>
        <w:t xml:space="preserve"> </w:t>
      </w:r>
      <w:hyperlink r:id="rId208">
        <w:r>
          <w:rPr>
            <w:rStyle w:val="Hyperlink"/>
          </w:rPr>
          <w:t xml:space="preserve">10.1016/j.actaastro.2024.02.024</w:t>
        </w:r>
      </w:hyperlink>
    </w:p>
    <w:p>
      <w:pPr>
        <w:pStyle w:val="BodyText"/>
        <w:spacing w:line="480" w:lineRule="auto"/>
        <w:ind w:firstLine="720"/>
      </w:pPr>
      <w:bookmarkStart w:id="209" w:name="ref-24"/>
      <w:bookmarkEnd w:id="209"/>
      <w:r>
        <w:t xml:space="preserve">24. Ben McKeown; Andrew G. Dempster; Serkan Saydam; Jeff Coulton. How should potential space resources markets be evaluated? (2026). doi:</w:t>
      </w:r>
      <w:r>
        <w:t xml:space="preserve"> </w:t>
      </w:r>
      <w:hyperlink r:id="rId210">
        <w:r>
          <w:rPr>
            <w:rStyle w:val="Hyperlink"/>
          </w:rPr>
          <w:t xml:space="preserve">10.1016/j.actaastro.2026.03.026</w:t>
        </w:r>
      </w:hyperlink>
    </w:p>
    <w:p>
      <w:pPr>
        <w:pStyle w:val="BodyText"/>
        <w:spacing w:line="480" w:lineRule="auto"/>
        <w:ind w:firstLine="720"/>
      </w:pPr>
      <w:bookmarkStart w:id="211" w:name="ref-25"/>
      <w:bookmarkEnd w:id="211"/>
      <w:r>
        <w:t xml:space="preserve">25. Ben McKeown; Andrew G. Dempster; Serkan Saydam; Jeff Coulton. Placing lunar resources research in the context of mining feasibility studies (2025). doi:</w:t>
      </w:r>
      <w:r>
        <w:t xml:space="preserve"> </w:t>
      </w:r>
      <w:hyperlink r:id="rId212">
        <w:r>
          <w:rPr>
            <w:rStyle w:val="Hyperlink"/>
          </w:rPr>
          <w:t xml:space="preserve">10.1016/j.actaastro.2025.04.041</w:t>
        </w:r>
      </w:hyperlink>
    </w:p>
    <w:p>
      <w:pPr>
        <w:pStyle w:val="BodyText"/>
        <w:spacing w:line="480" w:lineRule="auto"/>
        <w:ind w:firstLine="720"/>
      </w:pPr>
      <w:bookmarkStart w:id="213" w:name="ref-26"/>
      <w:bookmarkEnd w:id="213"/>
      <w:r>
        <w:t xml:space="preserve">26. Jacqueline H. Smith; Moriba Jah; Danielle Wood. Architecting a decision support system for continuing supervision of commercial in-space servicing (2025). doi:</w:t>
      </w:r>
      <w:r>
        <w:t xml:space="preserve"> </w:t>
      </w:r>
      <w:hyperlink r:id="rId214">
        <w:r>
          <w:rPr>
            <w:rStyle w:val="Hyperlink"/>
          </w:rPr>
          <w:t xml:space="preserve">10.1016/j.actaastro.2025.05.036</w:t>
        </w:r>
      </w:hyperlink>
    </w:p>
    <w:p>
      <w:pPr>
        <w:pStyle w:val="BodyText"/>
        <w:spacing w:line="480" w:lineRule="auto"/>
        <w:ind w:firstLine="720"/>
      </w:pPr>
      <w:bookmarkStart w:id="215" w:name="ref-27"/>
      <w:bookmarkEnd w:id="215"/>
      <w:r>
        <w:t xml:space="preserve">27. Jo�ão Reis. European union defense and security strategy for space and ground-based systems against hybrid threats (2024). doi:</w:t>
      </w:r>
      <w:r>
        <w:t xml:space="preserve"> </w:t>
      </w:r>
      <w:hyperlink r:id="rId185">
        <w:r>
          <w:rPr>
            <w:rStyle w:val="Hyperlink"/>
          </w:rPr>
          <w:t xml:space="preserve">10.1016/j.actaastro.2024.09.003</w:t>
        </w:r>
      </w:hyperlink>
    </w:p>
    <w:bookmarkEnd w:id="216"/>
    <w:bookmarkEnd w:id="217"/>
    <w:bookmarkStart w:id="234"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5" w:name="Xe65da2e1f12a97c48daea23f498066f56c82b01"/>
    <w:p>
      <w:pPr>
        <w:pStyle w:val="Heading2"/>
        <w:spacing w:line="480" w:lineRule="auto"/>
      </w:pPr>
      <w:r>
        <w:t xml:space="preserve">A.1 When Ground-Segment Vulnerabilities Enter the KEV Catalog: Equity Responses Among Space-Infrastructure Vendors</w:t>
      </w:r>
    </w:p>
    <w:p>
      <w:pPr>
        <w:pStyle w:val="FirstParagraph"/>
        <w:spacing w:line="480" w:lineRule="auto"/>
      </w:pPr>
      <m:oMathPara>
        <m:oMathParaPr>
          <m:jc m:val="center"/>
        </m:oMathParaPr>
        <m:oMath>
          <m:sSub>
            <m:e>
              <m:r>
                <m:rPr>
                  <m:nor/>
                  <m:sty m:val="p"/>
                </m:rPr>
                <m:t>AR5</m:t>
              </m:r>
            </m:e>
            <m:sub>
              <m:r>
                <m:t>i</m:t>
              </m:r>
            </m:sub>
          </m:sSub>
          <m:r>
            <m:rPr>
              <m:sty m:val="p"/>
            </m:rPr>
            <m:t>=</m:t>
          </m:r>
          <m:r>
            <m:t>α</m:t>
          </m:r>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Edge</m:t>
              </m:r>
            </m:e>
            <m:sub>
              <m:r>
                <m:t>i</m:t>
              </m:r>
            </m:sub>
          </m:sSub>
          <m:r>
            <m:rPr>
              <m:sty m:val="p"/>
            </m:rPr>
            <m:t>+</m:t>
          </m:r>
          <m:sSub>
            <m:e>
              <m:r>
                <m:t>β</m:t>
              </m:r>
            </m:e>
            <m:sub>
              <m:r>
                <m:t>3</m:t>
              </m:r>
            </m:sub>
          </m:sSub>
          <m:r>
            <m:t> </m:t>
          </m:r>
          <m:sSub>
            <m:e>
              <m:r>
                <m:rPr>
                  <m:nor/>
                  <m:sty m:val="p"/>
                </m:rPr>
                <m:t>Ransomware</m:t>
              </m:r>
            </m:e>
            <m:sub>
              <m:r>
                <m:t>i</m:t>
              </m:r>
            </m:sub>
          </m:sSub>
          <m:r>
            <m:rPr>
              <m:sty m:val="p"/>
            </m:rPr>
            <m:t>+</m:t>
          </m:r>
          <m:sSub>
            <m:e>
              <m:r>
                <m:t>β</m:t>
              </m:r>
            </m:e>
            <m:sub>
              <m:r>
                <m:t>4</m:t>
              </m:r>
            </m:sub>
          </m:sSub>
          <m:r>
            <m:t> </m:t>
          </m:r>
          <m:sSub>
            <m:e>
              <m:r>
                <m:rPr>
                  <m:nor/>
                  <m:sty m:val="p"/>
                </m:rPr>
                <m:t>PostBOD</m:t>
              </m:r>
            </m:e>
            <m:sub>
              <m:r>
                <m:t>i</m:t>
              </m:r>
            </m:sub>
          </m:sSub>
          <m:r>
            <m:rPr>
              <m:sty m:val="p"/>
            </m:rPr>
            <m:t>+</m:t>
          </m:r>
          <m:sSub>
            <m:e>
              <m:r>
                <m:t>ε</m:t>
              </m:r>
            </m:e>
            <m:sub>
              <m:r>
                <m:t>i</m:t>
              </m:r>
            </m:sub>
          </m:sSub>
        </m:oMath>
      </m:oMathPara>
    </w:p>
    <w:bookmarkStart w:id="218"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-7.3628</w:t>
            </w:r>
          </w:p>
        </w:tc>
        <w:tc>
          <w:tcPr>
            <w:tcW w:w="0" w:type="auto"/>
          </w:tcPr>
          <w:p>
            <w:pPr>
              <w:spacing w:line="240" w:lineRule="auto" w:before="0" w:after="0"/>
              <w:pStyle w:val="Compact"/>
            </w:pPr>
            <w:r>
              <w:rPr>
                <w:sz w:val="20"/>
                <w:szCs w:val="20"/>
              </w:rPr>
              <w:t xml:space="preserve">4.6511</w:t>
            </w:r>
          </w:p>
        </w:tc>
        <w:tc>
          <w:tcPr>
            <w:tcW w:w="0" w:type="auto"/>
          </w:tcPr>
          <w:p>
            <w:pPr>
              <w:spacing w:line="240" w:lineRule="auto" w:before="0" w:after="0"/>
              <w:pStyle w:val="Compact"/>
            </w:pPr>
            <w:r>
              <w:rPr>
                <w:sz w:val="20"/>
                <w:szCs w:val="20"/>
              </w:rPr>
              <w:t xml:space="preserve">-1.583</w:t>
            </w:r>
          </w:p>
        </w:tc>
        <w:tc>
          <w:tcPr>
            <w:tcW w:w="0" w:type="auto"/>
          </w:tcPr>
          <w:p>
            <w:pPr>
              <w:spacing w:line="240" w:lineRule="auto" w:before="0" w:after="0"/>
              <w:pStyle w:val="Compact"/>
            </w:pPr>
            <w:r>
              <w:rPr>
                <w:sz w:val="20"/>
                <w:szCs w:val="20"/>
              </w:rPr>
              <w:t xml:space="preserve">0.1134</w:t>
            </w:r>
          </w:p>
        </w:tc>
        <w:tc>
          <w:tcPr>
            <w:tcW w:w="0" w:type="auto"/>
          </w:tcPr>
          <w:p>
            <w:pPr>
              <w:spacing w:line="240" w:lineRule="auto" w:before="0" w:after="0"/>
              <w:pStyle w:val="Compact"/>
            </w:pPr>
            <w:r>
              <w:rPr>
                <w:sz w:val="20"/>
                <w:szCs w:val="20"/>
              </w:rPr>
              <w:t xml:space="preserve">[-16.4787, 1.7532]</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0.9394</w:t>
            </w:r>
          </w:p>
        </w:tc>
        <w:tc>
          <w:tcPr>
            <w:tcW w:w="0" w:type="auto"/>
          </w:tcPr>
          <w:p>
            <w:pPr>
              <w:spacing w:line="240" w:lineRule="auto" w:before="0" w:after="0"/>
              <w:pStyle w:val="Compact"/>
            </w:pPr>
            <w:r>
              <w:rPr>
                <w:sz w:val="20"/>
                <w:szCs w:val="20"/>
              </w:rPr>
              <w:t xml:space="preserve">0.4981</w:t>
            </w:r>
          </w:p>
        </w:tc>
        <w:tc>
          <w:tcPr>
            <w:tcW w:w="0" w:type="auto"/>
          </w:tcPr>
          <w:p>
            <w:pPr>
              <w:spacing w:line="240" w:lineRule="auto" w:before="0" w:after="0"/>
              <w:pStyle w:val="Compact"/>
            </w:pPr>
            <w:r>
              <w:rPr>
                <w:sz w:val="20"/>
                <w:szCs w:val="20"/>
              </w:rPr>
              <w:t xml:space="preserve">1.8858</w:t>
            </w:r>
          </w:p>
        </w:tc>
        <w:tc>
          <w:tcPr>
            <w:tcW w:w="0" w:type="auto"/>
          </w:tcPr>
          <w:p>
            <w:pPr>
              <w:spacing w:line="240" w:lineRule="auto" w:before="0" w:after="0"/>
              <w:pStyle w:val="Compact"/>
            </w:pPr>
            <w:r>
              <w:rPr>
                <w:sz w:val="20"/>
                <w:szCs w:val="20"/>
              </w:rPr>
              <w:t xml:space="preserve">0.0593</w:t>
            </w:r>
          </w:p>
        </w:tc>
        <w:tc>
          <w:tcPr>
            <w:tcW w:w="0" w:type="auto"/>
          </w:tcPr>
          <w:p>
            <w:pPr>
              <w:spacing w:line="240" w:lineRule="auto" w:before="0" w:after="0"/>
              <w:pStyle w:val="Compact"/>
            </w:pPr>
            <w:r>
              <w:rPr>
                <w:sz w:val="20"/>
                <w:szCs w:val="20"/>
              </w:rPr>
              <w:t xml:space="preserve">[-0.0369, 1.9157]</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-0.3618</w:t>
            </w:r>
          </w:p>
        </w:tc>
        <w:tc>
          <w:tcPr>
            <w:tcW w:w="0" w:type="auto"/>
          </w:tcPr>
          <w:p>
            <w:pPr>
              <w:spacing w:line="240" w:lineRule="auto" w:before="0" w:after="0"/>
              <w:pStyle w:val="Compact"/>
            </w:pPr>
            <w:r>
              <w:rPr>
                <w:sz w:val="20"/>
                <w:szCs w:val="20"/>
              </w:rPr>
              <w:t xml:space="preserve">1.6827</w:t>
            </w:r>
          </w:p>
        </w:tc>
        <w:tc>
          <w:tcPr>
            <w:tcW w:w="0" w:type="auto"/>
          </w:tcPr>
          <w:p>
            <w:pPr>
              <w:spacing w:line="240" w:lineRule="auto" w:before="0" w:after="0"/>
              <w:pStyle w:val="Compact"/>
            </w:pPr>
            <w:r>
              <w:rPr>
                <w:sz w:val="20"/>
                <w:szCs w:val="20"/>
              </w:rPr>
              <w:t xml:space="preserve">-0.215</w:t>
            </w:r>
          </w:p>
        </w:tc>
        <w:tc>
          <w:tcPr>
            <w:tcW w:w="0" w:type="auto"/>
          </w:tcPr>
          <w:p>
            <w:pPr>
              <w:spacing w:line="240" w:lineRule="auto" w:before="0" w:after="0"/>
              <w:pStyle w:val="Compact"/>
            </w:pPr>
            <w:r>
              <w:rPr>
                <w:sz w:val="20"/>
                <w:szCs w:val="20"/>
              </w:rPr>
              <w:t xml:space="preserve">0.8297</w:t>
            </w:r>
          </w:p>
        </w:tc>
        <w:tc>
          <w:tcPr>
            <w:tcW w:w="0" w:type="auto"/>
          </w:tcPr>
          <w:p>
            <w:pPr>
              <w:spacing w:line="240" w:lineRule="auto" w:before="0" w:after="0"/>
              <w:pStyle w:val="Compact"/>
            </w:pPr>
            <w:r>
              <w:rPr>
                <w:sz w:val="20"/>
                <w:szCs w:val="20"/>
              </w:rPr>
              <w:t xml:space="preserve">[-3.6599, 2.9362]</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0.3168</w:t>
            </w:r>
          </w:p>
        </w:tc>
        <w:tc>
          <w:tcPr>
            <w:tcW w:w="0" w:type="auto"/>
          </w:tcPr>
          <w:p>
            <w:pPr>
              <w:spacing w:line="240" w:lineRule="auto" w:before="0" w:after="0"/>
              <w:pStyle w:val="Compact"/>
            </w:pPr>
            <w:r>
              <w:rPr>
                <w:sz w:val="20"/>
                <w:szCs w:val="20"/>
              </w:rPr>
              <w:t xml:space="preserve">2.6495</w:t>
            </w:r>
          </w:p>
        </w:tc>
        <w:tc>
          <w:tcPr>
            <w:tcW w:w="0" w:type="auto"/>
          </w:tcPr>
          <w:p>
            <w:pPr>
              <w:spacing w:line="240" w:lineRule="auto" w:before="0" w:after="0"/>
              <w:pStyle w:val="Compact"/>
            </w:pPr>
            <w:r>
              <w:rPr>
                <w:sz w:val="20"/>
                <w:szCs w:val="20"/>
              </w:rPr>
              <w:t xml:space="preserve">0.1196</w:t>
            </w:r>
          </w:p>
        </w:tc>
        <w:tc>
          <w:tcPr>
            <w:tcW w:w="0" w:type="auto"/>
          </w:tcPr>
          <w:p>
            <w:pPr>
              <w:spacing w:line="240" w:lineRule="auto" w:before="0" w:after="0"/>
              <w:pStyle w:val="Compact"/>
            </w:pPr>
            <w:r>
              <w:rPr>
                <w:sz w:val="20"/>
                <w:szCs w:val="20"/>
              </w:rPr>
              <w:t xml:space="preserve">0.9048</w:t>
            </w:r>
          </w:p>
        </w:tc>
        <w:tc>
          <w:tcPr>
            <w:tcW w:w="0" w:type="auto"/>
          </w:tcPr>
          <w:p>
            <w:pPr>
              <w:spacing w:line="240" w:lineRule="auto" w:before="0" w:after="0"/>
              <w:pStyle w:val="Compact"/>
            </w:pPr>
            <w:r>
              <w:rPr>
                <w:sz w:val="20"/>
                <w:szCs w:val="20"/>
              </w:rPr>
              <w:t xml:space="preserve">[-4.8762, 5.5098]</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-2.1172</w:t>
            </w:r>
          </w:p>
        </w:tc>
        <w:tc>
          <w:tcPr>
            <w:tcW w:w="0" w:type="auto"/>
          </w:tcPr>
          <w:p>
            <w:pPr>
              <w:spacing w:line="240" w:lineRule="auto" w:before="0" w:after="0"/>
              <w:pStyle w:val="Compact"/>
            </w:pPr>
            <w:r>
              <w:rPr>
                <w:sz w:val="20"/>
                <w:szCs w:val="20"/>
              </w:rPr>
              <w:t xml:space="preserve">1.9283</w:t>
            </w:r>
          </w:p>
        </w:tc>
        <w:tc>
          <w:tcPr>
            <w:tcW w:w="0" w:type="auto"/>
          </w:tcPr>
          <w:p>
            <w:pPr>
              <w:spacing w:line="240" w:lineRule="auto" w:before="0" w:after="0"/>
              <w:pStyle w:val="Compact"/>
            </w:pPr>
            <w:r>
              <w:rPr>
                <w:sz w:val="20"/>
                <w:szCs w:val="20"/>
              </w:rPr>
              <w:t xml:space="preserve">-1.098</w:t>
            </w:r>
          </w:p>
        </w:tc>
        <w:tc>
          <w:tcPr>
            <w:tcW w:w="0" w:type="auto"/>
          </w:tcPr>
          <w:p>
            <w:pPr>
              <w:spacing w:line="240" w:lineRule="auto" w:before="0" w:after="0"/>
              <w:pStyle w:val="Compact"/>
            </w:pPr>
            <w:r>
              <w:rPr>
                <w:sz w:val="20"/>
                <w:szCs w:val="20"/>
              </w:rPr>
              <w:t xml:space="preserve">0.2722</w:t>
            </w:r>
          </w:p>
        </w:tc>
        <w:tc>
          <w:tcPr>
            <w:tcW w:w="0" w:type="auto"/>
          </w:tcPr>
          <w:p>
            <w:pPr>
              <w:spacing w:line="240" w:lineRule="auto" w:before="0" w:after="0"/>
              <w:pStyle w:val="Compact"/>
            </w:pPr>
            <w:r>
              <w:rPr>
                <w:sz w:val="20"/>
                <w:szCs w:val="20"/>
              </w:rPr>
              <w:t xml:space="preserve">[-5.8966, 1.6622]</w:t>
            </w:r>
          </w:p>
        </w:tc>
      </w:tr>
    </w:tbl>
    <w:p>
      <w:pPr>
        <w:pStyle w:val="BodyText"/>
        <w:spacing w:line="480" w:lineRule="auto"/>
        <w:ind w:firstLine="720"/>
      </w:pPr>
      <w:r>
        <w:t xml:space="preserve">Fit: N = 21 R2 = 0.1156 R2_adj = -0.1055 F = 2.4369 F_p = 0.0896</w:t>
      </w:r>
    </w:p>
    <w:bookmarkEnd w:id="218"/>
    <w:bookmarkStart w:id="222"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Five-day abnormal vendor equity return following CISA KEV addition, plotted against NVD CVSS severity." title="" id="220" name="Picture"/>
            <a:graphic>
              <a:graphicData uri="http://schemas.openxmlformats.org/drawingml/2006/picture">
                <pic:pic>
                  <pic:nvPicPr>
                    <pic:cNvPr descr="D:/Claude_Code/brain/collegium/candidates/dissertations/CYBER_AI_10/research_papers/p1/paper_fig1.png" id="221" name="Picture"/>
                    <pic:cNvPicPr>
                      <a:picLocks noChangeArrowheads="1" noChangeAspect="1"/>
                    </pic:cNvPicPr>
                  </pic:nvPicPr>
                  <pic:blipFill>
                    <a:blip r:embed="rId219"/>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Five-day abnormal vendor equity return following CISA KEV addition, plotted against NVD CVSS severity.</w:t>
      </w:r>
    </w:p>
    <w:bookmarkEnd w:id="222"/>
    <w:bookmarkStart w:id="223"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465"/>
        <w:gridCol w:w="465"/>
        <w:gridCol w:w="465"/>
        <w:gridCol w:w="465"/>
        <w:gridCol w:w="465"/>
        <w:gridCol w:w="465"/>
        <w:gridCol w:w="465"/>
        <w:gridCol w:w="465"/>
        <w:gridCol w:w="465"/>
        <w:gridCol w:w="465"/>
        <w:gridCol w:w="465"/>
        <w:gridCol w:w="465"/>
        <w:gridCol w:w="465"/>
        <w:gridCol w:w="465"/>
        <w:gridCol w:w="465"/>
        <w:gridCol w:w="465"/>
        <w:gridCol w:w="465"/>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ticker</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event_trade_date</w:t>
            </w:r>
          </w:p>
        </w:tc>
        <w:tc>
          <w:tcPr>
            <w:tcW w:w="0" w:type="auto"/>
          </w:tcPr>
          <w:p>
            <w:pPr>
              <w:spacing w:line="240" w:lineRule="auto" w:before="0" w:after="0"/>
              <w:pStyle w:val="Compact"/>
            </w:pPr>
            <w:r>
              <w:rPr>
                <w:sz w:val="20"/>
                <w:szCs w:val="20"/>
              </w:rPr>
              <w:t xml:space="preserve">return_5d_pct</w:t>
            </w:r>
          </w:p>
        </w:tc>
        <w:tc>
          <w:tcPr>
            <w:tcW w:w="0" w:type="auto"/>
          </w:tcPr>
          <w:p>
            <w:pPr>
              <w:spacing w:line="240" w:lineRule="auto" w:before="0" w:after="0"/>
              <w:pStyle w:val="Compact"/>
            </w:pPr>
            <w:r>
              <w:rPr>
                <w:sz w:val="20"/>
                <w:szCs w:val="20"/>
              </w:rPr>
              <w:t xml:space="preserve">acwi_return_5d_pct</w:t>
            </w:r>
          </w:p>
        </w:tc>
        <w:tc>
          <w:tcPr>
            <w:tcW w:w="0" w:type="auto"/>
          </w:tcPr>
          <w:p>
            <w:pPr>
              <w:spacing w:line="240" w:lineRule="auto" w:before="0" w:after="0"/>
              <w:pStyle w:val="Compact"/>
            </w:pPr>
            <w:r>
              <w:rPr>
                <w:sz w:val="20"/>
                <w:szCs w:val="20"/>
              </w:rPr>
              <w:t xml:space="preserve">abnormal_return_5d_pct</w:t>
            </w:r>
          </w:p>
        </w:tc>
        <w:tc>
          <w:tcPr>
            <w:tcW w:w="0" w:type="auto"/>
          </w:tcPr>
          <w:p>
            <w:pPr>
              <w:spacing w:line="240" w:lineRule="auto" w:before="0" w:after="0"/>
              <w:pStyle w:val="Compact"/>
            </w:pPr>
            <w:r>
              <w:rPr>
                <w:sz w:val="20"/>
                <w:szCs w:val="20"/>
              </w:rPr>
              <w:t xml:space="preserve">negative_abnormal</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FFIV</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1.2757</w:t>
            </w:r>
          </w:p>
        </w:tc>
        <w:tc>
          <w:tcPr>
            <w:tcW w:w="0" w:type="auto"/>
          </w:tcPr>
          <w:p>
            <w:pPr>
              <w:spacing w:line="240" w:lineRule="auto" w:before="0" w:after="0"/>
              <w:pStyle w:val="Compact"/>
            </w:pPr>
            <w:r>
              <w:rPr>
                <w:sz w:val="20"/>
                <w:szCs w:val="20"/>
              </w:rPr>
              <w:t xml:space="preserve">0.0755</w:t>
            </w:r>
          </w:p>
        </w:tc>
        <w:tc>
          <w:tcPr>
            <w:tcW w:w="0" w:type="auto"/>
          </w:tcPr>
          <w:p>
            <w:pPr>
              <w:spacing w:line="240" w:lineRule="auto" w:before="0" w:after="0"/>
              <w:pStyle w:val="Compact"/>
            </w:pPr>
            <w:r>
              <w:rPr>
                <w:sz w:val="20"/>
                <w:szCs w:val="20"/>
              </w:rPr>
              <w:t xml:space="preserve">1.2002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 Yahoo Finance chart API adjusted closes for FFIV and ACWI, event window 2021-11-03 to 2021-11-10</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3704.TW</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-0.9245</w:t>
            </w:r>
          </w:p>
        </w:tc>
        <w:tc>
          <w:tcPr>
            <w:tcW w:w="0" w:type="auto"/>
          </w:tcPr>
          <w:p>
            <w:pPr>
              <w:spacing w:line="240" w:lineRule="auto" w:before="0" w:after="0"/>
              <w:pStyle w:val="Compact"/>
            </w:pPr>
            <w:r>
              <w:rPr>
                <w:sz w:val="20"/>
                <w:szCs w:val="20"/>
              </w:rPr>
              <w:t xml:space="preserve">0.0755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 Yahoo Finance chart API adjusted closes for 3704.TW and ACWI, event window 2021-11-03 to 2021-11-10</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-2.5646</w:t>
            </w:r>
          </w:p>
        </w:tc>
        <w:tc>
          <w:tcPr>
            <w:tcW w:w="0" w:type="auto"/>
          </w:tcPr>
          <w:p>
            <w:pPr>
              <w:spacing w:line="240" w:lineRule="auto" w:before="0" w:after="0"/>
              <w:pStyle w:val="Compact"/>
            </w:pPr>
            <w:r>
              <w:rPr>
                <w:sz w:val="20"/>
                <w:szCs w:val="20"/>
              </w:rPr>
              <w:t xml:space="preserve">-3.5348</w:t>
            </w:r>
          </w:p>
        </w:tc>
        <w:tc>
          <w:tcPr>
            <w:tcW w:w="0" w:type="auto"/>
          </w:tcPr>
          <w:p>
            <w:pPr>
              <w:spacing w:line="240" w:lineRule="auto" w:before="0" w:after="0"/>
              <w:pStyle w:val="Compact"/>
            </w:pPr>
            <w:r>
              <w:rPr>
                <w:sz w:val="20"/>
                <w:szCs w:val="20"/>
              </w:rPr>
              <w:t xml:space="preserve">0.9703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 Yahoo Finance chart API adjusted closes for CSCO and ACWI, event window 2022-03-03 to 2022-03-10</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SIEGY</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-1.0036</w:t>
            </w:r>
          </w:p>
        </w:tc>
        <w:tc>
          <w:tcPr>
            <w:tcW w:w="0" w:type="auto"/>
          </w:tcPr>
          <w:p>
            <w:pPr>
              <w:spacing w:line="240" w:lineRule="auto" w:before="0" w:after="0"/>
              <w:pStyle w:val="Compact"/>
            </w:pPr>
            <w:r>
              <w:rPr>
                <w:sz w:val="20"/>
                <w:szCs w:val="20"/>
              </w:rPr>
              <w:t xml:space="preserve">-3.5348</w:t>
            </w:r>
          </w:p>
        </w:tc>
        <w:tc>
          <w:tcPr>
            <w:tcW w:w="0" w:type="auto"/>
          </w:tcPr>
          <w:p>
            <w:pPr>
              <w:spacing w:line="240" w:lineRule="auto" w:before="0" w:after="0"/>
              <w:pStyle w:val="Compact"/>
            </w:pPr>
            <w:r>
              <w:rPr>
                <w:sz w:val="20"/>
                <w:szCs w:val="20"/>
              </w:rPr>
              <w:t xml:space="preserve">2.5312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 Yahoo Finance chart API adjusted closes for SIEGY and ACWI, event window 2022-03-03 to 2022-03-10</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2.1284</w:t>
            </w:r>
          </w:p>
        </w:tc>
        <w:tc>
          <w:tcPr>
            <w:tcW w:w="0" w:type="auto"/>
          </w:tcPr>
          <w:p>
            <w:pPr>
              <w:spacing w:line="240" w:lineRule="auto" w:before="0" w:after="0"/>
              <w:pStyle w:val="Compact"/>
            </w:pPr>
            <w:r>
              <w:rPr>
                <w:sz w:val="20"/>
                <w:szCs w:val="20"/>
              </w:rPr>
              <w:t xml:space="preserve">0.6413</w:t>
            </w:r>
          </w:p>
        </w:tc>
        <w:tc>
          <w:tcPr>
            <w:tcW w:w="0" w:type="auto"/>
          </w:tcPr>
          <w:p>
            <w:pPr>
              <w:spacing w:line="240" w:lineRule="auto" w:before="0" w:after="0"/>
              <w:pStyle w:val="Compact"/>
            </w:pPr>
            <w:r>
              <w:rPr>
                <w:sz w:val="20"/>
                <w:szCs w:val="20"/>
              </w:rPr>
              <w:t xml:space="preserve">1.4871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 Yahoo Finance chart API adjusted closes for CSCO and ACWI, event window 2022-03-25 to 2022-04-01</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SBGSF</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2022-04-18</w:t>
            </w:r>
          </w:p>
        </w:tc>
        <w:tc>
          <w:tcPr>
            <w:tcW w:w="0" w:type="auto"/>
          </w:tcPr>
          <w:p>
            <w:pPr>
              <w:spacing w:line="240" w:lineRule="auto" w:before="0" w:after="0"/>
              <w:pStyle w:val="Compact"/>
            </w:pPr>
            <w:r>
              <w:rPr>
                <w:sz w:val="20"/>
                <w:szCs w:val="20"/>
              </w:rPr>
              <w:t xml:space="preserve">-2.1774</w:t>
            </w:r>
          </w:p>
        </w:tc>
        <w:tc>
          <w:tcPr>
            <w:tcW w:w="0" w:type="auto"/>
          </w:tcPr>
          <w:p>
            <w:pPr>
              <w:spacing w:line="240" w:lineRule="auto" w:before="0" w:after="0"/>
              <w:pStyle w:val="Compact"/>
            </w:pPr>
            <w:r>
              <w:rPr>
                <w:sz w:val="20"/>
                <w:szCs w:val="20"/>
              </w:rPr>
              <w:t xml:space="preserve">-2.6568</w:t>
            </w:r>
          </w:p>
        </w:tc>
        <w:tc>
          <w:tcPr>
            <w:tcW w:w="0" w:type="auto"/>
          </w:tcPr>
          <w:p>
            <w:pPr>
              <w:spacing w:line="240" w:lineRule="auto" w:before="0" w:after="0"/>
              <w:pStyle w:val="Compact"/>
            </w:pPr>
            <w:r>
              <w:rPr>
                <w:sz w:val="20"/>
                <w:szCs w:val="20"/>
              </w:rPr>
              <w:t xml:space="preserve">0.4793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 Yahoo Finance chart API adjusted closes for SBGSF and ACWI, event window 2022-04-18 to 2022-04-25</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2308.TW</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-3.1835</w:t>
            </w:r>
          </w:p>
        </w:tc>
        <w:tc>
          <w:tcPr>
            <w:tcW w:w="0" w:type="auto"/>
          </w:tcPr>
          <w:p>
            <w:pPr>
              <w:spacing w:line="240" w:lineRule="auto" w:before="0" w:after="0"/>
              <w:pStyle w:val="Compact"/>
            </w:pPr>
            <w:r>
              <w:rPr>
                <w:sz w:val="20"/>
                <w:szCs w:val="20"/>
              </w:rPr>
              <w:t xml:space="preserve">-4.0211</w:t>
            </w:r>
          </w:p>
        </w:tc>
        <w:tc>
          <w:tcPr>
            <w:tcW w:w="0" w:type="auto"/>
          </w:tcPr>
          <w:p>
            <w:pPr>
              <w:spacing w:line="240" w:lineRule="auto" w:before="0" w:after="0"/>
              <w:pStyle w:val="Compact"/>
            </w:pPr>
            <w:r>
              <w:rPr>
                <w:sz w:val="20"/>
                <w:szCs w:val="20"/>
              </w:rPr>
              <w:t xml:space="preserve">0.8375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 Yahoo Finance chart API adjusted closes for 2308.TW and ACWI, event window 2022-08-25 to 2022-09-01</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6.1449</w:t>
            </w:r>
          </w:p>
        </w:tc>
        <w:tc>
          <w:tcPr>
            <w:tcW w:w="0" w:type="auto"/>
          </w:tcPr>
          <w:p>
            <w:pPr>
              <w:spacing w:line="240" w:lineRule="auto" w:before="0" w:after="0"/>
              <w:pStyle w:val="Compact"/>
            </w:pPr>
            <w:r>
              <w:rPr>
                <w:sz w:val="20"/>
                <w:szCs w:val="20"/>
              </w:rPr>
              <w:t xml:space="preserve">2.4001</w:t>
            </w:r>
          </w:p>
        </w:tc>
        <w:tc>
          <w:tcPr>
            <w:tcW w:w="0" w:type="auto"/>
          </w:tcPr>
          <w:p>
            <w:pPr>
              <w:spacing w:line="240" w:lineRule="auto" w:before="0" w:after="0"/>
              <w:pStyle w:val="Compact"/>
            </w:pPr>
            <w:r>
              <w:rPr>
                <w:sz w:val="20"/>
                <w:szCs w:val="20"/>
              </w:rPr>
              <w:t xml:space="preserve">3.7448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 Yahoo Finance chart API adjusted closes for CSCO and ACWI, event window 2022-10-24 to 2022-10-31</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1.8184</w:t>
            </w:r>
          </w:p>
        </w:tc>
        <w:tc>
          <w:tcPr>
            <w:tcW w:w="0" w:type="auto"/>
          </w:tcPr>
          <w:p>
            <w:pPr>
              <w:spacing w:line="240" w:lineRule="auto" w:before="0" w:after="0"/>
              <w:pStyle w:val="Compact"/>
            </w:pPr>
            <w:r>
              <w:rPr>
                <w:sz w:val="20"/>
                <w:szCs w:val="20"/>
              </w:rPr>
              <w:t xml:space="preserve">0.5831</w:t>
            </w:r>
          </w:p>
        </w:tc>
        <w:tc>
          <w:tcPr>
            <w:tcW w:w="0" w:type="auto"/>
          </w:tcPr>
          <w:p>
            <w:pPr>
              <w:spacing w:line="240" w:lineRule="auto" w:before="0" w:after="0"/>
              <w:pStyle w:val="Compact"/>
            </w:pPr>
            <w:r>
              <w:rPr>
                <w:sz w:val="20"/>
                <w:szCs w:val="20"/>
              </w:rPr>
              <w:t xml:space="preserve">1.2353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 Yahoo Finance chart API adjusted closes for FTNT and ACWI, event window 2023-06-13 to 2023-06-21</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3704.TW</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-3.9773</w:t>
            </w:r>
          </w:p>
        </w:tc>
        <w:tc>
          <w:tcPr>
            <w:tcW w:w="0" w:type="auto"/>
          </w:tcPr>
          <w:p>
            <w:pPr>
              <w:spacing w:line="240" w:lineRule="auto" w:before="0" w:after="0"/>
              <w:pStyle w:val="Compact"/>
            </w:pPr>
            <w:r>
              <w:rPr>
                <w:sz w:val="20"/>
                <w:szCs w:val="20"/>
              </w:rPr>
              <w:t xml:space="preserve">-2.5464</w:t>
            </w:r>
          </w:p>
        </w:tc>
        <w:tc>
          <w:tcPr>
            <w:tcW w:w="0" w:type="auto"/>
          </w:tcPr>
          <w:p>
            <w:pPr>
              <w:spacing w:line="240" w:lineRule="auto" w:before="0" w:after="0"/>
              <w:pStyle w:val="Compact"/>
            </w:pPr>
            <w:r>
              <w:rPr>
                <w:sz w:val="20"/>
                <w:szCs w:val="20"/>
              </w:rPr>
              <w:t xml:space="preserve">-1.4308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 Yahoo Finance chart API adjusted closes for 3704.TW and ACWI, event window 2023-09-18 to 2023-09-25</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FFIV</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4.6173</w:t>
            </w:r>
          </w:p>
        </w:tc>
        <w:tc>
          <w:tcPr>
            <w:tcW w:w="0" w:type="auto"/>
          </w:tcPr>
          <w:p>
            <w:pPr>
              <w:spacing w:line="240" w:lineRule="auto" w:before="0" w:after="0"/>
              <w:pStyle w:val="Compact"/>
            </w:pPr>
            <w:r>
              <w:rPr>
                <w:sz w:val="20"/>
                <w:szCs w:val="20"/>
              </w:rPr>
              <w:t xml:space="preserve">4.6864</w:t>
            </w:r>
          </w:p>
        </w:tc>
        <w:tc>
          <w:tcPr>
            <w:tcW w:w="0" w:type="auto"/>
          </w:tcPr>
          <w:p>
            <w:pPr>
              <w:spacing w:line="240" w:lineRule="auto" w:before="0" w:after="0"/>
              <w:pStyle w:val="Compact"/>
            </w:pPr>
            <w:r>
              <w:rPr>
                <w:sz w:val="20"/>
                <w:szCs w:val="20"/>
              </w:rPr>
              <w:t xml:space="preserve">-0.0691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 Yahoo Finance chart API adjusted closes for FFIV and ACWI, event window 2023-10-31 to 2023-11-07</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UNIT.TA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0.8525</w:t>
            </w:r>
          </w:p>
        </w:tc>
        <w:tc>
          <w:tcPr>
            <w:tcW w:w="0" w:type="auto"/>
          </w:tcPr>
          <w:p>
            <w:pPr>
              <w:spacing w:line="240" w:lineRule="auto" w:before="0" w:after="0"/>
              <w:pStyle w:val="Compact"/>
            </w:pPr>
            <w:r>
              <w:rPr>
                <w:sz w:val="20"/>
                <w:szCs w:val="20"/>
              </w:rPr>
              <w:t xml:space="preserve">3.485</w:t>
            </w:r>
          </w:p>
        </w:tc>
        <w:tc>
          <w:tcPr>
            <w:tcW w:w="0" w:type="auto"/>
          </w:tcPr>
          <w:p>
            <w:pPr>
              <w:spacing w:line="240" w:lineRule="auto" w:before="0" w:after="0"/>
              <w:pStyle w:val="Compact"/>
            </w:pPr>
            <w:r>
              <w:rPr>
                <w:sz w:val="20"/>
                <w:szCs w:val="20"/>
              </w:rPr>
              <w:t xml:space="preserve">-2.6325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 Yahoo Finance chart API adjusted closes for UNIT.TA and ACWI, event window 2023-12-11 to 2023-12-19</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-2.1666</w:t>
            </w:r>
          </w:p>
        </w:tc>
        <w:tc>
          <w:tcPr>
            <w:tcW w:w="0" w:type="auto"/>
          </w:tcPr>
          <w:p>
            <w:pPr>
              <w:spacing w:line="240" w:lineRule="auto" w:before="0" w:after="0"/>
              <w:pStyle w:val="Compact"/>
            </w:pPr>
            <w:r>
              <w:rPr>
                <w:sz w:val="20"/>
                <w:szCs w:val="20"/>
              </w:rPr>
              <w:t xml:space="preserve">-4.1005</w:t>
            </w:r>
          </w:p>
        </w:tc>
        <w:tc>
          <w:tcPr>
            <w:tcW w:w="0" w:type="auto"/>
          </w:tcPr>
          <w:p>
            <w:pPr>
              <w:spacing w:line="240" w:lineRule="auto" w:before="0" w:after="0"/>
              <w:pStyle w:val="Compact"/>
            </w:pPr>
            <w:r>
              <w:rPr>
                <w:sz w:val="20"/>
                <w:szCs w:val="20"/>
              </w:rPr>
              <w:t xml:space="preserve">1.934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 Yahoo Finance chart API adjusted closes for PANW and ACWI, event window 2024-04-12 to 2024-04-19</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5.5798</w:t>
            </w:r>
          </w:p>
        </w:tc>
        <w:tc>
          <w:tcPr>
            <w:tcW w:w="0" w:type="auto"/>
          </w:tcPr>
          <w:p>
            <w:pPr>
              <w:spacing w:line="240" w:lineRule="auto" w:before="0" w:after="0"/>
              <w:pStyle w:val="Compact"/>
            </w:pPr>
            <w:r>
              <w:rPr>
                <w:sz w:val="20"/>
                <w:szCs w:val="20"/>
              </w:rPr>
              <w:t xml:space="preserve">0.8064</w:t>
            </w:r>
          </w:p>
        </w:tc>
        <w:tc>
          <w:tcPr>
            <w:tcW w:w="0" w:type="auto"/>
          </w:tcPr>
          <w:p>
            <w:pPr>
              <w:spacing w:line="240" w:lineRule="auto" w:before="0" w:after="0"/>
              <w:pStyle w:val="Compact"/>
            </w:pPr>
            <w:r>
              <w:rPr>
                <w:sz w:val="20"/>
                <w:szCs w:val="20"/>
              </w:rPr>
              <w:t xml:space="preserve">4.7734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 Yahoo Finance chart API adjusted closes for FTNT and ACWI, event window 2024-10-09 to 2024-10-16</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-4.4881</w:t>
            </w:r>
          </w:p>
        </w:tc>
        <w:tc>
          <w:tcPr>
            <w:tcW w:w="0" w:type="auto"/>
          </w:tcPr>
          <w:p>
            <w:pPr>
              <w:spacing w:line="240" w:lineRule="auto" w:before="0" w:after="0"/>
              <w:pStyle w:val="Compact"/>
            </w:pPr>
            <w:r>
              <w:rPr>
                <w:sz w:val="20"/>
                <w:szCs w:val="20"/>
              </w:rPr>
              <w:t xml:space="preserve">-0.8096</w:t>
            </w:r>
          </w:p>
        </w:tc>
        <w:tc>
          <w:tcPr>
            <w:tcW w:w="0" w:type="auto"/>
          </w:tcPr>
          <w:p>
            <w:pPr>
              <w:spacing w:line="240" w:lineRule="auto" w:before="0" w:after="0"/>
              <w:pStyle w:val="Compact"/>
            </w:pPr>
            <w:r>
              <w:rPr>
                <w:sz w:val="20"/>
                <w:szCs w:val="20"/>
              </w:rPr>
              <w:t xml:space="preserve">-3.6785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 Yahoo Finance chart API adjusted closes for FTNT and ACWI, event window 2024-10-23 to 2024-10-30</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-2.7631</w:t>
            </w:r>
          </w:p>
        </w:tc>
        <w:tc>
          <w:tcPr>
            <w:tcW w:w="0" w:type="auto"/>
          </w:tcPr>
          <w:p>
            <w:pPr>
              <w:spacing w:line="240" w:lineRule="auto" w:before="0" w:after="0"/>
              <w:pStyle w:val="Compact"/>
            </w:pPr>
            <w:r>
              <w:rPr>
                <w:sz w:val="20"/>
                <w:szCs w:val="20"/>
              </w:rPr>
              <w:t xml:space="preserve">-1.5562</w:t>
            </w:r>
          </w:p>
        </w:tc>
        <w:tc>
          <w:tcPr>
            <w:tcW w:w="0" w:type="auto"/>
          </w:tcPr>
          <w:p>
            <w:pPr>
              <w:spacing w:line="240" w:lineRule="auto" w:before="0" w:after="0"/>
              <w:pStyle w:val="Compact"/>
            </w:pPr>
            <w:r>
              <w:rPr>
                <w:sz w:val="20"/>
                <w:szCs w:val="20"/>
              </w:rPr>
              <w:t xml:space="preserve">-1.2069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 Yahoo Finance chart API adjusted closes for CSCO and ACWI, event window 2024-11-12 to 2024-11-19</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-5.731</w:t>
            </w:r>
          </w:p>
        </w:tc>
        <w:tc>
          <w:tcPr>
            <w:tcW w:w="0" w:type="auto"/>
          </w:tcPr>
          <w:p>
            <w:pPr>
              <w:spacing w:line="240" w:lineRule="auto" w:before="0" w:after="0"/>
              <w:pStyle w:val="Compact"/>
            </w:pPr>
            <w:r>
              <w:rPr>
                <w:sz w:val="20"/>
                <w:szCs w:val="20"/>
              </w:rPr>
              <w:t xml:space="preserve">-0.7392</w:t>
            </w:r>
          </w:p>
        </w:tc>
        <w:tc>
          <w:tcPr>
            <w:tcW w:w="0" w:type="auto"/>
          </w:tcPr>
          <w:p>
            <w:pPr>
              <w:spacing w:line="240" w:lineRule="auto" w:before="0" w:after="0"/>
              <w:pStyle w:val="Compact"/>
            </w:pPr>
            <w:r>
              <w:rPr>
                <w:sz w:val="20"/>
                <w:szCs w:val="20"/>
              </w:rPr>
              <w:t xml:space="preserve">-4.9918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 Yahoo Finance chart API adjusted closes for PANW and ACWI, event window 2024-12-30 to 2025-01-07</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PANW</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-8.6213</w:t>
            </w:r>
          </w:p>
        </w:tc>
        <w:tc>
          <w:tcPr>
            <w:tcW w:w="0" w:type="auto"/>
          </w:tcPr>
          <w:p>
            <w:pPr>
              <w:spacing w:line="240" w:lineRule="auto" w:before="0" w:after="0"/>
              <w:pStyle w:val="Compact"/>
            </w:pPr>
            <w:r>
              <w:rPr>
                <w:sz w:val="20"/>
                <w:szCs w:val="20"/>
              </w:rPr>
              <w:t xml:space="preserve">-3.4764</w:t>
            </w:r>
          </w:p>
        </w:tc>
        <w:tc>
          <w:tcPr>
            <w:tcW w:w="0" w:type="auto"/>
          </w:tcPr>
          <w:p>
            <w:pPr>
              <w:spacing w:line="240" w:lineRule="auto" w:before="0" w:after="0"/>
              <w:pStyle w:val="Compact"/>
            </w:pPr>
            <w:r>
              <w:rPr>
                <w:sz w:val="20"/>
                <w:szCs w:val="20"/>
              </w:rPr>
              <w:t xml:space="preserve">-5.1449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 Yahoo Finance chart API adjusted closes for PANW and ACWI, event window 2025-02-20 to 2025-02-27</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FTNT</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-2.1165</w:t>
            </w:r>
          </w:p>
        </w:tc>
        <w:tc>
          <w:tcPr>
            <w:tcW w:w="0" w:type="auto"/>
          </w:tcPr>
          <w:p>
            <w:pPr>
              <w:spacing w:line="240" w:lineRule="auto" w:before="0" w:after="0"/>
              <w:pStyle w:val="Compact"/>
            </w:pPr>
            <w:r>
              <w:rPr>
                <w:sz w:val="20"/>
                <w:szCs w:val="20"/>
              </w:rPr>
              <w:t xml:space="preserve">2.0158</w:t>
            </w:r>
          </w:p>
        </w:tc>
        <w:tc>
          <w:tcPr>
            <w:tcW w:w="0" w:type="auto"/>
          </w:tcPr>
          <w:p>
            <w:pPr>
              <w:spacing w:line="240" w:lineRule="auto" w:before="0" w:after="0"/>
              <w:pStyle w:val="Compact"/>
            </w:pPr>
            <w:r>
              <w:rPr>
                <w:sz w:val="20"/>
                <w:szCs w:val="20"/>
              </w:rPr>
              <w:t xml:space="preserve">-4.1323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 Yahoo Finance chart API adjusted closes for FTNT and ACWI, event window 2025-06-25 to 2025-07-02</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CSCO</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5.8763</w:t>
            </w:r>
          </w:p>
        </w:tc>
        <w:tc>
          <w:tcPr>
            <w:tcW w:w="0" w:type="auto"/>
          </w:tcPr>
          <w:p>
            <w:pPr>
              <w:spacing w:line="240" w:lineRule="auto" w:before="0" w:after="0"/>
              <w:pStyle w:val="Compact"/>
            </w:pPr>
            <w:r>
              <w:rPr>
                <w:sz w:val="20"/>
                <w:szCs w:val="20"/>
              </w:rPr>
              <w:t xml:space="preserve">-2.3835</w:t>
            </w:r>
          </w:p>
        </w:tc>
        <w:tc>
          <w:tcPr>
            <w:tcW w:w="0" w:type="auto"/>
          </w:tcPr>
          <w:p>
            <w:pPr>
              <w:spacing w:line="240" w:lineRule="auto" w:before="0" w:after="0"/>
              <w:pStyle w:val="Compact"/>
            </w:pPr>
            <w:r>
              <w:rPr>
                <w:sz w:val="20"/>
                <w:szCs w:val="20"/>
              </w:rPr>
              <w:t xml:space="preserve">8.2598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 Yahoo Finance chart API adjusted closes for CSCO and ACWI, event window 2026-03-19 to 2026-03-26</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CHKP</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-9.1003</w:t>
            </w:r>
          </w:p>
        </w:tc>
        <w:tc>
          <w:tcPr>
            <w:tcW w:w="0" w:type="auto"/>
          </w:tcPr>
          <w:p>
            <w:pPr>
              <w:spacing w:line="240" w:lineRule="auto" w:before="0" w:after="0"/>
              <w:pStyle w:val="Compact"/>
            </w:pPr>
            <w:r>
              <w:rPr>
                <w:sz w:val="20"/>
                <w:szCs w:val="20"/>
              </w:rPr>
              <w:t xml:space="preserve">3.0292</w:t>
            </w:r>
          </w:p>
        </w:tc>
        <w:tc>
          <w:tcPr>
            <w:tcW w:w="0" w:type="auto"/>
          </w:tcPr>
          <w:p>
            <w:pPr>
              <w:spacing w:line="240" w:lineRule="auto" w:before="0" w:after="0"/>
              <w:pStyle w:val="Compact"/>
            </w:pPr>
            <w:r>
              <w:rPr>
                <w:sz w:val="20"/>
                <w:szCs w:val="20"/>
              </w:rPr>
              <w:t xml:space="preserve">-12.1295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 Yahoo Finance chart API adjusted closes for CHKP and ACWI, event window 2026-06-08 to 2026-06-15</w:t>
            </w:r>
          </w:p>
        </w:tc>
      </w:tr>
    </w:tbl>
    <w:bookmarkEnd w:id="223"/>
    <w:bookmarkStart w:id="224"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abnormal_return_5d_pct</w:t>
            </w:r>
          </w:p>
        </w:tc>
        <w:tc>
          <w:tcPr>
            <w:tcW w:w="0" w:type="auto"/>
          </w:tcPr>
          <w:p>
            <w:pPr>
              <w:spacing w:line="240" w:lineRule="auto" w:before="0" w:after="0"/>
              <w:pStyle w:val="Compact"/>
            </w:pPr>
            <w:r>
              <w:rPr>
                <w:sz w:val="20"/>
                <w:szCs w:val="20"/>
              </w:rPr>
              <w:t xml:space="preserve">Five-trading-day vendor equity return less the contemporaneous ACWI exchange-traded-fund return, in percentage points.</w:t>
            </w:r>
          </w:p>
        </w:tc>
        <w:tc>
          <w:tcPr>
            <w:tcW w:w="0" w:type="auto"/>
          </w:tcPr>
          <w:p>
            <w:pPr>
              <w:spacing w:line="240" w:lineRule="auto" w:before="0" w:after="0"/>
              <w:pStyle w:val="Compact"/>
            </w:pPr>
            <w:r>
              <w:rPr>
                <w:sz w:val="20"/>
                <w:szCs w:val="20"/>
              </w:rPr>
              <w:t xml:space="preserve">Adjusted closes from the Yahoo Finance chart API, calculated from the trading-day close before KEV addition through the fifth trading-day close after addition.</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severity score on the zero-to-ten scale.</w:t>
            </w:r>
          </w:p>
        </w:tc>
        <w:tc>
          <w:tcPr>
            <w:tcW w:w="0" w:type="auto"/>
          </w:tcPr>
          <w:p>
            <w:pPr>
              <w:spacing w:line="240" w:lineRule="auto" w:before="0" w:after="0"/>
              <w:pStyle w:val="Compact"/>
            </w:pPr>
            <w:r>
              <w:rPr>
                <w:sz w:val="20"/>
                <w:szCs w:val="20"/>
              </w:rPr>
              <w:t xml:space="preserve">NVD CVE API 2.0, preferring CVSS v3.1, then v3.0, then v2.</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Indicator for an internet-facing remote-access, VPN, firewall, or gateway product.</w:t>
            </w:r>
          </w:p>
        </w:tc>
        <w:tc>
          <w:tcPr>
            <w:tcW w:w="0" w:type="auto"/>
          </w:tcPr>
          <w:p>
            <w:pPr>
              <w:spacing w:line="240" w:lineRule="auto" w:before="0" w:after="0"/>
              <w:pStyle w:val="Compact"/>
            </w:pPr>
            <w:r>
              <w:rPr>
                <w:sz w:val="20"/>
                <w:szCs w:val="20"/>
              </w:rPr>
              <w:t xml:space="preserve">Fixed classification of CISA KEV vendor and product strings.</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that CISA reports known ransomware-campaign use.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Indicator that the vulnerability was published in 2022 or later, after BOD 22-01 established the KEV governance regime.</w:t>
            </w:r>
          </w:p>
        </w:tc>
        <w:tc>
          <w:tcPr>
            <w:tcW w:w="0" w:type="auto"/>
          </w:tcPr>
          <w:p>
            <w:pPr>
              <w:spacing w:line="240" w:lineRule="auto" w:before="0" w:after="0"/>
              <w:pStyle w:val="Compact"/>
            </w:pPr>
            <w:r>
              <w:rPr>
                <w:sz w:val="20"/>
                <w:szCs w:val="20"/>
              </w:rPr>
              <w:t xml:space="preserve">Derived from the NVD publication date.</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provenance for the vulnerability and price window.</w:t>
            </w:r>
          </w:p>
        </w:tc>
        <w:tc>
          <w:tcPr>
            <w:tcW w:w="0" w:type="auto"/>
          </w:tcPr>
          <w:p>
            <w:pPr>
              <w:spacing w:line="240" w:lineRule="auto" w:before="0" w:after="0"/>
              <w:pStyle w:val="Compact"/>
            </w:pPr>
            <w:r>
              <w:rPr>
                <w:sz w:val="20"/>
                <w:szCs w:val="20"/>
              </w:rPr>
              <w:t xml:space="preserve">CISA KEV v2026.06.18, NVD CVE API 2.0, and Yahoo Finance chart API.</w:t>
            </w:r>
          </w:p>
        </w:tc>
      </w:tr>
    </w:tbl>
    <w:bookmarkEnd w:id="224"/>
    <w:bookmarkEnd w:id="225"/>
    <w:bookmarkStart w:id="233" w:name="Xdf5edf9914c87c2fa4637876d78326a424d7b3a"/>
    <w:p>
      <w:pPr>
        <w:pStyle w:val="Heading2"/>
        <w:spacing w:line="480" w:lineRule="auto"/>
      </w:pPr>
      <w:r>
        <w:t xml:space="preserve">A.2 From Disclosure to Escalation: A Logit Test of Rapid CISA Action on Ground-Segment Vulnerabilities</w:t>
      </w:r>
    </w:p>
    <w:p>
      <w:pPr>
        <w:pStyle w:val="FirstParagraph"/>
        <w:spacing w:line="480" w:lineRule="auto"/>
      </w:pPr>
      <m:oMathPara>
        <m:oMathParaPr>
          <m:jc m:val="center"/>
        </m:oMathParaPr>
        <m:oMath>
          <m:r>
            <m:rPr>
              <m:sty m:val="p"/>
            </m:rPr>
            <m:t>Pr</m:t>
          </m:r>
          <m:r>
            <m:rPr>
              <m:sty m:val="p"/>
            </m:rPr>
            <m:t>(</m:t>
          </m:r>
          <m:sSub>
            <m:e>
              <m:r>
                <m:rPr>
                  <m:nor/>
                  <m:sty m:val="p"/>
                </m:rPr>
                <m:t>Rapid</m:t>
              </m:r>
            </m:e>
            <m:sub>
              <m:r>
                <m:t>i</m:t>
              </m:r>
            </m:sub>
          </m:sSub>
          <m:r>
            <m:rPr>
              <m:sty m:val="p"/>
            </m:rPr>
            <m:t>=</m:t>
          </m:r>
          <m:r>
            <m:t>1</m:t>
          </m:r>
          <m:r>
            <m:rPr>
              <m:sty m:val="p"/>
            </m:rPr>
            <m:t>)</m:t>
          </m:r>
          <m:r>
            <m:rPr>
              <m:sty m:val="p"/>
            </m:rPr>
            <m:t>=</m:t>
          </m:r>
          <m:r>
            <m:rPr>
              <m:sty m:val="p"/>
            </m:rPr>
            <m:t>Λ</m:t>
          </m:r>
          <m:r>
            <m:rPr>
              <m:sty m:val="p"/>
            </m:rPr>
            <m:t>(</m:t>
          </m:r>
          <m:r>
            <m:t>α</m:t>
          </m:r>
          <m:r>
            <m:rPr>
              <m:sty m:val="p"/>
            </m:rPr>
            <m:t>+</m:t>
          </m:r>
          <m:sSub>
            <m:e>
              <m:r>
                <m:t>β</m:t>
              </m:r>
            </m:e>
            <m:sub>
              <m:r>
                <m:t>1</m:t>
              </m:r>
            </m:sub>
          </m:sSub>
          <m:r>
            <m:t> </m:t>
          </m:r>
          <m:sSub>
            <m:e>
              <m:r>
                <m:rPr>
                  <m:nor/>
                  <m:sty m:val="p"/>
                </m:rPr>
                <m:t>CVSS</m:t>
              </m:r>
            </m:e>
            <m:sub>
              <m:r>
                <m:t>i</m:t>
              </m:r>
            </m:sub>
          </m:sSub>
          <m:r>
            <m:rPr>
              <m:sty m:val="p"/>
            </m:rPr>
            <m:t>+</m:t>
          </m:r>
          <m:sSub>
            <m:e>
              <m:r>
                <m:t>β</m:t>
              </m:r>
            </m:e>
            <m:sub>
              <m:r>
                <m:t>2</m:t>
              </m:r>
            </m:sub>
          </m:sSub>
          <m:r>
            <m:t> </m:t>
          </m:r>
          <m:sSub>
            <m:e>
              <m:r>
                <m:rPr>
                  <m:nor/>
                  <m:sty m:val="p"/>
                </m:rPr>
                <m:t>Edge</m:t>
              </m:r>
            </m:e>
            <m:sub>
              <m:r>
                <m:t>i</m:t>
              </m:r>
            </m:sub>
          </m:sSub>
          <m:r>
            <m:rPr>
              <m:sty m:val="p"/>
            </m:rPr>
            <m:t>+</m:t>
          </m:r>
          <m:sSub>
            <m:e>
              <m:r>
                <m:t>β</m:t>
              </m:r>
            </m:e>
            <m:sub>
              <m:r>
                <m:t>3</m:t>
              </m:r>
            </m:sub>
          </m:sSub>
          <m:r>
            <m:t> </m:t>
          </m:r>
          <m:sSub>
            <m:e>
              <m:r>
                <m:rPr>
                  <m:nor/>
                  <m:sty m:val="p"/>
                </m:rPr>
                <m:t>Ransomware</m:t>
              </m:r>
            </m:e>
            <m:sub>
              <m:r>
                <m:t>i</m:t>
              </m:r>
            </m:sub>
          </m:sSub>
          <m:r>
            <m:rPr>
              <m:sty m:val="p"/>
            </m:rPr>
            <m:t>)</m:t>
          </m:r>
        </m:oMath>
      </m:oMathPara>
    </w:p>
    <w:bookmarkStart w:id="226"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-2.7554</w:t>
            </w:r>
          </w:p>
        </w:tc>
        <w:tc>
          <w:tcPr>
            <w:tcW w:w="0" w:type="auto"/>
          </w:tcPr>
          <w:p>
            <w:pPr>
              <w:spacing w:line="240" w:lineRule="auto" w:before="0" w:after="0"/>
              <w:pStyle w:val="Compact"/>
            </w:pPr>
            <w:r>
              <w:rPr>
                <w:sz w:val="20"/>
                <w:szCs w:val="20"/>
              </w:rPr>
              <w:t xml:space="preserve">2.4653</w:t>
            </w:r>
          </w:p>
        </w:tc>
        <w:tc>
          <w:tcPr>
            <w:tcW w:w="0" w:type="auto"/>
          </w:tcPr>
          <w:p>
            <w:pPr>
              <w:spacing w:line="240" w:lineRule="auto" w:before="0" w:after="0"/>
              <w:pStyle w:val="Compact"/>
            </w:pPr>
            <w:r>
              <w:rPr>
                <w:sz w:val="20"/>
                <w:szCs w:val="20"/>
              </w:rPr>
              <w:t xml:space="preserve">-1.1177</w:t>
            </w:r>
          </w:p>
        </w:tc>
        <w:tc>
          <w:tcPr>
            <w:tcW w:w="0" w:type="auto"/>
          </w:tcPr>
          <w:p>
            <w:pPr>
              <w:spacing w:line="240" w:lineRule="auto" w:before="0" w:after="0"/>
              <w:pStyle w:val="Compact"/>
            </w:pPr>
            <w:r>
              <w:rPr>
                <w:sz w:val="20"/>
                <w:szCs w:val="20"/>
              </w:rPr>
              <w:t xml:space="preserve">0.2637</w:t>
            </w:r>
          </w:p>
        </w:tc>
        <w:tc>
          <w:tcPr>
            <w:tcW w:w="0" w:type="auto"/>
          </w:tcPr>
          <w:p>
            <w:pPr>
              <w:spacing w:line="240" w:lineRule="auto" w:before="0" w:after="0"/>
              <w:pStyle w:val="Compact"/>
            </w:pPr>
            <w:r>
              <w:rPr>
                <w:sz w:val="20"/>
                <w:szCs w:val="20"/>
              </w:rPr>
              <w:t xml:space="preserve">[-7.5872, 2.0765]</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0.1887</w:t>
            </w:r>
          </w:p>
        </w:tc>
        <w:tc>
          <w:tcPr>
            <w:tcW w:w="0" w:type="auto"/>
          </w:tcPr>
          <w:p>
            <w:pPr>
              <w:spacing w:line="240" w:lineRule="auto" w:before="0" w:after="0"/>
              <w:pStyle w:val="Compact"/>
            </w:pPr>
            <w:r>
              <w:rPr>
                <w:sz w:val="20"/>
                <w:szCs w:val="20"/>
              </w:rPr>
              <w:t xml:space="preserve">0.2463</w:t>
            </w:r>
          </w:p>
        </w:tc>
        <w:tc>
          <w:tcPr>
            <w:tcW w:w="0" w:type="auto"/>
          </w:tcPr>
          <w:p>
            <w:pPr>
              <w:spacing w:line="240" w:lineRule="auto" w:before="0" w:after="0"/>
              <w:pStyle w:val="Compact"/>
            </w:pPr>
            <w:r>
              <w:rPr>
                <w:sz w:val="20"/>
                <w:szCs w:val="20"/>
              </w:rPr>
              <w:t xml:space="preserve">0.7662</w:t>
            </w:r>
          </w:p>
        </w:tc>
        <w:tc>
          <w:tcPr>
            <w:tcW w:w="0" w:type="auto"/>
          </w:tcPr>
          <w:p>
            <w:pPr>
              <w:spacing w:line="240" w:lineRule="auto" w:before="0" w:after="0"/>
              <w:pStyle w:val="Compact"/>
            </w:pPr>
            <w:r>
              <w:rPr>
                <w:sz w:val="20"/>
                <w:szCs w:val="20"/>
              </w:rPr>
              <w:t xml:space="preserve">0.4435</w:t>
            </w:r>
          </w:p>
        </w:tc>
        <w:tc>
          <w:tcPr>
            <w:tcW w:w="0" w:type="auto"/>
          </w:tcPr>
          <w:p>
            <w:pPr>
              <w:spacing w:line="240" w:lineRule="auto" w:before="0" w:after="0"/>
              <w:pStyle w:val="Compact"/>
            </w:pPr>
            <w:r>
              <w:rPr>
                <w:sz w:val="20"/>
                <w:szCs w:val="20"/>
              </w:rPr>
              <w:t xml:space="preserve">[-0.294, 0.6713]</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0.737</w:t>
            </w:r>
          </w:p>
        </w:tc>
        <w:tc>
          <w:tcPr>
            <w:tcW w:w="0" w:type="auto"/>
          </w:tcPr>
          <w:p>
            <w:pPr>
              <w:spacing w:line="240" w:lineRule="auto" w:before="0" w:after="0"/>
              <w:pStyle w:val="Compact"/>
            </w:pPr>
            <w:r>
              <w:rPr>
                <w:sz w:val="20"/>
                <w:szCs w:val="20"/>
              </w:rPr>
              <w:t xml:space="preserve">1.2488</w:t>
            </w:r>
          </w:p>
        </w:tc>
        <w:tc>
          <w:tcPr>
            <w:tcW w:w="0" w:type="auto"/>
          </w:tcPr>
          <w:p>
            <w:pPr>
              <w:spacing w:line="240" w:lineRule="auto" w:before="0" w:after="0"/>
              <w:pStyle w:val="Compact"/>
            </w:pPr>
            <w:r>
              <w:rPr>
                <w:sz w:val="20"/>
                <w:szCs w:val="20"/>
              </w:rPr>
              <w:t xml:space="preserve">0.5902</w:t>
            </w:r>
          </w:p>
        </w:tc>
        <w:tc>
          <w:tcPr>
            <w:tcW w:w="0" w:type="auto"/>
          </w:tcPr>
          <w:p>
            <w:pPr>
              <w:spacing w:line="240" w:lineRule="auto" w:before="0" w:after="0"/>
              <w:pStyle w:val="Compact"/>
            </w:pPr>
            <w:r>
              <w:rPr>
                <w:sz w:val="20"/>
                <w:szCs w:val="20"/>
              </w:rPr>
              <w:t xml:space="preserve">0.5551</w:t>
            </w:r>
          </w:p>
        </w:tc>
        <w:tc>
          <w:tcPr>
            <w:tcW w:w="0" w:type="auto"/>
          </w:tcPr>
          <w:p>
            <w:pPr>
              <w:spacing w:line="240" w:lineRule="auto" w:before="0" w:after="0"/>
              <w:pStyle w:val="Compact"/>
            </w:pPr>
            <w:r>
              <w:rPr>
                <w:sz w:val="20"/>
                <w:szCs w:val="20"/>
              </w:rPr>
              <w:t xml:space="preserve">[-1.7105, 3.1845]</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0.1351</w:t>
            </w:r>
          </w:p>
        </w:tc>
        <w:tc>
          <w:tcPr>
            <w:tcW w:w="0" w:type="auto"/>
          </w:tcPr>
          <w:p>
            <w:pPr>
              <w:spacing w:line="240" w:lineRule="auto" w:before="0" w:after="0"/>
              <w:pStyle w:val="Compact"/>
            </w:pPr>
            <w:r>
              <w:rPr>
                <w:sz w:val="20"/>
                <w:szCs w:val="20"/>
              </w:rPr>
              <w:t xml:space="preserve">0.7389</w:t>
            </w:r>
          </w:p>
        </w:tc>
        <w:tc>
          <w:tcPr>
            <w:tcW w:w="0" w:type="auto"/>
          </w:tcPr>
          <w:p>
            <w:pPr>
              <w:spacing w:line="240" w:lineRule="auto" w:before="0" w:after="0"/>
              <w:pStyle w:val="Compact"/>
            </w:pPr>
            <w:r>
              <w:rPr>
                <w:sz w:val="20"/>
                <w:szCs w:val="20"/>
              </w:rPr>
              <w:t xml:space="preserve">0.1828</w:t>
            </w:r>
          </w:p>
        </w:tc>
        <w:tc>
          <w:tcPr>
            <w:tcW w:w="0" w:type="auto"/>
          </w:tcPr>
          <w:p>
            <w:pPr>
              <w:spacing w:line="240" w:lineRule="auto" w:before="0" w:after="0"/>
              <w:pStyle w:val="Compact"/>
            </w:pPr>
            <w:r>
              <w:rPr>
                <w:sz w:val="20"/>
                <w:szCs w:val="20"/>
              </w:rPr>
              <w:t xml:space="preserve">0.855</w:t>
            </w:r>
          </w:p>
        </w:tc>
        <w:tc>
          <w:tcPr>
            <w:tcW w:w="0" w:type="auto"/>
          </w:tcPr>
          <w:p>
            <w:pPr>
              <w:spacing w:line="240" w:lineRule="auto" w:before="0" w:after="0"/>
              <w:pStyle w:val="Compact"/>
            </w:pPr>
            <w:r>
              <w:rPr>
                <w:sz w:val="20"/>
                <w:szCs w:val="20"/>
              </w:rPr>
              <w:t xml:space="preserve">[-1.3132, 1.5833]</w:t>
            </w:r>
          </w:p>
        </w:tc>
      </w:tr>
    </w:tbl>
    <w:p>
      <w:pPr>
        <w:pStyle w:val="BodyText"/>
        <w:spacing w:line="480" w:lineRule="auto"/>
        <w:ind w:firstLine="720"/>
      </w:pPr>
      <w:r>
        <w:t xml:space="preserve">Fit: N = 37 pseudo_R2 = 0.0241 LL = -24.3772</w:t>
      </w:r>
    </w:p>
    <w:bookmarkEnd w:id="226"/>
    <w:bookmarkStart w:id="230"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Rapid KEV escalation within thirty days plotted against NVD CVSS severity." title="" id="228" name="Picture"/>
            <a:graphic>
              <a:graphicData uri="http://schemas.openxmlformats.org/drawingml/2006/picture">
                <pic:pic>
                  <pic:nvPicPr>
                    <pic:cNvPr descr="D:/Claude_Code/brain/collegium/candidates/dissertations/CYBER_AI_10/research_papers/p2/paper_fig1.png" id="229" name="Picture"/>
                    <pic:cNvPicPr>
                      <a:picLocks noChangeArrowheads="1" noChangeAspect="1"/>
                    </pic:cNvPicPr>
                  </pic:nvPicPr>
                  <pic:blipFill>
                    <a:blip r:embed="rId22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Rapid KEV escalation within thirty days plotted against NVD CVSS severity.</w:t>
      </w:r>
    </w:p>
    <w:bookmarkEnd w:id="230"/>
    <w:bookmarkStart w:id="231"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09"/>
        <w:gridCol w:w="609"/>
        <w:gridCol w:w="609"/>
        <w:gridCol w:w="609"/>
        <w:gridCol w:w="609"/>
        <w:gridCol w:w="609"/>
        <w:gridCol w:w="609"/>
        <w:gridCol w:w="609"/>
        <w:gridCol w:w="609"/>
        <w:gridCol w:w="609"/>
        <w:gridCol w:w="609"/>
        <w:gridCol w:w="609"/>
        <w:gridCol w:w="609"/>
      </w:tblGrid>
      <w:tr>
        <w:trPr>
          <w:tblHeader w:val="on"/>
        </w:trPr>
        <w:tc>
          <w:tcPr>
            <w:tcW w:w="0" w:type="auto"/>
          </w:tcPr>
          <w:p>
            <w:pPr>
              <w:spacing w:line="240" w:lineRule="auto" w:before="0" w:after="0"/>
              <w:pStyle w:val="Compact"/>
            </w:pPr>
            <w:r>
              <w:rPr>
                <w:sz w:val="20"/>
                <w:szCs w:val="20"/>
              </w:rPr>
              <w:t xml:space="preserve">cve</w:t>
            </w:r>
          </w:p>
        </w:tc>
        <w:tc>
          <w:tcPr>
            <w:tcW w:w="0" w:type="auto"/>
          </w:tcPr>
          <w:p>
            <w:pPr>
              <w:spacing w:line="240" w:lineRule="auto" w:before="0" w:after="0"/>
              <w:pStyle w:val="Compact"/>
            </w:pPr>
            <w:r>
              <w:rPr>
                <w:sz w:val="20"/>
                <w:szCs w:val="20"/>
              </w:rPr>
              <w:t xml:space="preserve">vendor</w:t>
            </w:r>
          </w:p>
        </w:tc>
        <w:tc>
          <w:tcPr>
            <w:tcW w:w="0" w:type="auto"/>
          </w:tcPr>
          <w:p>
            <w:pPr>
              <w:spacing w:line="240" w:lineRule="auto" w:before="0" w:after="0"/>
              <w:pStyle w:val="Compact"/>
            </w:pPr>
            <w:r>
              <w:rPr>
                <w:sz w:val="20"/>
                <w:szCs w:val="20"/>
              </w:rPr>
              <w:t xml:space="preserve">product</w:t>
            </w:r>
          </w:p>
        </w:tc>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post_bod</w:t>
            </w:r>
          </w:p>
        </w:tc>
        <w:tc>
          <w:tcPr>
            <w:tcW w:w="0" w:type="auto"/>
          </w:tcPr>
          <w:p>
            <w:pPr>
              <w:spacing w:line="240" w:lineRule="auto" w:before="0" w:after="0"/>
              <w:pStyle w:val="Compact"/>
            </w:pPr>
            <w:r>
              <w:rPr>
                <w:sz w:val="20"/>
                <w:szCs w:val="20"/>
              </w:rPr>
              <w:t xml:space="preserve">nvd_published</w:t>
            </w:r>
          </w:p>
        </w:tc>
        <w:tc>
          <w:tcPr>
            <w:tcW w:w="0" w:type="auto"/>
          </w:tcPr>
          <w:p>
            <w:pPr>
              <w:spacing w:line="240" w:lineRule="auto" w:before="0" w:after="0"/>
              <w:pStyle w:val="Compact"/>
            </w:pPr>
            <w:r>
              <w:rPr>
                <w:sz w:val="20"/>
                <w:szCs w:val="20"/>
              </w:rPr>
              <w:t xml:space="preserve">kev_added</w:t>
            </w:r>
          </w:p>
        </w:tc>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ln_exposure_days</w:t>
            </w:r>
          </w:p>
        </w:tc>
        <w:tc>
          <w:tcPr>
            <w:tcW w:w="0" w:type="auto"/>
          </w:tcPr>
          <w:p>
            <w:pPr>
              <w:spacing w:line="240" w:lineRule="auto" w:before="0" w:after="0"/>
              <w:pStyle w:val="Compact"/>
            </w:pPr>
            <w:r>
              <w:rPr>
                <w:sz w:val="20"/>
                <w:szCs w:val="20"/>
              </w:rPr>
              <w:t xml:space="preserve">rapid_escalation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CVE-2021-38406</w:t>
            </w:r>
          </w:p>
        </w:tc>
        <w:tc>
          <w:tcPr>
            <w:tcW w:w="0" w:type="auto"/>
          </w:tcPr>
          <w:p>
            <w:pPr>
              <w:spacing w:line="240" w:lineRule="auto" w:before="0" w:after="0"/>
              <w:pStyle w:val="Compact"/>
            </w:pPr>
            <w:r>
              <w:rPr>
                <w:sz w:val="20"/>
                <w:szCs w:val="20"/>
              </w:rPr>
              <w:t xml:space="preserve">Delta Electronics</w:t>
            </w:r>
          </w:p>
        </w:tc>
        <w:tc>
          <w:tcPr>
            <w:tcW w:w="0" w:type="auto"/>
          </w:tcPr>
          <w:p>
            <w:pPr>
              <w:spacing w:line="240" w:lineRule="auto" w:before="0" w:after="0"/>
              <w:pStyle w:val="Compact"/>
            </w:pPr>
            <w:r>
              <w:rPr>
                <w:sz w:val="20"/>
                <w:szCs w:val="20"/>
              </w:rPr>
              <w:t xml:space="preserve">DOPSoft 2</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2021-09-17</w:t>
            </w:r>
          </w:p>
        </w:tc>
        <w:tc>
          <w:tcPr>
            <w:tcW w:w="0" w:type="auto"/>
          </w:tcPr>
          <w:p>
            <w:pPr>
              <w:spacing w:line="240" w:lineRule="auto" w:before="0" w:after="0"/>
              <w:pStyle w:val="Compact"/>
            </w:pPr>
            <w:r>
              <w:rPr>
                <w:sz w:val="20"/>
                <w:szCs w:val="20"/>
              </w:rPr>
              <w:t xml:space="preserve">2022-08-25</w:t>
            </w:r>
          </w:p>
        </w:tc>
        <w:tc>
          <w:tcPr>
            <w:tcW w:w="0" w:type="auto"/>
          </w:tcPr>
          <w:p>
            <w:pPr>
              <w:spacing w:line="240" w:lineRule="auto" w:before="0" w:after="0"/>
              <w:pStyle w:val="Compact"/>
            </w:pPr>
            <w:r>
              <w:rPr>
                <w:sz w:val="20"/>
                <w:szCs w:val="20"/>
              </w:rPr>
              <w:t xml:space="preserve">342</w:t>
            </w:r>
          </w:p>
        </w:tc>
        <w:tc>
          <w:tcPr>
            <w:tcW w:w="0" w:type="auto"/>
          </w:tcPr>
          <w:p>
            <w:pPr>
              <w:spacing w:line="240" w:lineRule="auto" w:before="0" w:after="0"/>
              <w:pStyle w:val="Compact"/>
            </w:pPr>
            <w:r>
              <w:rPr>
                <w:sz w:val="20"/>
                <w:szCs w:val="20"/>
              </w:rPr>
              <w:t xml:space="preserve">5.8348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CVE-2021-38406 (Delta Electronics DOPSoft 2; dateAdded 2022-08-25; ransomware=0); NVD CVE API 2.0 CVE-2021-38406 (published 2021-09-17; CVSS V31 base 7.8)</w:t>
            </w:r>
          </w:p>
        </w:tc>
      </w:tr>
      <w:tr>
        <w:tc>
          <w:tcPr>
            <w:tcW w:w="0" w:type="auto"/>
          </w:tcPr>
          <w:p>
            <w:pPr>
              <w:spacing w:line="240" w:lineRule="auto" w:before="0" w:after="0"/>
              <w:pStyle w:val="Compact"/>
            </w:pPr>
            <w:r>
              <w:rPr>
                <w:sz w:val="20"/>
                <w:szCs w:val="20"/>
              </w:rPr>
              <w:t xml:space="preserve">CVE-2018-7841</w:t>
            </w:r>
          </w:p>
        </w:tc>
        <w:tc>
          <w:tcPr>
            <w:tcW w:w="0" w:type="auto"/>
          </w:tcPr>
          <w:p>
            <w:pPr>
              <w:spacing w:line="240" w:lineRule="auto" w:before="0" w:after="0"/>
              <w:pStyle w:val="Compact"/>
            </w:pPr>
            <w:r>
              <w:rPr>
                <w:sz w:val="20"/>
                <w:szCs w:val="20"/>
              </w:rPr>
              <w:t xml:space="preserve">Schneider Electric</w:t>
            </w:r>
          </w:p>
        </w:tc>
        <w:tc>
          <w:tcPr>
            <w:tcW w:w="0" w:type="auto"/>
          </w:tcPr>
          <w:p>
            <w:pPr>
              <w:spacing w:line="240" w:lineRule="auto" w:before="0" w:after="0"/>
              <w:pStyle w:val="Compact"/>
            </w:pPr>
            <w:r>
              <w:rPr>
                <w:sz w:val="20"/>
                <w:szCs w:val="20"/>
              </w:rPr>
              <w:t xml:space="preserve">U.motion Builder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2022-04-15</w:t>
            </w:r>
          </w:p>
        </w:tc>
        <w:tc>
          <w:tcPr>
            <w:tcW w:w="0" w:type="auto"/>
          </w:tcPr>
          <w:p>
            <w:pPr>
              <w:spacing w:line="240" w:lineRule="auto" w:before="0" w:after="0"/>
              <w:pStyle w:val="Compact"/>
            </w:pPr>
            <w:r>
              <w:rPr>
                <w:sz w:val="20"/>
                <w:szCs w:val="20"/>
              </w:rPr>
              <w:t xml:space="preserve">1059</w:t>
            </w:r>
          </w:p>
        </w:tc>
        <w:tc>
          <w:tcPr>
            <w:tcW w:w="0" w:type="auto"/>
          </w:tcPr>
          <w:p>
            <w:pPr>
              <w:spacing w:line="240" w:lineRule="auto" w:before="0" w:after="0"/>
              <w:pStyle w:val="Compact"/>
            </w:pPr>
            <w:r>
              <w:rPr>
                <w:sz w:val="20"/>
                <w:szCs w:val="20"/>
              </w:rPr>
              <w:t xml:space="preserve">6.9651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CVE-2018-7841 (Schneider Electric U.motion Builder; dateAdded 2022-04-15; ransomware=0); NVD CVE API 2.0 CVE-2018-7841 (published 2019-05-22; CVSS V31 base 9.8)</w:t>
            </w:r>
          </w:p>
        </w:tc>
      </w:tr>
      <w:tr>
        <w:tc>
          <w:tcPr>
            <w:tcW w:w="0" w:type="auto"/>
          </w:tcPr>
          <w:p>
            <w:pPr>
              <w:spacing w:line="240" w:lineRule="auto" w:before="0" w:after="0"/>
              <w:pStyle w:val="Compact"/>
            </w:pPr>
            <w:r>
              <w:rPr>
                <w:sz w:val="20"/>
                <w:szCs w:val="20"/>
              </w:rPr>
              <w:t xml:space="preserve">CVE-2016-8562</w:t>
            </w:r>
          </w:p>
        </w:tc>
        <w:tc>
          <w:tcPr>
            <w:tcW w:w="0" w:type="auto"/>
          </w:tcPr>
          <w:p>
            <w:pPr>
              <w:spacing w:line="240" w:lineRule="auto" w:before="0" w:after="0"/>
              <w:pStyle w:val="Compact"/>
            </w:pPr>
            <w:r>
              <w:rPr>
                <w:sz w:val="20"/>
                <w:szCs w:val="20"/>
              </w:rPr>
              <w:t xml:space="preserve">Siemens</w:t>
            </w:r>
          </w:p>
        </w:tc>
        <w:tc>
          <w:tcPr>
            <w:tcW w:w="0" w:type="auto"/>
          </w:tcPr>
          <w:p>
            <w:pPr>
              <w:spacing w:line="240" w:lineRule="auto" w:before="0" w:after="0"/>
              <w:pStyle w:val="Compact"/>
            </w:pPr>
            <w:r>
              <w:rPr>
                <w:sz w:val="20"/>
                <w:szCs w:val="20"/>
              </w:rPr>
              <w:t xml:space="preserve">SIMATIC CP</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2016-11-18</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1931</w:t>
            </w:r>
          </w:p>
        </w:tc>
        <w:tc>
          <w:tcPr>
            <w:tcW w:w="0" w:type="auto"/>
          </w:tcPr>
          <w:p>
            <w:pPr>
              <w:spacing w:line="240" w:lineRule="auto" w:before="0" w:after="0"/>
              <w:pStyle w:val="Compact"/>
            </w:pPr>
            <w:r>
              <w:rPr>
                <w:sz w:val="20"/>
                <w:szCs w:val="20"/>
              </w:rPr>
              <w:t xml:space="preserve">7.5658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CVE-2016-8562 (Siemens SIMATIC CP; dateAdded 2022-03-03; ransomware=0); NVD CVE API 2.0 CVE-2016-8562 (published 2016-11-18; CVSS V31 base 7.5)</w:t>
            </w:r>
          </w:p>
        </w:tc>
      </w:tr>
      <w:tr>
        <w:tc>
          <w:tcPr>
            <w:tcW w:w="0" w:type="auto"/>
          </w:tcPr>
          <w:p>
            <w:pPr>
              <w:spacing w:line="240" w:lineRule="auto" w:before="0" w:after="0"/>
              <w:pStyle w:val="Compact"/>
            </w:pPr>
            <w:r>
              <w:rPr>
                <w:sz w:val="20"/>
                <w:szCs w:val="20"/>
              </w:rPr>
              <w:t xml:space="preserve">CVE-2023-6448</w:t>
            </w:r>
          </w:p>
        </w:tc>
        <w:tc>
          <w:tcPr>
            <w:tcW w:w="0" w:type="auto"/>
          </w:tcPr>
          <w:p>
            <w:pPr>
              <w:spacing w:line="240" w:lineRule="auto" w:before="0" w:after="0"/>
              <w:pStyle w:val="Compact"/>
            </w:pPr>
            <w:r>
              <w:rPr>
                <w:sz w:val="20"/>
                <w:szCs w:val="20"/>
              </w:rPr>
              <w:t xml:space="preserve">Unitronics</w:t>
            </w:r>
          </w:p>
        </w:tc>
        <w:tc>
          <w:tcPr>
            <w:tcW w:w="0" w:type="auto"/>
          </w:tcPr>
          <w:p>
            <w:pPr>
              <w:spacing w:line="240" w:lineRule="auto" w:before="0" w:after="0"/>
              <w:pStyle w:val="Compact"/>
            </w:pPr>
            <w:r>
              <w:rPr>
                <w:sz w:val="20"/>
                <w:szCs w:val="20"/>
              </w:rPr>
              <w:t xml:space="preserve">Vision PLC and HMI</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2023-12-05</w:t>
            </w:r>
          </w:p>
        </w:tc>
        <w:tc>
          <w:tcPr>
            <w:tcW w:w="0" w:type="auto"/>
          </w:tcPr>
          <w:p>
            <w:pPr>
              <w:spacing w:line="240" w:lineRule="auto" w:before="0" w:after="0"/>
              <w:pStyle w:val="Compact"/>
            </w:pPr>
            <w:r>
              <w:rPr>
                <w:sz w:val="20"/>
                <w:szCs w:val="20"/>
              </w:rPr>
              <w:t xml:space="preserve">2023-12-11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CVE-2023-6448 (Unitronics Vision PLC and HMI; dateAdded 2023-12-11; ransomware=0); NVD CVE API 2.0 CVE-2023-6448 (published 2023-12-05; CVSS V31 base 9.8)</w:t>
            </w:r>
          </w:p>
        </w:tc>
      </w:tr>
      <w:tr>
        <w:tc>
          <w:tcPr>
            <w:tcW w:w="0" w:type="auto"/>
          </w:tcPr>
          <w:p>
            <w:pPr>
              <w:spacing w:line="240" w:lineRule="auto" w:before="0" w:after="0"/>
              <w:pStyle w:val="Compact"/>
            </w:pPr>
            <w:r>
              <w:rPr>
                <w:sz w:val="20"/>
                <w:szCs w:val="20"/>
              </w:rPr>
              <w:t xml:space="preserve">CVE-2023-2868</w:t>
            </w:r>
          </w:p>
        </w:tc>
        <w:tc>
          <w:tcPr>
            <w:tcW w:w="0" w:type="auto"/>
          </w:tcPr>
          <w:p>
            <w:pPr>
              <w:spacing w:line="240" w:lineRule="auto" w:before="0" w:after="0"/>
              <w:pStyle w:val="Compact"/>
            </w:pPr>
            <w:r>
              <w:rPr>
                <w:sz w:val="20"/>
                <w:szCs w:val="20"/>
              </w:rPr>
              <w:t xml:space="preserve">Barracuda Networks</w:t>
            </w:r>
          </w:p>
        </w:tc>
        <w:tc>
          <w:tcPr>
            <w:tcW w:w="0" w:type="auto"/>
          </w:tcPr>
          <w:p>
            <w:pPr>
              <w:spacing w:line="240" w:lineRule="auto" w:before="0" w:after="0"/>
              <w:pStyle w:val="Compact"/>
            </w:pPr>
            <w:r>
              <w:rPr>
                <w:sz w:val="20"/>
                <w:szCs w:val="20"/>
              </w:rPr>
              <w:t xml:space="preserve">Email Security Gateway (ESG) Appliance</w:t>
            </w:r>
          </w:p>
        </w:tc>
        <w:tc>
          <w:tcPr>
            <w:tcW w:w="0" w:type="auto"/>
          </w:tcPr>
          <w:p>
            <w:pPr>
              <w:spacing w:line="240" w:lineRule="auto" w:before="0" w:after="0"/>
              <w:pStyle w:val="Compact"/>
            </w:pPr>
            <w:r>
              <w:rPr>
                <w:sz w:val="20"/>
                <w:szCs w:val="20"/>
              </w:rPr>
              <w:t xml:space="preserve">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2023-05-24</w:t>
            </w:r>
          </w:p>
        </w:tc>
        <w:tc>
          <w:tcPr>
            <w:tcW w:w="0" w:type="auto"/>
          </w:tcPr>
          <w:p>
            <w:pPr>
              <w:spacing w:line="240" w:lineRule="auto" w:before="0" w:after="0"/>
              <w:pStyle w:val="Compact"/>
            </w:pPr>
            <w:r>
              <w:rPr>
                <w:sz w:val="20"/>
                <w:szCs w:val="20"/>
              </w:rPr>
              <w:t xml:space="preserve">2023-05-26</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CVE-2023-2868 (Barracuda Networks Email Security Gateway (ESG) Appliance; dateAdded 2023-05-26; ransomware=0); NVD CVE API 2.0 CVE-2023-2868 (published 2023-05-24; CVSS V31 base 9.4)</w:t>
            </w:r>
          </w:p>
        </w:tc>
      </w:tr>
      <w:tr>
        <w:tc>
          <w:tcPr>
            <w:tcW w:w="0" w:type="auto"/>
          </w:tcPr>
          <w:p>
            <w:pPr>
              <w:spacing w:line="240" w:lineRule="auto" w:before="0" w:after="0"/>
              <w:pStyle w:val="Compact"/>
            </w:pPr>
            <w:r>
              <w:rPr>
                <w:sz w:val="20"/>
                <w:szCs w:val="20"/>
              </w:rPr>
              <w:t xml:space="preserve">CVE-2026-50751</w:t>
            </w:r>
          </w:p>
        </w:tc>
        <w:tc>
          <w:tcPr>
            <w:tcW w:w="0" w:type="auto"/>
          </w:tcPr>
          <w:p>
            <w:pPr>
              <w:spacing w:line="240" w:lineRule="auto" w:before="0" w:after="0"/>
              <w:pStyle w:val="Compact"/>
            </w:pPr>
            <w:r>
              <w:rPr>
                <w:sz w:val="20"/>
                <w:szCs w:val="20"/>
              </w:rPr>
              <w:t xml:space="preserve">Check Point</w:t>
            </w:r>
          </w:p>
        </w:tc>
        <w:tc>
          <w:tcPr>
            <w:tcW w:w="0" w:type="auto"/>
          </w:tcPr>
          <w:p>
            <w:pPr>
              <w:spacing w:line="240" w:lineRule="auto" w:before="0" w:after="0"/>
              <w:pStyle w:val="Compact"/>
            </w:pPr>
            <w:r>
              <w:rPr>
                <w:sz w:val="20"/>
                <w:szCs w:val="20"/>
              </w:rPr>
              <w:t xml:space="preserve">Security Gateway</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2026-06-08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CVE-2026-50751 (Check Point Security Gateway; dateAdded 2026-06-08; ransomware=1); NVD CVE API 2.0 CVE-2026-50751 (published 2026-06-08; CVSS V31 base 9.3)</w:t>
            </w:r>
          </w:p>
        </w:tc>
      </w:tr>
      <w:tr>
        <w:tc>
          <w:tcPr>
            <w:tcW w:w="0" w:type="auto"/>
          </w:tcPr>
          <w:p>
            <w:pPr>
              <w:spacing w:line="240" w:lineRule="auto" w:before="0" w:after="0"/>
              <w:pStyle w:val="Compact"/>
            </w:pPr>
            <w:r>
              <w:rPr>
                <w:sz w:val="20"/>
                <w:szCs w:val="20"/>
              </w:rPr>
              <w:t xml:space="preserve">CVE-2014-2120</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Adaptive Security Appliance (ASA)</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2014-03-19</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3891</w:t>
            </w:r>
          </w:p>
        </w:tc>
        <w:tc>
          <w:tcPr>
            <w:tcW w:w="0" w:type="auto"/>
          </w:tcPr>
          <w:p>
            <w:pPr>
              <w:spacing w:line="240" w:lineRule="auto" w:before="0" w:after="0"/>
              <w:pStyle w:val="Compact"/>
            </w:pPr>
            <w:r>
              <w:rPr>
                <w:sz w:val="20"/>
                <w:szCs w:val="20"/>
              </w:rPr>
              <w:t xml:space="preserve">8.2664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CVE-2014-2120 (Cisco Adaptive Security Appliance (ASA); dateAdded 2024-11-12; ransomware=0); NVD CVE API 2.0 CVE-2014-2120 (published 2014-03-19; CVSS V31 base 6.1)</w:t>
            </w:r>
          </w:p>
        </w:tc>
      </w:tr>
      <w:tr>
        <w:tc>
          <w:tcPr>
            <w:tcW w:w="0" w:type="auto"/>
          </w:tcPr>
          <w:p>
            <w:pPr>
              <w:spacing w:line="240" w:lineRule="auto" w:before="0" w:after="0"/>
              <w:pStyle w:val="Compact"/>
            </w:pPr>
            <w:r>
              <w:rPr>
                <w:sz w:val="20"/>
                <w:szCs w:val="20"/>
              </w:rPr>
              <w:t xml:space="preserve">CVE-2018-0147</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Access Control System (ACS)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2018-03-08</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1478</w:t>
            </w:r>
          </w:p>
        </w:tc>
        <w:tc>
          <w:tcPr>
            <w:tcW w:w="0" w:type="auto"/>
          </w:tcPr>
          <w:p>
            <w:pPr>
              <w:spacing w:line="240" w:lineRule="auto" w:before="0" w:after="0"/>
              <w:pStyle w:val="Compact"/>
            </w:pPr>
            <w:r>
              <w:rPr>
                <w:sz w:val="20"/>
                <w:szCs w:val="20"/>
              </w:rPr>
              <w:t xml:space="preserve">7.2984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CVE-2018-0147 (Cisco Secure Access Control System (ACS); dateAdded 2022-03-25; ransomware=0); NVD CVE API 2.0 CVE-2018-0147 (published 2018-03-08; CVSS V31 base 9.8)</w:t>
            </w:r>
          </w:p>
        </w:tc>
      </w:tr>
      <w:tr>
        <w:tc>
          <w:tcPr>
            <w:tcW w:w="0" w:type="auto"/>
          </w:tcPr>
          <w:p>
            <w:pPr>
              <w:spacing w:line="240" w:lineRule="auto" w:before="0" w:after="0"/>
              <w:pStyle w:val="Compact"/>
            </w:pPr>
            <w:r>
              <w:rPr>
                <w:sz w:val="20"/>
                <w:szCs w:val="20"/>
              </w:rPr>
              <w:t xml:space="preserve">CVE-2020-3153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AnyConnect Secure</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2020-02-19</w:t>
            </w:r>
          </w:p>
        </w:tc>
        <w:tc>
          <w:tcPr>
            <w:tcW w:w="0" w:type="auto"/>
          </w:tcPr>
          <w:p>
            <w:pPr>
              <w:spacing w:line="240" w:lineRule="auto" w:before="0" w:after="0"/>
              <w:pStyle w:val="Compact"/>
            </w:pPr>
            <w:r>
              <w:rPr>
                <w:sz w:val="20"/>
                <w:szCs w:val="20"/>
              </w:rPr>
              <w:t xml:space="preserve">2022-10-24</w:t>
            </w:r>
          </w:p>
        </w:tc>
        <w:tc>
          <w:tcPr>
            <w:tcW w:w="0" w:type="auto"/>
          </w:tcPr>
          <w:p>
            <w:pPr>
              <w:spacing w:line="240" w:lineRule="auto" w:before="0" w:after="0"/>
              <w:pStyle w:val="Compact"/>
            </w:pPr>
            <w:r>
              <w:rPr>
                <w:sz w:val="20"/>
                <w:szCs w:val="20"/>
              </w:rPr>
              <w:t xml:space="preserve">978</w:t>
            </w:r>
          </w:p>
        </w:tc>
        <w:tc>
          <w:tcPr>
            <w:tcW w:w="0" w:type="auto"/>
          </w:tcPr>
          <w:p>
            <w:pPr>
              <w:spacing w:line="240" w:lineRule="auto" w:before="0" w:after="0"/>
              <w:pStyle w:val="Compact"/>
            </w:pPr>
            <w:r>
              <w:rPr>
                <w:sz w:val="20"/>
                <w:szCs w:val="20"/>
              </w:rPr>
              <w:t xml:space="preserve">6.8855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CVE-2020-3153 (Cisco AnyConnect Secure; dateAdded 2022-10-24; ransomware=1); NVD CVE API 2.0 CVE-2020-3153 (published 2020-02-19; CVSS V31 base 6.5)</w:t>
            </w:r>
          </w:p>
        </w:tc>
      </w:tr>
      <w:tr>
        <w:tc>
          <w:tcPr>
            <w:tcW w:w="0" w:type="auto"/>
          </w:tcPr>
          <w:p>
            <w:pPr>
              <w:spacing w:line="240" w:lineRule="auto" w:before="0" w:after="0"/>
              <w:pStyle w:val="Compact"/>
            </w:pPr>
            <w:r>
              <w:rPr>
                <w:sz w:val="20"/>
                <w:szCs w:val="20"/>
              </w:rPr>
              <w:t xml:space="preserve">CVE-2022-20703</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Small Business RV160, RV260, RV340, and RV345 Series Routers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2022-02-10</w:t>
            </w:r>
          </w:p>
        </w:tc>
        <w:tc>
          <w:tcPr>
            <w:tcW w:w="0" w:type="auto"/>
          </w:tcPr>
          <w:p>
            <w:pPr>
              <w:spacing w:line="240" w:lineRule="auto" w:before="0" w:after="0"/>
              <w:pStyle w:val="Compact"/>
            </w:pPr>
            <w:r>
              <w:rPr>
                <w:sz w:val="20"/>
                <w:szCs w:val="20"/>
              </w:rPr>
              <w:t xml:space="preserve">2022-03-03</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3.0445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CVE-2022-20703 (Cisco Small Business RV160, RV260, RV340, and RV345 Series Routers; dateAdded 2022-03-03; ransomware=0); NVD CVE API 2.0 CVE-2022-20703 (published 2022-02-10; CVSS V31 base 10.0)</w:t>
            </w:r>
          </w:p>
        </w:tc>
      </w:tr>
      <w:tr>
        <w:tc>
          <w:tcPr>
            <w:tcW w:w="0" w:type="auto"/>
          </w:tcPr>
          <w:p>
            <w:pPr>
              <w:spacing w:line="240" w:lineRule="auto" w:before="0" w:after="0"/>
              <w:pStyle w:val="Compact"/>
            </w:pPr>
            <w:r>
              <w:rPr>
                <w:sz w:val="20"/>
                <w:szCs w:val="20"/>
              </w:rPr>
              <w:t xml:space="preserve">CVE-2026-20131</w:t>
            </w:r>
          </w:p>
        </w:tc>
        <w:tc>
          <w:tcPr>
            <w:tcW w:w="0" w:type="auto"/>
          </w:tcPr>
          <w:p>
            <w:pPr>
              <w:spacing w:line="240" w:lineRule="auto" w:before="0" w:after="0"/>
              <w:pStyle w:val="Compact"/>
            </w:pPr>
            <w:r>
              <w:rPr>
                <w:sz w:val="20"/>
                <w:szCs w:val="20"/>
              </w:rPr>
              <w:t xml:space="preserve">Cisco</w:t>
            </w:r>
          </w:p>
        </w:tc>
        <w:tc>
          <w:tcPr>
            <w:tcW w:w="0" w:type="auto"/>
          </w:tcPr>
          <w:p>
            <w:pPr>
              <w:spacing w:line="240" w:lineRule="auto" w:before="0" w:after="0"/>
              <w:pStyle w:val="Compact"/>
            </w:pPr>
            <w:r>
              <w:rPr>
                <w:sz w:val="20"/>
                <w:szCs w:val="20"/>
              </w:rPr>
              <w:t xml:space="preserve">Secure Firewall Management Center (FMC)</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2026-03-04</w:t>
            </w:r>
          </w:p>
        </w:tc>
        <w:tc>
          <w:tcPr>
            <w:tcW w:w="0" w:type="auto"/>
          </w:tcPr>
          <w:p>
            <w:pPr>
              <w:spacing w:line="240" w:lineRule="auto" w:before="0" w:after="0"/>
              <w:pStyle w:val="Compact"/>
            </w:pPr>
            <w:r>
              <w:rPr>
                <w:sz w:val="20"/>
                <w:szCs w:val="20"/>
              </w:rPr>
              <w:t xml:space="preserve">2026-03-19</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2.7081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CVE-2026-20131 (Cisco Secure Firewall Management Center (FMC); dateAdded 2026-03-19; ransomware=1); NVD CVE API 2.0 CVE-2026-20131 (published 2026-03-04; CVSS V31 base 10.0)</w:t>
            </w:r>
          </w:p>
        </w:tc>
      </w:tr>
      <w:tr>
        <w:tc>
          <w:tcPr>
            <w:tcW w:w="0" w:type="auto"/>
          </w:tcPr>
          <w:p>
            <w:pPr>
              <w:spacing w:line="240" w:lineRule="auto" w:before="0" w:after="0"/>
              <w:pStyle w:val="Compact"/>
            </w:pPr>
            <w:r>
              <w:rPr>
                <w:sz w:val="20"/>
                <w:szCs w:val="20"/>
              </w:rPr>
              <w:t xml:space="preserve">CVE-2019-11634</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Workspace Application and Receiver for Windows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2019-05-22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896</w:t>
            </w:r>
          </w:p>
        </w:tc>
        <w:tc>
          <w:tcPr>
            <w:tcW w:w="0" w:type="auto"/>
          </w:tcPr>
          <w:p>
            <w:pPr>
              <w:spacing w:line="240" w:lineRule="auto" w:before="0" w:after="0"/>
              <w:pStyle w:val="Compact"/>
            </w:pPr>
            <w:r>
              <w:rPr>
                <w:sz w:val="20"/>
                <w:szCs w:val="20"/>
              </w:rPr>
              <w:t xml:space="preserve">6.7979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CVE-2019-11634 (Citrix Workspace Application and Receiver for Windows; dateAdded 2021-11-03; ransomware=1); NVD CVE API 2.0 CVE-2019-11634 (published 2019-05-22; CVSS V31 base 9.8)</w:t>
            </w:r>
          </w:p>
        </w:tc>
      </w:tr>
      <w:tr>
        <w:tc>
          <w:tcPr>
            <w:tcW w:w="0" w:type="auto"/>
          </w:tcPr>
          <w:p>
            <w:pPr>
              <w:spacing w:line="240" w:lineRule="auto" w:before="0" w:after="0"/>
              <w:pStyle w:val="Compact"/>
            </w:pPr>
            <w:r>
              <w:rPr>
                <w:sz w:val="20"/>
                <w:szCs w:val="20"/>
              </w:rPr>
              <w:t xml:space="preserve">CVE-2023-24489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Content Collaboration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2023-07-10</w:t>
            </w:r>
          </w:p>
        </w:tc>
        <w:tc>
          <w:tcPr>
            <w:tcW w:w="0" w:type="auto"/>
          </w:tcPr>
          <w:p>
            <w:pPr>
              <w:spacing w:line="240" w:lineRule="auto" w:before="0" w:after="0"/>
              <w:pStyle w:val="Compact"/>
            </w:pPr>
            <w:r>
              <w:rPr>
                <w:sz w:val="20"/>
                <w:szCs w:val="20"/>
              </w:rPr>
              <w:t xml:space="preserve">2023-08-16</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3.6109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CVE-2023-24489 (Citrix Content Collaboration; dateAdded 2023-08-16; ransomware=0); NVD CVE API 2.0 CVE-2023-24489 (published 2023-07-10; CVSS V31 base 9.8)</w:t>
            </w:r>
          </w:p>
        </w:tc>
      </w:tr>
      <w:tr>
        <w:tc>
          <w:tcPr>
            <w:tcW w:w="0" w:type="auto"/>
          </w:tcPr>
          <w:p>
            <w:pPr>
              <w:spacing w:line="240" w:lineRule="auto" w:before="0" w:after="0"/>
              <w:pStyle w:val="Compact"/>
            </w:pPr>
            <w:r>
              <w:rPr>
                <w:sz w:val="20"/>
                <w:szCs w:val="20"/>
              </w:rPr>
              <w:t xml:space="preserve">CVE-2024-8069</w:t>
            </w:r>
          </w:p>
        </w:tc>
        <w:tc>
          <w:tcPr>
            <w:tcW w:w="0" w:type="auto"/>
          </w:tcPr>
          <w:p>
            <w:pPr>
              <w:spacing w:line="240" w:lineRule="auto" w:before="0" w:after="0"/>
              <w:pStyle w:val="Compact"/>
            </w:pPr>
            <w:r>
              <w:rPr>
                <w:sz w:val="20"/>
                <w:szCs w:val="20"/>
              </w:rPr>
              <w:t xml:space="preserve">Citrix</w:t>
            </w:r>
          </w:p>
        </w:tc>
        <w:tc>
          <w:tcPr>
            <w:tcW w:w="0" w:type="auto"/>
          </w:tcPr>
          <w:p>
            <w:pPr>
              <w:spacing w:line="240" w:lineRule="auto" w:before="0" w:after="0"/>
              <w:pStyle w:val="Compact"/>
            </w:pPr>
            <w:r>
              <w:rPr>
                <w:sz w:val="20"/>
                <w:szCs w:val="20"/>
              </w:rPr>
              <w:t xml:space="preserve">Session Recording</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2024-11-12</w:t>
            </w:r>
          </w:p>
        </w:tc>
        <w:tc>
          <w:tcPr>
            <w:tcW w:w="0" w:type="auto"/>
          </w:tcPr>
          <w:p>
            <w:pPr>
              <w:spacing w:line="240" w:lineRule="auto" w:before="0" w:after="0"/>
              <w:pStyle w:val="Compact"/>
            </w:pPr>
            <w:r>
              <w:rPr>
                <w:sz w:val="20"/>
                <w:szCs w:val="20"/>
              </w:rPr>
              <w:t xml:space="preserve">2025-08-25</w:t>
            </w:r>
          </w:p>
        </w:tc>
        <w:tc>
          <w:tcPr>
            <w:tcW w:w="0" w:type="auto"/>
          </w:tcPr>
          <w:p>
            <w:pPr>
              <w:spacing w:line="240" w:lineRule="auto" w:before="0" w:after="0"/>
              <w:pStyle w:val="Compact"/>
            </w:pPr>
            <w:r>
              <w:rPr>
                <w:sz w:val="20"/>
                <w:szCs w:val="20"/>
              </w:rPr>
              <w:t xml:space="preserve">286</w:t>
            </w:r>
          </w:p>
        </w:tc>
        <w:tc>
          <w:tcPr>
            <w:tcW w:w="0" w:type="auto"/>
          </w:tcPr>
          <w:p>
            <w:pPr>
              <w:spacing w:line="240" w:lineRule="auto" w:before="0" w:after="0"/>
              <w:pStyle w:val="Compact"/>
            </w:pPr>
            <w:r>
              <w:rPr>
                <w:sz w:val="20"/>
                <w:szCs w:val="20"/>
              </w:rPr>
              <w:t xml:space="preserve">5.656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CVE-2024-8069 (Citrix Session Recording; dateAdded 2025-08-25; ransomware=0); NVD CVE API 2.0 CVE-2024-8069 (published 2024-11-12; CVSS V31 base 8.0)</w:t>
            </w:r>
          </w:p>
        </w:tc>
      </w:tr>
      <w:tr>
        <w:tc>
          <w:tcPr>
            <w:tcW w:w="0" w:type="auto"/>
          </w:tcPr>
          <w:p>
            <w:pPr>
              <w:spacing w:line="240" w:lineRule="auto" w:before="0" w:after="0"/>
              <w:pStyle w:val="Compact"/>
            </w:pPr>
            <w:r>
              <w:rPr>
                <w:sz w:val="20"/>
                <w:szCs w:val="20"/>
              </w:rPr>
              <w:t xml:space="preserve">CVE-2021-22986</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and BIG-IQ Centralized Management</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2021-03-31</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217</w:t>
            </w:r>
          </w:p>
        </w:tc>
        <w:tc>
          <w:tcPr>
            <w:tcW w:w="0" w:type="auto"/>
          </w:tcPr>
          <w:p>
            <w:pPr>
              <w:spacing w:line="240" w:lineRule="auto" w:before="0" w:after="0"/>
              <w:pStyle w:val="Compact"/>
            </w:pPr>
            <w:r>
              <w:rPr>
                <w:sz w:val="20"/>
                <w:szCs w:val="20"/>
              </w:rPr>
              <w:t xml:space="preserve">5.3799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CVE-2021-22986 (F5 BIG-IP and BIG-IQ Centralized Management; dateAdded 2021-11-03; ransomware=1); NVD CVE API 2.0 CVE-2021-22986 (published 2021-03-31; CVSS V31 base 9.8)</w:t>
            </w:r>
          </w:p>
        </w:tc>
      </w:tr>
      <w:tr>
        <w:tc>
          <w:tcPr>
            <w:tcW w:w="0" w:type="auto"/>
          </w:tcPr>
          <w:p>
            <w:pPr>
              <w:spacing w:line="240" w:lineRule="auto" w:before="0" w:after="0"/>
              <w:pStyle w:val="Compact"/>
            </w:pPr>
            <w:r>
              <w:rPr>
                <w:sz w:val="20"/>
                <w:szCs w:val="20"/>
              </w:rPr>
              <w:t xml:space="preserve">CVE-2023-46748</w:t>
            </w:r>
          </w:p>
        </w:tc>
        <w:tc>
          <w:tcPr>
            <w:tcW w:w="0" w:type="auto"/>
          </w:tcPr>
          <w:p>
            <w:pPr>
              <w:spacing w:line="240" w:lineRule="auto" w:before="0" w:after="0"/>
              <w:pStyle w:val="Compact"/>
            </w:pPr>
            <w:r>
              <w:rPr>
                <w:sz w:val="20"/>
                <w:szCs w:val="20"/>
              </w:rPr>
              <w:t xml:space="preserve">F5</w:t>
            </w:r>
          </w:p>
        </w:tc>
        <w:tc>
          <w:tcPr>
            <w:tcW w:w="0" w:type="auto"/>
          </w:tcPr>
          <w:p>
            <w:pPr>
              <w:spacing w:line="240" w:lineRule="auto" w:before="0" w:after="0"/>
              <w:pStyle w:val="Compact"/>
            </w:pPr>
            <w:r>
              <w:rPr>
                <w:sz w:val="20"/>
                <w:szCs w:val="20"/>
              </w:rPr>
              <w:t xml:space="preserve">BIG-IP Configuration Utility</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2023-10-26</w:t>
            </w:r>
          </w:p>
        </w:tc>
        <w:tc>
          <w:tcPr>
            <w:tcW w:w="0" w:type="auto"/>
          </w:tcPr>
          <w:p>
            <w:pPr>
              <w:spacing w:line="240" w:lineRule="auto" w:before="0" w:after="0"/>
              <w:pStyle w:val="Compact"/>
            </w:pPr>
            <w:r>
              <w:rPr>
                <w:sz w:val="20"/>
                <w:szCs w:val="20"/>
              </w:rPr>
              <w:t xml:space="preserve">2023-10-31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CVE-2023-46748 (F5 BIG-IP Configuration Utility; dateAdded 2023-10-31; ransomware=0); NVD CVE API 2.0 CVE-2023-46748 (published 2023-10-26; CVSS V31 base 8.8)</w:t>
            </w:r>
          </w:p>
        </w:tc>
      </w:tr>
      <w:tr>
        <w:tc>
          <w:tcPr>
            <w:tcW w:w="0" w:type="auto"/>
          </w:tcPr>
          <w:p>
            <w:pPr>
              <w:spacing w:line="240" w:lineRule="auto" w:before="0" w:after="0"/>
              <w:pStyle w:val="Compact"/>
            </w:pPr>
            <w:r>
              <w:rPr>
                <w:sz w:val="20"/>
                <w:szCs w:val="20"/>
              </w:rPr>
              <w:t xml:space="preserve">CVE-2019-6693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2019-11-21</w:t>
            </w:r>
          </w:p>
        </w:tc>
        <w:tc>
          <w:tcPr>
            <w:tcW w:w="0" w:type="auto"/>
          </w:tcPr>
          <w:p>
            <w:pPr>
              <w:spacing w:line="240" w:lineRule="auto" w:before="0" w:after="0"/>
              <w:pStyle w:val="Compact"/>
            </w:pPr>
            <w:r>
              <w:rPr>
                <w:sz w:val="20"/>
                <w:szCs w:val="20"/>
              </w:rPr>
              <w:t xml:space="preserve">2025-06-25</w:t>
            </w:r>
          </w:p>
        </w:tc>
        <w:tc>
          <w:tcPr>
            <w:tcW w:w="0" w:type="auto"/>
          </w:tcPr>
          <w:p>
            <w:pPr>
              <w:spacing w:line="240" w:lineRule="auto" w:before="0" w:after="0"/>
              <w:pStyle w:val="Compact"/>
            </w:pPr>
            <w:r>
              <w:rPr>
                <w:sz w:val="20"/>
                <w:szCs w:val="20"/>
              </w:rPr>
              <w:t xml:space="preserve">2043</w:t>
            </w:r>
          </w:p>
        </w:tc>
        <w:tc>
          <w:tcPr>
            <w:tcW w:w="0" w:type="auto"/>
          </w:tcPr>
          <w:p>
            <w:pPr>
              <w:spacing w:line="240" w:lineRule="auto" w:before="0" w:after="0"/>
              <w:pStyle w:val="Compact"/>
            </w:pPr>
            <w:r>
              <w:rPr>
                <w:sz w:val="20"/>
                <w:szCs w:val="20"/>
              </w:rPr>
              <w:t xml:space="preserve">7.6222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CVE-2019-6693 (Fortinet FortiOS; dateAdded 2025-06-25; ransomware=1); NVD CVE API 2.0 CVE-2019-6693 (published 2019-11-21; CVSS V31 base 6.5)</w:t>
            </w:r>
          </w:p>
        </w:tc>
      </w:tr>
      <w:tr>
        <w:tc>
          <w:tcPr>
            <w:tcW w:w="0" w:type="auto"/>
          </w:tcPr>
          <w:p>
            <w:pPr>
              <w:spacing w:line="240" w:lineRule="auto" w:before="0" w:after="0"/>
              <w:pStyle w:val="Compact"/>
            </w:pPr>
            <w:r>
              <w:rPr>
                <w:sz w:val="20"/>
                <w:szCs w:val="20"/>
              </w:rPr>
              <w:t xml:space="preserve">CVE-2023-27997</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FortiOS and FortiProxy SSL-VPN</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2023-06-13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CVE-2023-27997 (Fortinet FortiOS and FortiProxy SSL-VPN; dateAdded 2023-06-13; ransomware=1); NVD CVE API 2.0 CVE-2023-27997 (published 2023-06-13; CVSS V31 base 9.8)</w:t>
            </w:r>
          </w:p>
        </w:tc>
      </w:tr>
      <w:tr>
        <w:tc>
          <w:tcPr>
            <w:tcW w:w="0" w:type="auto"/>
          </w:tcPr>
          <w:p>
            <w:pPr>
              <w:spacing w:line="240" w:lineRule="auto" w:before="0" w:after="0"/>
              <w:pStyle w:val="Compact"/>
            </w:pPr>
            <w:r>
              <w:rPr>
                <w:sz w:val="20"/>
                <w:szCs w:val="20"/>
              </w:rPr>
              <w:t xml:space="preserve">CVE-2024-23113</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2024-02-15</w:t>
            </w:r>
          </w:p>
        </w:tc>
        <w:tc>
          <w:tcPr>
            <w:tcW w:w="0" w:type="auto"/>
          </w:tcPr>
          <w:p>
            <w:pPr>
              <w:spacing w:line="240" w:lineRule="auto" w:before="0" w:after="0"/>
              <w:pStyle w:val="Compact"/>
            </w:pPr>
            <w:r>
              <w:rPr>
                <w:sz w:val="20"/>
                <w:szCs w:val="20"/>
              </w:rPr>
              <w:t xml:space="preserve">2024-10-09</w:t>
            </w:r>
          </w:p>
        </w:tc>
        <w:tc>
          <w:tcPr>
            <w:tcW w:w="0" w:type="auto"/>
          </w:tcPr>
          <w:p>
            <w:pPr>
              <w:spacing w:line="240" w:lineRule="auto" w:before="0" w:after="0"/>
              <w:pStyle w:val="Compact"/>
            </w:pPr>
            <w:r>
              <w:rPr>
                <w:sz w:val="20"/>
                <w:szCs w:val="20"/>
              </w:rPr>
              <w:t xml:space="preserve">237</w:t>
            </w:r>
          </w:p>
        </w:tc>
        <w:tc>
          <w:tcPr>
            <w:tcW w:w="0" w:type="auto"/>
          </w:tcPr>
          <w:p>
            <w:pPr>
              <w:spacing w:line="240" w:lineRule="auto" w:before="0" w:after="0"/>
              <w:pStyle w:val="Compact"/>
            </w:pPr>
            <w:r>
              <w:rPr>
                <w:sz w:val="20"/>
                <w:szCs w:val="20"/>
              </w:rPr>
              <w:t xml:space="preserve">5.4681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CVE-2024-23113 (Fortinet Multiple Products; dateAdded 2024-10-09; ransomware=0); NVD CVE API 2.0 CVE-2024-23113 (published 2024-02-15; CVSS V31 base 9.8)</w:t>
            </w:r>
          </w:p>
        </w:tc>
      </w:tr>
      <w:tr>
        <w:tc>
          <w:tcPr>
            <w:tcW w:w="0" w:type="auto"/>
          </w:tcPr>
          <w:p>
            <w:pPr>
              <w:spacing w:line="240" w:lineRule="auto" w:before="0" w:after="0"/>
              <w:pStyle w:val="Compact"/>
            </w:pPr>
            <w:r>
              <w:rPr>
                <w:sz w:val="20"/>
                <w:szCs w:val="20"/>
              </w:rPr>
              <w:t xml:space="preserve">CVE-2024-47575</w:t>
            </w:r>
          </w:p>
        </w:tc>
        <w:tc>
          <w:tcPr>
            <w:tcW w:w="0" w:type="auto"/>
          </w:tcPr>
          <w:p>
            <w:pPr>
              <w:spacing w:line="240" w:lineRule="auto" w:before="0" w:after="0"/>
              <w:pStyle w:val="Compact"/>
            </w:pPr>
            <w:r>
              <w:rPr>
                <w:sz w:val="20"/>
                <w:szCs w:val="20"/>
              </w:rPr>
              <w:t xml:space="preserve">Fortinet</w:t>
            </w:r>
          </w:p>
        </w:tc>
        <w:tc>
          <w:tcPr>
            <w:tcW w:w="0" w:type="auto"/>
          </w:tcPr>
          <w:p>
            <w:pPr>
              <w:spacing w:line="240" w:lineRule="auto" w:before="0" w:after="0"/>
              <w:pStyle w:val="Compact"/>
            </w:pPr>
            <w:r>
              <w:rPr>
                <w:sz w:val="20"/>
                <w:szCs w:val="20"/>
              </w:rPr>
              <w:t xml:space="preserve">FortiManager</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2024-10-23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CVE-2024-47575 (Fortinet FortiManager; dateAdded 2024-10-23; ransomware=0); NVD CVE API 2.0 CVE-2024-47575 (published 2024-10-23; CVSS V31 base 9.8)</w:t>
            </w:r>
          </w:p>
        </w:tc>
      </w:tr>
      <w:tr>
        <w:tc>
          <w:tcPr>
            <w:tcW w:w="0" w:type="auto"/>
          </w:tcPr>
          <w:p>
            <w:pPr>
              <w:spacing w:line="240" w:lineRule="auto" w:before="0" w:after="0"/>
              <w:pStyle w:val="Compact"/>
            </w:pPr>
            <w:r>
              <w:rPr>
                <w:sz w:val="20"/>
                <w:szCs w:val="20"/>
              </w:rPr>
              <w:t xml:space="preserve">CVE-2021-44529</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Cloud Service Appliance (EPM CSA)</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2021-12-08</w:t>
            </w:r>
          </w:p>
        </w:tc>
        <w:tc>
          <w:tcPr>
            <w:tcW w:w="0" w:type="auto"/>
          </w:tcPr>
          <w:p>
            <w:pPr>
              <w:spacing w:line="240" w:lineRule="auto" w:before="0" w:after="0"/>
              <w:pStyle w:val="Compact"/>
            </w:pPr>
            <w:r>
              <w:rPr>
                <w:sz w:val="20"/>
                <w:szCs w:val="20"/>
              </w:rPr>
              <w:t xml:space="preserve">2024-03-25</w:t>
            </w:r>
          </w:p>
        </w:tc>
        <w:tc>
          <w:tcPr>
            <w:tcW w:w="0" w:type="auto"/>
          </w:tcPr>
          <w:p>
            <w:pPr>
              <w:spacing w:line="240" w:lineRule="auto" w:before="0" w:after="0"/>
              <w:pStyle w:val="Compact"/>
            </w:pPr>
            <w:r>
              <w:rPr>
                <w:sz w:val="20"/>
                <w:szCs w:val="20"/>
              </w:rPr>
              <w:t xml:space="preserve">838</w:t>
            </w:r>
          </w:p>
        </w:tc>
        <w:tc>
          <w:tcPr>
            <w:tcW w:w="0" w:type="auto"/>
          </w:tcPr>
          <w:p>
            <w:pPr>
              <w:spacing w:line="240" w:lineRule="auto" w:before="0" w:after="0"/>
              <w:pStyle w:val="Compact"/>
            </w:pPr>
            <w:r>
              <w:rPr>
                <w:sz w:val="20"/>
                <w:szCs w:val="20"/>
              </w:rPr>
              <w:t xml:space="preserve">6.731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CVE-2021-44529 (Ivanti Endpoint Manager Cloud Service Appliance (EPM CSA); dateAdded 2024-03-25; ransomware=1); NVD CVE API 2.0 CVE-2021-44529 (published 2021-12-08; CVSS V31 base 9.8)</w:t>
            </w:r>
          </w:p>
        </w:tc>
      </w:tr>
      <w:tr>
        <w:tc>
          <w:tcPr>
            <w:tcW w:w="0" w:type="auto"/>
          </w:tcPr>
          <w:p>
            <w:pPr>
              <w:spacing w:line="240" w:lineRule="auto" w:before="0" w:after="0"/>
              <w:pStyle w:val="Compact"/>
            </w:pPr>
            <w:r>
              <w:rPr>
                <w:sz w:val="20"/>
                <w:szCs w:val="20"/>
              </w:rPr>
              <w:t xml:space="preserve">CVE-2025-0282</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Connect Secure, Policy Secure, and ZTA Gateways</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2025-01-08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CVE-2025-0282 (Ivanti Connect Secure, Policy Secure, and ZTA Gateways; dateAdded 2025-01-08; ransomware=1); NVD CVE API 2.0 CVE-2025-0282 (published 2025-01-08; CVSS V31 base 9.0)</w:t>
            </w:r>
          </w:p>
        </w:tc>
      </w:tr>
      <w:tr>
        <w:tc>
          <w:tcPr>
            <w:tcW w:w="0" w:type="auto"/>
          </w:tcPr>
          <w:p>
            <w:pPr>
              <w:spacing w:line="240" w:lineRule="auto" w:before="0" w:after="0"/>
              <w:pStyle w:val="Compact"/>
            </w:pPr>
            <w:r>
              <w:rPr>
                <w:sz w:val="20"/>
                <w:szCs w:val="20"/>
              </w:rPr>
              <w:t xml:space="preserve">CVE-2025-4427</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2025-05-13</w:t>
            </w:r>
          </w:p>
        </w:tc>
        <w:tc>
          <w:tcPr>
            <w:tcW w:w="0" w:type="auto"/>
          </w:tcPr>
          <w:p>
            <w:pPr>
              <w:spacing w:line="240" w:lineRule="auto" w:before="0" w:after="0"/>
              <w:pStyle w:val="Compact"/>
            </w:pPr>
            <w:r>
              <w:rPr>
                <w:sz w:val="20"/>
                <w:szCs w:val="20"/>
              </w:rPr>
              <w:t xml:space="preserve">2025-05-19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CVE-2025-4427 (Ivanti Endpoint Manager Mobile (EPMM); dateAdded 2025-05-19; ransomware=0); NVD CVE API 2.0 CVE-2025-4427 (published 2025-05-13; CVSS V31 base 5.3)</w:t>
            </w:r>
          </w:p>
        </w:tc>
      </w:tr>
      <w:tr>
        <w:tc>
          <w:tcPr>
            <w:tcW w:w="0" w:type="auto"/>
          </w:tcPr>
          <w:p>
            <w:pPr>
              <w:spacing w:line="240" w:lineRule="auto" w:before="0" w:after="0"/>
              <w:pStyle w:val="Compact"/>
            </w:pPr>
            <w:r>
              <w:rPr>
                <w:sz w:val="20"/>
                <w:szCs w:val="20"/>
              </w:rPr>
              <w:t xml:space="preserve">CVE-2026-1281</w:t>
            </w:r>
          </w:p>
        </w:tc>
        <w:tc>
          <w:tcPr>
            <w:tcW w:w="0" w:type="auto"/>
          </w:tcPr>
          <w:p>
            <w:pPr>
              <w:spacing w:line="240" w:lineRule="auto" w:before="0" w:after="0"/>
              <w:pStyle w:val="Compact"/>
            </w:pPr>
            <w:r>
              <w:rPr>
                <w:sz w:val="20"/>
                <w:szCs w:val="20"/>
              </w:rPr>
              <w:t xml:space="preserve">Ivanti</w:t>
            </w:r>
          </w:p>
        </w:tc>
        <w:tc>
          <w:tcPr>
            <w:tcW w:w="0" w:type="auto"/>
          </w:tcPr>
          <w:p>
            <w:pPr>
              <w:spacing w:line="240" w:lineRule="auto" w:before="0" w:after="0"/>
              <w:pStyle w:val="Compact"/>
            </w:pPr>
            <w:r>
              <w:rPr>
                <w:sz w:val="20"/>
                <w:szCs w:val="20"/>
              </w:rPr>
              <w:t xml:space="preserve">Endpoint Manager Mobile (EPMM)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2026-01-29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CVE-2026-1281 (Ivanti Endpoint Manager Mobile (EPMM); dateAdded 2026-01-29; ransomware=0); NVD CVE API 2.0 CVE-2026-1281 (published 2026-01-29; CVSS V31 base 9.8)</w:t>
            </w:r>
          </w:p>
        </w:tc>
      </w:tr>
      <w:tr>
        <w:tc>
          <w:tcPr>
            <w:tcW w:w="0" w:type="auto"/>
          </w:tcPr>
          <w:p>
            <w:pPr>
              <w:spacing w:line="240" w:lineRule="auto" w:before="0" w:after="0"/>
              <w:pStyle w:val="Compact"/>
            </w:pPr>
            <w:r>
              <w:rPr>
                <w:sz w:val="20"/>
                <w:szCs w:val="20"/>
              </w:rPr>
              <w:t xml:space="preserve">CVE-2023-36845</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CVE-2023-36845 (Juniper Junos OS; dateAdded 2023-11-13; ransomware=0); NVD CVE API 2.0 CVE-2023-36845 (published 2023-08-17; CVSS V31 base 9.8)</w:t>
            </w:r>
          </w:p>
        </w:tc>
      </w:tr>
      <w:tr>
        <w:tc>
          <w:tcPr>
            <w:tcW w:w="0" w:type="auto"/>
          </w:tcPr>
          <w:p>
            <w:pPr>
              <w:spacing w:line="240" w:lineRule="auto" w:before="0" w:after="0"/>
              <w:pStyle w:val="Compact"/>
            </w:pPr>
            <w:r>
              <w:rPr>
                <w:sz w:val="20"/>
                <w:szCs w:val="20"/>
              </w:rPr>
              <w:t xml:space="preserve">CVE-2023-36846</w:t>
            </w:r>
          </w:p>
        </w:tc>
        <w:tc>
          <w:tcPr>
            <w:tcW w:w="0" w:type="auto"/>
          </w:tcPr>
          <w:p>
            <w:pPr>
              <w:spacing w:line="240" w:lineRule="auto" w:before="0" w:after="0"/>
              <w:pStyle w:val="Compact"/>
            </w:pPr>
            <w:r>
              <w:rPr>
                <w:sz w:val="20"/>
                <w:szCs w:val="20"/>
              </w:rPr>
              <w:t xml:space="preserve">Juniper</w:t>
            </w:r>
          </w:p>
        </w:tc>
        <w:tc>
          <w:tcPr>
            <w:tcW w:w="0" w:type="auto"/>
          </w:tcPr>
          <w:p>
            <w:pPr>
              <w:spacing w:line="240" w:lineRule="auto" w:before="0" w:after="0"/>
              <w:pStyle w:val="Compact"/>
            </w:pPr>
            <w:r>
              <w:rPr>
                <w:sz w:val="20"/>
                <w:szCs w:val="20"/>
              </w:rPr>
              <w:t xml:space="preserve">Junos OS</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2023-08-17</w:t>
            </w:r>
          </w:p>
        </w:tc>
        <w:tc>
          <w:tcPr>
            <w:tcW w:w="0" w:type="auto"/>
          </w:tcPr>
          <w:p>
            <w:pPr>
              <w:spacing w:line="240" w:lineRule="auto" w:before="0" w:after="0"/>
              <w:pStyle w:val="Compact"/>
            </w:pPr>
            <w:r>
              <w:rPr>
                <w:sz w:val="20"/>
                <w:szCs w:val="20"/>
              </w:rPr>
              <w:t xml:space="preserve">2023-11-13</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4.4773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CVE-2023-36846 (Juniper Junos OS; dateAdded 2023-11-13; ransomware=0); NVD CVE API 2.0 CVE-2023-36846 (published 2023-08-17; CVSS V31 base 5.3)</w:t>
            </w:r>
          </w:p>
        </w:tc>
      </w:tr>
      <w:tr>
        <w:tc>
          <w:tcPr>
            <w:tcW w:w="0" w:type="auto"/>
          </w:tcPr>
          <w:p>
            <w:pPr>
              <w:spacing w:line="240" w:lineRule="auto" w:before="0" w:after="0"/>
              <w:pStyle w:val="Compact"/>
            </w:pPr>
            <w:r>
              <w:rPr>
                <w:sz w:val="20"/>
                <w:szCs w:val="20"/>
              </w:rPr>
              <w:t xml:space="preserve">CVE-2024-3393</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2024-12-27</w:t>
            </w:r>
          </w:p>
        </w:tc>
        <w:tc>
          <w:tcPr>
            <w:tcW w:w="0" w:type="auto"/>
          </w:tcPr>
          <w:p>
            <w:pPr>
              <w:spacing w:line="240" w:lineRule="auto" w:before="0" w:after="0"/>
              <w:pStyle w:val="Compact"/>
            </w:pPr>
            <w:r>
              <w:rPr>
                <w:sz w:val="20"/>
                <w:szCs w:val="20"/>
              </w:rPr>
              <w:t xml:space="preserve">2024-12-30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CVE-2024-3393 (Palo Alto Networks PAN-OS; dateAdded 2024-12-30; ransomware=0); NVD CVE API 2.0 CVE-2024-3393 (published 2024-12-27; CVSS V31 base 7.5)</w:t>
            </w:r>
          </w:p>
        </w:tc>
      </w:tr>
      <w:tr>
        <w:tc>
          <w:tcPr>
            <w:tcW w:w="0" w:type="auto"/>
          </w:tcPr>
          <w:p>
            <w:pPr>
              <w:spacing w:line="240" w:lineRule="auto" w:before="0" w:after="0"/>
              <w:pStyle w:val="Compact"/>
            </w:pPr>
            <w:r>
              <w:rPr>
                <w:sz w:val="20"/>
                <w:szCs w:val="20"/>
              </w:rPr>
              <w:t xml:space="preserve">CVE-2024-3400</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2024-04-12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CVE-2024-3400 (Palo Alto Networks PAN-OS; dateAdded 2024-04-12; ransomware=1); NVD CVE API 2.0 CVE-2024-3400 (published 2024-04-12; CVSS V31 base 10.0)</w:t>
            </w:r>
          </w:p>
        </w:tc>
      </w:tr>
      <w:tr>
        <w:tc>
          <w:tcPr>
            <w:tcW w:w="0" w:type="auto"/>
          </w:tcPr>
          <w:p>
            <w:pPr>
              <w:spacing w:line="240" w:lineRule="auto" w:before="0" w:after="0"/>
              <w:pStyle w:val="Compact"/>
            </w:pPr>
            <w:r>
              <w:rPr>
                <w:sz w:val="20"/>
                <w:szCs w:val="20"/>
              </w:rPr>
              <w:t xml:space="preserve">CVE-2025-0111</w:t>
            </w:r>
          </w:p>
        </w:tc>
        <w:tc>
          <w:tcPr>
            <w:tcW w:w="0" w:type="auto"/>
          </w:tcPr>
          <w:p>
            <w:pPr>
              <w:spacing w:line="240" w:lineRule="auto" w:before="0" w:after="0"/>
              <w:pStyle w:val="Compact"/>
            </w:pPr>
            <w:r>
              <w:rPr>
                <w:sz w:val="20"/>
                <w:szCs w:val="20"/>
              </w:rPr>
              <w:t xml:space="preserve">Palo Alto Networks</w:t>
            </w:r>
          </w:p>
        </w:tc>
        <w:tc>
          <w:tcPr>
            <w:tcW w:w="0" w:type="auto"/>
          </w:tcPr>
          <w:p>
            <w:pPr>
              <w:spacing w:line="240" w:lineRule="auto" w:before="0" w:after="0"/>
              <w:pStyle w:val="Compact"/>
            </w:pPr>
            <w:r>
              <w:rPr>
                <w:sz w:val="20"/>
                <w:szCs w:val="20"/>
              </w:rPr>
              <w:t xml:space="preserve">PAN-OS</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2025-02-12</w:t>
            </w:r>
          </w:p>
        </w:tc>
        <w:tc>
          <w:tcPr>
            <w:tcW w:w="0" w:type="auto"/>
          </w:tcPr>
          <w:p>
            <w:pPr>
              <w:spacing w:line="240" w:lineRule="auto" w:before="0" w:after="0"/>
              <w:pStyle w:val="Compact"/>
            </w:pPr>
            <w:r>
              <w:rPr>
                <w:sz w:val="20"/>
                <w:szCs w:val="20"/>
              </w:rPr>
              <w:t xml:space="preserve">2025-02-20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CVE-2025-0111 (Palo Alto Networks PAN-OS; dateAdded 2025-02-20; ransomware=0); NVD CVE API 2.0 CVE-2025-0111 (published 2025-02-12; CVSS V31 base 6.5)</w:t>
            </w:r>
          </w:p>
        </w:tc>
      </w:tr>
      <w:tr>
        <w:tc>
          <w:tcPr>
            <w:tcW w:w="0" w:type="auto"/>
          </w:tcPr>
          <w:p>
            <w:pPr>
              <w:spacing w:line="240" w:lineRule="auto" w:before="0" w:after="0"/>
              <w:pStyle w:val="Compact"/>
            </w:pPr>
            <w:r>
              <w:rPr>
                <w:sz w:val="20"/>
                <w:szCs w:val="20"/>
              </w:rPr>
              <w:t xml:space="preserve">CVE-2020-8218</w:t>
            </w:r>
          </w:p>
        </w:tc>
        <w:tc>
          <w:tcPr>
            <w:tcW w:w="0" w:type="auto"/>
          </w:tcPr>
          <w:p>
            <w:pPr>
              <w:spacing w:line="240" w:lineRule="auto" w:before="0" w:after="0"/>
              <w:pStyle w:val="Compact"/>
            </w:pPr>
            <w:r>
              <w:rPr>
                <w:sz w:val="20"/>
                <w:szCs w:val="20"/>
              </w:rPr>
              <w:t xml:space="preserve">Pulse Secure</w:t>
            </w:r>
          </w:p>
        </w:tc>
        <w:tc>
          <w:tcPr>
            <w:tcW w:w="0" w:type="auto"/>
          </w:tcPr>
          <w:p>
            <w:pPr>
              <w:spacing w:line="240" w:lineRule="auto" w:before="0" w:after="0"/>
              <w:pStyle w:val="Compact"/>
            </w:pPr>
            <w:r>
              <w:rPr>
                <w:sz w:val="20"/>
                <w:szCs w:val="20"/>
              </w:rPr>
              <w:t xml:space="preserve">Pulse Connect Secure</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2020-07-30</w:t>
            </w:r>
          </w:p>
        </w:tc>
        <w:tc>
          <w:tcPr>
            <w:tcW w:w="0" w:type="auto"/>
          </w:tcPr>
          <w:p>
            <w:pPr>
              <w:spacing w:line="240" w:lineRule="auto" w:before="0" w:after="0"/>
              <w:pStyle w:val="Compact"/>
            </w:pPr>
            <w:r>
              <w:rPr>
                <w:sz w:val="20"/>
                <w:szCs w:val="20"/>
              </w:rPr>
              <w:t xml:space="preserve">2022-03-07</w:t>
            </w:r>
          </w:p>
        </w:tc>
        <w:tc>
          <w:tcPr>
            <w:tcW w:w="0" w:type="auto"/>
          </w:tcPr>
          <w:p>
            <w:pPr>
              <w:spacing w:line="240" w:lineRule="auto" w:before="0" w:after="0"/>
              <w:pStyle w:val="Compact"/>
            </w:pPr>
            <w:r>
              <w:rPr>
                <w:sz w:val="20"/>
                <w:szCs w:val="20"/>
              </w:rPr>
              <w:t xml:space="preserve">585</w:t>
            </w:r>
          </w:p>
        </w:tc>
        <w:tc>
          <w:tcPr>
            <w:tcW w:w="0" w:type="auto"/>
          </w:tcPr>
          <w:p>
            <w:pPr>
              <w:spacing w:line="240" w:lineRule="auto" w:before="0" w:after="0"/>
              <w:pStyle w:val="Compact"/>
            </w:pPr>
            <w:r>
              <w:rPr>
                <w:sz w:val="20"/>
                <w:szCs w:val="20"/>
              </w:rPr>
              <w:t xml:space="preserve">6.3716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CVE-2020-8218 (Pulse Secure Pulse Connect Secure; dateAdded 2022-03-07; ransomware=0); NVD CVE API 2.0 CVE-2020-8218 (published 2020-07-30; CVSS V31 base 7.2)</w:t>
            </w:r>
          </w:p>
        </w:tc>
      </w:tr>
      <w:tr>
        <w:tc>
          <w:tcPr>
            <w:tcW w:w="0" w:type="auto"/>
          </w:tcPr>
          <w:p>
            <w:pPr>
              <w:spacing w:line="240" w:lineRule="auto" w:before="0" w:after="0"/>
              <w:pStyle w:val="Compact"/>
            </w:pPr>
            <w:r>
              <w:rPr>
                <w:sz w:val="20"/>
                <w:szCs w:val="20"/>
              </w:rPr>
              <w:t xml:space="preserve">CVE-2019-7483</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SMA100</w:t>
            </w:r>
          </w:p>
        </w:tc>
        <w:tc>
          <w:tcPr>
            <w:tcW w:w="0" w:type="auto"/>
          </w:tcPr>
          <w:p>
            <w:pPr>
              <w:spacing w:line="240" w:lineRule="auto" w:before="0" w:after="0"/>
              <w:pStyle w:val="Compact"/>
            </w:pPr>
            <w:r>
              <w:rPr>
                <w:sz w:val="20"/>
                <w:szCs w:val="20"/>
              </w:rPr>
              <w:t xml:space="preserve">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2019-12-19</w:t>
            </w:r>
          </w:p>
        </w:tc>
        <w:tc>
          <w:tcPr>
            <w:tcW w:w="0" w:type="auto"/>
          </w:tcPr>
          <w:p>
            <w:pPr>
              <w:spacing w:line="240" w:lineRule="auto" w:before="0" w:after="0"/>
              <w:pStyle w:val="Compact"/>
            </w:pPr>
            <w:r>
              <w:rPr>
                <w:sz w:val="20"/>
                <w:szCs w:val="20"/>
              </w:rPr>
              <w:t xml:space="preserve">2022-03-28</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6.7214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CVE-2019-7483 (SonicWall SMA100; dateAdded 2022-03-28; ransomware=0); NVD CVE API 2.0 CVE-2019-7483 (published 2019-12-19; CVSS V31 base 7.5)</w:t>
            </w:r>
          </w:p>
        </w:tc>
      </w:tr>
      <w:tr>
        <w:tc>
          <w:tcPr>
            <w:tcW w:w="0" w:type="auto"/>
          </w:tcPr>
          <w:p>
            <w:pPr>
              <w:spacing w:line="240" w:lineRule="auto" w:before="0" w:after="0"/>
              <w:pStyle w:val="Compact"/>
            </w:pPr>
            <w:r>
              <w:rPr>
                <w:sz w:val="20"/>
                <w:szCs w:val="20"/>
              </w:rPr>
              <w:t xml:space="preserve">CVE-2020-5135</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2020-10-12</w:t>
            </w:r>
          </w:p>
        </w:tc>
        <w:tc>
          <w:tcPr>
            <w:tcW w:w="0" w:type="auto"/>
          </w:tcPr>
          <w:p>
            <w:pPr>
              <w:spacing w:line="240" w:lineRule="auto" w:before="0" w:after="0"/>
              <w:pStyle w:val="Compact"/>
            </w:pPr>
            <w:r>
              <w:rPr>
                <w:sz w:val="20"/>
                <w:szCs w:val="20"/>
              </w:rPr>
              <w:t xml:space="preserve">2022-03-15</w:t>
            </w:r>
          </w:p>
        </w:tc>
        <w:tc>
          <w:tcPr>
            <w:tcW w:w="0" w:type="auto"/>
          </w:tcPr>
          <w:p>
            <w:pPr>
              <w:spacing w:line="240" w:lineRule="auto" w:before="0" w:after="0"/>
              <w:pStyle w:val="Compact"/>
            </w:pPr>
            <w:r>
              <w:rPr>
                <w:sz w:val="20"/>
                <w:szCs w:val="20"/>
              </w:rPr>
              <w:t xml:space="preserve">519</w:t>
            </w:r>
          </w:p>
        </w:tc>
        <w:tc>
          <w:tcPr>
            <w:tcW w:w="0" w:type="auto"/>
          </w:tcPr>
          <w:p>
            <w:pPr>
              <w:spacing w:line="240" w:lineRule="auto" w:before="0" w:after="0"/>
              <w:pStyle w:val="Compact"/>
            </w:pPr>
            <w:r>
              <w:rPr>
                <w:sz w:val="20"/>
                <w:szCs w:val="20"/>
              </w:rPr>
              <w:t xml:space="preserve">6.2519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CVE-2020-5135 (SonicWall SonicOS; dateAdded 2022-03-15; ransomware=0); NVD CVE API 2.0 CVE-2020-5135 (published 2020-10-12; CVSS V31 base 9.8)</w:t>
            </w:r>
          </w:p>
        </w:tc>
      </w:tr>
      <w:tr>
        <w:tc>
          <w:tcPr>
            <w:tcW w:w="0" w:type="auto"/>
          </w:tcPr>
          <w:p>
            <w:pPr>
              <w:spacing w:line="240" w:lineRule="auto" w:before="0" w:after="0"/>
              <w:pStyle w:val="Compact"/>
            </w:pPr>
            <w:r>
              <w:rPr>
                <w:sz w:val="20"/>
                <w:szCs w:val="20"/>
              </w:rPr>
              <w:t xml:space="preserve">CVE-2024-40766</w:t>
            </w:r>
          </w:p>
        </w:tc>
        <w:tc>
          <w:tcPr>
            <w:tcW w:w="0" w:type="auto"/>
          </w:tcPr>
          <w:p>
            <w:pPr>
              <w:spacing w:line="240" w:lineRule="auto" w:before="0" w:after="0"/>
              <w:pStyle w:val="Compact"/>
            </w:pPr>
            <w:r>
              <w:rPr>
                <w:sz w:val="20"/>
                <w:szCs w:val="20"/>
              </w:rPr>
              <w:t xml:space="preserve">SonicWall</w:t>
            </w:r>
          </w:p>
        </w:tc>
        <w:tc>
          <w:tcPr>
            <w:tcW w:w="0" w:type="auto"/>
          </w:tcPr>
          <w:p>
            <w:pPr>
              <w:spacing w:line="240" w:lineRule="auto" w:before="0" w:after="0"/>
              <w:pStyle w:val="Compact"/>
            </w:pPr>
            <w:r>
              <w:rPr>
                <w:sz w:val="20"/>
                <w:szCs w:val="20"/>
              </w:rPr>
              <w:t xml:space="preserve">SonicOS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2024-08-23</w:t>
            </w:r>
          </w:p>
        </w:tc>
        <w:tc>
          <w:tcPr>
            <w:tcW w:w="0" w:type="auto"/>
          </w:tcPr>
          <w:p>
            <w:pPr>
              <w:spacing w:line="240" w:lineRule="auto" w:before="0" w:after="0"/>
              <w:pStyle w:val="Compact"/>
            </w:pPr>
            <w:r>
              <w:rPr>
                <w:sz w:val="20"/>
                <w:szCs w:val="20"/>
              </w:rPr>
              <w:t xml:space="preserve">2024-09-09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2.8332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CISA KEV v2026.06.18 entry CVE-2024-40766 (SonicWall SonicOS; dateAdded 2024-09-09; ransomware=1); NVD CVE API 2.0 CVE-2024-40766 (published 2024-08-23; CVSS V31 base 9.8)</w:t>
            </w:r>
          </w:p>
        </w:tc>
      </w:tr>
      <w:tr>
        <w:tc>
          <w:tcPr>
            <w:tcW w:w="0" w:type="auto"/>
          </w:tcPr>
          <w:p>
            <w:pPr>
              <w:spacing w:line="240" w:lineRule="auto" w:before="0" w:after="0"/>
              <w:pStyle w:val="Compact"/>
            </w:pPr>
            <w:r>
              <w:rPr>
                <w:sz w:val="20"/>
                <w:szCs w:val="20"/>
              </w:rPr>
              <w:t xml:space="preserve">CVE-2020-12271</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SFOS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2020-04-27</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555</w:t>
            </w:r>
          </w:p>
        </w:tc>
        <w:tc>
          <w:tcPr>
            <w:tcW w:w="0" w:type="auto"/>
          </w:tcPr>
          <w:p>
            <w:pPr>
              <w:spacing w:line="240" w:lineRule="auto" w:before="0" w:after="0"/>
              <w:pStyle w:val="Compact"/>
            </w:pPr>
            <w:r>
              <w:rPr>
                <w:sz w:val="20"/>
                <w:szCs w:val="20"/>
              </w:rPr>
              <w:t xml:space="preserve">6.319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CVE-2020-12271 (Sophos SFOS; dateAdded 2021-11-03; ransomware=1); NVD CVE API 2.0 CVE-2020-12271 (published 2020-04-27; CVSS V31 base 9.8)</w:t>
            </w:r>
          </w:p>
        </w:tc>
      </w:tr>
      <w:tr>
        <w:tc>
          <w:tcPr>
            <w:tcW w:w="0" w:type="auto"/>
          </w:tcPr>
          <w:p>
            <w:pPr>
              <w:spacing w:line="240" w:lineRule="auto" w:before="0" w:after="0"/>
              <w:pStyle w:val="Compact"/>
            </w:pPr>
            <w:r>
              <w:rPr>
                <w:sz w:val="20"/>
                <w:szCs w:val="20"/>
              </w:rPr>
              <w:t xml:space="preserve">CVE-2020-25223</w:t>
            </w:r>
          </w:p>
        </w:tc>
        <w:tc>
          <w:tcPr>
            <w:tcW w:w="0" w:type="auto"/>
          </w:tcPr>
          <w:p>
            <w:pPr>
              <w:spacing w:line="240" w:lineRule="auto" w:before="0" w:after="0"/>
              <w:pStyle w:val="Compact"/>
            </w:pPr>
            <w:r>
              <w:rPr>
                <w:sz w:val="20"/>
                <w:szCs w:val="20"/>
              </w:rPr>
              <w:t xml:space="preserve">Sophos</w:t>
            </w:r>
          </w:p>
        </w:tc>
        <w:tc>
          <w:tcPr>
            <w:tcW w:w="0" w:type="auto"/>
          </w:tcPr>
          <w:p>
            <w:pPr>
              <w:spacing w:line="240" w:lineRule="auto" w:before="0" w:after="0"/>
              <w:pStyle w:val="Compact"/>
            </w:pPr>
            <w:r>
              <w:rPr>
                <w:sz w:val="20"/>
                <w:szCs w:val="20"/>
              </w:rPr>
              <w:t xml:space="preserve">SG UTM</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2020-09-25</w:t>
            </w:r>
          </w:p>
        </w:tc>
        <w:tc>
          <w:tcPr>
            <w:tcW w:w="0" w:type="auto"/>
          </w:tcPr>
          <w:p>
            <w:pPr>
              <w:spacing w:line="240" w:lineRule="auto" w:before="0" w:after="0"/>
              <w:pStyle w:val="Compact"/>
            </w:pPr>
            <w:r>
              <w:rPr>
                <w:sz w:val="20"/>
                <w:szCs w:val="20"/>
              </w:rPr>
              <w:t xml:space="preserve">2022-03-25</w:t>
            </w:r>
          </w:p>
        </w:tc>
        <w:tc>
          <w:tcPr>
            <w:tcW w:w="0" w:type="auto"/>
          </w:tcPr>
          <w:p>
            <w:pPr>
              <w:spacing w:line="240" w:lineRule="auto" w:before="0" w:after="0"/>
              <w:pStyle w:val="Compact"/>
            </w:pPr>
            <w:r>
              <w:rPr>
                <w:sz w:val="20"/>
                <w:szCs w:val="20"/>
              </w:rPr>
              <w:t xml:space="preserve">546</w:t>
            </w:r>
          </w:p>
        </w:tc>
        <w:tc>
          <w:tcPr>
            <w:tcW w:w="0" w:type="auto"/>
          </w:tcPr>
          <w:p>
            <w:pPr>
              <w:spacing w:line="240" w:lineRule="auto" w:before="0" w:after="0"/>
              <w:pStyle w:val="Compact"/>
            </w:pPr>
            <w:r>
              <w:rPr>
                <w:sz w:val="20"/>
                <w:szCs w:val="20"/>
              </w:rPr>
              <w:t xml:space="preserve">6.3026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CVE-2020-25223 (Sophos SG UTM; dateAdded 2022-03-25; ransomware=0); NVD CVE API 2.0 CVE-2020-25223 (published 2020-09-25; CVSS V31 base 9.8)</w:t>
            </w:r>
          </w:p>
        </w:tc>
      </w:tr>
      <w:tr>
        <w:tc>
          <w:tcPr>
            <w:tcW w:w="0" w:type="auto"/>
          </w:tcPr>
          <w:p>
            <w:pPr>
              <w:spacing w:line="240" w:lineRule="auto" w:before="0" w:after="0"/>
              <w:pStyle w:val="Compact"/>
            </w:pPr>
            <w:r>
              <w:rPr>
                <w:sz w:val="20"/>
                <w:szCs w:val="20"/>
              </w:rPr>
              <w:t xml:space="preserve">CVE-2017-6884</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EMG2926 Routers</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2017-04-06</w:t>
            </w:r>
          </w:p>
        </w:tc>
        <w:tc>
          <w:tcPr>
            <w:tcW w:w="0" w:type="auto"/>
          </w:tcPr>
          <w:p>
            <w:pPr>
              <w:spacing w:line="240" w:lineRule="auto" w:before="0" w:after="0"/>
              <w:pStyle w:val="Compact"/>
            </w:pPr>
            <w:r>
              <w:rPr>
                <w:sz w:val="20"/>
                <w:szCs w:val="20"/>
              </w:rPr>
              <w:t xml:space="preserve">2023-09-18</w:t>
            </w:r>
          </w:p>
        </w:tc>
        <w:tc>
          <w:tcPr>
            <w:tcW w:w="0" w:type="auto"/>
          </w:tcPr>
          <w:p>
            <w:pPr>
              <w:spacing w:line="240" w:lineRule="auto" w:before="0" w:after="0"/>
              <w:pStyle w:val="Compact"/>
            </w:pPr>
            <w:r>
              <w:rPr>
                <w:sz w:val="20"/>
                <w:szCs w:val="20"/>
              </w:rPr>
              <w:t xml:space="preserve">2356</w:t>
            </w:r>
          </w:p>
        </w:tc>
        <w:tc>
          <w:tcPr>
            <w:tcW w:w="0" w:type="auto"/>
          </w:tcPr>
          <w:p>
            <w:pPr>
              <w:spacing w:line="240" w:lineRule="auto" w:before="0" w:after="0"/>
              <w:pStyle w:val="Compact"/>
            </w:pPr>
            <w:r>
              <w:rPr>
                <w:sz w:val="20"/>
                <w:szCs w:val="20"/>
              </w:rPr>
              <w:t xml:space="preserve">7.7647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CVE-2017-6884 (Zyxel EMG2926 Routers; dateAdded 2023-09-18; ransomware=1); NVD CVE API 2.0 CVE-2017-6884 (published 2017-04-06; CVSS V31 base 8.8)</w:t>
            </w:r>
          </w:p>
        </w:tc>
      </w:tr>
      <w:tr>
        <w:tc>
          <w:tcPr>
            <w:tcW w:w="0" w:type="auto"/>
          </w:tcPr>
          <w:p>
            <w:pPr>
              <w:spacing w:line="240" w:lineRule="auto" w:before="0" w:after="0"/>
              <w:pStyle w:val="Compact"/>
            </w:pPr>
            <w:r>
              <w:rPr>
                <w:sz w:val="20"/>
                <w:szCs w:val="20"/>
              </w:rPr>
              <w:t xml:space="preserve">CVE-2020-29583</w:t>
            </w:r>
          </w:p>
        </w:tc>
        <w:tc>
          <w:tcPr>
            <w:tcW w:w="0" w:type="auto"/>
          </w:tcPr>
          <w:p>
            <w:pPr>
              <w:spacing w:line="240" w:lineRule="auto" w:before="0" w:after="0"/>
              <w:pStyle w:val="Compact"/>
            </w:pPr>
            <w:r>
              <w:rPr>
                <w:sz w:val="20"/>
                <w:szCs w:val="20"/>
              </w:rPr>
              <w:t xml:space="preserve">Zyxel</w:t>
            </w:r>
          </w:p>
        </w:tc>
        <w:tc>
          <w:tcPr>
            <w:tcW w:w="0" w:type="auto"/>
          </w:tcPr>
          <w:p>
            <w:pPr>
              <w:spacing w:line="240" w:lineRule="auto" w:before="0" w:after="0"/>
              <w:pStyle w:val="Compact"/>
            </w:pPr>
            <w:r>
              <w:rPr>
                <w:sz w:val="20"/>
                <w:szCs w:val="20"/>
              </w:rPr>
              <w:t xml:space="preserve">Multiple Products</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2020-12-22</w:t>
            </w:r>
          </w:p>
        </w:tc>
        <w:tc>
          <w:tcPr>
            <w:tcW w:w="0" w:type="auto"/>
          </w:tcPr>
          <w:p>
            <w:pPr>
              <w:spacing w:line="240" w:lineRule="auto" w:before="0" w:after="0"/>
              <w:pStyle w:val="Compact"/>
            </w:pPr>
            <w:r>
              <w:rPr>
                <w:sz w:val="20"/>
                <w:szCs w:val="20"/>
              </w:rPr>
              <w:t xml:space="preserve">2021-11-03</w:t>
            </w:r>
          </w:p>
        </w:tc>
        <w:tc>
          <w:tcPr>
            <w:tcW w:w="0" w:type="auto"/>
          </w:tcPr>
          <w:p>
            <w:pPr>
              <w:spacing w:line="240" w:lineRule="auto" w:before="0" w:after="0"/>
              <w:pStyle w:val="Compact"/>
            </w:pPr>
            <w:r>
              <w:rPr>
                <w:sz w:val="20"/>
                <w:szCs w:val="20"/>
              </w:rPr>
              <w:t xml:space="preserve">316</w:t>
            </w:r>
          </w:p>
        </w:tc>
        <w:tc>
          <w:tcPr>
            <w:tcW w:w="0" w:type="auto"/>
          </w:tcPr>
          <w:p>
            <w:pPr>
              <w:spacing w:line="240" w:lineRule="auto" w:before="0" w:after="0"/>
              <w:pStyle w:val="Compact"/>
            </w:pPr>
            <w:r>
              <w:rPr>
                <w:sz w:val="20"/>
                <w:szCs w:val="20"/>
              </w:rPr>
              <w:t xml:space="preserve">5.7557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CISA KEV v2026.06.18 entry CVE-2020-29583 (Zyxel Multiple Products; dateAdded 2021-11-03; ransomware=0); NVD CVE API 2.0 CVE-2020-29583 (published 2020-12-22; CVSS V31 base 9.8)</w:t>
            </w:r>
          </w:p>
        </w:tc>
      </w:tr>
    </w:tbl>
    <w:bookmarkEnd w:id="231"/>
    <w:bookmarkStart w:id="232"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rapid_escalation</w:t>
            </w:r>
          </w:p>
        </w:tc>
        <w:tc>
          <w:tcPr>
            <w:tcW w:w="0" w:type="auto"/>
          </w:tcPr>
          <w:p>
            <w:pPr>
              <w:spacing w:line="240" w:lineRule="auto" w:before="0" w:after="0"/>
              <w:pStyle w:val="Compact"/>
            </w:pPr>
            <w:r>
              <w:rPr>
                <w:sz w:val="20"/>
                <w:szCs w:val="20"/>
              </w:rPr>
              <w:t xml:space="preserve">Indicator equal to one when CISA added the vulnerability to KEV within thirty calendar days of NVD publication.</w:t>
            </w:r>
          </w:p>
        </w:tc>
        <w:tc>
          <w:tcPr>
            <w:tcW w:w="0" w:type="auto"/>
          </w:tcPr>
          <w:p>
            <w:pPr>
              <w:spacing w:line="240" w:lineRule="auto" w:before="0" w:after="0"/>
              <w:pStyle w:val="Compact"/>
            </w:pPr>
            <w:r>
              <w:rPr>
                <w:sz w:val="20"/>
                <w:szCs w:val="20"/>
              </w:rPr>
              <w:t xml:space="preserve">Derived from CISA KEV dateAdded minus NVD published date.</w:t>
            </w:r>
          </w:p>
        </w:tc>
      </w:tr>
      <w:tr>
        <w:tc>
          <w:tcPr>
            <w:tcW w:w="0" w:type="auto"/>
          </w:tcPr>
          <w:p>
            <w:pPr>
              <w:spacing w:line="240" w:lineRule="auto" w:before="0" w:after="0"/>
              <w:pStyle w:val="Compact"/>
            </w:pPr>
            <w:r>
              <w:rPr>
                <w:sz w:val="20"/>
                <w:szCs w:val="20"/>
              </w:rPr>
              <w:t xml:space="preserve">cvss</w:t>
            </w:r>
          </w:p>
        </w:tc>
        <w:tc>
          <w:tcPr>
            <w:tcW w:w="0" w:type="auto"/>
          </w:tcPr>
          <w:p>
            <w:pPr>
              <w:spacing w:line="240" w:lineRule="auto" w:before="0" w:after="0"/>
              <w:pStyle w:val="Compact"/>
            </w:pPr>
            <w:r>
              <w:rPr>
                <w:sz w:val="20"/>
                <w:szCs w:val="20"/>
              </w:rPr>
              <w:t xml:space="preserve">NVD CVSS base severity score on the zero-to-ten scale.</w:t>
            </w:r>
          </w:p>
        </w:tc>
        <w:tc>
          <w:tcPr>
            <w:tcW w:w="0" w:type="auto"/>
          </w:tcPr>
          <w:p>
            <w:pPr>
              <w:spacing w:line="240" w:lineRule="auto" w:before="0" w:after="0"/>
              <w:pStyle w:val="Compact"/>
            </w:pPr>
            <w:r>
              <w:rPr>
                <w:sz w:val="20"/>
                <w:szCs w:val="20"/>
              </w:rPr>
              <w:t xml:space="preserve">NVD CVE API 2.0.</w:t>
            </w:r>
          </w:p>
        </w:tc>
      </w:tr>
      <w:tr>
        <w:tc>
          <w:tcPr>
            <w:tcW w:w="0" w:type="auto"/>
          </w:tcPr>
          <w:p>
            <w:pPr>
              <w:spacing w:line="240" w:lineRule="auto" w:before="0" w:after="0"/>
              <w:pStyle w:val="Compact"/>
            </w:pPr>
            <w:r>
              <w:rPr>
                <w:sz w:val="20"/>
                <w:szCs w:val="20"/>
              </w:rPr>
              <w:t xml:space="preserve">is_edge</w:t>
            </w:r>
          </w:p>
        </w:tc>
        <w:tc>
          <w:tcPr>
            <w:tcW w:w="0" w:type="auto"/>
          </w:tcPr>
          <w:p>
            <w:pPr>
              <w:spacing w:line="240" w:lineRule="auto" w:before="0" w:after="0"/>
              <w:pStyle w:val="Compact"/>
            </w:pPr>
            <w:r>
              <w:rPr>
                <w:sz w:val="20"/>
                <w:szCs w:val="20"/>
              </w:rPr>
              <w:t xml:space="preserve">Indicator for an internet-facing remote-access, VPN, firewall, or gateway product used at the operational network edge.</w:t>
            </w:r>
          </w:p>
        </w:tc>
        <w:tc>
          <w:tcPr>
            <w:tcW w:w="0" w:type="auto"/>
          </w:tcPr>
          <w:p>
            <w:pPr>
              <w:spacing w:line="240" w:lineRule="auto" w:before="0" w:after="0"/>
              <w:pStyle w:val="Compact"/>
            </w:pPr>
            <w:r>
              <w:rPr>
                <w:sz w:val="20"/>
                <w:szCs w:val="20"/>
              </w:rPr>
              <w:t xml:space="preserve">Fixed classification of CISA KEV vendor and product strings.</w:t>
            </w:r>
          </w:p>
        </w:tc>
      </w:tr>
      <w:tr>
        <w:tc>
          <w:tcPr>
            <w:tcW w:w="0" w:type="auto"/>
          </w:tcPr>
          <w:p>
            <w:pPr>
              <w:spacing w:line="240" w:lineRule="auto" w:before="0" w:after="0"/>
              <w:pStyle w:val="Compact"/>
            </w:pPr>
            <w:r>
              <w:rPr>
                <w:sz w:val="20"/>
                <w:szCs w:val="20"/>
              </w:rPr>
              <w:t xml:space="preserve">ransomware</w:t>
            </w:r>
          </w:p>
        </w:tc>
        <w:tc>
          <w:tcPr>
            <w:tcW w:w="0" w:type="auto"/>
          </w:tcPr>
          <w:p>
            <w:pPr>
              <w:spacing w:line="240" w:lineRule="auto" w:before="0" w:after="0"/>
              <w:pStyle w:val="Compact"/>
            </w:pPr>
            <w:r>
              <w:rPr>
                <w:sz w:val="20"/>
                <w:szCs w:val="20"/>
              </w:rPr>
              <w:t xml:space="preserve">Indicator that CISA reports known ransomware-campaign use.</w:t>
            </w:r>
          </w:p>
        </w:tc>
        <w:tc>
          <w:tcPr>
            <w:tcW w:w="0" w:type="auto"/>
          </w:tcPr>
          <w:p>
            <w:pPr>
              <w:spacing w:line="240" w:lineRule="auto" w:before="0" w:after="0"/>
              <w:pStyle w:val="Compact"/>
            </w:pPr>
            <w:r>
              <w:rPr>
                <w:sz w:val="20"/>
                <w:szCs w:val="20"/>
              </w:rPr>
              <w:t xml:space="preserve">CISA KEV knownRansomwareCampaignUse field.</w:t>
            </w:r>
          </w:p>
        </w:tc>
      </w:tr>
      <w:tr>
        <w:tc>
          <w:tcPr>
            <w:tcW w:w="0" w:type="auto"/>
          </w:tcPr>
          <w:p>
            <w:pPr>
              <w:spacing w:line="240" w:lineRule="auto" w:before="0" w:after="0"/>
              <w:pStyle w:val="Compact"/>
            </w:pPr>
            <w:r>
              <w:rPr>
                <w:sz w:val="20"/>
                <w:szCs w:val="20"/>
              </w:rPr>
              <w:t xml:space="preserve">exposure_days</w:t>
            </w:r>
          </w:p>
        </w:tc>
        <w:tc>
          <w:tcPr>
            <w:tcW w:w="0" w:type="auto"/>
          </w:tcPr>
          <w:p>
            <w:pPr>
              <w:spacing w:line="240" w:lineRule="auto" w:before="0" w:after="0"/>
              <w:pStyle w:val="Compact"/>
            </w:pPr>
            <w:r>
              <w:rPr>
                <w:sz w:val="20"/>
                <w:szCs w:val="20"/>
              </w:rPr>
              <w:t xml:space="preserve">Calendar days from NVD publication to KEV addition, floored at one day.</w:t>
            </w:r>
          </w:p>
        </w:tc>
        <w:tc>
          <w:tcPr>
            <w:tcW w:w="0" w:type="auto"/>
          </w:tcPr>
          <w:p>
            <w:pPr>
              <w:spacing w:line="240" w:lineRule="auto" w:before="0" w:after="0"/>
              <w:pStyle w:val="Compact"/>
            </w:pPr>
            <w:r>
              <w:rPr>
                <w:sz w:val="20"/>
                <w:szCs w:val="20"/>
              </w:rPr>
              <w:t xml:space="preserve">CISA KEV and NVD dates.</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Row-level vulnerability provenance.</w:t>
            </w:r>
          </w:p>
        </w:tc>
        <w:tc>
          <w:tcPr>
            <w:tcW w:w="0" w:type="auto"/>
          </w:tcPr>
          <w:p>
            <w:pPr>
              <w:spacing w:line="240" w:lineRule="auto" w:before="0" w:after="0"/>
              <w:pStyle w:val="Compact"/>
            </w:pPr>
            <w:r>
              <w:rPr>
                <w:sz w:val="20"/>
                <w:szCs w:val="20"/>
              </w:rPr>
              <w:t xml:space="preserve">CISA KEV v2026.06.18 and NVD CVE API 2.0.</w:t>
            </w:r>
          </w:p>
        </w:tc>
      </w:tr>
    </w:tbl>
    <w:bookmarkEnd w:id="232"/>
    <w:bookmarkEnd w:id="233"/>
    <w:bookmarkEnd w:id="23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9" Type="http://schemas.openxmlformats.org/officeDocument/2006/relationships/image" Target="media/rId219.png"/><Relationship Id="rId227" Type="http://schemas.openxmlformats.org/officeDocument/2006/relationships/image" Target="media/rId227.png"/><Relationship Id="rId206" Type="http://schemas.openxmlformats.org/officeDocument/2006/relationships/hyperlink" Target="https://doi.org/10.1016/j.actaastro.2020.07.004" TargetMode="External"/><Relationship Id="rId208" Type="http://schemas.openxmlformats.org/officeDocument/2006/relationships/hyperlink" Target="https://doi.org/10.1016/j.actaastro.2024.02.024" TargetMode="External"/><Relationship Id="rId185" Type="http://schemas.openxmlformats.org/officeDocument/2006/relationships/hyperlink" Target="https://doi.org/10.1016/j.actaastro.2024.09.003" TargetMode="External"/><Relationship Id="rId212" Type="http://schemas.openxmlformats.org/officeDocument/2006/relationships/hyperlink" Target="https://doi.org/10.1016/j.actaastro.2025.04.041" TargetMode="External"/><Relationship Id="rId214" Type="http://schemas.openxmlformats.org/officeDocument/2006/relationships/hyperlink" Target="https://doi.org/10.1016/j.actaastro.2025.05.036" TargetMode="External"/><Relationship Id="rId204" Type="http://schemas.openxmlformats.org/officeDocument/2006/relationships/hyperlink" Target="https://doi.org/10.1016/j.actaastro.2025.06.067" TargetMode="External"/><Relationship Id="rId187" Type="http://schemas.openxmlformats.org/officeDocument/2006/relationships/hyperlink" Target="https://doi.org/10.1016/j.actaastro.2025.08.048" TargetMode="External"/><Relationship Id="rId175" Type="http://schemas.openxmlformats.org/officeDocument/2006/relationships/hyperlink" Target="https://doi.org/10.1016/j.actaastro.2025.10.018" TargetMode="External"/><Relationship Id="rId210" Type="http://schemas.openxmlformats.org/officeDocument/2006/relationships/hyperlink" Target="https://doi.org/10.1016/j.actaastro.2026.03.026" TargetMode="External"/><Relationship Id="rId196" Type="http://schemas.openxmlformats.org/officeDocument/2006/relationships/hyperlink" Target="https://doi.org/10.64861/KKFT4985" TargetMode="External"/><Relationship Id="rId200" Type="http://schemas.openxmlformats.org/officeDocument/2006/relationships/hyperlink" Target="https://doi.org/10.64861/NUFH1261" TargetMode="External"/><Relationship Id="rId198" Type="http://schemas.openxmlformats.org/officeDocument/2006/relationships/hyperlink" Target="https://doi.org/10.64861/QBNC8763" TargetMode="External"/><Relationship Id="rId182" Type="http://schemas.openxmlformats.org/officeDocument/2006/relationships/hyperlink" Target="https://doi.org/10.64861/TRSQ4124" TargetMode="External"/><Relationship Id="rId179" Type="http://schemas.openxmlformats.org/officeDocument/2006/relationships/hyperlink" Target="https://doi.org/10.64861/VEWW9997" TargetMode="External"/><Relationship Id="rId177" Type="http://schemas.openxmlformats.org/officeDocument/2006/relationships/hyperlink" Target="https://doi.org/10.64861/WXIJ8208" TargetMode="External"/></Relationships>
</file>

<file path=word/_rels/footnotes.xml.rels><?xml version='1.0' encoding='UTF-8' standalone='yes'?>
<Relationships xmlns="http://schemas.openxmlformats.org/package/2006/relationships"><Relationship Id="rId206" Type="http://schemas.openxmlformats.org/officeDocument/2006/relationships/hyperlink" Target="https://doi.org/10.1016/j.actaastro.2020.07.004" TargetMode="External"/><Relationship Id="rId208" Type="http://schemas.openxmlformats.org/officeDocument/2006/relationships/hyperlink" Target="https://doi.org/10.1016/j.actaastro.2024.02.024" TargetMode="External"/><Relationship Id="rId185" Type="http://schemas.openxmlformats.org/officeDocument/2006/relationships/hyperlink" Target="https://doi.org/10.1016/j.actaastro.2024.09.003" TargetMode="External"/><Relationship Id="rId212" Type="http://schemas.openxmlformats.org/officeDocument/2006/relationships/hyperlink" Target="https://doi.org/10.1016/j.actaastro.2025.04.041" TargetMode="External"/><Relationship Id="rId214" Type="http://schemas.openxmlformats.org/officeDocument/2006/relationships/hyperlink" Target="https://doi.org/10.1016/j.actaastro.2025.05.036" TargetMode="External"/><Relationship Id="rId204" Type="http://schemas.openxmlformats.org/officeDocument/2006/relationships/hyperlink" Target="https://doi.org/10.1016/j.actaastro.2025.06.067" TargetMode="External"/><Relationship Id="rId187" Type="http://schemas.openxmlformats.org/officeDocument/2006/relationships/hyperlink" Target="https://doi.org/10.1016/j.actaastro.2025.08.048" TargetMode="External"/><Relationship Id="rId175" Type="http://schemas.openxmlformats.org/officeDocument/2006/relationships/hyperlink" Target="https://doi.org/10.1016/j.actaastro.2025.10.018" TargetMode="External"/><Relationship Id="rId210" Type="http://schemas.openxmlformats.org/officeDocument/2006/relationships/hyperlink" Target="https://doi.org/10.1016/j.actaastro.2026.03.026" TargetMode="External"/><Relationship Id="rId196" Type="http://schemas.openxmlformats.org/officeDocument/2006/relationships/hyperlink" Target="https://doi.org/10.64861/KKFT4985" TargetMode="External"/><Relationship Id="rId200" Type="http://schemas.openxmlformats.org/officeDocument/2006/relationships/hyperlink" Target="https://doi.org/10.64861/NUFH1261" TargetMode="External"/><Relationship Id="rId198" Type="http://schemas.openxmlformats.org/officeDocument/2006/relationships/hyperlink" Target="https://doi.org/10.64861/QBNC8763" TargetMode="External"/><Relationship Id="rId182" Type="http://schemas.openxmlformats.org/officeDocument/2006/relationships/hyperlink" Target="https://doi.org/10.64861/TRSQ4124" TargetMode="External"/><Relationship Id="rId179" Type="http://schemas.openxmlformats.org/officeDocument/2006/relationships/hyperlink" Target="https://doi.org/10.64861/VEWW9997" TargetMode="External"/><Relationship Id="rId177" Type="http://schemas.openxmlformats.org/officeDocument/2006/relationships/hyperlink" Target="https://doi.org/10.64861/WXIJ82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Cyber Incident Disclosure and Market Discipline: Do Disclosed Space-System Cyber Events Move Operator Equity and Bond Spreads:</dc:title>
  <dc:creator>Nia Berger (1B-ITI-137)</dc:creator>
  <cp:keywords/>
  <dcterms:created xsi:type="dcterms:W3CDTF">2026-07-03T23:25:34Z</dcterms:created>
  <dcterms:modified xsi:type="dcterms:W3CDTF">2026-07-03T23:25:34Z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