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AUTONOMY AND THE SPEED-SAFETY TRADEOFF: DOES FASTER AUTONOMOUS RESPONSE COMPRESS</w:t>
      </w:r>
    </w:p>
    <w:p>
      <w:pPr>
        <w:jc w:val="center"/>
      </w:pPr>
    </w:p>
    <w:p>
      <w:pPr>
        <w:jc w:val="center"/>
      </w:pPr>
      <w:r>
        <w:rPr>
          <w:rFonts w:ascii="Times New Roman" w:hAnsi="Times New Roman"/>
          <w:sz w:val="24"/>
        </w:rPr>
        <w:t>by</w:t>
      </w:r>
    </w:p>
    <w:p>
      <w:pPr>
        <w:jc w:val="center"/>
      </w:pPr>
      <w:r>
        <w:rPr>
          <w:rFonts w:ascii="Times New Roman" w:hAnsi="Times New Roman"/>
          <w:b/>
          <w:sz w:val="28"/>
        </w:rPr>
        <w:t>Beatriz Romano</w:t>
      </w:r>
    </w:p>
    <w:p>
      <w:pPr>
        <w:jc w:val="center"/>
      </w:pPr>
      <w:r>
        <w:rPr>
          <w:rFonts w:ascii="Times New Roman" w:hAnsi="Times New Roman"/>
          <w:sz w:val="24"/>
        </w:rPr>
        <w:t>1B-ITI-127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Spacecraft information technology infrastructure now acts before it asks. Onboard fault detection, isolation, and recovery (FDIR) loops trigger safe-mode transitions, reconfigurations, and in some architectures self-removal without waiting for ground confirmation</w:t>
      </w:r>
      <w:r>
        <w:t xml:space="preserve"> </w:t>
      </w:r>
      <w:hyperlink w:anchor="ref-6">
        <w:r>
          <w:rPr>
            <w:rStyle w:val="Hyperlink"/>
          </w:rPr>
          <w:t xml:space="preserve">[6]</w:t>
        </w:r>
      </w:hyperlink>
      <w:r>
        <w:t xml:space="preserve">. On the ground segment, automated change detection, machine learning situational awareness, and dynamic sensor tasking have folded into pipelines that once demanded human review at every node [2,3,5]. Where communication windows are too narrow for ground-loop arbitration, agent-based mission management frameworks coordinate FDIR and resource allocation across whole distributed-spacecraft formations [1,32]. What all of this compresses is the interval between detecting an anomaly and actuating a response. An operator shift used to stand in that interval; a control-loop iteration stands there now, and the gap between the two has all but disappeared.</w:t>
      </w:r>
    </w:p>
    <w:p>
      <w:pPr>
        <w:pStyle w:val="BodyText"/>
        <w:spacing w:line="480" w:lineRule="auto"/>
        <w:ind w:firstLine="720"/>
      </w:pPr>
      <w:r>
        <w:t xml:space="preserve">The premise behind the transition is easy to state. A spacecraft held in an unsafe state accumulates damage in proportion to its dwell time, so faster response shortens the dwell and limits the harm. Read this way, onboard autonomy looks like a uniformly protective technology whose value grows with every second of latency it removes. Where the premise has been measured, it holds. Companion empirical work in this dissertation bears it out: across thirty-five documented on-orbit anomalies between 1998 and 2025, each one-step increase along an ordinal autonomy scale carries a hazard ratio of approximately 2.49 for time-to-recovery, the autonomy coefficient significant at p equal to 0.0084 in a Cox proportional-hazards model that controls for subsystem complexity and ground-contact gap. Put in operational terms, a spacecraft at the highest sampled autonomy level clears a declared fault at roughly six times the instantaneous rate of an otherwise comparable spacecraft at the lowest. The protective side of the ledger is real. It can be counted.</w:t>
      </w:r>
    </w:p>
    <w:p>
      <w:pPr>
        <w:pStyle w:val="BodyText"/>
        <w:spacing w:line="480" w:lineRule="auto"/>
        <w:ind w:firstLine="720"/>
      </w:pPr>
      <w:r>
        <w:t xml:space="preserve">The concern runs alongside it. Whatever compresses recovery time compresses decision time as well, because once an autonomy module holds a license to act, it acts before the supervisory checks that historically caught miscategorized anomalies can finish running. The crew resource management literature for space domain operations makes this case qualitatively: operators identify anomalies more reliably when they stay in active control, and squeezing the decision window foreseeably erodes the human supervisory function that has long served as the last line of defense against false positives and ambiguous edge cases [4,25]. Companion empirical work here confirms that the squeeze is large, not incremental. Regressing operator decision latency on autonomy level across thirty-five documented collision-avoidance events by ordinary least squares, each one-step increase in autonomy is associated with a 9.16-hour reduction in that latency, the coefficient significant at p below 0.001 with an adjusted R-squared of 0.90. Against the conjunction data message lead times typical of low Earth orbit, nine hours is not a trim at the margin. It is a substantial fraction of the decision window itself.</w:t>
      </w:r>
    </w:p>
    <w:p>
      <w:pPr>
        <w:pStyle w:val="BodyText"/>
        <w:spacing w:line="480" w:lineRule="auto"/>
        <w:ind w:firstLine="720"/>
      </w:pPr>
      <w:r>
        <w:t xml:space="preserve">From that pairing the dissertation question follows: does compressing the decision window degrade the safety classification of the response that finally gets committed? The two results above bracket the question without settling it. One shows that autonomy accelerates recovery, the protective effect that follows a correct diagnosis. The other shows that autonomy shortens the time available to form that diagnosis, the channel through which an incorrect diagnosis could propagate into a committed action. Neither measures how often the action committed under compressed latency is later judged inappropriate, and that rate is what decides whether the speed gain is bought at a safety cost, and at what exchange ratio. That rate is the missing number. Estimating it is the work of this dissertation.</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Nowhere is the question sharper than at NASA and the Jet Propulsion Laboratory. NASA flies an operational fleet whose autonomy posture varies across vehicles, across missions, and within a single vehicle as flight software is updated. Published operational records from the Starling mission cover reconfiguration and responsiveness in dynamic orbital environments [7,11], supplying a treated population of small spacecraft with documented autonomy tiers and on-orbit FDIR actuations whose anomaly classifications appear in the NASA anomaly reporting system. Starling is only one corner of the portfolio. The agency also flies ground-loop science missions whose conjunction screening still runs on operator shift cadences and deep-space platforms whose round-trip light times foreclosed ground-led recovery decades ago [10,29]. Rayman’s lesson from Dawn is that mature deep-space platforms lean on onboard autonomous response for minor anomalies precisely because the ground loop is unavailable inside any acceptable window</w:t>
      </w:r>
      <w:r>
        <w:t xml:space="preserve"> </w:t>
      </w:r>
      <w:hyperlink w:anchor="ref-10">
        <w:r>
          <w:rPr>
            <w:rStyle w:val="Hyperlink"/>
          </w:rPr>
          <w:t xml:space="preserve">[10]</w:t>
        </w:r>
      </w:hyperlink>
      <w:r>
        <w:t xml:space="preserve">. Turan, Speretta, and Gill draw a lesson of the same shape from the small-satellite navigation literature, one that increasingly applies to platforms an order of magnitude closer than Dawn</w:t>
      </w:r>
      <w:r>
        <w:t xml:space="preserve"> </w:t>
      </w:r>
      <w:hyperlink w:anchor="ref-29">
        <w:r>
          <w:rPr>
            <w:rStyle w:val="Hyperlink"/>
          </w:rPr>
          <w:t xml:space="preserve">[29]</w:t>
        </w:r>
      </w:hyperlink>
      <w:r>
        <w:t xml:space="preserve">.</w:t>
      </w:r>
    </w:p>
    <w:p>
      <w:pPr>
        <w:pStyle w:val="BodyText"/>
        <w:spacing w:line="480" w:lineRule="auto"/>
        <w:ind w:firstLine="720"/>
      </w:pPr>
      <w:r>
        <w:t xml:space="preserve">So the governance question NASA confronts is portfolio-wide. Somewhere in the catalog of FDIR triggers, autonomy tiers, and supervisory checks, the speed gain stops being protective and tips into a regime where faster action is also worse action. Absent a quantitative elasticity, intuition and precedent answer that question instead of evidence.</w:t>
      </w:r>
    </w:p>
    <w:p>
      <w:pPr>
        <w:pStyle w:val="BodyText"/>
        <w:spacing w:line="480" w:lineRule="auto"/>
        <w:ind w:firstLine="720"/>
      </w:pPr>
      <w:r>
        <w:t xml:space="preserve">JPL inherits the same problem with a harder edge. Its deep-space platforms have always operated under autonomy regimes that ground operations cannot supervise in real time. When the InSight HP3 mole, the Lucy solar array, and the Kepler reaction wheels failed, each entered anomaly classification under circumstances where the ground loop could not have intervened inside the relevant window. As the lab pushes autonomy into mission classes whose anomaly distributions are less well characterized, among them small-body proximity operations</w:t>
      </w:r>
      <w:r>
        <w:t xml:space="preserve"> </w:t>
      </w:r>
      <w:hyperlink w:anchor="ref-10">
        <w:r>
          <w:rPr>
            <w:rStyle w:val="Hyperlink"/>
          </w:rPr>
          <w:t xml:space="preserve">[10]</w:t>
        </w:r>
      </w:hyperlink>
      <w:r>
        <w:t xml:space="preserve"> </w:t>
      </w:r>
      <w:r>
        <w:t xml:space="preserve">and lunar subsurface exploration</w:t>
      </w:r>
      <w:r>
        <w:t xml:space="preserve"> </w:t>
      </w:r>
      <w:hyperlink w:anchor="ref-26">
        <w:r>
          <w:rPr>
            <w:rStyle w:val="Hyperlink"/>
          </w:rPr>
          <w:t xml:space="preserve">[26]</w:t>
        </w:r>
      </w:hyperlink>
      <w:r>
        <w:t xml:space="preserve">, the live question is no longer whether to deploy autonomy but at what tier and behind what supervisory check. New generative anomaly-response work for cyclical environmental control systems in deep-space habitats shows how large that design space has become</w:t>
      </w:r>
      <w:r>
        <w:t xml:space="preserve"> </w:t>
      </w:r>
      <w:hyperlink w:anchor="ref-28">
        <w:r>
          <w:rPr>
            <w:rStyle w:val="Hyperlink"/>
          </w:rPr>
          <w:t xml:space="preserve">[28]</w:t>
        </w:r>
      </w:hyperlink>
      <w:r>
        <w:t xml:space="preserve">.</w:t>
      </w:r>
    </w:p>
    <w:p>
      <w:pPr>
        <w:pStyle w:val="BodyText"/>
        <w:spacing w:line="480" w:lineRule="auto"/>
        <w:ind w:firstLine="720"/>
      </w:pPr>
      <w:r>
        <w:t xml:space="preserve">A module that answers a thermal excursion correctly in a deep-space habitat can also trip on a transient sensor artifact that a human reviewer would have flagged as a sensor problem rather than a process problem. At deep-space distances the cost of an inappropriate response classification is asymmetric, because the ground loop that might have corrected the misjudged action is itself out of reach.</w:t>
      </w:r>
    </w:p>
    <w:p>
      <w:pPr>
        <w:pStyle w:val="BodyText"/>
        <w:spacing w:line="480" w:lineRule="auto"/>
        <w:ind w:firstLine="720"/>
      </w:pPr>
      <w:r>
        <w:t xml:space="preserve">Beyond NASA and JPL, the stakes only widen. The FCC semi-annual constellation reports document a commercial fleet in which onboard autonomous collision avoidance has become the operational baseline</w:t>
      </w:r>
      <w:r>
        <w:t xml:space="preserve"> </w:t>
      </w:r>
      <w:hyperlink w:anchor="ref-15">
        <w:r>
          <w:rPr>
            <w:rStyle w:val="Hyperlink"/>
          </w:rPr>
          <w:t xml:space="preserve">[15]</w:t>
        </w:r>
      </w:hyperlink>
      <w:r>
        <w:t xml:space="preserve">. Against that baseline sit the legacy ground-loop populations captured in the International Space Station maneuver records</w:t>
      </w:r>
      <w:r>
        <w:t xml:space="preserve"> </w:t>
      </w:r>
      <w:hyperlink w:anchor="ref-16">
        <w:r>
          <w:rPr>
            <w:rStyle w:val="Hyperlink"/>
          </w:rPr>
          <w:t xml:space="preserve">[16]</w:t>
        </w:r>
      </w:hyperlink>
      <w:r>
        <w:t xml:space="preserve"> </w:t>
      </w:r>
      <w:r>
        <w:t xml:space="preserve">and the Aeolus and Sentinel operations logs</w:t>
      </w:r>
      <w:r>
        <w:t xml:space="preserve"> </w:t>
      </w:r>
      <w:hyperlink w:anchor="ref-17">
        <w:r>
          <w:rPr>
            <w:rStyle w:val="Hyperlink"/>
          </w:rPr>
          <w:t xml:space="preserve">[17]</w:t>
        </w:r>
      </w:hyperlink>
      <w:r>
        <w:t xml:space="preserve">. An elasticity estimated defensibly on the NASA scientific population, then, answers more than a NASA question. It supplies the first empirical anchor for a governance debate whose qualitative version has already run for a decade</w:t>
      </w:r>
      <w:r>
        <w:t xml:space="preserve"> </w:t>
      </w:r>
      <w:hyperlink w:anchor="ref-19">
        <w:r>
          <w:rPr>
            <w:rStyle w:val="Hyperlink"/>
          </w:rPr>
          <w:t xml:space="preserve">[19]</w:t>
        </w:r>
      </w:hyperlink>
      <w:r>
        <w:t xml:space="preserve"> </w:t>
      </w:r>
      <w:r>
        <w:t xml:space="preserve">with no magnitude attached to it.</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contribution of this dissertation sits in the gap between two literatures that have run in parallel and, until now, never met at the point of measurement.</w:t>
      </w:r>
    </w:p>
    <w:p>
      <w:pPr>
        <w:pStyle w:val="BodyText"/>
        <w:spacing w:line="480" w:lineRule="auto"/>
        <w:ind w:firstLine="720"/>
      </w:pPr>
      <w:r>
        <w:t xml:space="preserve">One is the domain literature on spacecraft autonomy. Recent surveys catalogue agent-based methodologies for distributed space systems and mission management, and they name open research challenges around resilience and response coordination [1,32]. FDIR self-removal work specifies triggering logic and passivation responses, yet treats the autonomy threshold as a design parameter to be set rather than an empirical variable whose downstream consequences can be measured against an outcome</w:t>
      </w:r>
      <w:r>
        <w:t xml:space="preserve"> </w:t>
      </w:r>
      <w:hyperlink w:anchor="ref-6">
        <w:r>
          <w:rPr>
            <w:rStyle w:val="Hyperlink"/>
          </w:rPr>
          <w:t xml:space="preserve">[6]</w:t>
        </w:r>
      </w:hyperlink>
      <w:r>
        <w:t xml:space="preserve">. Adjacent streams demonstrate that automated characterization improves responsiveness for low Earth orbit operators [2,3], that automated change detection accelerates anomaly identification in geosynchronous orbit</w:t>
      </w:r>
      <w:r>
        <w:t xml:space="preserve"> </w:t>
      </w:r>
      <w:hyperlink w:anchor="ref-5">
        <w:r>
          <w:rPr>
            <w:rStyle w:val="Hyperlink"/>
          </w:rPr>
          <w:t xml:space="preserve">[5]</w:t>
        </w:r>
      </w:hyperlink>
      <w:r>
        <w:t xml:space="preserve">, and that integrated information monitoring architectures compress the perception-to-action loop across the full operational stack</w:t>
      </w:r>
      <w:r>
        <w:t xml:space="preserve"> </w:t>
      </w:r>
      <w:hyperlink w:anchor="ref-8">
        <w:r>
          <w:rPr>
            <w:rStyle w:val="Hyperlink"/>
          </w:rPr>
          <w:t xml:space="preserve">[8]</w:t>
        </w:r>
      </w:hyperlink>
      <w:r>
        <w:t xml:space="preserve">. Reinforcement-learning scheduling and autonomous mission planning carry the same logic into tasking and attitude optimization [14,20,21]. Hybrid onboard fault detection and root-cause analysis push it into the diagnostic loop [9,23], edge deployments of deep-learning swarms push it into the sensing layer</w:t>
      </w:r>
      <w:r>
        <w:t xml:space="preserve"> </w:t>
      </w:r>
      <w:hyperlink w:anchor="ref-22">
        <w:r>
          <w:rPr>
            <w:rStyle w:val="Hyperlink"/>
          </w:rPr>
          <w:t xml:space="preserve">[22]</w:t>
        </w:r>
      </w:hyperlink>
      <w:r>
        <w:t xml:space="preserve">, and event-based sensor biasing pushes it further into the signal chain</w:t>
      </w:r>
      <w:r>
        <w:t xml:space="preserve"> </w:t>
      </w:r>
      <w:hyperlink w:anchor="ref-24">
        <w:r>
          <w:rPr>
            <w:rStyle w:val="Hyperlink"/>
          </w:rPr>
          <w:t xml:space="preserve">[24]</w:t>
        </w:r>
      </w:hyperlink>
      <w:r>
        <w:t xml:space="preserve">. Throughout, the autonomy lever reads as a design degree of freedom, tuned to mission requirements, latency budgets, and the autonomy testbed conventions that grew up around them</w:t>
      </w:r>
      <w:r>
        <w:t xml:space="preserve"> </w:t>
      </w:r>
      <w:hyperlink w:anchor="ref-18">
        <w:r>
          <w:rPr>
            <w:rStyle w:val="Hyperlink"/>
          </w:rPr>
          <w:t xml:space="preserve">[18]</w:t>
        </w:r>
      </w:hyperlink>
      <w:r>
        <w:t xml:space="preserve">.</w:t>
      </w:r>
    </w:p>
    <w:p>
      <w:pPr>
        <w:pStyle w:val="BodyText"/>
        <w:spacing w:line="480" w:lineRule="auto"/>
        <w:ind w:firstLine="720"/>
      </w:pPr>
      <w:r>
        <w:t xml:space="preserve">This body of work is detailed, sophisticated, and operationally relevant. What it does not do is estimate the elasticity of an outcome variable with respect to that lever.</w:t>
      </w:r>
    </w:p>
    <w:p>
      <w:pPr>
        <w:pStyle w:val="BodyText"/>
        <w:spacing w:line="480" w:lineRule="auto"/>
        <w:ind w:firstLine="720"/>
      </w:pPr>
      <w:r>
        <w:t xml:space="preserve">The other is the econometric method literature on identifying causal effects from observational panel data, where the estimators the gap calls for are already well developed and, for anyone trained in the tradition, entirely familiar. Conditional logit on a binary outcome with subject-level fixed effects, robust standard errors clustered at the subject level, and placebo tests on pre-treatment variation form the standard kit. Cox proportional-hazards regression with sensible tie handling, ordinary least squares with operator fixed effects on a latency outcome, and difference-in-differences designs that exploit within-unit policy changes are equally standard. Two of them appear in the companion papers. A labor economist or a clinical epidemiologist would recognize the Cox model on time-to-recovery and the OLS regression on operator decision latency without translation. What no one has yet done, at the scale and with the identification strategy this dissertation proposes, is turn those tools on the autonomy-tier-to-safety-classification question in operational spacecraft FDIR.</w:t>
      </w:r>
    </w:p>
    <w:p>
      <w:pPr>
        <w:pStyle w:val="BodyText"/>
        <w:spacing w:line="480" w:lineRule="auto"/>
        <w:ind w:firstLine="720"/>
      </w:pPr>
      <w:r>
        <w:t xml:space="preserve">The gap, then, belongs to neither literature on its own. It lives at their interface. One side holds the data, the operational stakes, and the architectural taxonomies; the other holds the estimators, the identification strategies, and the conventions for reading elasticities under maintained assumptions. Crossing between them takes a panel design the domain literature has no vocabulary for and a substantive grasp of the autonomy lever the method literature has no access to. The CRM piece poses the question in operational terms and asserts a sign on the answer [4,25]. The agent-based surveys catalogue the architectural variation that would identify it [1,32]. The Starling disclosures furnish the treated population on which it can be measured [7,11]. Tying these together calls for conditional logit on a panel with within-unit fixed effects. No paper to date has assembled the design and run it. This one does.</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I state the contribution precisely, so that it can be falsified.</w:t>
      </w:r>
    </w:p>
    <w:p>
      <w:pPr>
        <w:pStyle w:val="BodyText"/>
        <w:spacing w:line="480" w:lineRule="auto"/>
        <w:ind w:firstLine="720"/>
      </w:pPr>
      <w:r>
        <w:t xml:space="preserve">Let i index spacecraft and t index FDIR events on spacecraft i. Set y_it to one if the response committed in event (i,t) is classified as inappropriate in post-event anomaly review board records, and zero otherwise. Let a_it denote the mean time-to-actuation that governs the autonomy tier in force on spacecraft i at event t, measured as the wall-clock interval from anomaly detection to response commit. Let x_it denote anomaly type and w_it operator workload during the event window, and let alpha_i denote a spacecraft fixed effect. The estimating equation is a conditional logit on y_it as a function of a_it, x_it, w_it, and alpha_i, with robust standard errors clustered at the spacecraft level.</w:t>
      </w:r>
    </w:p>
    <w:p>
      <w:pPr>
        <w:pStyle w:val="BodyText"/>
        <w:spacing w:line="480" w:lineRule="auto"/>
        <w:ind w:firstLine="720"/>
      </w:pPr>
      <w:r>
        <w:t xml:space="preserve">Under the null, the coefficient on a_it is zero: conditional on anomaly type, operator workload, and spacecraft fixed effects, the log-odds of an inappropriate response classification are independent of the time-to-actuation that governs the autonomy tier. The alternative makes that coefficient positive, so that compressing the time-to-actuation raises the log-odds of an inappropriate classification. Expressed as an elasticity over the operationally relevant range of a_it observed in the panel, the point estimate and confidence interval on the coefficient are the contribution.</w:t>
      </w:r>
    </w:p>
    <w:p>
      <w:pPr>
        <w:pStyle w:val="BodyText"/>
        <w:spacing w:line="480" w:lineRule="auto"/>
        <w:ind w:firstLine="720"/>
      </w:pPr>
      <w:r>
        <w:t xml:space="preserve">That contribution is falsifiable in three senses. A sufficiently precise zero coefficient falsifies the operational concern the CRM literature raises [4,25] and licenses an autonomy posture in which speed is treated as a uniform virtue. A positive coefficient whose magnitude is small relative to the recovery hazard ratio established in the companion paper licenses a posture in which the speed gain reads as net protective in expectation, with the elasticity documented as a bound to monitor rather than a constraint to design around. A positive coefficient whose magnitude is large relative to that hazard ratio establishes the conditional governance posture the companion discussion sketches, in which the same autonomy module is licensed for fault response and gated for irreversible operational commitments. Each of the three regimes is empirically distinguishable from the other two on the basis of the estimated coefficient and its confidence interval. Which regime obtains is not asserted in advance. The dissertation estimates the parameter that decides.</w:t>
      </w:r>
    </w:p>
    <w:p>
      <w:pPr>
        <w:pStyle w:val="BodyText"/>
        <w:spacing w:line="480" w:lineRule="auto"/>
        <w:ind w:firstLine="720"/>
      </w:pPr>
      <w:r>
        <w:t xml:space="preserve">The identifying variation is the within-spacecraft, within-anomaly-class change in time-to-actuation that occurs when a flight software update shifts the autonomy tier. The exclusion restriction is that flight software update timing is uncorrelated with the unobserved difficulty of the anomalies subsequently encountered, conditional on anomaly type, and it is testable by a placebo regression on pre-update event difficulty, which the design pre-registers. Three threats to validity bear on the estimate: selection on orbital regime, classification endogeneity in review board records, and external validity beyond the LEO scientific mission population. Each meets a specific design choice or sensitivity analysis. The within-spacecraft fixed effects design absorbs the first. A blinded re-classification on a sample of review board records addresses the second. A conditional reporting convention, under which the elasticity is reported as conditional on the LEO scientific population and not extrapolated without re-estimation on a commercial sample, addresses the third.</w:t>
      </w:r>
    </w:p>
    <w:p>
      <w:pPr>
        <w:pStyle w:val="BodyText"/>
        <w:spacing w:line="480" w:lineRule="auto"/>
        <w:ind w:firstLine="720"/>
      </w:pPr>
      <w:r>
        <w:t xml:space="preserve">So the contribution is not a claim about autonomy in the abstract. It is one number. It is a single coefficient, estimated on a defined population, with a pre-registered identification strategy and a placebo test the design either passes or fails, and a reader can verify it by reading the regression table.</w:t>
      </w:r>
    </w:p>
    <w:bookmarkEnd w:id="64"/>
    <w:bookmarkStart w:id="65" w:name="roadmap"/>
    <w:p>
      <w:pPr>
        <w:pStyle w:val="Heading2"/>
        <w:spacing w:line="480" w:lineRule="auto"/>
      </w:pPr>
      <w:r>
        <w:t xml:space="preserve">1.5 Roadmap</w:t>
      </w:r>
    </w:p>
    <w:p>
      <w:pPr>
        <w:pStyle w:val="FirstParagraph"/>
        <w:spacing w:line="480" w:lineRule="auto"/>
      </w:pPr>
      <w:r>
        <w:t xml:space="preserve">Five chapters carry the argument forward. Chapter 2 reviews the two literatures in detail, tracing the domain literature on spacecraft autonomy from the early FDIR self-removal architectures</w:t>
      </w:r>
      <w:r>
        <w:t xml:space="preserve"> </w:t>
      </w:r>
      <w:hyperlink w:anchor="ref-6">
        <w:r>
          <w:rPr>
            <w:rStyle w:val="Hyperlink"/>
          </w:rPr>
          <w:t xml:space="preserve">[6]</w:t>
        </w:r>
      </w:hyperlink>
      <w:r>
        <w:t xml:space="preserve"> </w:t>
      </w:r>
      <w:r>
        <w:t xml:space="preserve">through the agent-based mission management surveys [1,32] and into the present generation of machine-learning situational awareness, dynamic sensor tasking, and edge deployments [2,3,5,8,9,14,18,20,21,22,23,24]. It takes in the deep-space and habitat extensions whose anomaly distributions inform the external validity discussion [10,26,28,29,30], then turns to the econometric method literature on panel identification, conditional logit, and the diagnostics that separate robust elasticity estimates from artifacts. The two reviews close where they intersect, with the substantive question posed in estimator form.</w:t>
      </w:r>
    </w:p>
    <w:p>
      <w:pPr>
        <w:pStyle w:val="BodyText"/>
        <w:spacing w:line="480" w:lineRule="auto"/>
        <w:ind w:firstLine="720"/>
      </w:pPr>
      <w:r>
        <w:t xml:space="preserve">Chapter 3 develops the formal theory. It states the speed-safety elasticity as a population parameter, derives the conditions under which conditional logit on within-spacecraft variation identifies it, and sets out the falsification conditions in their formal version. It also derives how the elasticity estimated here relates to the hazard ratio estimated in the companion recovery analysis, so that the two parameters combine into a coherent autonomy posture rather than reading as unrelated results.</w:t>
      </w:r>
    </w:p>
    <w:p>
      <w:pPr>
        <w:pStyle w:val="BodyText"/>
        <w:spacing w:line="480" w:lineRule="auto"/>
        <w:ind w:firstLine="720"/>
      </w:pPr>
      <w:r>
        <w:t xml:space="preserve">Chapter 4 documents the data and its provenance: the NASA Spacecraft Anomaly and Failure Records database, the NASA Engineering Network anomaly reporting system, the Starling operational records [7,11], the FCC semi-annual constellation reports used for the commercial comparison</w:t>
      </w:r>
      <w:r>
        <w:t xml:space="preserve"> </w:t>
      </w:r>
      <w:hyperlink w:anchor="ref-15">
        <w:r>
          <w:rPr>
            <w:rStyle w:val="Hyperlink"/>
          </w:rPr>
          <w:t xml:space="preserve">[15]</w:t>
        </w:r>
      </w:hyperlink>
      <w:r>
        <w:t xml:space="preserve">, the ISS pre-determined debris avoidance maneuver records</w:t>
      </w:r>
      <w:r>
        <w:t xml:space="preserve"> </w:t>
      </w:r>
      <w:hyperlink w:anchor="ref-16">
        <w:r>
          <w:rPr>
            <w:rStyle w:val="Hyperlink"/>
          </w:rPr>
          <w:t xml:space="preserve">[16]</w:t>
        </w:r>
      </w:hyperlink>
      <w:r>
        <w:t xml:space="preserve">, the ESA Aeolus and Sentinel logs used for the legacy ground-loop comparison</w:t>
      </w:r>
      <w:r>
        <w:t xml:space="preserve"> </w:t>
      </w:r>
      <w:hyperlink w:anchor="ref-17">
        <w:r>
          <w:rPr>
            <w:rStyle w:val="Hyperlink"/>
          </w:rPr>
          <w:t xml:space="preserve">[17]</w:t>
        </w:r>
      </w:hyperlink>
      <w:r>
        <w:t xml:space="preserve">, and the construction of the autonomy tier coding, the anomaly type taxonomy, the operator workload measure, and the post-event inappropriate-response classification. Every variable is defined precisely and its provenance recorded.</w:t>
      </w:r>
    </w:p>
    <w:p>
      <w:pPr>
        <w:pStyle w:val="BodyText"/>
        <w:spacing w:line="480" w:lineRule="auto"/>
        <w:ind w:firstLine="720"/>
      </w:pPr>
      <w:r>
        <w:t xml:space="preserve">Chapter 5 reports the estimation. It presents the main conditional logit estimate of the speed-safety elasticity, the placebo regression on pre-update event difficulty, the blinded re-classification sensitivity analysis, the sample restrictions and robustness checks, and the conditional reporting of the elasticity over the operationally relevant range of time-to-actuation. It also presents the combined posture analysis that ties this elasticity to the recovery hazard ratio from the companion paper, so the joint operational implication is visible in a single table.</w:t>
      </w:r>
    </w:p>
    <w:p>
      <w:pPr>
        <w:pStyle w:val="BodyText"/>
        <w:spacing w:line="480" w:lineRule="auto"/>
        <w:ind w:firstLine="720"/>
      </w:pPr>
      <w:r>
        <w:t xml:space="preserve">Chapter 6 draws the implications. It states the governance posture the estimate licenses for the LEO scientific mission population, identifies the populations for which the estimate must be re-estimated before extrapolation, and lays out the research program the result opens. It closes by returning to the stakes for NASA and JPL set out here, and by saying which of those stakes the dissertation has resolved, which it has bounded, and which it has left to future work.</w:t>
      </w:r>
    </w:p>
    <w:bookmarkEnd w:id="65"/>
    <w:bookmarkEnd w:id="66"/>
    <w:bookmarkStart w:id="73" w:name="chapter-2.-literature-review"/>
    <w:p>
      <w:pPr>
        <w:pStyle w:val="Heading1"/>
        <w:spacing w:line="480" w:lineRule="auto"/>
      </w:pPr>
      <w:r>
        <w:t xml:space="preserve">Chapter 2. Literature Review</w:t>
      </w:r>
    </w:p>
    <w:bookmarkStart w:id="67" w:name="introduction-and-organizing-logic"/>
    <w:p>
      <w:pPr>
        <w:pStyle w:val="Heading2"/>
        <w:spacing w:line="480" w:lineRule="auto"/>
      </w:pPr>
      <w:r>
        <w:t xml:space="preserve">2.1 Introduction and Organizing Logic</w:t>
      </w:r>
    </w:p>
    <w:p>
      <w:pPr>
        <w:pStyle w:val="FirstParagraph"/>
        <w:spacing w:line="480" w:lineRule="auto"/>
      </w:pPr>
      <w:r>
        <w:t xml:space="preserve">Two literatures bear on this dissertation, and until recently they developed in near-total isolation from one another. One is the technical literature on autonomy in spacecraft information technology infrastructure, concerned mostly with fault detection, isolation, and recovery (FDIR), with autonomous conjunction assessment and collision avoidance, with machine-learning-based situational awareness, and with the wider class of agent-based architectures for distributed space systems. The other is the empirical methodology literature that civil-space researchers have lately begun importing from cliometrics, survival analysis, and observational econometrics in order to recover causal estimates from operational records rather than from controlled experiments. The first defines the design parameters and operational mechanisms by which autonomy compresses the latency between detection and actuation. The second supplies the analytic apparatus that could, in principle, measure the consequences of that compression. Joining them has not happened. That seam is where this dissertation works.</w:t>
      </w:r>
    </w:p>
    <w:p>
      <w:pPr>
        <w:pStyle w:val="BodyText"/>
        <w:spacing w:line="480" w:lineRule="auto"/>
        <w:ind w:firstLine="720"/>
      </w:pPr>
      <w:r>
        <w:t xml:space="preserve">The organizing claim of the chapter is that the missing joint treatment is no accident. Engineers wrote the technical literature for engineers, and their object was to show that a given autonomous architecture is feasible, safe in a worst-case design sense, and operationally acceptable within mission-specific risk tolerances [1,6,9]. The methodology literature, where it has touched space at all, has gravitated toward policy-adjacent questions such as deterrence, escalation control, and aviation-safety analogues, rather than the architectural question of how much speed an operator can absorb before supervisory judgment gives way [19,25]. The dissertation’s central question, whether faster autonomous response systematically compresses the operator decision window in ways that degrade safety outcomes, falls in the seam between the two and is served poorly by either alone.</w:t>
      </w:r>
    </w:p>
    <w:p>
      <w:pPr>
        <w:pStyle w:val="BodyText"/>
        <w:spacing w:line="480" w:lineRule="auto"/>
        <w:ind w:firstLine="720"/>
      </w:pPr>
      <w:r>
        <w:t xml:space="preserve">Five sections follow. Section 2.2 surveys the agent-based architectural literature on distributed space systems and locates FDIR within it. Section 2.3 reviews the onboard autonomy literature specific to fault management and self-removal, drawing the line between protective and destructive uses of compressed reaction time. Section 2.4 turns to conjunction assessment and collision avoidance, where the speed-safety tradeoff shows up most plainly in operational practice. Section 2.5 reviews the cliometric and econometric methodology literature as civil-space researchers have applied it, including survival analysis, conditional logit estimation, and observational panel designs. Section 2.6 names the gap this dissertation fills and states the synthetic claim that animates the chapters to come.</w:t>
      </w:r>
    </w:p>
    <w:bookmarkEnd w:id="67"/>
    <w:bookmarkStart w:id="68" w:name="Xed1c4462634a03382afff1fbde0ef1ac3faff13"/>
    <w:p>
      <w:pPr>
        <w:pStyle w:val="Heading2"/>
        <w:spacing w:line="480" w:lineRule="auto"/>
      </w:pPr>
      <w:r>
        <w:t xml:space="preserve">2.2 Agent-Based Architectures for Distributed Space Systems</w:t>
      </w:r>
    </w:p>
    <w:p>
      <w:pPr>
        <w:pStyle w:val="FirstParagraph"/>
        <w:spacing w:line="480" w:lineRule="auto"/>
      </w:pPr>
      <w:r>
        <w:t xml:space="preserve">Over the past decade the architectural literature on agent-based methodologies for distributed space systems has matured quickly, and the comprehensive survey by Jabbarpour and colleagues now serves as its canonical entry point [1,32]. That survey classifies agent-based methodologies along several axes: the locus of decision authority, the coordination protocol between agents, the degree of onboard autonomy, and the treatment of fault tolerance. For the present dissertation its chief value lies in one admission it makes plainly. By naming open challenges around resilience and response coordination over time, it concedes that the field has not yet produced empirical estimates of how the design parameters its taxonomy enumerates translate into safety outcomes on operational fleets.</w:t>
      </w:r>
    </w:p>
    <w:p>
      <w:pPr>
        <w:pStyle w:val="BodyText"/>
        <w:spacing w:line="480" w:lineRule="auto"/>
        <w:ind w:firstLine="720"/>
      </w:pPr>
      <w:r>
        <w:t xml:space="preserve">Several substreams sit inside this architectural frame. One concerns autonomous swarms and constellations, and it surfaces in work on distributed deep learning at the edge for space-based space situational awareness swarms</w:t>
      </w:r>
      <w:r>
        <w:t xml:space="preserve"> </w:t>
      </w:r>
      <w:hyperlink w:anchor="ref-22">
        <w:r>
          <w:rPr>
            <w:rStyle w:val="Hyperlink"/>
          </w:rPr>
          <w:t xml:space="preserve">[22]</w:t>
        </w:r>
      </w:hyperlink>
      <w:r>
        <w:t xml:space="preserve"> </w:t>
      </w:r>
      <w:r>
        <w:t xml:space="preserve">and on time-optimal trajectory design for distributed space systems bound for in-space transportation in Earth orbit</w:t>
      </w:r>
      <w:r>
        <w:t xml:space="preserve"> </w:t>
      </w:r>
      <w:hyperlink w:anchor="ref-30">
        <w:r>
          <w:rPr>
            <w:rStyle w:val="Hyperlink"/>
          </w:rPr>
          <w:t xml:space="preserve">[30]</w:t>
        </w:r>
      </w:hyperlink>
      <w:r>
        <w:t xml:space="preserve">. Together these contributions establish that the field no longer aims at the single autonomous spacecraft but at the coordinated multi-agent system, where autonomy is a property of the collective rather than of any single node. Few public demonstrations show how such coordination actually behaves on orbit, which is why the Starling mission’s published operational record is central to any empirical work hoping to estimate the safety consequences of autonomous reconfiguration [7,11].</w:t>
      </w:r>
    </w:p>
    <w:p>
      <w:pPr>
        <w:pStyle w:val="BodyText"/>
        <w:spacing w:line="480" w:lineRule="auto"/>
        <w:ind w:firstLine="720"/>
      </w:pPr>
      <w:r>
        <w:t xml:space="preserve">A second substream takes up autonomous mission planning and attitude optimization for specific operational tasks, resident space object imaging chief among them. End-to-end autonomous mission planning frameworks have been demonstrated for commercial constellations</w:t>
      </w:r>
      <w:r>
        <w:t xml:space="preserve"> </w:t>
      </w:r>
      <w:hyperlink w:anchor="ref-20">
        <w:r>
          <w:rPr>
            <w:rStyle w:val="Hyperlink"/>
          </w:rPr>
          <w:t xml:space="preserve">[20]</w:t>
        </w:r>
      </w:hyperlink>
      <w:r>
        <w:t xml:space="preserve">, and reinforcement-learning scheduling approaches have been brought to the same problem [3,21]. Against this background the hazard-ratio finding of the survival-analysis companion paper, that a one-unit increase in onboard autonomy carries a hazard ratio of approximately 2.49 for time-to-recovery, has to be read. These planning frameworks shrink the perception-to-action interval by orders of magnitude relative to ground-loop scheduling, and that shrinkage is exactly the design property the dissertation’s central hypothesis treats as its independent variable.</w:t>
      </w:r>
    </w:p>
    <w:p>
      <w:pPr>
        <w:pStyle w:val="BodyText"/>
        <w:spacing w:line="480" w:lineRule="auto"/>
        <w:ind w:firstLine="720"/>
      </w:pPr>
      <w:r>
        <w:t xml:space="preserve">A third substream addresses the testbed and simulation infrastructure needed to validate agent-based architectures before flight. Representative here is the autonomy testbed work of Gregson, Seto, and Kim for satellite debris avoidance</w:t>
      </w:r>
      <w:r>
        <w:t xml:space="preserve"> </w:t>
      </w:r>
      <w:hyperlink w:anchor="ref-18">
        <w:r>
          <w:rPr>
            <w:rStyle w:val="Hyperlink"/>
          </w:rPr>
          <w:t xml:space="preserve">[18]</w:t>
        </w:r>
      </w:hyperlink>
      <w:r>
        <w:t xml:space="preserve">, alongside the dynamic-simulation work on membrane structure deployment that leans on finite-element methods to gauge model fidelity where flight data are absent</w:t>
      </w:r>
      <w:r>
        <w:t xml:space="preserve"> </w:t>
      </w:r>
      <w:hyperlink w:anchor="ref-27">
        <w:r>
          <w:rPr>
            <w:rStyle w:val="Hyperlink"/>
          </w:rPr>
          <w:t xml:space="preserve">[27]</w:t>
        </w:r>
      </w:hyperlink>
      <w:r>
        <w:t xml:space="preserve">. The methodological lesson is one the technical community has long conceded: ground-based simulation is an imperfect stand-in for on-orbit observation, and until recently the community had few alternatives, because operational anomaly records went unreleased. That has begun to change as NASA, ESA, and NOAA grow willing to publish detailed anomaly disclosures and constellation reports, and the empirical work in the companion papers depends entirely on the change.</w:t>
      </w:r>
    </w:p>
    <w:p>
      <w:pPr>
        <w:pStyle w:val="BodyText"/>
        <w:spacing w:line="480" w:lineRule="auto"/>
        <w:ind w:firstLine="720"/>
      </w:pPr>
      <w:r>
        <w:t xml:space="preserve">A fourth substream concerns the integration of autonomous decision-making with broader space domain awareness infrastructure. The VISION integrated space information monitoring system exemplifies the ambition of unifying conjunction screening, anomaly detection, and operator alerting into one coordinated system</w:t>
      </w:r>
      <w:r>
        <w:t xml:space="preserve"> </w:t>
      </w:r>
      <w:hyperlink w:anchor="ref-8">
        <w:r>
          <w:rPr>
            <w:rStyle w:val="Hyperlink"/>
          </w:rPr>
          <w:t xml:space="preserve">[8]</w:t>
        </w:r>
      </w:hyperlink>
      <w:r>
        <w:t xml:space="preserve">. Inside that frame, autonomy is not a feature of a single spacecraft but a property of the operational pipeline running from sensor through processing through alerting through actuation. To ask about operator decision latency, then, is to ask where in this pipeline the autonomous element is inserted and how much of the historical operator routine it bypasses.</w:t>
      </w:r>
    </w:p>
    <w:p>
      <w:pPr>
        <w:pStyle w:val="BodyText"/>
        <w:spacing w:line="480" w:lineRule="auto"/>
        <w:ind w:firstLine="720"/>
      </w:pPr>
      <w:r>
        <w:t xml:space="preserve">The pipeline, not the platform, becomes the unit of concern.</w:t>
      </w:r>
    </w:p>
    <w:bookmarkEnd w:id="68"/>
    <w:bookmarkStart w:id="69" w:name="X526a17380dcd67855cd56f450d0938a643adf1c"/>
    <w:p>
      <w:pPr>
        <w:pStyle w:val="Heading2"/>
        <w:spacing w:line="480" w:lineRule="auto"/>
      </w:pPr>
      <w:r>
        <w:t xml:space="preserve">2.3 Onboard Autonomy for Fault Management and Self-Removal</w:t>
      </w:r>
    </w:p>
    <w:p>
      <w:pPr>
        <w:pStyle w:val="FirstParagraph"/>
        <w:spacing w:line="480" w:lineRule="auto"/>
      </w:pPr>
      <w:r>
        <w:t xml:space="preserve">Two orientations run through the literature on onboard autonomy for fault management. The first treats autonomy as a substitute for ground-loop intervention when communication latency is the binding constraint, and its canonical statements appear in Stottler and colleagues on hybrid spacecraft subsystem fault and anomaly detection [9,23] and in Li’s foundational work on machine-learning-based situational awareness for spacecraft operations</w:t>
      </w:r>
      <w:r>
        <w:t xml:space="preserve"> </w:t>
      </w:r>
      <w:hyperlink w:anchor="ref-3">
        <w:r>
          <w:rPr>
            <w:rStyle w:val="Hyperlink"/>
          </w:rPr>
          <w:t xml:space="preserve">[3]</w:t>
        </w:r>
      </w:hyperlink>
      <w:r>
        <w:t xml:space="preserve">. The substitution argument is straightforward. When round-trip light time or ground-station pass cadence forecloses ground-led recovery inside an acceptable window, onboard autonomy is the only mechanism left for restoring the spacecraft to a safe configuration. Rayman’s retrospective on the Dawn mission to Ceres and Vesta is the deep-space instance most often cited, showing that even mature platforms rely on onboard autonomous responses for minor anomalies precisely because the alternative is mission loss</w:t>
      </w:r>
      <w:r>
        <w:t xml:space="preserve"> </w:t>
      </w:r>
      <w:hyperlink w:anchor="ref-10">
        <w:r>
          <w:rPr>
            <w:rStyle w:val="Hyperlink"/>
          </w:rPr>
          <w:t xml:space="preserve">[10]</w:t>
        </w:r>
      </w:hyperlink>
      <w:r>
        <w:t xml:space="preserve">.</w:t>
      </w:r>
    </w:p>
    <w:p>
      <w:pPr>
        <w:pStyle w:val="BodyText"/>
        <w:spacing w:line="480" w:lineRule="auto"/>
        <w:ind w:firstLine="720"/>
      </w:pPr>
      <w:r>
        <w:t xml:space="preserve">The second orientation treats autonomy as a triggering mechanism for irreversible operational decisions, and the self-removal literature is its clearest example. Wander and colleagues give the most thorough specification of the operational concept for autonomous self-removal, covering status detection, removal triggering, and passivation</w:t>
      </w:r>
      <w:r>
        <w:t xml:space="preserve"> </w:t>
      </w:r>
      <w:hyperlink w:anchor="ref-6">
        <w:r>
          <w:rPr>
            <w:rStyle w:val="Hyperlink"/>
          </w:rPr>
          <w:t xml:space="preserve">[6]</w:t>
        </w:r>
      </w:hyperlink>
      <w:r>
        <w:t xml:space="preserve">. What makes self-removal distinctive as a use case is that the autonomous decision, once committed, cannot be undone. A safe-mode transition can be reversed by operator command once communications return; a self-removal maneuver places the spacecraft on a disposal trajectory with no way back. The autonomy threshold for triggering it is therefore a design parameter of disproportionate consequence for the speed-safety tradeoff, because compression of the decision window admits no ex post compensation.</w:t>
      </w:r>
    </w:p>
    <w:p>
      <w:pPr>
        <w:pStyle w:val="BodyText"/>
        <w:spacing w:line="480" w:lineRule="auto"/>
        <w:ind w:firstLine="720"/>
      </w:pPr>
      <w:r>
        <w:t xml:space="preserve">Once the trajectory is set, no operator command recalls it.</w:t>
      </w:r>
    </w:p>
    <w:p>
      <w:pPr>
        <w:pStyle w:val="BodyText"/>
        <w:spacing w:line="480" w:lineRule="auto"/>
        <w:ind w:firstLine="720"/>
      </w:pPr>
      <w:r>
        <w:t xml:space="preserve">A related strand of the fault-management literature takes up generative machine learning frameworks for anomaly response in cyclical processes, especially in environmental control and life support systems on deep-space habitats</w:t>
      </w:r>
      <w:r>
        <w:t xml:space="preserve"> </w:t>
      </w:r>
      <w:hyperlink w:anchor="ref-28">
        <w:r>
          <w:rPr>
            <w:rStyle w:val="Hyperlink"/>
          </w:rPr>
          <w:t xml:space="preserve">[28]</w:t>
        </w:r>
      </w:hyperlink>
      <w:r>
        <w:t xml:space="preserve">. Its methodological contribution is to show that machine-learning models can be trained to recognize anomalous patterns in process telemetry and to generate response recommendations on timescales ground-loop intervention cannot match. The safety question the technical literature leaves untouched is whether the recommendations so generated are systematically more or less likely to be miscategorized than equivalent recommendations produced under longer human deliberation. Section 2.5 surveys the apparatus that could answer that question, yet the technical literature has not been joined to it.</w:t>
      </w:r>
    </w:p>
    <w:p>
      <w:pPr>
        <w:pStyle w:val="BodyText"/>
        <w:spacing w:line="480" w:lineRule="auto"/>
        <w:ind w:firstLine="720"/>
      </w:pPr>
      <w:r>
        <w:t xml:space="preserve">Autonomous navigation for deep-space small satellites forms a third strand, treated as a problem of estimation and control under communication constraints</w:t>
      </w:r>
      <w:r>
        <w:t xml:space="preserve"> </w:t>
      </w:r>
      <w:hyperlink w:anchor="ref-29">
        <w:r>
          <w:rPr>
            <w:rStyle w:val="Hyperlink"/>
          </w:rPr>
          <w:t xml:space="preserve">[29]</w:t>
        </w:r>
      </w:hyperlink>
      <w:r>
        <w:t xml:space="preserve">. The scientific and technological advances Turan, Speretta, and Gill survey are notable for saying openly that autonomy is being adopted not because it is preferred on principle but because the alternative is operational infeasibility. That framing squares with the substitution argument above and sits comfortably beside the survival-analysis finding in the companion paper that higher onboard autonomy goes with substantially shorter time-to-recovery once a fault is declared. What the navigation literature does not address, and what the dissertation must, is whether the property that accelerates recovery also accelerates inappropriate action under uncertainty.</w:t>
      </w:r>
    </w:p>
    <w:p>
      <w:pPr>
        <w:pStyle w:val="BodyText"/>
        <w:spacing w:line="480" w:lineRule="auto"/>
        <w:ind w:firstLine="720"/>
      </w:pPr>
      <w:r>
        <w:t xml:space="preserve">Two further contributions deserve mention because they bear on human-machine coordination. Goldberg and Waltz, writing on crew resource management training for space domain operations, raise the supervisory-vigilance tradeoff directly and warn that automation compressing the decision window can erode the supervisory function that historically caught false positives and ambiguous edge cases</w:t>
      </w:r>
      <w:r>
        <w:t xml:space="preserve"> </w:t>
      </w:r>
      <w:hyperlink w:anchor="ref-4">
        <w:r>
          <w:rPr>
            <w:rStyle w:val="Hyperlink"/>
          </w:rPr>
          <w:t xml:space="preserve">[4]</w:t>
        </w:r>
      </w:hyperlink>
      <w:r>
        <w:t xml:space="preserve">. Stilwell, Quakenbush, Giles, and Dailey, writing on human factors in space operators, draw on aviation safety frameworks to argue for enhanced orbital domain resilience</w:t>
      </w:r>
      <w:r>
        <w:t xml:space="preserve"> </w:t>
      </w:r>
      <w:hyperlink w:anchor="ref-25">
        <w:r>
          <w:rPr>
            <w:rStyle w:val="Hyperlink"/>
          </w:rPr>
          <w:t xml:space="preserve">[25]</w:t>
        </w:r>
      </w:hyperlink>
      <w:r>
        <w:t xml:space="preserve">. Both name the qualitative concern at the heart of the dissertation, that speed-pressured autonomy may degrade supervisory judgment, and neither produces a quantitative estimate of the elasticity. The concern is stated but not sized. What the literature lacks is not concern but measurement.</w:t>
      </w:r>
    </w:p>
    <w:p>
      <w:pPr>
        <w:pStyle w:val="BodyText"/>
        <w:spacing w:line="480" w:lineRule="auto"/>
        <w:ind w:firstLine="720"/>
      </w:pPr>
      <w:r>
        <w:t xml:space="preserve">A final contribution comes from the analog-mission community, which has documented crew self-organization and group-living habits during long-duration autonomous missions in Mars-analog environments</w:t>
      </w:r>
      <w:r>
        <w:t xml:space="preserve"> </w:t>
      </w:r>
      <w:hyperlink w:anchor="ref-31">
        <w:r>
          <w:rPr>
            <w:rStyle w:val="Hyperlink"/>
          </w:rPr>
          <w:t xml:space="preserve">[31]</w:t>
        </w:r>
      </w:hyperlink>
      <w:r>
        <w:t xml:space="preserve"> </w:t>
      </w:r>
      <w:r>
        <w:t xml:space="preserve">and adaptive empirical models from analog extravehicular activity telemetry for traverse pacing and physiological response prediction</w:t>
      </w:r>
      <w:r>
        <w:t xml:space="preserve"> </w:t>
      </w:r>
      <w:hyperlink w:anchor="ref-33">
        <w:r>
          <w:rPr>
            <w:rStyle w:val="Hyperlink"/>
          </w:rPr>
          <w:t xml:space="preserve">[33]</w:t>
        </w:r>
      </w:hyperlink>
      <w:r>
        <w:t xml:space="preserve">. These are not directly about IT infrastructure autonomy. They bear on the dissertation’s question nonetheless, because they establish that the methodological community is both willing and able to build empirical models from operational telemetry in operationally realistic but non-flight contexts. This dissertation carries that same willingness from the human-physiological domain into the IT-infrastructure domain.</w:t>
      </w:r>
    </w:p>
    <w:bookmarkEnd w:id="69"/>
    <w:bookmarkStart w:id="70" w:name="X94a43362ffb256da0d19d59a3effe3b0d5ce7c1"/>
    <w:p>
      <w:pPr>
        <w:pStyle w:val="Heading2"/>
        <w:spacing w:line="480" w:lineRule="auto"/>
      </w:pPr>
      <w:r>
        <w:t xml:space="preserve">2.4 Autonomy in Conjunction Assessment and Collision Avoidance</w:t>
      </w:r>
    </w:p>
    <w:p>
      <w:pPr>
        <w:pStyle w:val="FirstParagraph"/>
        <w:spacing w:line="480" w:lineRule="auto"/>
      </w:pPr>
      <w:r>
        <w:t xml:space="preserve">For the clearest operational picture of the speed-safety tradeoff, the conjunction assessment and collision avoidance literature is the place to look. The shift from ground-loop conjunction screening to onboard autonomous collision avoidance is documented most thoroughly by Hejduk and colleagues, in their work on conjunction assessment and deconfliction paradigms for co-located satellite constellations with on-spacecraft autonomous flight dynamics control</w:t>
      </w:r>
      <w:r>
        <w:t xml:space="preserve"> </w:t>
      </w:r>
      <w:hyperlink w:anchor="ref-12">
        <w:r>
          <w:rPr>
            <w:rStyle w:val="Hyperlink"/>
          </w:rPr>
          <w:t xml:space="preserve">[12]</w:t>
        </w:r>
      </w:hyperlink>
      <w:r>
        <w:t xml:space="preserve">. The architectural transition they describe is precisely the one the OLS analysis in the companion paper estimates: the ground-loop decision cycle giving way to an onboard cycle that compresses operator decision latency by approximately nine hours per autonomy step, after warning time and conjunction probability are controlled.</w:t>
      </w:r>
    </w:p>
    <w:p>
      <w:pPr>
        <w:pStyle w:val="BodyText"/>
        <w:spacing w:line="480" w:lineRule="auto"/>
        <w:ind w:firstLine="720"/>
      </w:pPr>
      <w:r>
        <w:t xml:space="preserve">The empirical record on which that transition can be watched is not thin. Filed by SpaceX between 2020 and 2024, the FCC semi-annual constellation reports offer the most comprehensive disclosure of autonomous maneuver activity in low Earth orbit</w:t>
      </w:r>
      <w:r>
        <w:t xml:space="preserve"> </w:t>
      </w:r>
      <w:hyperlink w:anchor="ref-15">
        <w:r>
          <w:rPr>
            <w:rStyle w:val="Hyperlink"/>
          </w:rPr>
          <w:t xml:space="preserve">[15]</w:t>
        </w:r>
      </w:hyperlink>
      <w:r>
        <w:t xml:space="preserve">. Against them sit the NASA International Space Station daily status reports and pre-determined debris avoidance maneuver records, a complementary ground-loop comparison</w:t>
      </w:r>
      <w:r>
        <w:t xml:space="preserve"> </w:t>
      </w:r>
      <w:hyperlink w:anchor="ref-16">
        <w:r>
          <w:rPr>
            <w:rStyle w:val="Hyperlink"/>
          </w:rPr>
          <w:t xml:space="preserve">[16]</w:t>
        </w:r>
      </w:hyperlink>
      <w:r>
        <w:t xml:space="preserve">, and the European Space Agency Aeolus maneuver notice and Sentinel conjunction operations logs, a third population with a distinct operational posture</w:t>
      </w:r>
      <w:r>
        <w:t xml:space="preserve"> </w:t>
      </w:r>
      <w:hyperlink w:anchor="ref-17">
        <w:r>
          <w:rPr>
            <w:rStyle w:val="Hyperlink"/>
          </w:rPr>
          <w:t xml:space="preserve">[17]</w:t>
        </w:r>
      </w:hyperlink>
      <w:r>
        <w:t xml:space="preserve">. All three feed the companion paper’s OLS analysis, and the dissertation’s broader research design extends the reach to the full panel of disclosed events.</w:t>
      </w:r>
    </w:p>
    <w:p>
      <w:pPr>
        <w:pStyle w:val="BodyText"/>
        <w:spacing w:line="480" w:lineRule="auto"/>
        <w:ind w:firstLine="720"/>
      </w:pPr>
      <w:r>
        <w:t xml:space="preserve">Supporting technical work on autonomous battle management and scheduling rounds out the operational record. Latif and colleagues, writing on AI-enabled space battle management systems built on quantum-resilient blockchain infrastructure</w:t>
      </w:r>
      <w:r>
        <w:t xml:space="preserve"> </w:t>
      </w:r>
      <w:hyperlink w:anchor="ref-13">
        <w:r>
          <w:rPr>
            <w:rStyle w:val="Hyperlink"/>
          </w:rPr>
          <w:t xml:space="preserve">[13]</w:t>
        </w:r>
      </w:hyperlink>
      <w:r>
        <w:t xml:space="preserve">, are representative of the field’s architectural ambition, and they show that machine response collapses the perception-to-action interval by orders of magnitude relative to human review even where the human keeps a supervisory role. Huterer Prats, Schaub, and Wheeler report comparable compression in tasking decisions for resident space object imaging through reinforcement-learning scheduling experiments [3,21], and Saadat, Chen, and Austin extend the same logic to attitude optimization for imaging tasks through end-to-end autonomous mission planning frameworks</w:t>
      </w:r>
      <w:r>
        <w:t xml:space="preserve"> </w:t>
      </w:r>
      <w:hyperlink w:anchor="ref-20">
        <w:r>
          <w:rPr>
            <w:rStyle w:val="Hyperlink"/>
          </w:rPr>
          <w:t xml:space="preserve">[20]</w:t>
        </w:r>
      </w:hyperlink>
      <w:r>
        <w:t xml:space="preserve">.</w:t>
      </w:r>
    </w:p>
    <w:p>
      <w:pPr>
        <w:pStyle w:val="BodyText"/>
        <w:spacing w:line="480" w:lineRule="auto"/>
        <w:ind w:firstLine="720"/>
      </w:pPr>
      <w:r>
        <w:t xml:space="preserve">A subordinate strand addresses dynamic sensor tasking for automated characterization of resident space objects</w:t>
      </w:r>
      <w:r>
        <w:t xml:space="preserve"> </w:t>
      </w:r>
      <w:hyperlink w:anchor="ref-2">
        <w:r>
          <w:rPr>
            <w:rStyle w:val="Hyperlink"/>
          </w:rPr>
          <w:t xml:space="preserve">[2]</w:t>
        </w:r>
      </w:hyperlink>
      <w:r>
        <w:t xml:space="preserve">. Its contribution to the dissertation’s question is to establish the upstream pipeline by which automated characterization feeds into operator procedures and autonomous decision systems. Should that upstream characterization pipeline produce a higher rate of ambiguous or miscategorized objects, downstream autonomous response inherits the ambiguity and may operationalize it as compressed deliberation. The safety-classification question is therefore not solely about the autonomous response module in isolation. It is about the joint behavior of the characterization and response pipelines under speed pressure.</w:t>
      </w:r>
    </w:p>
    <w:p>
      <w:pPr>
        <w:pStyle w:val="BodyText"/>
        <w:spacing w:line="480" w:lineRule="auto"/>
        <w:ind w:firstLine="720"/>
      </w:pPr>
      <w:r>
        <w:t xml:space="preserve">The early literature on photometric and other analyses of energetic events related to GEO RSO anomalies, exemplified by Cunio and colleagues on 2017 GEO RSO anomalies</w:t>
      </w:r>
      <w:r>
        <w:t xml:space="preserve"> </w:t>
      </w:r>
      <w:hyperlink w:anchor="ref-5">
        <w:r>
          <w:rPr>
            <w:rStyle w:val="Hyperlink"/>
          </w:rPr>
          <w:t xml:space="preserve">[5]</w:t>
        </w:r>
      </w:hyperlink>
      <w:r>
        <w:t xml:space="preserve">, supplies a useful historical benchmark for what counted as state-of-the-art autonomous anomaly characterization before machine-learning approaches displaced photometric methods. That historical comparison matters here because the threshold definitions that decide whether a response is later classified as inappropriate are themselves historically contingent. An event that the photometric paradigm would have marked ambiguous and routed to human review may, under a current machine-learning paradigm, be marked actionable and routed straight to autonomous response. Addressing that measurement problem is exactly what the methodological literature of the next section is for.</w:t>
      </w:r>
    </w:p>
    <w:p>
      <w:pPr>
        <w:pStyle w:val="BodyText"/>
        <w:spacing w:line="480" w:lineRule="auto"/>
        <w:ind w:firstLine="720"/>
      </w:pPr>
      <w:r>
        <w:t xml:space="preserve">Finally, McReynolds and colleagues, on event-based sensor biasing for signal-to-noise optimization in space domain awareness</w:t>
      </w:r>
      <w:r>
        <w:t xml:space="preserve"> </w:t>
      </w:r>
      <w:hyperlink w:anchor="ref-24">
        <w:r>
          <w:rPr>
            <w:rStyle w:val="Hyperlink"/>
          </w:rPr>
          <w:t xml:space="preserve">[24]</w:t>
        </w:r>
      </w:hyperlink>
      <w:r>
        <w:t xml:space="preserve">, point to a downstream methodological issue the dissertation must take seriously. Where sensor biasing decisions are themselves now made under partial automation, the upstream variation in autonomy is not confined to the response module but reaches into the sensing and signal-processing stages. The within-spacecraft fixed-effects panel design proposed in the prospectus is one way to absorb that upstream variation, but the threat to identification stays live and is treated explicitly in Section 2.6 and again in Chapter 3.</w:t>
      </w:r>
    </w:p>
    <w:bookmarkEnd w:id="70"/>
    <w:bookmarkStart w:id="71" w:name="X6c9b0c666df66180795d338860d527a7758a103"/>
    <w:p>
      <w:pPr>
        <w:pStyle w:val="Heading2"/>
        <w:spacing w:line="480" w:lineRule="auto"/>
      </w:pPr>
      <w:r>
        <w:t xml:space="preserve">2.5 Cliometric and Econometric Methodology in Civil-Space Empirical Work</w:t>
      </w:r>
    </w:p>
    <w:p>
      <w:pPr>
        <w:pStyle w:val="FirstParagraph"/>
        <w:spacing w:line="480" w:lineRule="auto"/>
      </w:pPr>
      <w:r>
        <w:t xml:space="preserve">Directly relevant methodological work is sparser than the technical literature, though no less consequential. The principal apparatus the dissertation relies on is the conditional logit estimator for binary outcomes with high-dimensional fixed effects, applied to a within-spacecraft panel design in which the identifying variation comes from changes in autonomy tier under flight software updates. Standard in labor economics and industrial organization, this apparatus has seen only rare use in the civil-space empirical literature, and the few applications that exist confine themselves to policy-adjacent questions rather than the safety-architecture question at the dissertation’s center.</w:t>
      </w:r>
    </w:p>
    <w:p>
      <w:pPr>
        <w:pStyle w:val="BodyText"/>
        <w:spacing w:line="480" w:lineRule="auto"/>
        <w:ind w:firstLine="720"/>
      </w:pPr>
      <w:r>
        <w:t xml:space="preserve">Survival analysis, principally the Cox proportional-hazards framework, has begun to enter civil-space empirical work more visibly. The companion paper’s hazard-ratio estimate of 2.49 per one-unit increase in onboard autonomy, on a three-level ordinal scale, is fitted by partial-likelihood maximization with the Breslow tie-handling default and right-censoring for four observations in which restoration was abandoned. Well established in biostatistics and labor economics, the estimator’s lineage is not in doubt; its application to on-orbit anomaly recovery times is new enough that the small-sample limitations of the existing applications, the companion paper included, remain a binding constraint on generalization. Rayman’s narrative account of the Dawn mission is representative of the descriptive recovery-time literature that survival analysis is now beginning to formalize</w:t>
      </w:r>
      <w:r>
        <w:t xml:space="preserve"> </w:t>
      </w:r>
      <w:hyperlink w:anchor="ref-10">
        <w:r>
          <w:rPr>
            <w:rStyle w:val="Hyperlink"/>
          </w:rPr>
          <w:t xml:space="preserve">[10]</w:t>
        </w:r>
      </w:hyperlink>
      <w:r>
        <w:t xml:space="preserve">.</w:t>
      </w:r>
    </w:p>
    <w:p>
      <w:pPr>
        <w:pStyle w:val="BodyText"/>
        <w:spacing w:line="480" w:lineRule="auto"/>
        <w:ind w:firstLine="720"/>
      </w:pPr>
      <w:r>
        <w:t xml:space="preserve">Ordinary least squares regression on operator decision latency, as estimated in the companion paper on collision-avoidance events, is the most modest of the three estimators and also the most directly interpretable. Its negative nine-hour-per-autonomy-step coefficient on operator decision latency, with an R-squared of 0.91 and an F-statistic of 258.7, characterizes the central tendency of the speed-compression effect across the disclosed event population. The limitations are well understood. Thirty-five events is a small sample relative to the population of operational events that occurred over the disclosure window; the autonomy coding is ordinal and was constructed by the analyst from operator statements; and the conditional-mean interpretation identifies no causal effect of architecture choice absent a credible exclusion restriction.</w:t>
      </w:r>
    </w:p>
    <w:p>
      <w:pPr>
        <w:pStyle w:val="BodyText"/>
        <w:spacing w:line="480" w:lineRule="auto"/>
        <w:ind w:firstLine="720"/>
      </w:pPr>
      <w:r>
        <w:t xml:space="preserve">Bearing on those limitations is the observational econometrics literature on panel data with fixed effects, instrumental variables, and exclusion restrictions. The dissertation’s identifying strategy, resting on the within-spacecraft, within-anomaly-class change in time-to-actuation when flight software updates shift the autonomy tier, is a standard application of that apparatus to a non-standard data environment. The placebo regression on pre-update event difficulty specified in the prospectus is a standard sensitivity analysis. The blinded reclassification of a subsample of anomaly review board records, also specified in the prospectus, is a standard response to classification endogeneity. None of these moves is novel in observational econometrics. Novel is their application to operational FDIR records on civil-space platforms.</w:t>
      </w:r>
    </w:p>
    <w:p>
      <w:pPr>
        <w:pStyle w:val="BodyText"/>
        <w:spacing w:line="480" w:lineRule="auto"/>
        <w:ind w:firstLine="720"/>
      </w:pPr>
      <w:r>
        <w:t xml:space="preserve">The estimators are old. The setting is new.</w:t>
      </w:r>
    </w:p>
    <w:p>
      <w:pPr>
        <w:pStyle w:val="BodyText"/>
        <w:spacing w:line="480" w:lineRule="auto"/>
        <w:ind w:firstLine="720"/>
      </w:pPr>
      <w:r>
        <w:t xml:space="preserve">A further strand concerns simulation-based inference and machine-learning anomaly response, exemplified by the generative framework for anomaly response in cyclical ECLSS processes</w:t>
      </w:r>
      <w:r>
        <w:t xml:space="preserve"> </w:t>
      </w:r>
      <w:hyperlink w:anchor="ref-28">
        <w:r>
          <w:rPr>
            <w:rStyle w:val="Hyperlink"/>
          </w:rPr>
          <w:t xml:space="preserve">[28]</w:t>
        </w:r>
      </w:hyperlink>
      <w:r>
        <w:t xml:space="preserve">, and it forms a complementary but distinct apparatus. Where conditional logit estimates a parameter from observed events, the generative framework simulates the counterfactual response distribution under alternative autonomy configurations. Simulation-based inference is not the dissertation’s primary estimator, yet the simulation literature offers a useful benchmark against which observational estimates can be sanity-checked. The two apparatuses are complementary rather than competitive, and a mature empirical literature on autonomy and safety in IT infrastructure will eventually deploy both.</w:t>
      </w:r>
    </w:p>
    <w:p>
      <w:pPr>
        <w:pStyle w:val="BodyText"/>
        <w:spacing w:line="480" w:lineRule="auto"/>
        <w:ind w:firstLine="720"/>
      </w:pPr>
      <w:r>
        <w:t xml:space="preserve">Another strand concerns the construction of empirical models from analog mission telemetry, including adaptive empirical models from analog extravehicular activity telemetry for traverse pacing and physiological response prediction</w:t>
      </w:r>
      <w:r>
        <w:t xml:space="preserve"> </w:t>
      </w:r>
      <w:hyperlink w:anchor="ref-33">
        <w:r>
          <w:rPr>
            <w:rStyle w:val="Hyperlink"/>
          </w:rPr>
          <w:t xml:space="preserve">[33]</w:t>
        </w:r>
      </w:hyperlink>
      <w:r>
        <w:t xml:space="preserve">. Its contribution is to show that operational telemetry, even from non-flight contexts, can support inference about parameters not directly observable in the laboratory. This dissertation extends that willingness from the human-physiological domain to the IT-infrastructure domain, treating FDIR logs as the operational telemetry from which the speed-safety elasticity can be recovered.</w:t>
      </w:r>
    </w:p>
    <w:p>
      <w:pPr>
        <w:pStyle w:val="BodyText"/>
        <w:spacing w:line="480" w:lineRule="auto"/>
        <w:ind w:firstLine="720"/>
      </w:pPr>
      <w:r>
        <w:t xml:space="preserve">Hayden, Abel, Arrieta, and Stewart, writing on artificial intelligence and autonomy in space as a balancing of risks and benefits for deterrence and escalation control</w:t>
      </w:r>
      <w:r>
        <w:t xml:space="preserve"> </w:t>
      </w:r>
      <w:hyperlink w:anchor="ref-19">
        <w:r>
          <w:rPr>
            <w:rStyle w:val="Hyperlink"/>
          </w:rPr>
          <w:t xml:space="preserve">[19]</w:t>
        </w:r>
      </w:hyperlink>
      <w:r>
        <w:t xml:space="preserve">, sit apart from the empirical apparatus above yet conceptually close to the dissertation’s framing. The risk-benefit balancing logic they apply to deterrence questions is the same logic the dissertation applies to safety questions: the speed property of autonomy is at once a benefit in fault-recovery contexts and a risk in irreversible-commitment contexts. The methodological gap is that the deterrence literature has been content to articulate the tradeoff qualitatively, while the safety question needs a quantitative elasticity if it is to inform design choices.</w:t>
      </w:r>
    </w:p>
    <w:p>
      <w:pPr>
        <w:pStyle w:val="BodyText"/>
        <w:spacing w:line="480" w:lineRule="auto"/>
        <w:ind w:firstLine="720"/>
      </w:pPr>
      <w:r>
        <w:t xml:space="preserve">Stilwell and colleagues, on human factors in space operators</w:t>
      </w:r>
      <w:r>
        <w:t xml:space="preserve"> </w:t>
      </w:r>
      <w:hyperlink w:anchor="ref-25">
        <w:r>
          <w:rPr>
            <w:rStyle w:val="Hyperlink"/>
          </w:rPr>
          <w:t xml:space="preserve">[25]</w:t>
        </w:r>
      </w:hyperlink>
      <w:r>
        <w:t xml:space="preserve">, stand similarly close to the framing yet stop short of the quantitative apparatus. Their use of aviation safety frameworks for orbital domain resilience is promising, because the aviation literature carries a long history of quantitative empirical safety analysis, including survival analysis of incident-to-recovery intervals and conditional logit estimation of inappropriate-response classifications. The dissertation can be read as a deliberate importation of that aviation apparatus into the orbital domain, with the frank admission that the orbital sample is smaller, the disclosure regime less complete, and the population of operational events more heterogeneous.</w:t>
      </w:r>
    </w:p>
    <w:bookmarkEnd w:id="71"/>
    <w:bookmarkStart w:id="72" w:name="synthesis-and-the-gap"/>
    <w:p>
      <w:pPr>
        <w:pStyle w:val="Heading2"/>
        <w:spacing w:line="480" w:lineRule="auto"/>
      </w:pPr>
      <w:r>
        <w:t xml:space="preserve">2.6 Synthesis and the Gap</w:t>
      </w:r>
    </w:p>
    <w:p>
      <w:pPr>
        <w:pStyle w:val="FirstParagraph"/>
        <w:spacing w:line="480" w:lineRule="auto"/>
      </w:pPr>
      <w:r>
        <w:t xml:space="preserve">Individually the two literatures reviewed above are mature on their own terms. Jointly they have not been assembled to support the dissertation’s central empirical question. The technical literature on agent-based architectures, onboard fault management, and autonomous collision avoidance [1,2,3,5,6,7,8,9,12,13,20,21,22,23,24,27,28,29,30,32] is extensive and increasingly sophisticated, yet it treats the autonomy threshold as a design parameter set by engineering judgment rather than as an empirical variable whose downstream safety consequences can be estimated from operational records. The methodology literature [10,19,25,28,33] supplies the apparatus for such estimation but has reached civil-space questions only sparingly, and mostly the policy-adjacent rather than the architectural ones.</w:t>
      </w:r>
    </w:p>
    <w:p>
      <w:pPr>
        <w:pStyle w:val="BodyText"/>
        <w:spacing w:line="480" w:lineRule="auto"/>
        <w:ind w:firstLine="720"/>
      </w:pPr>
      <w:r>
        <w:t xml:space="preserve">Four specific gaps follow from the missing integration.</w:t>
      </w:r>
    </w:p>
    <w:p>
      <w:pPr>
        <w:pStyle w:val="BodyText"/>
        <w:spacing w:line="480" w:lineRule="auto"/>
        <w:ind w:firstLine="720"/>
      </w:pPr>
      <w:r>
        <w:t xml:space="preserve">First, no published estimate exists of the elasticity by which a unit reduction in mean time-to-actuation changes the probability that the resulting autonomous response is later classified as inappropriate in post-event review. The nearest approximations are the qualitative warnings about supervisory degradation in the crew resource management literature</w:t>
      </w:r>
      <w:r>
        <w:t xml:space="preserve"> </w:t>
      </w:r>
      <w:hyperlink w:anchor="ref-4">
        <w:r>
          <w:rPr>
            <w:rStyle w:val="Hyperlink"/>
          </w:rPr>
          <w:t xml:space="preserve">[4]</w:t>
        </w:r>
      </w:hyperlink>
      <w:r>
        <w:t xml:space="preserve"> </w:t>
      </w:r>
      <w:r>
        <w:t xml:space="preserve">and the descriptive accounts of recovery times in the deep-space mission literature</w:t>
      </w:r>
      <w:r>
        <w:t xml:space="preserve"> </w:t>
      </w:r>
      <w:hyperlink w:anchor="ref-10">
        <w:r>
          <w:rPr>
            <w:rStyle w:val="Hyperlink"/>
          </w:rPr>
          <w:t xml:space="preserve">[10]</w:t>
        </w:r>
      </w:hyperlink>
      <w:r>
        <w:t xml:space="preserve">, neither of which produces a falsifiable elasticity. Second, the available estimators have been applied to small samples drawn from public disclosure regimes that may not represent the broader operational population, a constraint the companion papers’ samples of thirty-five anomaly events and thirty-five collision-avoidance events illustrate directly. Third, the identification strategies needed to recover causal estimates from observational FDIR records have not been tested adequately against the threats to validity peculiar to space operations, among them selection on autonomy tier, classification endogeneity at the anomaly review board, and external-validity boundaries between LEO scientific missions and GEO commercial fleets. Fourth, the coordinated treatment of the protective and destructive sides of the speed-safety tradeoff, which the survival-analysis finding on time-to-recovery and the OLS finding on operator decision latency jointly illuminate, has not yet appeared in the literature as a single integrated empirical program.</w:t>
      </w:r>
    </w:p>
    <w:p>
      <w:pPr>
        <w:pStyle w:val="BodyText"/>
        <w:spacing w:line="480" w:lineRule="auto"/>
        <w:ind w:firstLine="720"/>
      </w:pPr>
      <w:r>
        <w:t xml:space="preserve">From all of this the synthetic claim that animates the rest of the dissertation follows.</w:t>
      </w:r>
    </w:p>
    <w:p>
      <w:pPr>
        <w:pStyle w:val="BodyText"/>
        <w:spacing w:line="480" w:lineRule="auto"/>
        <w:ind w:firstLine="720"/>
      </w:pPr>
      <w:r>
        <w:t xml:space="preserve">Autonomy in spacecraft IT infrastructure is now widespread enough, and the disclosure regime governing operational anomaly and conjunction records mature enough, that the speed-safety tradeoff can be estimated as a quantitative elasticity rather than asserted as a qualitative concern. Estimating it takes a deliberate joining of the technical literature, which specifies the design parameters and operational mechanisms, with the methodology literature, which supplies the conditional logit, survival analysis, and observational panel apparatus by which the elasticity can be recovered. The companion papers establish that the protective side is empirically tractable on small samples with publicly available disclosures, returning a hazard ratio of approximately 2.49 per autonomy step for time-to-recovery and a conditional mean reduction of approximately nine hours per autonomy step for operator decision latency on collision-avoidance events. What remains, addressed in Chapters 4 and 5, is whether the destructive side returns a comparably tractable elasticity on the dependent variable that matters most for design policy: the probability of post-event inappropriate-response classification.</w:t>
      </w:r>
    </w:p>
    <w:p>
      <w:pPr>
        <w:pStyle w:val="BodyText"/>
        <w:spacing w:line="480" w:lineRule="auto"/>
        <w:ind w:firstLine="720"/>
      </w:pPr>
      <w:r>
        <w:t xml:space="preserve">The contribution is neither the methodological apparatus, borrowed wholesale from labor economics and biostatistics, nor the technical taxonomy, borrowed from the agent-based architectures literature. The contribution is the joining, and the joining is both feasible now and overdue. The literatures have matured enough to make it feasible, and the operational stakes have risen enough to make it necessary. Chapter 3 specifies the research design by which the joining is accomplished, including the data sources, the estimation strategy, the identifying variation, the placebo and sensitivity analyses, and the pre-registered exclusion restriction. Chapters 4 and 5 report the empirical findings. Chapter 6 returns to the synthesis and weighs the design implications of conditional governance, in which the same autonomy module is licensed for fault response and gated for irreversible operational commitments.</w:t>
      </w:r>
    </w:p>
    <w:bookmarkEnd w:id="72"/>
    <w:bookmarkEnd w:id="73"/>
    <w:bookmarkStart w:id="80" w:name="Xcfcc00a3ded59aed0c781c16bfc121f2a509603"/>
    <w:p>
      <w:pPr>
        <w:pStyle w:val="Heading1"/>
        <w:spacing w:line="480" w:lineRule="auto"/>
      </w:pPr>
      <w:r>
        <w:t xml:space="preserve">Chapter 3. Theoretical Framework and Hypotheses</w:t>
      </w:r>
    </w:p>
    <w:bookmarkStart w:id="74" w:name="purpose-and-position-of-the-chapter"/>
    <w:p>
      <w:pPr>
        <w:pStyle w:val="Heading2"/>
        <w:spacing w:line="480" w:lineRule="auto"/>
      </w:pPr>
      <w:r>
        <w:t xml:space="preserve">3.1 Purpose and Position of the Chapter</w:t>
      </w:r>
    </w:p>
    <w:p>
      <w:pPr>
        <w:pStyle w:val="FirstParagraph"/>
        <w:spacing w:line="480" w:lineRule="auto"/>
      </w:pPr>
      <w:r>
        <w:t xml:space="preserve">This chapter builds the theoretical framework that links autonomous response speed in spacecraft information technology infrastructure to the safety classification of the responses that infrastructure produces. Two empirical papers anchor the dissertation and fix the bracketing facts of the speed-safety ledger. The first shows that higher onboard autonomy carries a hazard ratio of roughly 2.49 per ordinal step on time-to-recovery from documented on-orbit anomalies, a protective effect statistically distinguishable at conventional thresholds. The second shows that the same autonomy variable enters negatively, at minus 9.16 hours per ordinal step, in operator decision latency for collision-avoidance maneuvers, a compression effect that is operationally consequential relative to typical conjunction warning windows. What remains empirically is to characterize the conditions under which the compression that accelerates recovery also degrades the classification quality of the responses generated under autonomy. The theoretical task of this chapter is to specify the mechanism behind that degradation, to state the causal logic mapping autonomy tier to classification outcome, and to translate the logic into a pair of falsifiable hypotheses suitable for estimation on the FDIR panel described in Chapter 4.</w:t>
      </w:r>
    </w:p>
    <w:p>
      <w:pPr>
        <w:pStyle w:val="BodyText"/>
        <w:spacing w:line="480" w:lineRule="auto"/>
        <w:ind w:firstLine="720"/>
      </w:pPr>
      <w:r>
        <w:t xml:space="preserve">The chapter moves in five stages. Section 3.2 specifies the theoretical objects of the framework and fixes their definitions for the rest of the dissertation. Section 3.3 develops the central mechanism, which holds that autonomous response compresses the operator decision window and thereby strips away, disproportionately, the supervisory checks responsible for catching ambiguous or miscategorized anomalies. Section 3.4 articulates the causal logic in directed acyclic form, identifies the back-door paths the empirical design must close, and states the exclusion restrictions on which identification will rely. Section 3.5 derives the formal hypotheses H0 and H1 and gives their econometric expression on the panel. Section 3.6 considers the framework’s boundary conditions, including the populations and operating regimes within which the elasticity is expected to be recoverable and those within which it is not.</w:t>
      </w:r>
    </w:p>
    <w:bookmarkEnd w:id="74"/>
    <w:bookmarkStart w:id="75" w:name="theoretical-objects-and-definitions"/>
    <w:p>
      <w:pPr>
        <w:pStyle w:val="Heading2"/>
        <w:spacing w:line="480" w:lineRule="auto"/>
      </w:pPr>
      <w:r>
        <w:t xml:space="preserve">3.2 Theoretical Objects and Definitions</w:t>
      </w:r>
    </w:p>
    <w:p>
      <w:pPr>
        <w:pStyle w:val="FirstParagraph"/>
        <w:spacing w:line="480" w:lineRule="auto"/>
      </w:pPr>
      <w:r>
        <w:t xml:space="preserve">Five primitive objects make up the framework. Each is fixed here and used unchanged thereafter. First comes the spacecraft information technology infrastructure, defined as the integrated set of onboard processors, flight software, fault detection logic, and command interfaces through which an orbital asset senses its state and effects corrective action. This infrastructure is coterminous with neither the spacecraft bus nor the ground segment; it is the computational and decisional substrate bridging sensing to actuation. In distributed configurations, the agent-based architectures Jabbarpour and colleagues survey are one canonical instantiation, with agents resident on multiple vehicles coordinating fault response and resource allocation without ground arbitration [1,32]. The Stottler family of onboard hybrid FDIR systems is the single-vehicle instantiation, hosting diagnosis and recovery logic that operates between contact passes [9,23]. Most demanding of all is the Wander self-removal architecture, in which the substrate is licensed to declare its host non-viable and to commit irreversible passivation without ground confirmation</w:t>
      </w:r>
      <w:r>
        <w:t xml:space="preserve"> </w:t>
      </w:r>
      <w:hyperlink w:anchor="ref-6">
        <w:r>
          <w:rPr>
            <w:rStyle w:val="Hyperlink"/>
          </w:rPr>
          <w:t xml:space="preserve">[6]</w:t>
        </w:r>
      </w:hyperlink>
      <w:r>
        <w:t xml:space="preserve">.</w:t>
      </w:r>
    </w:p>
    <w:p>
      <w:pPr>
        <w:pStyle w:val="BodyText"/>
        <w:spacing w:line="480" w:lineRule="auto"/>
        <w:ind w:firstLine="720"/>
      </w:pPr>
      <w:r>
        <w:t xml:space="preserve">Second comes the autonomy tier, the ordinal level of decisional authority delegated to the information technology substrate for a given class of event. It is bounded below by ground-loop architectures, where the substrate detects and reports but does not act without operator confirmation, and bounded above by fully autonomous architectures, where the substrate detects, decides, and commits without operator review, and everything of interest to this dissertation happens in the graded interior between those two poles. Intermediate tiers cover architectures in which the substrate commits a recoverable action and routes the irreversible escalation through operator review, or proposes an action and commits unless an operator countermands within a specified window. In the conjunction domain, the Hejduk paradigm for co-located constellations with on-spacecraft autonomous flight dynamics control instantiates the highest tier</w:t>
      </w:r>
      <w:r>
        <w:t xml:space="preserve"> </w:t>
      </w:r>
      <w:hyperlink w:anchor="ref-12">
        <w:r>
          <w:rPr>
            <w:rStyle w:val="Hyperlink"/>
          </w:rPr>
          <w:t xml:space="preserve">[12]</w:t>
        </w:r>
      </w:hyperlink>
      <w:r>
        <w:t xml:space="preserve">, while NASA’s legacy ground-loop debris-avoidance architecture for the International Space Station instantiates the lowest</w:t>
      </w:r>
      <w:r>
        <w:t xml:space="preserve"> </w:t>
      </w:r>
      <w:hyperlink w:anchor="ref-16">
        <w:r>
          <w:rPr>
            <w:rStyle w:val="Hyperlink"/>
          </w:rPr>
          <w:t xml:space="preserve">[16]</w:t>
        </w:r>
      </w:hyperlink>
      <w:r>
        <w:t xml:space="preserve">.</w:t>
      </w:r>
    </w:p>
    <w:p>
      <w:pPr>
        <w:pStyle w:val="BodyText"/>
        <w:spacing w:line="480" w:lineRule="auto"/>
        <w:ind w:firstLine="720"/>
      </w:pPr>
      <w:r>
        <w:t xml:space="preserve">Third comes the response, the actuated command sequence the substrate produces when it detects an event. A response is an observable artifact with a timestamp, a content, and a downstream effect on the spacecraft state. Fourth comes the classification, the post-event judgment a mission anomaly review board or operational debrief renders on whether the response suited the event that elicited it. At the level of analysis adopted here the classification is binary: a response is either deemed appropriate or deemed inappropriate. Inappropriate classifications gather up false-positive triggers, miscategorized fault types that produced the wrong recovery sequence, premature passivation, and unnecessary maneuvers that burned propellant without addressing a real conjunction risk.</w:t>
      </w:r>
    </w:p>
    <w:p>
      <w:pPr>
        <w:pStyle w:val="BodyText"/>
        <w:spacing w:line="480" w:lineRule="auto"/>
        <w:ind w:firstLine="720"/>
      </w:pPr>
      <w:r>
        <w:t xml:space="preserve">Fifth comes the operator decision window, the wall-clock interval between substrate detection of an event and substrate commit of a response, during which an operator could in principle review and modify the substrate’s proposed action. This window is a continuous variable bounded below by the substrate’s internal processing latency and bounded above by the maximum hold time the substrate permits before defaulting to its preconfigured action. Through it, autonomy tier translates into observable operator behavior. Goldberg and Waltz articulate the supervisory function as a property of this window in their crew resource management framework, and the Stilwell, Quakenbush, Giles, and Dailey synthesis of aviation safety frameworks for orbital domain resilience carries the same construct into multi-operator settings where redundant review is a design parameter [4,25].</w:t>
      </w:r>
    </w:p>
    <w:bookmarkEnd w:id="75"/>
    <w:bookmarkStart w:id="76" w:name="X003a2e6c7945e33301b5b36ddecd4a9a7bf3236"/>
    <w:p>
      <w:pPr>
        <w:pStyle w:val="Heading2"/>
        <w:spacing w:line="480" w:lineRule="auto"/>
      </w:pPr>
      <w:r>
        <w:t xml:space="preserve">3.3 The Mechanism: Decision-Window Compression and the Supervisory Function</w:t>
      </w:r>
    </w:p>
    <w:p>
      <w:pPr>
        <w:pStyle w:val="FirstParagraph"/>
        <w:spacing w:line="480" w:lineRule="auto"/>
      </w:pPr>
      <w:r>
        <w:t xml:space="preserve">Decision-window compression is the mechanism this dissertation proposes. It rests on three premises, drawn from the operational and human-factors literature and from the two papers already estimated.</w:t>
      </w:r>
    </w:p>
    <w:p>
      <w:pPr>
        <w:pStyle w:val="BodyText"/>
        <w:spacing w:line="480" w:lineRule="auto"/>
        <w:ind w:firstLine="720"/>
      </w:pPr>
      <w:r>
        <w:t xml:space="preserve">The first premise is that the operator supervisory function is not uniform across event types. Operators catch a disproportionate share of inappropriate responses on the subset of events that are ambiguous at the substrate level, meaning the substrate’s detection logic registers a fault but the underlying physical condition could plausibly be attributed to more than one fault class. On unambiguous events, substrate and operator converge on the same classification with high probability, and operator review adds little marginal information. On ambiguous events, the operator brings contextual knowledge of mission posture, recent commanding history, and known sensor pathologies that the substrate does not natively encode. Goldberg and Waltz make exactly this premise the central rationale for retaining human-in-the-loop architectures even in high-autonomy regimes</w:t>
      </w:r>
      <w:r>
        <w:t xml:space="preserve"> </w:t>
      </w:r>
      <w:hyperlink w:anchor="ref-4">
        <w:r>
          <w:rPr>
            <w:rStyle w:val="Hyperlink"/>
          </w:rPr>
          <w:t xml:space="preserve">[4]</w:t>
        </w:r>
      </w:hyperlink>
      <w:r>
        <w:t xml:space="preserve">. McReynolds, on event-based sensor biasing, reinforces the point at the hardware layer, showing that signal-to-noise characteristics in space-domain sensors are themselves a tunable parameter whose default settings frequently mask the very ambiguous regime in which operator judgment is most valuable</w:t>
      </w:r>
      <w:r>
        <w:t xml:space="preserve"> </w:t>
      </w:r>
      <w:hyperlink w:anchor="ref-24">
        <w:r>
          <w:rPr>
            <w:rStyle w:val="Hyperlink"/>
          </w:rPr>
          <w:t xml:space="preserve">[24]</w:t>
        </w:r>
      </w:hyperlink>
      <w:r>
        <w:t xml:space="preserve">.</w:t>
      </w:r>
    </w:p>
    <w:p>
      <w:pPr>
        <w:pStyle w:val="BodyText"/>
        <w:spacing w:line="480" w:lineRule="auto"/>
        <w:ind w:firstLine="720"/>
      </w:pPr>
      <w:r>
        <w:t xml:space="preserve">The second premise is that the supervisory function is time-elastic. The marginal probability that an operator catches a mis-classified response rises monotonically with the decision window available to that operator, up to a saturation point beyond which additional time does not materially improve catch rates. The shape of this function is not assumed known, but its monotonicity in the relevant range finds support in the OLS finding of the companion paper that operators with longer warning times consume some but not all of that lead time, which suggests the supervisory function keeps extracting information from the extra window until other constraints bind. Huterer Prats, Schaub, and Wheeler imply the same elasticity from the opposite direction through their reinforcement-learning scheduling work, showing that scheduling decisions compress as the window shrinks and that the compression is not free of consequence for downstream task quality [14,21].</w:t>
      </w:r>
    </w:p>
    <w:p>
      <w:pPr>
        <w:pStyle w:val="BodyText"/>
        <w:spacing w:line="480" w:lineRule="auto"/>
        <w:ind w:firstLine="720"/>
      </w:pPr>
      <w:r>
        <w:t xml:space="preserve">The third premise is that autonomy tier is the principal determinant of the decision window. As the tier rises, the substrate’s default hold time falls toward zero, and the window within which an operator could intervene shrinks in step. At the highest tier the window vanishes in operational terms, and the supervisory function is foreclosed even with an operator nominally on shift. Both the Hejduk conjunction architecture for co-located constellations and the Latif AI-enabled space battle management framework describe regimes in which the operator role shrinks to post hoc audit, with no real-time review of individual commit decisions [12,13]. The Saadat end-to-end autonomous mission planning architecture for resident space object imaging carries the regime into the tasking layer, pulling the operator out of the loop on the antecedent commitments the FDIR system will later have to defend</w:t>
      </w:r>
      <w:r>
        <w:t xml:space="preserve"> </w:t>
      </w:r>
      <w:hyperlink w:anchor="ref-20">
        <w:r>
          <w:rPr>
            <w:rStyle w:val="Hyperlink"/>
          </w:rPr>
          <w:t xml:space="preserve">[20]</w:t>
        </w:r>
      </w:hyperlink>
      <w:r>
        <w:t xml:space="preserve">.</w:t>
      </w:r>
    </w:p>
    <w:p>
      <w:pPr>
        <w:pStyle w:val="BodyText"/>
        <w:spacing w:line="480" w:lineRule="auto"/>
        <w:ind w:firstLine="720"/>
      </w:pPr>
      <w:r>
        <w:t xml:space="preserve">Combine the three premises and the framework’s central prediction emerges. The chain is short.</w:t>
      </w:r>
    </w:p>
    <w:p>
      <w:pPr>
        <w:pStyle w:val="BodyText"/>
        <w:spacing w:line="480" w:lineRule="auto"/>
        <w:ind w:firstLine="720"/>
      </w:pPr>
      <w:r>
        <w:t xml:space="preserve">Hold the rate of ambiguous events constant, and an increase in autonomy tier reduces the operator decision window, which reduces the probability that the operator’s supervisory function catches an inappropriate response on an ambiguous event, which in turn raises the unconditional probability of an inappropriate-response classification in post-event review. The prediction is conditional on event type because the supervisory function’s marginal value concentrates on the ambiguous subset; pooling across unambiguous and ambiguous events would dilute the predicted effect to the point of empirical irrelevance. It is conditional on operator workload as well, because the same supervisory function draws on cognitive resources that are demonstrably finite. Heinicke’s analysis of crew self-organization under autonomous long-duration mission analog conditions offers convergent evidence that supervisory attention is allocated across tasks under workload pressure in ways that systematically underweight low-base-rate ambiguous events</w:t>
      </w:r>
      <w:r>
        <w:t xml:space="preserve"> </w:t>
      </w:r>
      <w:hyperlink w:anchor="ref-31">
        <w:r>
          <w:rPr>
            <w:rStyle w:val="Hyperlink"/>
          </w:rPr>
          <w:t xml:space="preserve">[31]</w:t>
        </w:r>
      </w:hyperlink>
      <w:r>
        <w:t xml:space="preserve">. Reimeir’s adaptive modeling of EVA telemetry likewise shows physiological and cognitive markers shifting under sustained operational load in ways consistent with degraded vigilance</w:t>
      </w:r>
      <w:r>
        <w:t xml:space="preserve"> </w:t>
      </w:r>
      <w:hyperlink w:anchor="ref-33">
        <w:r>
          <w:rPr>
            <w:rStyle w:val="Hyperlink"/>
          </w:rPr>
          <w:t xml:space="preserve">[33]</w:t>
        </w:r>
      </w:hyperlink>
      <w:r>
        <w:t xml:space="preserve">.</w:t>
      </w:r>
    </w:p>
    <w:p>
      <w:pPr>
        <w:pStyle w:val="BodyText"/>
        <w:spacing w:line="480" w:lineRule="auto"/>
        <w:ind w:firstLine="720"/>
      </w:pPr>
      <w:r>
        <w:t xml:space="preserve">Workload, in other words, is not a nuisance term. It is part of the mechanism.</w:t>
      </w:r>
    </w:p>
    <w:p>
      <w:pPr>
        <w:pStyle w:val="BodyText"/>
        <w:spacing w:line="480" w:lineRule="auto"/>
        <w:ind w:firstLine="720"/>
      </w:pPr>
      <w:r>
        <w:t xml:space="preserve">None of this claims autonomy is undesirable. Speed buys real protection, and the first companion paper documents that the very tier increase driving the predicted classification degradation also delivers a hazard ratio of approximately 2.49 on time-to-recovery, which integrates to roughly a sixfold instantaneous-rate increase across a two-step shift on the ordinal autonomy scale. The claim is instead that the speed-safety frontier is not flat. Some increment of recovery acceleration is bought with an increment of classification degradation, and the elasticity of that exchange is the empirical object of the dissertation. Hayden’s synthesis of artificial intelligence and autonomy in space, framed in terms of deterrence and escalation control, articulates the same logic at the policy layer and lends external corroboration to reading the speed-safety frontier as a balanced ledger rather than a one-sided optimization</w:t>
      </w:r>
      <w:r>
        <w:t xml:space="preserve"> </w:t>
      </w:r>
      <w:hyperlink w:anchor="ref-19">
        <w:r>
          <w:rPr>
            <w:rStyle w:val="Hyperlink"/>
          </w:rPr>
          <w:t xml:space="preserve">[19]</w:t>
        </w:r>
      </w:hyperlink>
      <w:r>
        <w:t xml:space="preserve">.</w:t>
      </w:r>
    </w:p>
    <w:bookmarkEnd w:id="76"/>
    <w:bookmarkStart w:id="77" w:name="causal-logic-and-identification"/>
    <w:p>
      <w:pPr>
        <w:pStyle w:val="Heading2"/>
        <w:spacing w:line="480" w:lineRule="auto"/>
      </w:pPr>
      <w:r>
        <w:t xml:space="preserve">3.4 Causal Logic and Identification</w:t>
      </w:r>
    </w:p>
    <w:p>
      <w:pPr>
        <w:pStyle w:val="FirstParagraph"/>
        <w:spacing w:line="480" w:lineRule="auto"/>
      </w:pPr>
      <w:r>
        <w:t xml:space="preserve">The causal logic the framework asserts can be written as a directed graph over four nodes joined by three edges. The autonomy tier is the exogenous treatment node, A. The decision window is the mediating node, W. The classification outcome is the outcome node, Y. Event ambiguity and operator workload are the conditioning nodes, Z. The asserted edges run A to W, W to Y, and Z to Y, with no direct edge from A to Y conditional on W. Embedded in that omitted direct edge is the substantive claim that autonomy tier influences classification outcomes only through its effect on the decision window. The claim is testable and is treated that way: should the empirical specification yield a significant residual effect of A on Y after conditioning on W, the mechanism as stated will need revision.</w:t>
      </w:r>
    </w:p>
    <w:p>
      <w:pPr>
        <w:pStyle w:val="BodyText"/>
        <w:spacing w:line="480" w:lineRule="auto"/>
        <w:ind w:firstLine="720"/>
      </w:pPr>
      <w:r>
        <w:t xml:space="preserve">Three back-door paths threaten identification of the A-to-Y effect through W. The first is selection on orbital regime. Spacecraft fielded with the most aggressive autonomy tiers may also fly in regimes with higher base rates of ambiguous events, generating a spurious A-Y correlation that does not reflect the mediator. The within-spacecraft fixed effects design described in the prospectus closes this path by exploiting only within-vehicle variation, on the premise that orbital regime is stable across the lifetime of a vehicle and is absorbed by the vehicle fixed effect. Saito’s work on FEM dynamic simulation of membrane structure deployment illustrates the kind of vehicle-specific physical configuration that can drive regime selection and that the fixed-effects design is built to absorb</w:t>
      </w:r>
      <w:r>
        <w:t xml:space="preserve"> </w:t>
      </w:r>
      <w:hyperlink w:anchor="ref-27">
        <w:r>
          <w:rPr>
            <w:rStyle w:val="Hyperlink"/>
          </w:rPr>
          <w:t xml:space="preserve">[27]</w:t>
        </w:r>
      </w:hyperlink>
      <w:r>
        <w:t xml:space="preserve">.</w:t>
      </w:r>
    </w:p>
    <w:p>
      <w:pPr>
        <w:pStyle w:val="BodyText"/>
        <w:spacing w:line="480" w:lineRule="auto"/>
        <w:ind w:firstLine="720"/>
      </w:pPr>
      <w:r>
        <w:t xml:space="preserve">The second threat is classification endogeneity. Anomaly review boards may hold events that arose under high-autonomy commits to a stricter classification standard, independent of the underlying response quality, on the principle that autonomous commits warrant heightened scrutiny. If so, the elasticity recovered from observational data will overstate the true mechanism-driven effect. The blinded re-classification sensitivity analysis in the prospectus addresses the threat directly, re-coding a stratified subsample of review board records with the autonomy tier masked and comparing the masked classification rate to the unmasked rate. A material discrepancy will be reported as a bound on the structural elasticity.</w:t>
      </w:r>
    </w:p>
    <w:p>
      <w:pPr>
        <w:pStyle w:val="BodyText"/>
        <w:spacing w:line="480" w:lineRule="auto"/>
        <w:ind w:firstLine="720"/>
      </w:pPr>
      <w:r>
        <w:t xml:space="preserve">The third threat is unobserved heterogeneity in event difficulty that co-moves with flight software updates. The identifying variation in the design is the within-spacecraft change in autonomy tier driven by flight software updates, and the exclusion restriction is that update timing is uncorrelated with the unobserved difficulty of the anomalies subsequently encountered, conditional on anomaly type. The placebo regression on pre-update event difficulty in the prospectus tests that restriction. Should pre-update difficulty co-move with post-update tier in the expected direction, the restriction is rejected and the elasticity must be read as an upper bound. Ibrahim’s generative machine learning framework for anomaly response in cyclical processes, though developed for the deep space habitat ECLSS rather than for LEO spacecraft, offers a useful external benchmark for the distribution of event difficulty the placebo regression will draw on</w:t>
      </w:r>
      <w:r>
        <w:t xml:space="preserve"> </w:t>
      </w:r>
      <w:hyperlink w:anchor="ref-28">
        <w:r>
          <w:rPr>
            <w:rStyle w:val="Hyperlink"/>
          </w:rPr>
          <w:t xml:space="preserve">[28]</w:t>
        </w:r>
      </w:hyperlink>
      <w:r>
        <w:t xml:space="preserve">.</w:t>
      </w:r>
    </w:p>
    <w:p>
      <w:pPr>
        <w:pStyle w:val="BodyText"/>
        <w:spacing w:line="480" w:lineRule="auto"/>
        <w:ind w:firstLine="720"/>
      </w:pPr>
      <w:r>
        <w:t xml:space="preserve">The framework’s identification strategy can therefore be stated compactly: a within-spacecraft conditional logit on the binary classification outcome, with the decision window as the proximate mediator and the autonomy tier as the exogenous source of variation in the window. The estimator recovers a structural elasticity of the classification probability with respect to the decision window, which combines with the engineering map from autonomy tier to default hold time to recover the reduced-form elasticity of classification probability with respect to autonomy tier. Taken together the two elasticities characterize the speed-safety frontier at the level of analysis the dissertation requires.</w:t>
      </w:r>
    </w:p>
    <w:p>
      <w:pPr>
        <w:pStyle w:val="BodyText"/>
        <w:spacing w:line="480" w:lineRule="auto"/>
        <w:ind w:firstLine="720"/>
      </w:pPr>
      <w:r>
        <w:t xml:space="preserve">One maps the window to the outcome. The other maps the tier to the window.</w:t>
      </w:r>
    </w:p>
    <w:bookmarkEnd w:id="77"/>
    <w:bookmarkStart w:id="78" w:name="formal-hypotheses"/>
    <w:p>
      <w:pPr>
        <w:pStyle w:val="Heading2"/>
        <w:spacing w:line="480" w:lineRule="auto"/>
      </w:pPr>
      <w:r>
        <w:t xml:space="preserve">3.5 Formal Hypotheses</w:t>
      </w:r>
    </w:p>
    <w:p>
      <w:pPr>
        <w:pStyle w:val="FirstParagraph"/>
        <w:spacing w:line="480" w:lineRule="auto"/>
      </w:pPr>
      <w:r>
        <w:t xml:space="preserve">The framework yields two hypotheses, stated first substantively and then econometrically. In their substantive form, restated from the prospectus, they read as follows.</w:t>
      </w:r>
    </w:p>
    <w:p>
      <w:pPr>
        <w:pStyle w:val="BodyText"/>
        <w:spacing w:line="480" w:lineRule="auto"/>
        <w:ind w:firstLine="720"/>
      </w:pPr>
      <w:r>
        <w:t xml:space="preserve">H0. Conditional on anomaly type and operator workload, the log-odds of a response being classified as inappropriate in post-event review are independent of mean time-to-actuation across FDIR autonomy tiers.</w:t>
      </w:r>
    </w:p>
    <w:p>
      <w:pPr>
        <w:pStyle w:val="BodyText"/>
        <w:spacing w:line="480" w:lineRule="auto"/>
        <w:ind w:firstLine="720"/>
      </w:pPr>
      <w:r>
        <w:t xml:space="preserve">H1. Conditional on anomaly type and operator workload, the log-odds of an inappropriate response classification increase monotonically as mean time-to-actuation decreases, with a non-zero elasticity recoverable from observational FDIR logs.</w:t>
      </w:r>
    </w:p>
    <w:p>
      <w:pPr>
        <w:pStyle w:val="BodyText"/>
        <w:spacing w:line="480" w:lineRule="auto"/>
        <w:ind w:firstLine="720"/>
      </w:pPr>
      <w:r>
        <w:t xml:space="preserve">In econometric form, let i index spacecraft, t index FDIR events within spacecraft, Y_it equal one if event t on spacecraft i is classified as inappropriate and zero otherwise, T_it equal the mean time-to-actuation for event t on spacecraft i, K_it equal the anomaly-type fixed-effect indicator, L_it equal the operator workload proxy at the time of event t, and alpha_i equal the spacecraft fixed effect. The structural specification is a conditional logit in which the log-odds of Y_it equal alpha_i plus beta times the natural log of T_it plus a vector of coefficients on K_it plus gamma times L_it plus an error term. H0 is the joint restriction that beta equals zero. H1 is the directional restriction that beta is strictly negative, so that shorter times-to-actuation raise the log-odds of inappropriate classification.</w:t>
      </w:r>
    </w:p>
    <w:p>
      <w:pPr>
        <w:pStyle w:val="BodyText"/>
        <w:spacing w:line="480" w:lineRule="auto"/>
        <w:ind w:firstLine="720"/>
      </w:pPr>
      <w:r>
        <w:t xml:space="preserve">The parameter beta is the speed-safety elasticity of classification quality, expressed as the percent change in the odds of inappropriate classification per percent change in mean time-to-actuation. Its point estimate, together with its cluster-robust standard error and confidence interval, is the falsifiable contribution of the dissertation. A confidence interval that excludes zero from below falsifies the null and supplies the elasticity to the design literature. A confidence interval that brackets zero retains the null and falsifies the qualitative operational concern the crew resource management literature raises</w:t>
      </w:r>
      <w:r>
        <w:t xml:space="preserve"> </w:t>
      </w:r>
      <w:hyperlink w:anchor="ref-4">
        <w:r>
          <w:rPr>
            <w:rStyle w:val="Hyperlink"/>
          </w:rPr>
          <w:t xml:space="preserve">[4]</w:t>
        </w:r>
      </w:hyperlink>
      <w:r>
        <w:t xml:space="preserve">. Neither outcome counts as a failure: the asymmetry of the prior literature, in which the concern is asserted but not estimated, means that a precise null is itself a contribution.</w:t>
      </w:r>
    </w:p>
    <w:p>
      <w:pPr>
        <w:pStyle w:val="BodyText"/>
        <w:spacing w:line="480" w:lineRule="auto"/>
        <w:ind w:firstLine="720"/>
      </w:pPr>
      <w:r>
        <w:t xml:space="preserve">Two ancillary tests follow. The first examines the conditional structure of the mechanism by interacting beta with an indicator for ambiguous events, on the prediction that the elasticity concentrates on the ambiguous subset and attenuates on the unambiguous subset. The second examines the mediator structure by re-estimating the specification with the decision window W substituted for T_it, on the prediction that the W-coefficient absorbs the T_it coefficient and that the direct effect of autonomy tier on Y_it conditional on W is statistically indistinguishable from zero. Both ancillary tests are pre-registered as confirmatory of the proposed mechanism and exploratory with respect to the magnitudes recovered.</w:t>
      </w:r>
    </w:p>
    <w:bookmarkEnd w:id="78"/>
    <w:bookmarkStart w:id="79" w:name="boundary-conditions"/>
    <w:p>
      <w:pPr>
        <w:pStyle w:val="Heading2"/>
        <w:spacing w:line="480" w:lineRule="auto"/>
      </w:pPr>
      <w:r>
        <w:t xml:space="preserve">3.6 Boundary Conditions</w:t>
      </w:r>
    </w:p>
    <w:p>
      <w:pPr>
        <w:pStyle w:val="FirstParagraph"/>
        <w:spacing w:line="480" w:lineRule="auto"/>
      </w:pPr>
      <w:r>
        <w:t xml:space="preserve">The framework is bounded along four dimensions. The first is the population of spacecraft over which the elasticity is to be recovered. The empirical sample is restricted to LEO scientific missions with published anomaly review records and to the NASA Ames Starling treated population that supplies documented variation in onboard autonomy tiers [7,11]. No claim is made that the recovered elasticity transports to GEO commercial fleets, whose anomaly distributions are documented to differ materially [5,8], nor to national-security platforms, whose recovery profiles are classified and whose review board procedures are not observable. Seong’s VISION integrated space information monitoring architecture documents the operational differences between LEO and GEO regimes at the monitoring layer and reinforces the case for restricting external validity claims to the population on which estimation occurs</w:t>
      </w:r>
      <w:r>
        <w:t xml:space="preserve"> </w:t>
      </w:r>
      <w:hyperlink w:anchor="ref-8">
        <w:r>
          <w:rPr>
            <w:rStyle w:val="Hyperlink"/>
          </w:rPr>
          <w:t xml:space="preserve">[8]</w:t>
        </w:r>
      </w:hyperlink>
      <w:r>
        <w:t xml:space="preserve">.</w:t>
      </w:r>
    </w:p>
    <w:p>
      <w:pPr>
        <w:pStyle w:val="BodyText"/>
        <w:spacing w:line="480" w:lineRule="auto"/>
        <w:ind w:firstLine="720"/>
      </w:pPr>
      <w:r>
        <w:t xml:space="preserve">The second boundary is the class of events. The framework applies to FDIR events for which a classification outcome is defined and recorded. It does not reach events the substrate failed to detect at all, since those generate no response and no classification, and it does not reach events whose review board records remain embargoed at the time of analysis. Cunio’s analysis of energetic events related to 2017 GEO RSO anomalies illustrates a class whose post-event classification is contested enough in the open literature that they would be excluded from the analytical sample on classification-reliability grounds</w:t>
      </w:r>
      <w:r>
        <w:t xml:space="preserve"> </w:t>
      </w:r>
      <w:hyperlink w:anchor="ref-5">
        <w:r>
          <w:rPr>
            <w:rStyle w:val="Hyperlink"/>
          </w:rPr>
          <w:t xml:space="preserve">[5]</w:t>
        </w:r>
      </w:hyperlink>
      <w:r>
        <w:t xml:space="preserve">.</w:t>
      </w:r>
    </w:p>
    <w:p>
      <w:pPr>
        <w:pStyle w:val="BodyText"/>
        <w:spacing w:line="480" w:lineRule="auto"/>
        <w:ind w:firstLine="720"/>
      </w:pPr>
      <w:r>
        <w:t xml:space="preserve">The third boundary is the autonomy regime. The framework treats autonomy tier as ordinal and bounded by the highest tier observed in the operational population. It does not extrapolate to fully autonomous regimes with no human review channel of any kind, since the supervisory function on which the mechanism turns is undefined when no review channel exists. Latif’s AI-enabled space battle management framework anticipates such fully autonomous regimes</w:t>
      </w:r>
      <w:r>
        <w:t xml:space="preserve"> </w:t>
      </w:r>
      <w:hyperlink w:anchor="ref-13">
        <w:r>
          <w:rPr>
            <w:rStyle w:val="Hyperlink"/>
          </w:rPr>
          <w:t xml:space="preserve">[13]</w:t>
        </w:r>
      </w:hyperlink>
      <w:r>
        <w:t xml:space="preserve">, and the framework treats them as outside its analytical scope while flagging them as the natural domain for a follow-on study.</w:t>
      </w:r>
    </w:p>
    <w:p>
      <w:pPr>
        <w:pStyle w:val="BodyText"/>
        <w:spacing w:line="480" w:lineRule="auto"/>
        <w:ind w:firstLine="720"/>
      </w:pPr>
      <w:r>
        <w:t xml:space="preserve">The fourth boundary is the time horizon over which the classification outcome is observed. The framework assumes the review board’s classification is rendered within a defined post-event window on the order of weeks to months. Longer-horizon reclassifications driven by lessons-learned reviews or retrospective audits are not modeled, and the recovered elasticity should be understood as conditional on the within-window classification regime. Rayman’s synthesis of lessons from the Dawn mission documents the value of longer-horizon retrospective reclassification but situates it outside the operational review board cycle on which the present framework relies</w:t>
      </w:r>
      <w:r>
        <w:t xml:space="preserve"> </w:t>
      </w:r>
      <w:hyperlink w:anchor="ref-10">
        <w:r>
          <w:rPr>
            <w:rStyle w:val="Hyperlink"/>
          </w:rPr>
          <w:t xml:space="preserve">[10]</w:t>
        </w:r>
      </w:hyperlink>
      <w:r>
        <w:t xml:space="preserve">.</w:t>
      </w:r>
    </w:p>
    <w:p>
      <w:pPr>
        <w:pStyle w:val="BodyText"/>
        <w:spacing w:line="480" w:lineRule="auto"/>
        <w:ind w:firstLine="720"/>
      </w:pPr>
      <w:r>
        <w:t xml:space="preserve">Within these four boundaries the framework yields a sharp, falsifiable prediction about the speed-safety elasticity of classification quality in the LEO scientific mission population. The next chapter operationalizes that prediction as a data construction and estimation plan, specifying how the FDIR log records, the autonomy tier coding, the workload proxy, and the review board classifications assemble into the panel on which beta will be estimated, and how the threats to identification from Section 3.4 are met by the design choices that follow.</w:t>
      </w:r>
    </w:p>
    <w:bookmarkEnd w:id="79"/>
    <w:bookmarkEnd w:id="80"/>
    <w:bookmarkStart w:id="90" w:name="chapter-4.-data-and-measurement"/>
    <w:p>
      <w:pPr>
        <w:pStyle w:val="Heading1"/>
        <w:spacing w:line="480" w:lineRule="auto"/>
      </w:pPr>
      <w:r>
        <w:t xml:space="preserve">Chapter 4. Data and Measurement</w:t>
      </w:r>
    </w:p>
    <w:bookmarkStart w:id="81" w:name="overview-and-chapter-aims"/>
    <w:p>
      <w:pPr>
        <w:pStyle w:val="Heading2"/>
        <w:spacing w:line="480" w:lineRule="auto"/>
      </w:pPr>
      <w:r>
        <w:t xml:space="preserve">4.1 Overview and Chapter Aims</w:t>
      </w:r>
    </w:p>
    <w:p>
      <w:pPr>
        <w:pStyle w:val="FirstParagraph"/>
        <w:spacing w:line="480" w:lineRule="auto"/>
      </w:pPr>
      <w:r>
        <w:t xml:space="preserve">This chapter lays out the empirical foundation of the dissertation. It documents the two operational datasets used in the companion papers, names the authoritative records each observation is drawn from, fixes the unit of analysis in each case, and describes how every variable used in estimation is built from primary records. The treatment is deliberately granular. Because the central claim concerns a quantitative tradeoff between autonomous response speed and the safety of the resulting action, the credibility of the elasticity estimates rides entirely on the discipline with which observable on-orbit events are mapped into the analytic variables. The chapter therefore works variable by variable, keeping an explicit line between what is taken directly from a primary record and what the author constructs through documented coding rules.</w:t>
      </w:r>
    </w:p>
    <w:p>
      <w:pPr>
        <w:pStyle w:val="BodyText"/>
        <w:spacing w:line="480" w:lineRule="auto"/>
        <w:ind w:firstLine="720"/>
      </w:pPr>
      <w:r>
        <w:t xml:space="preserve">Two distinct samples are assembled. The first, used in the time-to-recovery analysis, gathers thirty-five documented on-orbit anomaly events drawn from civil-space missions between 1998 and 2025. The second, used in the collision-avoidance latency analysis, gathers thirty-five documented conjunction-response events drawn from ground-loop science missions, semi-autonomous commercial constellations, and onboard-autonomous large constellations between 2015 and 2024. Both are built to the same scale on purpose, so that inference stays symmetric across the protective and destructive sides of the speed-safety ledger raised in Chapter 1. Each sits within the broader population framework the prospectus articulates, which anchors the research design in a within-spacecraft panel logic and treats autonomy tier as the empirically varying object [1, 6].</w:t>
      </w:r>
    </w:p>
    <w:p>
      <w:pPr>
        <w:pStyle w:val="BodyText"/>
        <w:spacing w:line="480" w:lineRule="auto"/>
        <w:ind w:firstLine="720"/>
      </w:pPr>
      <w:r>
        <w:t xml:space="preserve">Seven sections follow. Section 4.2 describes the population frame and inclusion criteria. Section 4.3 documents the anomaly-events dataset behind Paper 1. Section 4.4 documents the conjunction-events dataset behind Paper 2. Section 4.5 details the construction of the autonomy-level variable, the principal regressor of interest in both papers and the variable whose measurement most directly conditions the credibility of the elasticity estimate. Section 4.6 details the construction of the dependent variables and the censoring rule that governs the recovery-time analysis. Section 4.7 documents the control variables, their primary sources, and the rules used to convert reported narrative into numeric values. Section 4.8 reports on missingness, illustrative values, and the sensitivity protocols that bound the resulting measurement error.</w:t>
      </w:r>
    </w:p>
    <w:bookmarkEnd w:id="81"/>
    <w:bookmarkStart w:id="82" w:name="population-frame-and-inclusion-criteria"/>
    <w:p>
      <w:pPr>
        <w:pStyle w:val="Heading2"/>
        <w:spacing w:line="480" w:lineRule="auto"/>
      </w:pPr>
      <w:r>
        <w:t xml:space="preserve">4.2 Population Frame and Inclusion Criteria</w:t>
      </w:r>
    </w:p>
    <w:p>
      <w:pPr>
        <w:pStyle w:val="FirstParagraph"/>
        <w:spacing w:line="480" w:lineRule="auto"/>
      </w:pPr>
      <w:r>
        <w:t xml:space="preserve">The population of interest is the set of operational Earth-orbiting and deep-space civil missions for which on-orbit events are publicly documented in authoritative agency releases. The prospectus identifies this frame as the obtainable analogue of the broader population of autonomous spacecraft, a population that includes classified and proprietary platforms whose anomaly logs never reach the public record</w:t>
      </w:r>
      <w:r>
        <w:t xml:space="preserve"> </w:t>
      </w:r>
      <w:hyperlink w:anchor="ref-1">
        <w:r>
          <w:rPr>
            <w:rStyle w:val="Hyperlink"/>
          </w:rPr>
          <w:t xml:space="preserve">[1]</w:t>
        </w:r>
      </w:hyperlink>
      <w:r>
        <w:t xml:space="preserve">. Choosing the publicly documented civil frame is thus a deliberate restriction motivated by data access, and the external validity language of Chapters 5 and 6 will reflect it.</w:t>
      </w:r>
    </w:p>
    <w:p>
      <w:pPr>
        <w:pStyle w:val="BodyText"/>
        <w:spacing w:line="480" w:lineRule="auto"/>
        <w:ind w:firstLine="720"/>
      </w:pPr>
      <w:r>
        <w:t xml:space="preserve">An event qualifies for inclusion in either sample only when three conditions are met, and the rule is strict by design.</w:t>
      </w:r>
    </w:p>
    <w:p>
      <w:pPr>
        <w:pStyle w:val="BodyText"/>
        <w:spacing w:line="480" w:lineRule="auto"/>
        <w:ind w:firstLine="720"/>
      </w:pPr>
      <w:r>
        <w:t xml:space="preserve">First, the event is described in at least one authoritative primary record: an agency press release, a mission status report indexed in the NASA Technical Reports Server, a Federal Communications Commission filing, a European Space Agency operational notice, or a peer-reviewed conference paper presenting first-party operator data on the event [12, 15, 16, 17]. Second, the primary record fixes the onset of the event, whether as a detection timestamp for an anomaly or as the receipt timestamp of a conjunction data message. Third, the primary record reports, or permits direct construction of, an outcome timestamp: a nominal recovery for the anomaly sample, a maneuver commit for the conjunction sample, or an explicit abandonment that triggers right-censoring. Events satisfying the first condition but not the second or third are excluded. That exclusion rule runs more conservative than the alternative of imputing onset timestamps from public summaries, and it keeps faith with the data-provenance discipline the prospectus articulates</w:t>
      </w:r>
      <w:r>
        <w:t xml:space="preserve"> </w:t>
      </w:r>
      <w:hyperlink w:anchor="ref-1">
        <w:r>
          <w:rPr>
            <w:rStyle w:val="Hyperlink"/>
          </w:rPr>
          <w:t xml:space="preserve">[1]</w:t>
        </w:r>
      </w:hyperlink>
      <w:r>
        <w:t xml:space="preserve">.</w:t>
      </w:r>
    </w:p>
    <w:p>
      <w:pPr>
        <w:pStyle w:val="BodyText"/>
        <w:spacing w:line="480" w:lineRule="auto"/>
        <w:ind w:firstLine="720"/>
      </w:pPr>
      <w:r>
        <w:t xml:space="preserve">The inclusion logic does not stratify on mission outcome. Events that ended in mission loss are retained in the anomaly sample with appropriate censoring flags. Events whose avoidance maneuver was retroactively judged unnecessary are retained in the conjunction sample, because their inclusion is necessary for the OLS estimator to recover an unbiased coefficient on operator decision latency.</w:t>
      </w:r>
    </w:p>
    <w:bookmarkEnd w:id="82"/>
    <w:bookmarkStart w:id="83" w:name="the-anomaly-events-dataset"/>
    <w:p>
      <w:pPr>
        <w:pStyle w:val="Heading2"/>
        <w:spacing w:line="480" w:lineRule="auto"/>
      </w:pPr>
      <w:r>
        <w:t xml:space="preserve">4.3 The Anomaly-Events Dataset</w:t>
      </w:r>
    </w:p>
    <w:p>
      <w:pPr>
        <w:pStyle w:val="FirstParagraph"/>
        <w:spacing w:line="480" w:lineRule="auto"/>
      </w:pPr>
      <w:r>
        <w:t xml:space="preserve">Paper 1 takes the anomaly-events dataset as its empirical object, estimating a Cox proportional-hazards model of time-to-recovery as a function of autonomy level, subsystem complexity, and ground-contact gap. The unit of analysis is one documented on-orbit anomaly event, so each row is one event. The dataset comprises thirty-five events drawn from NASA, ESA, and NOAA civil-space missions between 1998 and 2025.</w:t>
      </w:r>
    </w:p>
    <w:p>
      <w:pPr>
        <w:pStyle w:val="BodyText"/>
        <w:spacing w:line="480" w:lineRule="auto"/>
        <w:ind w:firstLine="720"/>
      </w:pPr>
      <w:r>
        <w:t xml:space="preserve">Five streams of record feed it. For Hubble, James Webb Space Telescope, Kepler, Lucy, and InSight, the canonical source is the set of NASA mission status reports indexed in the NASA Technical Reports Server. For Voyager 1 and Voyager 2, the JPL deep-space mission update archive carries the anomaly-resolution history, the recent reconfiguration episodes among it, and those episodes speak straight to the dissertation’s autonomous-response thesis</w:t>
      </w:r>
      <w:r>
        <w:t xml:space="preserve"> </w:t>
      </w:r>
      <w:hyperlink w:anchor="ref-10">
        <w:r>
          <w:rPr>
            <w:rStyle w:val="Hyperlink"/>
          </w:rPr>
          <w:t xml:space="preserve">[10]</w:t>
        </w:r>
      </w:hyperlink>
      <w:r>
        <w:t xml:space="preserve">. Aeolus and Sentinel events come from the ESA mission operations notice archive. The GOES-17 Advanced Baseline Imager cooling anomaly comes from the NOAA satellite operations bulletin archive. Where two public sources disagree on a timestamp, the NASA Engineering Network anomaly reporting system furnishes the supervisory metadata that settles which one is canonical.</w:t>
      </w:r>
    </w:p>
    <w:p>
      <w:pPr>
        <w:pStyle w:val="BodyText"/>
        <w:spacing w:line="480" w:lineRule="auto"/>
        <w:ind w:firstLine="720"/>
      </w:pPr>
      <w:r>
        <w:t xml:space="preserve">Reading each primary record, the author lifts a fixed set of fields straight from it: the mission name, an anomaly identifier where the record carries one, the affected subsystem, the detection date and time in coordinated universal time, the recovery or abandonment date and time in the same frame, and a free-text account of how the response unfolded. That free-text account is copied verbatim into the coding worksheet, which lets the autonomy-level rules of Section 4.5 be applied in the open and repeated by anyone who cares to.</w:t>
      </w:r>
    </w:p>
    <w:p>
      <w:pPr>
        <w:pStyle w:val="BodyText"/>
        <w:spacing w:line="480" w:lineRule="auto"/>
        <w:ind w:firstLine="720"/>
      </w:pPr>
      <w:r>
        <w:t xml:space="preserve">Four observations sit as right-censored: the Kepler reaction wheel failure, the Lucy solar array partial deployment, the InSight HP3 mole, and the GOES-17 ABI cooling anomaly. For each, the primary record says outright that the subsystem either never returned to nominal function or had its restoration formally called off. The censoring rule, spelled out in the configuration file that ships with the paper, marks these events censored on the date the record closed the response sequence, and it imputes nothing onto a censored duration.</w:t>
      </w:r>
    </w:p>
    <w:p>
      <w:pPr>
        <w:pStyle w:val="BodyText"/>
        <w:spacing w:line="480" w:lineRule="auto"/>
        <w:ind w:firstLine="720"/>
      </w:pPr>
      <w:r>
        <w:t xml:space="preserve">The thirty-one observed events span the full range of the autonomy ordinal scale described in Section 4.5. The dataset is not balanced across that scale; its empirical distribution is itself an object of interest, reported in the descriptive statistics of Paper 1 and revisited in Chapter 5 when external validity is assessed against the prospectus’s broader population frame [1, 6].</w:t>
      </w:r>
    </w:p>
    <w:bookmarkEnd w:id="83"/>
    <w:bookmarkStart w:id="84" w:name="the-conjunction-events-dataset"/>
    <w:p>
      <w:pPr>
        <w:pStyle w:val="Heading2"/>
        <w:spacing w:line="480" w:lineRule="auto"/>
      </w:pPr>
      <w:r>
        <w:t xml:space="preserve">4.4 The Conjunction-Events Dataset</w:t>
      </w:r>
    </w:p>
    <w:p>
      <w:pPr>
        <w:pStyle w:val="FirstParagraph"/>
        <w:spacing w:line="480" w:lineRule="auto"/>
      </w:pPr>
      <w:r>
        <w:t xml:space="preserve">Paper 2 takes the conjunction-events dataset as its empirical object, estimating an ordinary least squares model of operator decision latency as a function of autonomy level, warning time, and the base-ten logarithm of the screening probability of collision. The unit of analysis is one documented collision-avoidance event, so each row is one event. The dataset comprises thirty-five events drawn from operator statements, agency press releases, FCC semi-annual constellation reports, and NASA technical reports between 2015 and 2024.</w:t>
      </w:r>
    </w:p>
    <w:p>
      <w:pPr>
        <w:pStyle w:val="BodyText"/>
        <w:spacing w:line="480" w:lineRule="auto"/>
        <w:ind w:firstLine="720"/>
      </w:pPr>
      <w:r>
        <w:t xml:space="preserve">Three identifiable subpopulations make up the dataset, each documented by a distinct authoritative source stream. Ground-loop science and Earth-observation missions form the first, represented by Aqua, Terra, GRACE-FO, Sentinel-1A, and ICESat-2 events; for these the primary records are NASA mission status reports indexed in the NASA Technical Reports Server, the NASA International Space Station Daily Status Reports and Pre-Determined Debris Avoidance Maneuver records</w:t>
      </w:r>
      <w:r>
        <w:t xml:space="preserve"> </w:t>
      </w:r>
      <w:hyperlink w:anchor="ref-16">
        <w:r>
          <w:rPr>
            <w:rStyle w:val="Hyperlink"/>
          </w:rPr>
          <w:t xml:space="preserve">[16]</w:t>
        </w:r>
      </w:hyperlink>
      <w:r>
        <w:t xml:space="preserve">, and the European Space Agency Aeolus and Sentinel conjunction operations logs</w:t>
      </w:r>
      <w:r>
        <w:t xml:space="preserve"> </w:t>
      </w:r>
      <w:hyperlink w:anchor="ref-17">
        <w:r>
          <w:rPr>
            <w:rStyle w:val="Hyperlink"/>
          </w:rPr>
          <w:t xml:space="preserve">[17]</w:t>
        </w:r>
      </w:hyperlink>
      <w:r>
        <w:t xml:space="preserve">. Semi-autonomous commercial constellations form the second, represented by OneWeb, Iridium-NEXT, Planet, and Spire events; for these the primary records are operator semi-annual constellation reports and FCC ex parte filings. Onboard-autonomous Starlink events form the third; for Starlink the primary records are the SpaceX semi-annual constellation reports filed under IBFS File No. SAT-MOD-20200417 between 2020 and 2024</w:t>
      </w:r>
      <w:r>
        <w:t xml:space="preserve"> </w:t>
      </w:r>
      <w:hyperlink w:anchor="ref-15">
        <w:r>
          <w:rPr>
            <w:rStyle w:val="Hyperlink"/>
          </w:rPr>
          <w:t xml:space="preserve">[15]</w:t>
        </w:r>
      </w:hyperlink>
      <w:r>
        <w:t xml:space="preserve">.</w:t>
      </w:r>
    </w:p>
    <w:p>
      <w:pPr>
        <w:pStyle w:val="BodyText"/>
        <w:spacing w:line="480" w:lineRule="auto"/>
        <w:ind w:firstLine="720"/>
      </w:pPr>
      <w:r>
        <w:t xml:space="preserve">Six fields come out of each primary record: the mission and operator identifier, the moment the conjunction data message was received, the moment the maneuver decision was committed, the predicted time of closest approach, the screening probability of collision as the operator reported it, and any free-text account of how the operator decided. Here too the free-text account is kept verbatim to feed the autonomy-level coding of Section 4.5. Four observations wear an illustrative flag, the ones for which the operator withheld an hour-level timestamp; how they were built is set out in Section 4.8.</w:t>
      </w:r>
    </w:p>
    <w:p>
      <w:pPr>
        <w:pStyle w:val="BodyText"/>
        <w:spacing w:line="480" w:lineRule="auto"/>
        <w:ind w:firstLine="720"/>
      </w:pPr>
      <w:r>
        <w:t xml:space="preserve">The conjunction-events dataset is not a random sample. Starlink is overrepresented relative to its share of the operational fleet, because it discloses far more granular timing data in its FCC reports than competitor constellations disclose in equivalent filings</w:t>
      </w:r>
      <w:r>
        <w:t xml:space="preserve"> </w:t>
      </w:r>
      <w:hyperlink w:anchor="ref-15">
        <w:r>
          <w:rPr>
            <w:rStyle w:val="Hyperlink"/>
          </w:rPr>
          <w:t xml:space="preserve">[15]</w:t>
        </w:r>
      </w:hyperlink>
      <w:r>
        <w:t xml:space="preserve">. Paper 2 acknowledges this selection feature and treats it as a binding constraint on external validity. The dissertation does not extrapolate the OLS coefficient to operators whose disclosure regimes differ structurally from those represented in the sample. Transparency, here, shapes the sample.</w:t>
      </w:r>
    </w:p>
    <w:bookmarkEnd w:id="84"/>
    <w:bookmarkStart w:id="85" w:name="constructing-the-autonomy-level-variable"/>
    <w:p>
      <w:pPr>
        <w:pStyle w:val="Heading2"/>
        <w:spacing w:line="480" w:lineRule="auto"/>
      </w:pPr>
      <w:r>
        <w:t xml:space="preserve">4.5 Constructing the Autonomy-Level Variable</w:t>
      </w:r>
    </w:p>
    <w:p>
      <w:pPr>
        <w:pStyle w:val="FirstParagraph"/>
        <w:spacing w:line="480" w:lineRule="auto"/>
      </w:pPr>
      <w:r>
        <w:t xml:space="preserve">Of every variable in the two papers, the autonomy-level variable carries the most weight, because it is the principal regressor and the one whose measurement most directly conditions the credibility of the elasticity estimates. No agency publishes a standardized numeric autonomy tier per event, so the author constructs the autonomy level from the free-text response descriptions in the primary records, using an ordinal coding rule anchored in the autonomous-FDIR and agent-based mission management literatures [1, 6, 9].</w:t>
      </w:r>
    </w:p>
    <w:p>
      <w:pPr>
        <w:pStyle w:val="BodyText"/>
        <w:spacing w:line="480" w:lineRule="auto"/>
        <w:ind w:firstLine="720"/>
      </w:pPr>
      <w:r>
        <w:t xml:space="preserve">Each event lands on a three-point ordinal scale, three tiers feeding one regressor. A value of one is assigned when the documented response sequence is ground-led throughout, which is to say that fault detection or conjunction screening is performed by ground software, isolation and recovery commands are uplinked by ground operators, and the spacecraft executes those uplinked commands without any on-board reclassification of its own. A value of two is assigned when the spacecraft autonomously detects the event and enters a documented safe-mode or hold state, but the recovery or commit decision stays with ground operators. A value of three is assigned when the spacecraft autonomously detects, isolates, and either recovers from the fault or commits the avoidance maneuver without operator confirmation in the loop. That three-point scale corresponds directly to the design parameter the FDIR self-removal literature treats as fixed at design time</w:t>
      </w:r>
      <w:r>
        <w:t xml:space="preserve"> </w:t>
      </w:r>
      <w:hyperlink w:anchor="ref-6">
        <w:r>
          <w:rPr>
            <w:rStyle w:val="Hyperlink"/>
          </w:rPr>
          <w:t xml:space="preserve">[6]</w:t>
        </w:r>
      </w:hyperlink>
      <w:r>
        <w:t xml:space="preserve">, and it is consistent with the agent-based taxonomy that distinguishes coordination depth in distributed-spacecraft mission management</w:t>
      </w:r>
      <w:r>
        <w:t xml:space="preserve"> </w:t>
      </w:r>
      <w:hyperlink w:anchor="ref-1">
        <w:r>
          <w:rPr>
            <w:rStyle w:val="Hyperlink"/>
          </w:rPr>
          <w:t xml:space="preserve">[1]</w:t>
        </w:r>
      </w:hyperlink>
      <w:r>
        <w:t xml:space="preserve">.</w:t>
      </w:r>
    </w:p>
    <w:p>
      <w:pPr>
        <w:pStyle w:val="BodyText"/>
        <w:spacing w:line="480" w:lineRule="auto"/>
        <w:ind w:firstLine="720"/>
      </w:pPr>
      <w:r>
        <w:t xml:space="preserve">The coding is applied by the author from the verbatim free-text descriptions extracted from primary records, and three discipline protocols bound the resulting measurement error. First, the coding rule is written down before any event is coded, with worked examples drawn from the autonomous-fault-management and conjunction-deconfliction literatures [9, 12]. Second, the coding is performed twice, the second pass conducted at least one calendar week after the first and with the autonomy level from the first pass masked; disagreements between the two passes are adjudicated against the primary record and the adjudication is logged. Third, the dataset documentation notes that an independent recoding by a second analyst would further strengthen confidence in the hazard-ratio magnitude reported in Paper 1, and that recoding is identified in the prospectus as a deferred sensitivity analysis</w:t>
      </w:r>
      <w:r>
        <w:t xml:space="preserve"> </w:t>
      </w:r>
      <w:hyperlink w:anchor="ref-4">
        <w:r>
          <w:rPr>
            <w:rStyle w:val="Hyperlink"/>
          </w:rPr>
          <w:t xml:space="preserve">[4]</w:t>
        </w:r>
      </w:hyperlink>
      <w:r>
        <w:t xml:space="preserve">.</w:t>
      </w:r>
    </w:p>
    <w:p>
      <w:pPr>
        <w:pStyle w:val="BodyText"/>
        <w:spacing w:line="480" w:lineRule="auto"/>
        <w:ind w:firstLine="720"/>
      </w:pPr>
      <w:r>
        <w:t xml:space="preserve">The autonomy coding is robust to the well-known distinction between automated and autonomous systems in the space domain awareness literature. An event in which a spacecraft executes a pre-programmed safe-mode entry without onboard reasoning is coded as autonomy level two when ground operators retain control of recovery, and as level three only when the recovery sequence itself is selected onboard. That boundary is consistent with the autonomous battle-management and reinforcement-learning scheduling literatures, in which the defining property of the highest tier is action selection under uncertainty rather than mere actuation of a pre-loaded plan [13, 14, 21].</w:t>
      </w:r>
    </w:p>
    <w:bookmarkEnd w:id="85"/>
    <w:bookmarkStart w:id="86" w:name="constructing-the-dependent-variables"/>
    <w:p>
      <w:pPr>
        <w:pStyle w:val="Heading2"/>
        <w:spacing w:line="480" w:lineRule="auto"/>
      </w:pPr>
      <w:r>
        <w:t xml:space="preserve">4.6 Constructing the Dependent Variables</w:t>
      </w:r>
    </w:p>
    <w:p>
      <w:pPr>
        <w:pStyle w:val="FirstParagraph"/>
        <w:spacing w:line="480" w:lineRule="auto"/>
      </w:pPr>
      <w:r>
        <w:t xml:space="preserve">In Paper 1 the dependent variable is the elapsed time, in hours, from the detection timestamp of an anomaly to the recovery timestamp at which the affected subsystem is declared restored to nominal function. It is constructed by subtracting the detection timestamp from the recovery timestamp, both extracted from the primary records of Section 4.3, and converting to hours. The Cox model pairs this variable with a binary event flag taking the value one for the thirty-one observed recoveries and zero for the four right-censored events. The censoring rule is documented in Section 4.3 and applied without imputation.</w:t>
      </w:r>
    </w:p>
    <w:p>
      <w:pPr>
        <w:pStyle w:val="BodyText"/>
        <w:spacing w:line="480" w:lineRule="auto"/>
        <w:ind w:firstLine="720"/>
      </w:pPr>
      <w:r>
        <w:t xml:space="preserve">A small number of recovery durations are flagged as illustrative, because the precise restoration window was not published in the primary record. For these observations the duration is set at the midpoint of the bracketing reports that fix the latest unrecovered status and the earliest restored status, and the observation is flagged so that it can be dropped in the sensitivity analysis identified in Paper 1. The illustrative flag is preserved as a column in the analysis dataset and is not collapsed into the principal duration variable.</w:t>
      </w:r>
    </w:p>
    <w:p>
      <w:pPr>
        <w:pStyle w:val="BodyText"/>
        <w:spacing w:line="480" w:lineRule="auto"/>
        <w:ind w:firstLine="720"/>
      </w:pPr>
      <w:r>
        <w:t xml:space="preserve">In Paper 2 the dependent variable is the operator decision latency, defined as the elapsed wall-clock interval in hours from receipt of the conjunction data message to commit of the maneuver decision. It is constructed by subtracting the receipt timestamp from the commit timestamp, both extracted from the primary records of Section 4.4. The OLS estimator treats the variable as continuous, and it is reported in hours rather than minutes to preserve interpretability against the typical conjunction-data-message lead time of one to three days for low Earth orbit conjunctions</w:t>
      </w:r>
      <w:r>
        <w:t xml:space="preserve"> </w:t>
      </w:r>
      <w:hyperlink w:anchor="ref-12">
        <w:r>
          <w:rPr>
            <w:rStyle w:val="Hyperlink"/>
          </w:rPr>
          <w:t xml:space="preserve">[12]</w:t>
        </w:r>
      </w:hyperlink>
      <w:r>
        <w:t xml:space="preserve">.</w:t>
      </w:r>
    </w:p>
    <w:p>
      <w:pPr>
        <w:pStyle w:val="BodyText"/>
        <w:spacing w:line="480" w:lineRule="auto"/>
        <w:ind w:firstLine="720"/>
      </w:pPr>
      <w:r>
        <w:t xml:space="preserve">For Starlink events disclosed in the FCC semi-annual reports, the receipt and commit timestamps are read directly from the structured disclosure tables</w:t>
      </w:r>
      <w:r>
        <w:t xml:space="preserve"> </w:t>
      </w:r>
      <w:hyperlink w:anchor="ref-15">
        <w:r>
          <w:rPr>
            <w:rStyle w:val="Hyperlink"/>
          </w:rPr>
          <w:t xml:space="preserve">[15]</w:t>
        </w:r>
      </w:hyperlink>
      <w:r>
        <w:t xml:space="preserve">. For ground-loop science missions, the receipt timestamp is read from the conjunction-data-message ingestion log and the commit timestamp from the maneuver planning operations log, the latter generally documented in the agency operational notice that announces the planned maneuver [16, 17]. For semi-autonomous commercial constellation events, the timestamps are read from operator-published incident summaries when those are sufficiently granular and from FCC ex parte filings otherwise. The four illustrative observations in this sample are those for which the operator published only a date but not an hour count; these are set at the midpoint of the bracketing window and flagged for sensitivity analysis.</w:t>
      </w:r>
    </w:p>
    <w:bookmarkEnd w:id="86"/>
    <w:bookmarkStart w:id="87" w:name="control-variables"/>
    <w:p>
      <w:pPr>
        <w:pStyle w:val="Heading2"/>
        <w:spacing w:line="480" w:lineRule="auto"/>
      </w:pPr>
      <w:r>
        <w:t xml:space="preserve">4.7 Control Variables</w:t>
      </w:r>
    </w:p>
    <w:p>
      <w:pPr>
        <w:pStyle w:val="FirstParagraph"/>
        <w:spacing w:line="480" w:lineRule="auto"/>
      </w:pPr>
      <w:r>
        <w:t xml:space="preserve">Paper 1 employs two controls alongside the autonomy-level variable.</w:t>
      </w:r>
    </w:p>
    <w:p>
      <w:pPr>
        <w:pStyle w:val="BodyText"/>
        <w:spacing w:line="480" w:lineRule="auto"/>
        <w:ind w:firstLine="720"/>
      </w:pPr>
      <w:r>
        <w:t xml:space="preserve">The first is an ordinal subsystem complexity score that captures the integration depth of the affected subsystem, constructed by the author from the same primary records that document the anomaly, on a four-point scale running from a single instrument with limited interactions to a deeply integrated multi-subsystem element such as a payload computer or a primary attitude-control loop. Boundary cases are calibrated against the affected-subsystem categorizations of the autonomous-fault-management literature</w:t>
      </w:r>
      <w:r>
        <w:t xml:space="preserve"> </w:t>
      </w:r>
      <w:hyperlink w:anchor="ref-9">
        <w:r>
          <w:rPr>
            <w:rStyle w:val="Hyperlink"/>
          </w:rPr>
          <w:t xml:space="preserve">[9]</w:t>
        </w:r>
      </w:hyperlink>
      <w:r>
        <w:t xml:space="preserve"> </w:t>
      </w:r>
      <w:r>
        <w:t xml:space="preserve">and the multi-instrument-platform descriptions in deep-space science mission reports</w:t>
      </w:r>
      <w:r>
        <w:t xml:space="preserve"> </w:t>
      </w:r>
      <w:hyperlink w:anchor="ref-10">
        <w:r>
          <w:rPr>
            <w:rStyle w:val="Hyperlink"/>
          </w:rPr>
          <w:t xml:space="preserve">[10]</w:t>
        </w:r>
      </w:hyperlink>
      <w:r>
        <w:t xml:space="preserve">. The second control is the median ground-contact gap, in hours, during the anomaly window, built by extracting the ground-contact schedule from the mission operations record for the calendar window bracketing the anomaly and computing the median inter-pass interval. For deep-space events the gap comes from the documented Deep Space Network track allocation; for low Earth orbit events it comes from the mission’s published ground-station schedule. This variable captures the binding-constraint logic articulated in the autonomous-navigation literature for deep-space small satellites</w:t>
      </w:r>
      <w:r>
        <w:t xml:space="preserve"> </w:t>
      </w:r>
      <w:hyperlink w:anchor="ref-29">
        <w:r>
          <w:rPr>
            <w:rStyle w:val="Hyperlink"/>
          </w:rPr>
          <w:t xml:space="preserve">[29]</w:t>
        </w:r>
      </w:hyperlink>
      <w:r>
        <w:t xml:space="preserve"> </w:t>
      </w:r>
      <w:r>
        <w:t xml:space="preserve">and in the agent-based mission management literature [1, 32], where scarce contact windows are the latent reason onboard autonomy substitutes for ground-loop intervention.</w:t>
      </w:r>
    </w:p>
    <w:p>
      <w:pPr>
        <w:pStyle w:val="BodyText"/>
        <w:spacing w:line="480" w:lineRule="auto"/>
        <w:ind w:firstLine="720"/>
      </w:pPr>
      <w:r>
        <w:t xml:space="preserve">Paper 2 also employs two controls alongside the autonomy-level variable.</w:t>
      </w:r>
    </w:p>
    <w:p>
      <w:pPr>
        <w:pStyle w:val="BodyText"/>
        <w:spacing w:line="480" w:lineRule="auto"/>
        <w:ind w:firstLine="720"/>
      </w:pPr>
      <w:r>
        <w:t xml:space="preserve">The first is the warning time, defined as the lead in hours from issuance of the conjunction data message to the predicted time of closest approach, constructed directly from the conjunction-data-message metadata fields of the relevant primary record. For Starlink events the warning time is extracted from the FCC semi-annual report tables</w:t>
      </w:r>
      <w:r>
        <w:t xml:space="preserve"> </w:t>
      </w:r>
      <w:hyperlink w:anchor="ref-15">
        <w:r>
          <w:rPr>
            <w:rStyle w:val="Hyperlink"/>
          </w:rPr>
          <w:t xml:space="preserve">[15]</w:t>
        </w:r>
      </w:hyperlink>
      <w:r>
        <w:t xml:space="preserve">; for ground-loop science missions it is extracted from the NASA pre-determined debris avoidance maneuver records and the ESA Aeolus and Sentinel conjunction logs [16, 17]. The second control is the base-ten logarithm of the screening probability of collision, transformed because the screening probability is conventionally reported on a logarithmic scale in conjunction screening practice and because the OLS estimator returns interpretable coefficients only on the transformed scale. The transformation is applied after the screening probability is extracted from the primary record and after any operator-specific notational conventions, such as the use of one in ten thousand thresholds in semi-autonomous constellation reports, are reconciled to a common scientific notation.</w:t>
      </w:r>
    </w:p>
    <w:bookmarkEnd w:id="87"/>
    <w:bookmarkStart w:id="88" w:name="X8c716fd5893309b2a7cd27d13b8bf0b85d20380"/>
    <w:p>
      <w:pPr>
        <w:pStyle w:val="Heading2"/>
        <w:spacing w:line="480" w:lineRule="auto"/>
      </w:pPr>
      <w:r>
        <w:t xml:space="preserve">4.8 Missingness, Illustrative Values, and Sensitivity Protocols</w:t>
      </w:r>
    </w:p>
    <w:p>
      <w:pPr>
        <w:pStyle w:val="FirstParagraph"/>
        <w:spacing w:line="480" w:lineRule="auto"/>
      </w:pPr>
      <w:r>
        <w:t xml:space="preserve">Two forms of missingness in the two datasets warrant explicit attention. One is the absence of hour-level timestamps in a small number of observations for which the primary record reports only a calendar date. The other is the absence of a published screening probability for a small number of conjunction events for which the operator reported only that a screening threshold was exceeded.</w:t>
      </w:r>
    </w:p>
    <w:p>
      <w:pPr>
        <w:pStyle w:val="BodyText"/>
        <w:spacing w:line="480" w:lineRule="auto"/>
        <w:ind w:firstLine="720"/>
      </w:pPr>
      <w:r>
        <w:t xml:space="preserve">For the first form, the construction rule sets the timestamp at the midpoint of the bracketing window in the primary record and flags the observation as illustrative. The flag is preserved in the analytic dataset and reported in the descriptive statistics of both papers. Paper 1 identifies five recovery durations as illustrative; Paper 2 identifies four operator decision latencies as illustrative. The sensitivity analysis deferred to follow-on work, identified in both papers, drops the illustrative rows and re-estimates the model. Its expected effect is a widening of the standard errors with no change in the sign of the autonomy coefficient, given the magnitude of the principal estimate; that prediction is recorded here so it can be falsified in the follow-on analysis.</w:t>
      </w:r>
    </w:p>
    <w:p>
      <w:pPr>
        <w:pStyle w:val="BodyText"/>
        <w:spacing w:line="480" w:lineRule="auto"/>
        <w:ind w:firstLine="720"/>
      </w:pPr>
      <w:r>
        <w:t xml:space="preserve">For the second form, the construction rule reads the operator-reported screening threshold from the primary record and imputes the screening probability at the threshold itself. Imputation at the threshold is the conservative choice, because it suppresses variation in the regressor and biases the OLS coefficient on the log-probability variable toward zero, which is consistent with the non-significant coefficient reported in Paper 2.</w:t>
      </w:r>
    </w:p>
    <w:p>
      <w:pPr>
        <w:pStyle w:val="BodyText"/>
        <w:spacing w:line="480" w:lineRule="auto"/>
        <w:ind w:firstLine="720"/>
      </w:pPr>
      <w:r>
        <w:t xml:space="preserve">Three further sensitivity protocols bound the residual measurement error. First, the autonomy-level recoding by a second analyst, identified in Section 4.5 as a deferred protocol, will be executed before the dissertation defense, and the resulting inter-coder agreement statistic will be reported in the defense package. Second, the subsystem complexity score in Paper 1 will be subjected to a leave-one-mission-out sensitivity in which each mission is in turn excluded and the Cox model re-estimated, with the resulting distribution of coefficients reported as a robustness check. Third, the Starlink overrepresentation in the conjunction sample will be assessed by re-estimating the OLS model with the Starlink observations excluded; the expected effect is an attenuation of the autonomy coefficient toward zero, because the Starlink subpopulation provides the bulk of the variation in the highest autonomy tier, and that attenuation will be reported as a transparent bound on the external validity of the principal estimate.</w:t>
      </w:r>
    </w:p>
    <w:p>
      <w:pPr>
        <w:pStyle w:val="BodyText"/>
        <w:spacing w:line="480" w:lineRule="auto"/>
        <w:ind w:firstLine="720"/>
      </w:pPr>
      <w:r>
        <w:t xml:space="preserve">The classification-endogeneity concern raised in the prospectus, in which post-event review boards may apply harsher safety labels when autonomy was high, does not bear directly on the two datasets documented in this chapter, because neither dependent variable is a review-board classification. It bears instead on the larger anomaly-events analysis identified in the prospectus, where it is addressed through a blinded-recoding protocol [1, 4]. The chapter notes the concern for completeness and to stay consistent with the prospectus’s threat-to-validity catalogue.</w:t>
      </w:r>
    </w:p>
    <w:p>
      <w:pPr>
        <w:pStyle w:val="BodyText"/>
        <w:spacing w:line="480" w:lineRule="auto"/>
        <w:ind w:firstLine="720"/>
      </w:pPr>
      <w:r>
        <w:t xml:space="preserve">Its full treatment belongs to the analysis that measures the classification outcome directly.</w:t>
      </w:r>
    </w:p>
    <w:bookmarkEnd w:id="88"/>
    <w:bookmarkStart w:id="89" w:name="summary"/>
    <w:p>
      <w:pPr>
        <w:pStyle w:val="Heading2"/>
        <w:spacing w:line="480" w:lineRule="auto"/>
      </w:pPr>
      <w:r>
        <w:t xml:space="preserve">4.9 Summary</w:t>
      </w:r>
    </w:p>
    <w:p>
      <w:pPr>
        <w:pStyle w:val="FirstParagraph"/>
        <w:spacing w:line="480" w:lineRule="auto"/>
      </w:pPr>
      <w:r>
        <w:t xml:space="preserve">This chapter has documented two operational datasets that together support the dissertation’s central elasticity estimates. Each is anchored in identifiable authoritative records, each variable is constructed by an explicit rule reproducible from those records, and each known source of measurement error is bounded by a stated sensitivity protocol. The autonomy-level variable receives the most extensive treatment, because it is the regressor whose measurement most directly conditions the credibility of the elasticity estimates and because no agency publishes a standardized autonomy tier per event. The two dependent variables, time to anomaly recovery and operator decision latency, are constructed by direct subtraction of timestamps extracted from primary records, with a small number of illustrative observations flagged for sensitivity analysis. The control variables are constructed from the same primary records and calibrated against the autonomous-fault-management, conjunction-deconfliction, and agent-based mission management literatures [1, 6, 9, 12]. Chapter 5 turns to the estimation results, reading the Cox proportional-hazards and ordinary least squares estimates against the hypotheses articulated in Chapters 1 and 2.</w:t>
      </w:r>
    </w:p>
    <w:bookmarkEnd w:id="89"/>
    <w:bookmarkEnd w:id="90"/>
    <w:bookmarkStart w:id="109" w:name="chapter-5.-methods-and-identification"/>
    <w:p>
      <w:pPr>
        <w:pStyle w:val="Heading1"/>
        <w:spacing w:line="480" w:lineRule="auto"/>
      </w:pPr>
      <w:r>
        <w:t xml:space="preserve">Chapter 5. Methods and Identification</w:t>
      </w:r>
    </w:p>
    <w:bookmarkStart w:id="91" w:name="X28e3ea397ab69dedd886ce87e510010501cd690"/>
    <w:p>
      <w:pPr>
        <w:pStyle w:val="Heading2"/>
        <w:spacing w:line="480" w:lineRule="auto"/>
      </w:pPr>
      <w:r>
        <w:t xml:space="preserve">5.1 Overview and Logic of the Empirical Strategy</w:t>
      </w:r>
    </w:p>
    <w:p>
      <w:pPr>
        <w:pStyle w:val="FirstParagraph"/>
        <w:spacing w:line="480" w:lineRule="auto"/>
      </w:pPr>
      <w:r>
        <w:t xml:space="preserve">This chapter specifies the estimators, identification strategy, and validity bounds that operationalize the dissertation’s single falsifiable contribution. That contribution is a point estimate, with confidence interval, of the elasticity of inappropriate-response classification with respect to mean time-to-actuation in autonomous fault detection, isolation, and recovery (FDIR) loops on operational LEO spacecraft. The chapter moves through five stages. Section 5.2 fixes notation and defines the estimand. Section 5.3 specifies the primary estimator, a within-spacecraft conditional logit, together with a complementary Cox proportional-hazards specification and an ordinary-least-squares decision-latency model that triangulate the central elasticity using two different outcomes already validated in the companion papers. Section 5.4 sets out the identification strategy, including the source of identifying variation, the exclusion restriction, and the placebo tests that bound it. Section 5.5 catalogues threats to validity in three families, selection, classification endogeneity, and external validity, and specifies the sensitivity analyses that bound each. Section 5.6 closes by aligning the estimators with the pre-registered hypotheses from the prospectus, so the reader can audit which estimator falsifies which claim.</w:t>
      </w:r>
    </w:p>
    <w:p>
      <w:pPr>
        <w:pStyle w:val="BodyText"/>
        <w:spacing w:line="480" w:lineRule="auto"/>
        <w:ind w:firstLine="720"/>
      </w:pPr>
      <w:r>
        <w:t xml:space="preserve">The framing is deliberately conservative, because prior work stops short of the estimate. The literature establishes that agent-based architectures coordinate FDIR and resource allocation across distributed space systems while treating the autonomy threshold itself as a design parameter rather than an empirical variable [1, 32]. Self-removal and passivation work specifies the triggering logic yet does not estimate the safety penalty of speed</w:t>
      </w:r>
      <w:r>
        <w:t xml:space="preserve"> </w:t>
      </w:r>
      <w:hyperlink w:anchor="ref-6">
        <w:r>
          <w:rPr>
            <w:rStyle w:val="Hyperlink"/>
          </w:rPr>
          <w:t xml:space="preserve">[6]</w:t>
        </w:r>
      </w:hyperlink>
      <w:r>
        <w:t xml:space="preserve">. Dynamic sensor tasking and machine-learning situational awareness work compresses response intervals yet does not measure the downstream classification of the responses [2, 3]. And the crew resource management literature asserts a supervisory-vigilance tradeoff qualitatively for space domain operations without a quantitative elasticity [4, 25]. The estimators below close that gap by exploiting the within-spacecraft variation that emerges when flight software updates shift the autonomy tier governing a fixed anomaly population.</w:t>
      </w:r>
    </w:p>
    <w:bookmarkEnd w:id="91"/>
    <w:bookmarkStart w:id="92" w:name="notation-and-estimand"/>
    <w:p>
      <w:pPr>
        <w:pStyle w:val="Heading2"/>
        <w:spacing w:line="480" w:lineRule="auto"/>
      </w:pPr>
      <w:r>
        <w:t xml:space="preserve">5.2 Notation and Estimand</w:t>
      </w:r>
    </w:p>
    <w:p>
      <w:pPr>
        <w:pStyle w:val="FirstParagraph"/>
        <w:spacing w:line="480" w:lineRule="auto"/>
      </w:pPr>
      <w:r>
        <w:t xml:space="preserve">Write i for spacecraft, t for the FDIR events on each, and s(i,t) for the autonomy tier under which event t occurred aboard vehicle i. The response variable y_{it} takes the value one whenever the post-event mission anomaly review board labels the committed response inappropriate, and zero elsewhere. The regressor that carries the argument, m_{it}, is the mean time-to-actuation seen for the anomaly class that governs event t at tier s(i,t); it is recorded in seconds and entered as a logarithm, which keeps the long right tail from dominating the fit. Riding alongside it in the control vector x_{it} are anomaly-type fixed effects, an operator-workload term counting concurrent open anomalies on the vehicle across the actuation window, the ground-contact gap in hours, and the subsystem complexity score. Whatever is fixed about a platform over its life, its heritage, its integration depth, its orbital regime, drops into the spacecraft fixed effects alpha_i.</w:t>
      </w:r>
    </w:p>
    <w:p>
      <w:pPr>
        <w:pStyle w:val="BodyText"/>
        <w:spacing w:line="480" w:lineRule="auto"/>
        <w:ind w:firstLine="720"/>
      </w:pPr>
      <w:r>
        <w:t xml:space="preserve">The estimand is the elasticity beta defined by the conditional logit specification log(p_{it} / (1 - p_{it})) = alpha_i + beta log(m_{it}) + gamma’x_{it}, where the sign and magnitude of beta directly test the prospectus hypotheses. Under H0 from the prospectus, beta equals zero. Under H1, beta is negative, because shorter mean time-to-actuation (smaller m_{it}) raises the log-odds of inappropriate classification. The dissertation contribution is therefore a recovered estimate of beta with a clustered confidence interval, not the sign alone.</w:t>
      </w:r>
    </w:p>
    <w:p>
      <w:pPr>
        <w:pStyle w:val="BodyText"/>
        <w:spacing w:line="480" w:lineRule="auto"/>
        <w:ind w:firstLine="720"/>
      </w:pPr>
      <w:r>
        <w:t xml:space="preserve">A sign is cheap. A magnitude, with its interval, is what design work needs.</w:t>
      </w:r>
    </w:p>
    <w:bookmarkEnd w:id="92"/>
    <w:bookmarkStart w:id="97" w:name="estimators"/>
    <w:p>
      <w:pPr>
        <w:pStyle w:val="Heading2"/>
        <w:spacing w:line="480" w:lineRule="auto"/>
      </w:pPr>
      <w:r>
        <w:t xml:space="preserve">5.3 Estimators</w:t>
      </w:r>
    </w:p>
    <w:bookmarkStart w:id="93" w:name="Xc0e8f23894c6247ea66aa7c026e8436006798d8"/>
    <w:p>
      <w:pPr>
        <w:pStyle w:val="Heading3"/>
        <w:spacing w:line="480" w:lineRule="auto"/>
      </w:pPr>
      <w:r>
        <w:t xml:space="preserve">5.3.1 Primary estimator: within-spacecraft conditional logit</w:t>
      </w:r>
    </w:p>
    <w:p>
      <w:pPr>
        <w:pStyle w:val="FirstParagraph"/>
        <w:spacing w:line="480" w:lineRule="auto"/>
      </w:pPr>
      <w:r>
        <w:t xml:space="preserve">A conditional fixed-effects logit on y_{it} carries the main estimation. It sweeps alpha_i out of the problem by maximizing a partial likelihood over the sufficient statistics that each spacecraft supplies, and three features of the data recommend it. To begin with, the review board records a discrete verdict, appropriate or not, so a discrete-choice model fits the outcome more honestly than a linear probability transform would. Beyond that, differencing within a vehicle removes every time-invariant platform trait, and those traits are the worst confounders in observational FDIR data, since no one assigns high-autonomy tiers to vehicles at random. Finally, the partial-likelihood form stays unbiased even where the count of within-vehicle events runs thin, so long as each contributing vehicle registers at least one switch in y_{it}.</w:t>
      </w:r>
    </w:p>
    <w:p>
      <w:pPr>
        <w:pStyle w:val="BodyText"/>
        <w:spacing w:line="480" w:lineRule="auto"/>
        <w:ind w:firstLine="720"/>
      </w:pPr>
      <w:r>
        <w:t xml:space="preserve">Inference clusters the standard errors by spacecraft. That clustering earns its keep because events on one vehicle carry shared operations-tempo and ground-team residues that differencing within the vehicle leaves partly intact. And by entering autonomy through m_{it} rather than through a categorical tier dummy, the specification returns the elasticity in the log-seconds that FDIR engineers actually design against, not in the tier labels that mission paperwork happens to use.</w:t>
      </w:r>
    </w:p>
    <w:bookmarkEnd w:id="93"/>
    <w:bookmarkStart w:id="94" w:name="X425a8adfcf9b4c006421533f9dd0ea853a65b3f"/>
    <w:p>
      <w:pPr>
        <w:pStyle w:val="Heading3"/>
        <w:spacing w:line="480" w:lineRule="auto"/>
      </w:pPr>
      <w:r>
        <w:t xml:space="preserve">5.3.2 Complementary estimator: Cox proportional hazards on time-to-recovery</w:t>
      </w:r>
    </w:p>
    <w:p>
      <w:pPr>
        <w:pStyle w:val="FirstParagraph"/>
        <w:spacing w:line="480" w:lineRule="auto"/>
      </w:pPr>
      <w:r>
        <w:t xml:space="preserve">A second estimator triangulates the central elasticity from the protective side of the speed-safety ledger. Paper 1 of this dissertation fitted a Cox proportional-hazards model with Breslow tie-handling on time from anomaly declaration to nominal recovery, with autonomy level, subsystem complexity, and ground-contact gap as covariates. The estimated autonomy coefficient was 0.9141 (p = 0.0084), corresponding to a hazard ratio of approximately 2.49 per one-step increase on the ordinal autonomy scale. Chapter 5 carries that estimator forward unchanged as a complementary specification, because the dissertation argument needs evidence on both sides of the tradeoff. The Cox model is fit by partial likelihood under the proportional-hazards assumption, tested by Schoenfeld residual plots against transformed survival time and by the rho diagnostic on the autonomy covariate.</w:t>
      </w:r>
    </w:p>
    <w:p>
      <w:pPr>
        <w:pStyle w:val="BodyText"/>
        <w:spacing w:line="480" w:lineRule="auto"/>
        <w:ind w:firstLine="720"/>
      </w:pPr>
      <w:r>
        <w:t xml:space="preserve">The two estimators are deliberately not pooled, because pooling would blur the two signs. The logit recovers the destructive elasticity, where faster actuation raises misclassification risk, while the Cox model recovers the protective hazard ratio, where higher autonomy accelerates recovery. What the dissertation contributes is the joint reading, and the joint reading resists averaging: a coherent autonomy policy emerges only when both elasticities are measured on the same population and held apart, never when they are collapsed into a single index that would let one sign cancel the other.</w:t>
      </w:r>
    </w:p>
    <w:bookmarkEnd w:id="94"/>
    <w:bookmarkStart w:id="95" w:name="X9857704f7e550d0943862b99c4cf7784b49d2b2"/>
    <w:p>
      <w:pPr>
        <w:pStyle w:val="Heading3"/>
        <w:spacing w:line="480" w:lineRule="auto"/>
      </w:pPr>
      <w:r>
        <w:t xml:space="preserve">5.3.3 Complementary estimator: OLS on operator decision latency</w:t>
      </w:r>
    </w:p>
    <w:p>
      <w:pPr>
        <w:pStyle w:val="FirstParagraph"/>
        <w:spacing w:line="480" w:lineRule="auto"/>
      </w:pPr>
      <w:r>
        <w:t xml:space="preserve">A third estimator anchors the analysis at the upstream end of the loop, where ground-loop operator decision latency competes with onboard autonomous commit times for the same anomaly class. Paper 2 of this dissertation fitted an ordinary-least-squares regression of operator decision latency in hours on autonomy level, warning time, and the base-10 log of the screening probability of collision, recovering an autonomy coefficient of -9.16 hours per level (p &lt; 0.001) with R-squared of 0.91. That estimator characterizes the central tendency rather than identifying a causal effect of architecture choice, as the original paper notes, but the magnitude is operationally consequential and it provides the upper bound on the speed gain the logit estimator must trade against. Chapter 5 retains the OLS estimator in this role only. Its function in the identification strategy is descriptive: it sizes the speed gain whose safety cost is then estimated by the conditional logit.</w:t>
      </w:r>
    </w:p>
    <w:bookmarkEnd w:id="95"/>
    <w:bookmarkStart w:id="96" w:name="Xfcd1cf89a8583f9b8916716a0c807bd40494146"/>
    <w:p>
      <w:pPr>
        <w:pStyle w:val="Heading3"/>
        <w:spacing w:line="480" w:lineRule="auto"/>
      </w:pPr>
      <w:r>
        <w:t xml:space="preserve">5.3.4 Sample, weights, and estimation diagnostics</w:t>
      </w:r>
    </w:p>
    <w:p>
      <w:pPr>
        <w:pStyle w:val="FirstParagraph"/>
        <w:spacing w:line="480" w:lineRule="auto"/>
      </w:pPr>
      <w:r>
        <w:t xml:space="preserve">The primary logit draws its sample, per the prospectus, from FDIR events on the Starling treated vehicles alongside a LEO scientific-mission control group pulled from anomaly records filed in NTRS between 2016 and 2025, the treated sub-panel anchored by Starling’s published record of reconfiguration and responsiveness [7, 11]. The Cox sample is the 35-event civil-space anomaly panel already assembled for Paper 1. The OLS sample is the 35-event collision-avoidance panel assembled for Paper 2, whose sources run from FCC Starlink semi-annual constellation reports</w:t>
      </w:r>
      <w:r>
        <w:t xml:space="preserve"> </w:t>
      </w:r>
      <w:hyperlink w:anchor="ref-15">
        <w:r>
          <w:rPr>
            <w:rStyle w:val="Hyperlink"/>
          </w:rPr>
          <w:t xml:space="preserve">[15]</w:t>
        </w:r>
      </w:hyperlink>
      <w:r>
        <w:t xml:space="preserve"> </w:t>
      </w:r>
      <w:r>
        <w:t xml:space="preserve">through NASA ISS daily status reports and pre-determined debris avoidance maneuver records</w:t>
      </w:r>
      <w:r>
        <w:t xml:space="preserve"> </w:t>
      </w:r>
      <w:hyperlink w:anchor="ref-16">
        <w:r>
          <w:rPr>
            <w:rStyle w:val="Hyperlink"/>
          </w:rPr>
          <w:t xml:space="preserve">[16]</w:t>
        </w:r>
      </w:hyperlink>
      <w:r>
        <w:t xml:space="preserve"> </w:t>
      </w:r>
      <w:r>
        <w:t xml:space="preserve">to ESA Aeolus and Sentinel conjunction operations logs</w:t>
      </w:r>
      <w:r>
        <w:t xml:space="preserve"> </w:t>
      </w:r>
      <w:hyperlink w:anchor="ref-17">
        <w:r>
          <w:rPr>
            <w:rStyle w:val="Hyperlink"/>
          </w:rPr>
          <w:t xml:space="preserve">[17]</w:t>
        </w:r>
      </w:hyperlink>
      <w:r>
        <w:t xml:space="preserve">. Because the three outcomes differ, no single observation feeds more than one estimator.</w:t>
      </w:r>
    </w:p>
    <w:p>
      <w:pPr>
        <w:pStyle w:val="BodyText"/>
        <w:spacing w:line="480" w:lineRule="auto"/>
        <w:ind w:firstLine="720"/>
      </w:pPr>
      <w:r>
        <w:t xml:space="preserve">Sample weights are not applied. The estimands are conditional on the LEO scientific and high-cadence commercial populations, and they are reported on those terms. Estimation diagnostics include the Hosmer-Lemeshow goodness-of-fit statistic for the logit, the Schoenfeld test for the Cox specification, and standard heteroskedasticity-consistent diagnostics for the OLS specification.</w:t>
      </w:r>
    </w:p>
    <w:bookmarkEnd w:id="96"/>
    <w:bookmarkEnd w:id="97"/>
    <w:bookmarkStart w:id="102" w:name="identification-strategy"/>
    <w:p>
      <w:pPr>
        <w:pStyle w:val="Heading2"/>
        <w:spacing w:line="480" w:lineRule="auto"/>
      </w:pPr>
      <w:r>
        <w:t xml:space="preserve">5.4 Identification Strategy</w:t>
      </w:r>
    </w:p>
    <w:bookmarkStart w:id="98" w:name="source-of-identifying-variation"/>
    <w:p>
      <w:pPr>
        <w:pStyle w:val="Heading3"/>
        <w:spacing w:line="480" w:lineRule="auto"/>
      </w:pPr>
      <w:r>
        <w:t xml:space="preserve">5.4.1 Source of identifying variation</w:t>
      </w:r>
    </w:p>
    <w:p>
      <w:pPr>
        <w:pStyle w:val="FirstParagraph"/>
        <w:spacing w:line="480" w:lineRule="auto"/>
      </w:pPr>
      <w:r>
        <w:t xml:space="preserve">Identification rests on one kind of movement: the shift in mean time-to-actuation that a flight software update produces within a single vehicle and a single anomaly class when it retunes the autonomy tier governing that class. The design is a panel nested twice over. Each vehicle recurs across events, each anomaly class recurs within a vehicle, and the tier attached to that class moves because software updates retune FDIR thresholds and graft on or prune away onboard recovery branches. Cross-vehicle differences in orbit, mission class, and operations tempo vanish into the spacecraft fixed effects; cross-class differences in difficulty vanish into the anomaly-type fixed effects. Beta is read off whatever variation survives once both layers have been swept away.</w:t>
      </w:r>
    </w:p>
    <w:bookmarkEnd w:id="98"/>
    <w:bookmarkStart w:id="99" w:name="exclusion-restriction"/>
    <w:p>
      <w:pPr>
        <w:pStyle w:val="Heading3"/>
        <w:spacing w:line="480" w:lineRule="auto"/>
      </w:pPr>
      <w:r>
        <w:t xml:space="preserve">5.4.2 Exclusion restriction</w:t>
      </w:r>
    </w:p>
    <w:p>
      <w:pPr>
        <w:pStyle w:val="FirstParagraph"/>
        <w:spacing w:line="480" w:lineRule="auto"/>
      </w:pPr>
      <w:r>
        <w:t xml:space="preserve">The exclusion restriction, pre-registered, holds that the timing of a flight software update carries no correlation with the unobserved difficulty of the anomalies that follow it, once anomaly type is conditioned on. This is not an empty stipulation. Update schedules track mission operations milestones, commissioning phases, instrument calibration windows, ground-segment reconfigurations, rather than any forecast of how hard the next fault in a class will prove. The agent-based literature spells this scheduling logic out: teams tune autonomy thresholds to platform maturity and mission phase, not to the realized difficulty of faults still to come [1, 32]. The self-removal literature says the same for end-of-life triggering</w:t>
      </w:r>
      <w:r>
        <w:t xml:space="preserve"> </w:t>
      </w:r>
      <w:hyperlink w:anchor="ref-6">
        <w:r>
          <w:rPr>
            <w:rStyle w:val="Hyperlink"/>
          </w:rPr>
          <w:t xml:space="preserve">[6]</w:t>
        </w:r>
      </w:hyperlink>
      <w:r>
        <w:t xml:space="preserve">. Since the restriction can be no stronger than the institutions that set update timing, Section 5.5 pairs it with a placebo test that bounds it head-on.</w:t>
      </w:r>
    </w:p>
    <w:bookmarkEnd w:id="99"/>
    <w:bookmarkStart w:id="100" w:name="placebo-regression"/>
    <w:p>
      <w:pPr>
        <w:pStyle w:val="Heading3"/>
        <w:spacing w:line="480" w:lineRule="auto"/>
      </w:pPr>
      <w:r>
        <w:t xml:space="preserve">5.4.3 Placebo regression</w:t>
      </w:r>
    </w:p>
    <w:p>
      <w:pPr>
        <w:pStyle w:val="FirstParagraph"/>
        <w:spacing w:line="480" w:lineRule="auto"/>
      </w:pPr>
      <w:r>
        <w:t xml:space="preserve">The placebo regression runs the primary logit on pre-update event difficulty as the outcome, regressed on the post-update autonomy tier. Under the null that update timing is uncorrelated with unobserved difficulty, the placebo coefficient is zero. A non-zero placebo coefficient bounds the violation of the exclusion restriction and is subtracted from the primary estimate as a sensitivity correction. The placebo design follows the standard observational template in which a future treatment indicator should not predict a past outcome, and it is sufficient to bound, though not eliminate, the residual correlation between update timing and anomaly difficulty.</w:t>
      </w:r>
    </w:p>
    <w:bookmarkEnd w:id="100"/>
    <w:bookmarkStart w:id="101" w:name="reliance-on-within-variation"/>
    <w:p>
      <w:pPr>
        <w:pStyle w:val="Heading3"/>
        <w:spacing w:line="480" w:lineRule="auto"/>
      </w:pPr>
      <w:r>
        <w:t xml:space="preserve">5.4.4 Reliance on within variation</w:t>
      </w:r>
    </w:p>
    <w:p>
      <w:pPr>
        <w:pStyle w:val="FirstParagraph"/>
        <w:spacing w:line="480" w:lineRule="auto"/>
      </w:pPr>
      <w:r>
        <w:t xml:space="preserve">The identification strategy deliberately discards cross-vehicle variation in autonomy tier. Cross-vehicle variation is the dominant source of confounding in observational FDIR data, because high-autonomy vehicles are also vehicles fielded into more demanding orbital regimes with higher conjunction densities</w:t>
      </w:r>
      <w:r>
        <w:t xml:space="preserve"> </w:t>
      </w:r>
      <w:hyperlink w:anchor="ref-12">
        <w:r>
          <w:rPr>
            <w:rStyle w:val="Hyperlink"/>
          </w:rPr>
          <w:t xml:space="preserve">[12]</w:t>
        </w:r>
      </w:hyperlink>
      <w:r>
        <w:t xml:space="preserve"> </w:t>
      </w:r>
      <w:r>
        <w:t xml:space="preserve">and more aggressive science operations tempos. The within design pays for this discipline in statistical power: only events on vehicles whose autonomy tier changed during the observation window contribute to the partial likelihood. That is a real cost. The chapter accepts it as the price of identification.</w:t>
      </w:r>
    </w:p>
    <w:bookmarkEnd w:id="101"/>
    <w:bookmarkEnd w:id="102"/>
    <w:bookmarkStart w:id="107" w:name="threats-to-validity"/>
    <w:p>
      <w:pPr>
        <w:pStyle w:val="Heading2"/>
        <w:spacing w:line="480" w:lineRule="auto"/>
      </w:pPr>
      <w:r>
        <w:t xml:space="preserve">5.5 Threats to Validity</w:t>
      </w:r>
    </w:p>
    <w:bookmarkStart w:id="103" w:name="selection-threats"/>
    <w:p>
      <w:pPr>
        <w:pStyle w:val="Heading3"/>
        <w:spacing w:line="480" w:lineRule="auto"/>
      </w:pPr>
      <w:r>
        <w:t xml:space="preserve">5.5.1 Selection threats</w:t>
      </w:r>
    </w:p>
    <w:p>
      <w:pPr>
        <w:pStyle w:val="FirstParagraph"/>
        <w:spacing w:line="480" w:lineRule="auto"/>
      </w:pPr>
      <w:r>
        <w:t xml:space="preserve">A first worry is that the vehicles carrying the boldest autonomy tiers also fly the harshest orbital regimes, which would push the estimated elasticity too high. Leaning only on within-vehicle variation, the fixed effects design meets that worry at the root, and two bounding runs press it harder still. One keeps only vehicles whose orbital regime held steady across the observation window, so regime drift cannot masquerade as within-vehicle movement. The other keeps only vehicles whose mission class held steady, science craft staying science craft and technology demonstrators staying demonstrators, so class drift cannot either. Should beta hold up under both restrictions, the selection bound counts as honored.</w:t>
      </w:r>
    </w:p>
    <w:p>
      <w:pPr>
        <w:pStyle w:val="BodyText"/>
        <w:spacing w:line="480" w:lineRule="auto"/>
        <w:ind w:firstLine="720"/>
      </w:pPr>
      <w:r>
        <w:t xml:space="preserve">A second selection concern is survivorship. Vehicles that experience catastrophic FDIR failures are removed from the population by the failure itself, which truncates the upper tail of the inappropriate-response distribution. The estimator addresses this by treating decommissioning as right-censoring under the Cox specification and by restricting the logit sample to events that occurred while the vehicle was operational and reporting to ground. The bound is tightened by reporting beta separately on the subsample of vehicles that survived to the end of the observation window and on the subsample that did not.</w:t>
      </w:r>
    </w:p>
    <w:bookmarkEnd w:id="103"/>
    <w:bookmarkStart w:id="104" w:name="classification-endogeneity"/>
    <w:p>
      <w:pPr>
        <w:pStyle w:val="Heading3"/>
        <w:spacing w:line="480" w:lineRule="auto"/>
      </w:pPr>
      <w:r>
        <w:t xml:space="preserve">5.5.2 Classification endogeneity</w:t>
      </w:r>
    </w:p>
    <w:p>
      <w:pPr>
        <w:pStyle w:val="FirstParagraph"/>
        <w:spacing w:line="480" w:lineRule="auto"/>
      </w:pPr>
      <w:r>
        <w:t xml:space="preserve">A second worry is that review boards reach for the inappropriate label more readily once they see that autonomy was high, whatever the response actually deserved. The worry has teeth, because boards do know the tier when they render a verdict, and the human-factors literature shows that awareness of automation can nudge a reviewer’s prior on who owns the outcome [4, 25]. Against it, the pre-registered sensitivity analysis masks the autonomy tier on a random subsample of board records, re-scores them blind, and sets the blinded inappropriate-response rate beside the unblinded one. A match between the two rates leaves the endogeneity bound tight. A lower blinded rate is treated as a worst case, its shortfall subtracted from beta.</w:t>
      </w:r>
    </w:p>
    <w:p>
      <w:pPr>
        <w:pStyle w:val="BodyText"/>
        <w:spacing w:line="480" w:lineRule="auto"/>
        <w:ind w:firstLine="720"/>
      </w:pPr>
      <w:r>
        <w:t xml:space="preserve">A complementary diagnostic asks whether the share of events classified as inappropriate is rising secularly across the observation window, tracking the diffusion of autonomy rather than its causal effect on response quality. The diagnostic regresses inappropriate-response classification on a calendar-year fixed effect with autonomy tier omitted and reports the year-on-year drift. A large drift would signal that classification norms have moved, and beta is reported alongside the drift-corrected version.</w:t>
      </w:r>
    </w:p>
    <w:bookmarkEnd w:id="104"/>
    <w:bookmarkStart w:id="105" w:name="external-validity"/>
    <w:p>
      <w:pPr>
        <w:pStyle w:val="Heading3"/>
        <w:spacing w:line="480" w:lineRule="auto"/>
      </w:pPr>
      <w:r>
        <w:t xml:space="preserve">5.5.3 External validity</w:t>
      </w:r>
    </w:p>
    <w:p>
      <w:pPr>
        <w:pStyle w:val="FirstParagraph"/>
        <w:spacing w:line="480" w:lineRule="auto"/>
      </w:pPr>
      <w:r>
        <w:t xml:space="preserve">The third threat is that the LEO scientific mission population does not generalize to GEO commercial fleets, which exhibit different anomaly distributions</w:t>
      </w:r>
      <w:r>
        <w:t xml:space="preserve"> </w:t>
      </w:r>
      <w:hyperlink w:anchor="ref-8">
        <w:r>
          <w:rPr>
            <w:rStyle w:val="Hyperlink"/>
          </w:rPr>
          <w:t xml:space="preserve">[8]</w:t>
        </w:r>
      </w:hyperlink>
      <w:r>
        <w:t xml:space="preserve"> </w:t>
      </w:r>
      <w:r>
        <w:t xml:space="preserve">and different operator workload regimes. The chapter handles this conservatively: the elasticity is reported as conditional on the LEO scientific population and is not extrapolated to commercial GEO without explicit re-estimation on a commercial sample. The OLS decision-latency estimator on the Starlink-weighted collision-avoidance panel already documents that the magnitude of the speed compression differs across architectural tiers, which warns against pooling. The dissertation contribution is therefore a conditional elasticity for the LEO scientific population, with the magnitude on commercial GEO left as a question for a follow-on study the prospectus already names.</w:t>
      </w:r>
    </w:p>
    <w:p>
      <w:pPr>
        <w:pStyle w:val="BodyText"/>
        <w:spacing w:line="480" w:lineRule="auto"/>
        <w:ind w:firstLine="720"/>
      </w:pPr>
      <w:r>
        <w:t xml:space="preserve">A subsidiary external-validity concern is that the population of vehicles with publicly disclosed FDIR logs may differ systematically from the population whose FDIR logs are classified. The estimator cannot speak to the classified population. The chapter accepts that boundary explicitly and frames the contribution as an estimate for the publicly observable population, leaving the classified population to a future study that can secure access.</w:t>
      </w:r>
    </w:p>
    <w:bookmarkEnd w:id="105"/>
    <w:bookmarkStart w:id="106" w:name="measurement-error"/>
    <w:p>
      <w:pPr>
        <w:pStyle w:val="Heading3"/>
        <w:spacing w:line="480" w:lineRule="auto"/>
      </w:pPr>
      <w:r>
        <w:t xml:space="preserve">5.5.4 Measurement error</w:t>
      </w:r>
    </w:p>
    <w:p>
      <w:pPr>
        <w:pStyle w:val="FirstParagraph"/>
        <w:spacing w:line="480" w:lineRule="auto"/>
      </w:pPr>
      <w:r>
        <w:t xml:space="preserve">A fourth threat, smaller than the first three but worth bounding, is measurement error in m_{it}. Mean time-to-actuation is reconstructed from FDIR actuation timestamps, and timestamp resolution varies by mission. Where resolution is coarser than the actuation interval, m_{it} is reported with an upper bound and a lower bound; the primary logit uses the midpoint, with sensitivity runs at both bounds. Five durations in the Cox sample are flagged as illustrative midpoints in Paper 1, and the same flag carries forward here. A sensitivity analysis dropping the flagged rows is reported.</w:t>
      </w:r>
    </w:p>
    <w:bookmarkEnd w:id="106"/>
    <w:bookmarkEnd w:id="107"/>
    <w:bookmarkStart w:id="108" w:name="alignment-with-pre-registered-hypotheses"/>
    <w:p>
      <w:pPr>
        <w:pStyle w:val="Heading2"/>
        <w:spacing w:line="480" w:lineRule="auto"/>
      </w:pPr>
      <w:r>
        <w:t xml:space="preserve">5.6 Alignment with Pre-Registered Hypotheses</w:t>
      </w:r>
    </w:p>
    <w:p>
      <w:pPr>
        <w:pStyle w:val="FirstParagraph"/>
        <w:spacing w:line="480" w:lineRule="auto"/>
      </w:pPr>
      <w:r>
        <w:t xml:space="preserve">The estimators in Section 5.3 map cleanly onto the pre-registered hypotheses. The primary conditional logit recovers beta and tests H0 against H1: H0 is falsified when the confidence interval on beta excludes zero in the direction H1 predicts, namely beta strictly negative on log mean time-to-actuation. The Cox specification quantifies the protective side of the tradeoff, where autonomy accelerates recovery, and the OLS specification sizes the speed gain at the upstream end, where autonomy compresses operator decision latency. The dissertation contribution is the recovered elasticity beta, reported with its clustered confidence interval and with the placebo correction and classification-endogeneity bound applied. A null finding on beta falsifies the operational concern the crew resource management literature raises [4, 25] for the LEO scientific population. A positive finding on beta quantifies the design tradeoff that current FDIR taxonomies leave implicit [1, 6, 32] and supplies the operational governance argument the dissertation’s concluding chapter advances.</w:t>
      </w:r>
    </w:p>
    <w:p>
      <w:pPr>
        <w:pStyle w:val="BodyText"/>
        <w:spacing w:line="480" w:lineRule="auto"/>
        <w:ind w:firstLine="720"/>
      </w:pPr>
      <w:r>
        <w:t xml:space="preserve">The chapter takes care not to overclaim. The within-spacecraft design identifies beta from a specific source of variation, flight software updates that shift autonomy tier for fixed anomaly classes on fixed vehicles, and that source is the only one the dissertation claims to exploit. The placebo regression bounds the residual correlation between update timing and unobserved anomaly difficulty. The classification-endogeneity sensitivity bounds the residual correlation between review board priors and autonomy tier. The external-validity boundary is honored by refusing to extrapolate to GEO commercial or to classified populations. Within those bounds, the elasticity is the falsifiable estimate the prospectus promised. Outside them, the estimate makes no claim at all.</w:t>
      </w:r>
    </w:p>
    <w:bookmarkEnd w:id="108"/>
    <w:bookmarkEnd w:id="109"/>
    <w:bookmarkStart w:id="124"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pre-registered papers that operationalize the dissertation’s central question, whether faster autonomous response in spacecraft information technology infrastructure compresses the operator decision window in ways that systematically alter safety-relevant outcomes. Paper 1 estimates the recovery-side leg of the speed-safety ledger with a Cox proportional-hazards model on documented on-orbit anomaly events. Paper 2 estimates the decision-latency-side leg with ordinary least squares on documented collision-avoidance events. Read together, the two estimators triangulate the same underlying causal object, the elasticity of safety-relevant outcomes to onboard autonomy, from opposite directions: Paper 1 asks whether autonomy accelerates the return to a nominal state after a fault, and Paper 2 asks whether autonomy compresses the decision interval before a maneuver commit. The tables, formulas, coefficient covariance structures, and diagnostic plots referenced throughout are reproduced in Appendix A; the present chapter confines itself to the substantive interpretation of the estimated quantities.</w:t>
      </w:r>
    </w:p>
    <w:p>
      <w:pPr>
        <w:pStyle w:val="BodyText"/>
        <w:spacing w:line="480" w:lineRule="auto"/>
        <w:ind w:firstLine="720"/>
      </w:pPr>
      <w:r>
        <w:t xml:space="preserve">Restraint governs the analytical posture here, for the samples are small. Both were assembled from public disclosure rather than from a sampling frame with known inclusion probabilities, and both were modeled with estimators chosen for transparency rather than for maximal efficiency. The findings should therefore be read as informative point estimates with honest standard errors, not as definitive elasticities. What the dissertation contributes is the demonstration that, even under those conservative analytical choices, the two papers return coherent and mutually reinforcing signals on a speed-safety tradeoff the literature has previously treated as a qualitative concern</w:t>
      </w:r>
      <w:r>
        <w:t xml:space="preserve"> </w:t>
      </w:r>
      <w:hyperlink w:anchor="ref-4">
        <w:r>
          <w:rPr>
            <w:rStyle w:val="Hyperlink"/>
          </w:rPr>
          <w:t xml:space="preserve">[4]</w:t>
        </w:r>
      </w:hyperlink>
      <w:r>
        <w:t xml:space="preserve">.</w:t>
      </w:r>
    </w:p>
    <w:bookmarkStart w:id="115" w:name="paper-1-autonomy-and-time-to-recovery"/>
    <w:p>
      <w:pPr>
        <w:pStyle w:val="Heading2"/>
        <w:spacing w:line="480" w:lineRule="auto"/>
      </w:pPr>
      <w:r>
        <w:t xml:space="preserve">6.1 Paper 1: Autonomy and Time-to-Recovery</w:t>
      </w:r>
    </w:p>
    <w:bookmarkStart w:id="110" w:name="model-and-sample"/>
    <w:p>
      <w:pPr>
        <w:pStyle w:val="Heading3"/>
        <w:spacing w:line="480" w:lineRule="auto"/>
      </w:pPr>
      <w:r>
        <w:t xml:space="preserve">6.1.1 Model and sample</w:t>
      </w:r>
    </w:p>
    <w:p>
      <w:pPr>
        <w:pStyle w:val="FirstParagraph"/>
        <w:spacing w:line="480" w:lineRule="auto"/>
      </w:pPr>
      <w:r>
        <w:t xml:space="preserve">Paper 1 fits a Cox proportional-hazards regression with the Breslow tie-handling default on 35 documented on-orbit anomaly events drawn from NASA, ESA, and NOAA civil-space missions between 1998 and 2025. The dependent quantity is elapsed time in hours from anomaly detection to nominal subsystem recovery, paired with a binary event indicator. Thirty-one of the thirty-five events are observed recoveries; four are right-censored, because the affected subsystem was never restored within the disclosure window or because restoration was abandoned. The covariate vector holds an ordinal onboard autonomy level, an ordinal subsystem complexity score, and the median ground-contact gap in hours observed during the anomaly window. The estimator was fit by partial-likelihood maximization, with coefficients reported on the log-hazard scale and hazard ratios obtained by exponentiation. The configuration file records the model formula in machine-readable form and is reproduced in Appendix A.</w:t>
      </w:r>
    </w:p>
    <w:p>
      <w:pPr>
        <w:pStyle w:val="BodyText"/>
        <w:spacing w:line="480" w:lineRule="auto"/>
        <w:ind w:firstLine="720"/>
      </w:pPr>
      <w:r>
        <w:t xml:space="preserve">With N equal to 35 and 31 events, the design leaves just over ten events for every covariate. Survival-analysis methodologists put that ratio at the floor of what stable partial-likelihood estimation asks for. So a reader does well to lean less on the size of the autonomy coefficient than on its sign and its significance, the two of which survive reasonable jostling of the sample.</w:t>
      </w:r>
    </w:p>
    <w:bookmarkEnd w:id="110"/>
    <w:bookmarkStart w:id="111" w:name="autonomy-coefficient"/>
    <w:p>
      <w:pPr>
        <w:pStyle w:val="Heading3"/>
        <w:spacing w:line="480" w:lineRule="auto"/>
      </w:pPr>
      <w:r>
        <w:t xml:space="preserve">6.1.2 Autonomy coefficient</w:t>
      </w:r>
    </w:p>
    <w:p>
      <w:pPr>
        <w:pStyle w:val="FirstParagraph"/>
        <w:spacing w:line="480" w:lineRule="auto"/>
      </w:pPr>
      <w:r>
        <w:t xml:space="preserve">The fitted coefficient on onboard autonomy level is 0.9141 with a standard error of 0.3471, yielding a Wald p-value of 0.0084. That places the estimate beyond the one percent level and well clear of zero. Exponentiating it returns a hazard ratio of approximately 2.49, meaning that, holding subsystem complexity and ground-contact gap fixed at their sample values, a one-step increment along the ordinal autonomy scale goes with an instantaneous recovery rate roughly two and a half times the recovery rate at the lower autonomy step. Because the autonomy scale spans three ordinal levels in this sample, the integrated effect of moving from the lowest to the highest sampled level, evaluated as the exponentiated linear index across the two-step interval, corresponds to an instantaneous recovery rate roughly six times that of the baseline.</w:t>
      </w:r>
    </w:p>
    <w:p>
      <w:pPr>
        <w:pStyle w:val="BodyText"/>
        <w:spacing w:line="480" w:lineRule="auto"/>
        <w:ind w:firstLine="720"/>
      </w:pPr>
      <w:r>
        <w:t xml:space="preserve">What matters interpretively is not the precise hazard ratio but its direction and its order of magnitude. The point estimate is consistent with hypothesis H1 of the paper, and it sharpens the prior qualitative claim in the autonomous-FDIR literature that onboard fault detection, isolation, and recovery substitutes for ground-loop intervention when latency is the binding constraint [1, 9, 23]. The literature on agent-based mission management situates the same logic in distributed-spacecraft contexts, where communication windows are scarce relative to event-driven decision needs [1, 32]. Conditional on the sample, the Cox estimate attaches a defensible numeric to that long-standing intuition. A hazard ratio of approximately 2.49 per ordinal step is large enough to be operationally consequential rather than a marginal refinement, and the integrated effect across the full ordinal range corresponds to a transformation, not a refinement, in expected restoration cadence.</w:t>
      </w:r>
    </w:p>
    <w:p>
      <w:pPr>
        <w:pStyle w:val="BodyText"/>
        <w:spacing w:line="480" w:lineRule="auto"/>
        <w:ind w:firstLine="720"/>
      </w:pPr>
      <w:r>
        <w:t xml:space="preserve">The estimate speaks also to the deep-space science context, where autonomous response is a structural necessity rather than a design preference. Mature platforms have long relied on onboard autonomous responses for minor anomalies precisely because round-trip light time forecloses ground-led recovery within any acceptable window</w:t>
      </w:r>
      <w:r>
        <w:t xml:space="preserve"> </w:t>
      </w:r>
      <w:hyperlink w:anchor="ref-10">
        <w:r>
          <w:rPr>
            <w:rStyle w:val="Hyperlink"/>
          </w:rPr>
          <w:t xml:space="preserve">[10]</w:t>
        </w:r>
      </w:hyperlink>
      <w:r>
        <w:t xml:space="preserve">. The Paper 1 result generalizes that necessity argument to the LEO civil-space population, where ground contact is in principle available but where the contact cadence introduces enough latency that autonomy still measurably accelerates recovery. The estimate therefore complements rather than contradicts the deep-space literature.</w:t>
      </w:r>
    </w:p>
    <w:bookmarkEnd w:id="111"/>
    <w:bookmarkStart w:id="112" w:name="subsystem-complexity-coefficient"/>
    <w:p>
      <w:pPr>
        <w:pStyle w:val="Heading3"/>
        <w:spacing w:line="480" w:lineRule="auto"/>
      </w:pPr>
      <w:r>
        <w:t xml:space="preserve">6.1.3 Subsystem complexity coefficient</w:t>
      </w:r>
    </w:p>
    <w:p>
      <w:pPr>
        <w:pStyle w:val="FirstParagraph"/>
        <w:spacing w:line="480" w:lineRule="auto"/>
      </w:pPr>
      <w:r>
        <w:t xml:space="preserve">On subsystem complexity the fit returns 0.0091, standard error 0.3116, Wald p-value 0.9767. Statistically and substantively, that is a coefficient at rest against zero. Its standard error dwarfs the point estimate by a factor near thirty-four, the textbook look of a parameter the data have nothing to say about.</w:t>
      </w:r>
    </w:p>
    <w:p>
      <w:pPr>
        <w:pStyle w:val="BodyText"/>
        <w:spacing w:line="480" w:lineRule="auto"/>
        <w:ind w:firstLine="720"/>
      </w:pPr>
      <w:r>
        <w:t xml:space="preserve">The interpretive substance of this null is more important than its surface triviality suggests. Because the complexity coefficient is the conditional-on-autonomy effect rather than the marginal effect, the result does not assert that subsystem complexity is operationally irrelevant; what it asserts is narrower and more precise, namely that once onboard autonomy sits in the index, the heritage and integration depth of the affected subsystem no longer explain residual variation in recovery time within this sample. That conditional null admits two readings. One is that the sampling frame, weighted toward science-mission anomalies with public disclosure, may homogenize subsystem complexity relative to the underlying population. The other is that autonomy mediates the effect of complexity on recovery time, in the sense that autonomous fault handling shortcuts the integration-depth penalty that complexity would otherwise impose on a ground-led recovery loop. The data do not adjudicate between the two, and the dissertation refrains from claiming that they do.</w:t>
      </w:r>
    </w:p>
    <w:bookmarkEnd w:id="112"/>
    <w:bookmarkStart w:id="113" w:name="ground-contact-gap-coefficient"/>
    <w:p>
      <w:pPr>
        <w:pStyle w:val="Heading3"/>
        <w:spacing w:line="480" w:lineRule="auto"/>
      </w:pPr>
      <w:r>
        <w:t xml:space="preserve">6.1.4 Ground-contact gap coefficient</w:t>
      </w:r>
    </w:p>
    <w:p>
      <w:pPr>
        <w:pStyle w:val="FirstParagraph"/>
        <w:spacing w:line="480" w:lineRule="auto"/>
      </w:pPr>
      <w:r>
        <w:t xml:space="preserve">On the median ground-contact gap in hours the fit returns -0.0635, standard error 0.0481, Wald p-value 0.1873. The sign points the way intuition expects, longer gaps slowing recovery, since a negative coefficient on a log-hazard pulls down the instantaneous recovery rate, yet the Wald test declines to reject the null at conventional levels. With a standard error near seventy-six percent of the point estimate, this is a result starved of power, not one contradicted by the data.</w:t>
      </w:r>
    </w:p>
    <w:p>
      <w:pPr>
        <w:pStyle w:val="BodyText"/>
        <w:spacing w:line="480" w:lineRule="auto"/>
        <w:ind w:firstLine="720"/>
      </w:pPr>
      <w:r>
        <w:t xml:space="preserve">Substantively, this reads as follows: conditional on autonomy and subsystem complexity, each additional hour of median ground-contact gap goes with a small reduction in the instantaneous recovery rate, on the order of six percent per hour at the point estimate, but the sample of thirty-five events is too small to distinguish that effect from zero. The result is informative for a follow-on study design, implying that a sample with greater variation in contact cadence, or one that added high-cadence commercial constellations alongside science missions, would likely separate the contact-gap effect from sampling noise. The dissertation flags this as the most attractive low-cost extension of Paper 1.</w:t>
      </w:r>
    </w:p>
    <w:bookmarkEnd w:id="113"/>
    <w:bookmarkStart w:id="114" w:name="overall-interpretation-of-paper-1"/>
    <w:p>
      <w:pPr>
        <w:pStyle w:val="Heading3"/>
        <w:spacing w:line="480" w:lineRule="auto"/>
      </w:pPr>
      <w:r>
        <w:t xml:space="preserve">6.1.5 Overall interpretation of Paper 1</w:t>
      </w:r>
    </w:p>
    <w:p>
      <w:pPr>
        <w:pStyle w:val="FirstParagraph"/>
        <w:spacing w:line="480" w:lineRule="auto"/>
      </w:pPr>
      <w:r>
        <w:t xml:space="preserve">Taken together, the three coefficients deliver a single coherent inference. Onboard autonomy is the dominant covariate of time-to-recovery in this sample, with a hazard ratio of approximately 2.49 per ordinal step that is statistically distinguishable from zero at the one percent level; subsystem complexity, once autonomy is in the index, carries no independent explanatory weight; and ground-contact gap moves in the expected direction while remaining inseparable from sampling noise. The signal is autonomy. The inference sharpens the dissertation’s framing of the speed-safety tradeoff. Autonomy demonstrably compresses the recovery interval after a declared fault, which is the protective side of the ledger, and that protective effect is large enough to matter operationally rather than only statistically. The destructive side, examined in Paper 2, must be weighed against a real and not a hypothetical benefit on the recovery axis.</w:t>
      </w:r>
    </w:p>
    <w:p>
      <w:pPr>
        <w:pStyle w:val="BodyText"/>
        <w:spacing w:line="480" w:lineRule="auto"/>
        <w:ind w:firstLine="720"/>
      </w:pPr>
      <w:r>
        <w:t xml:space="preserve">The benefit is not in doubt. Only its price is.</w:t>
      </w:r>
    </w:p>
    <w:bookmarkEnd w:id="114"/>
    <w:bookmarkEnd w:id="115"/>
    <w:bookmarkStart w:id="122" w:name="X4ef135a1540b53f0912ec9a243994c85ede68ef"/>
    <w:p>
      <w:pPr>
        <w:pStyle w:val="Heading2"/>
        <w:spacing w:line="480" w:lineRule="auto"/>
      </w:pPr>
      <w:r>
        <w:t xml:space="preserve">6.2 Paper 2: Autonomy and Operator Decision Latency</w:t>
      </w:r>
    </w:p>
    <w:bookmarkStart w:id="116" w:name="model-and-sample-1"/>
    <w:p>
      <w:pPr>
        <w:pStyle w:val="Heading3"/>
        <w:spacing w:line="480" w:lineRule="auto"/>
      </w:pPr>
      <w:r>
        <w:t xml:space="preserve">6.2.1 Model and sample</w:t>
      </w:r>
    </w:p>
    <w:p>
      <w:pPr>
        <w:pStyle w:val="FirstParagraph"/>
        <w:spacing w:line="480" w:lineRule="auto"/>
      </w:pPr>
      <w:r>
        <w:t xml:space="preserve">Paper 2 fits an ordinary least squares regression with robust HC1 standard errors on thirty-five documented collision-avoidance events drawn from operator statements, agency press releases, FCC semi-annual constellation reports for SpaceX Starlink</w:t>
      </w:r>
      <w:r>
        <w:t xml:space="preserve"> </w:t>
      </w:r>
      <w:hyperlink w:anchor="ref-15">
        <w:r>
          <w:rPr>
            <w:rStyle w:val="Hyperlink"/>
          </w:rPr>
          <w:t xml:space="preserve">[15]</w:t>
        </w:r>
      </w:hyperlink>
      <w:r>
        <w:t xml:space="preserve">, NASA International Space Station debris-avoidance disclosures</w:t>
      </w:r>
      <w:r>
        <w:t xml:space="preserve"> </w:t>
      </w:r>
      <w:hyperlink w:anchor="ref-16">
        <w:r>
          <w:rPr>
            <w:rStyle w:val="Hyperlink"/>
          </w:rPr>
          <w:t xml:space="preserve">[16]</w:t>
        </w:r>
      </w:hyperlink>
      <w:r>
        <w:t xml:space="preserve">, and ESA Aeolus and Sentinel maneuver logs</w:t>
      </w:r>
      <w:r>
        <w:t xml:space="preserve"> </w:t>
      </w:r>
      <w:hyperlink w:anchor="ref-17">
        <w:r>
          <w:rPr>
            <w:rStyle w:val="Hyperlink"/>
          </w:rPr>
          <w:t xml:space="preserve">[17]</w:t>
        </w:r>
      </w:hyperlink>
      <w:r>
        <w:t xml:space="preserve">. The dependent quantity is operator decision latency in hours, defined as the elapsed wall-clock interval from receipt of the conjunction data message to commit of the maneuver decision. The covariate vector holds an ordinal autonomy level, a warning time in hours from message issuance to predicted time of closest approach, and the base-ten logarithm of the screening probability of collision. The estimator was fit with a heteroskedasticity-consistent HC1 covariance matrix, the appropriate default given the dispersion of the latency outcome across architectures that differ by orders of magnitude in decision cadence.</w:t>
      </w:r>
    </w:p>
    <w:p>
      <w:pPr>
        <w:pStyle w:val="BodyText"/>
        <w:spacing w:line="480" w:lineRule="auto"/>
        <w:ind w:firstLine="720"/>
      </w:pPr>
      <w:r>
        <w:t xml:space="preserve">The model fit statistics are striking, and the fit is unusually tight. With an R-squared of 0.9083, an adjusted R-squared of 0.8994, and an F-statistic of 258.74 carrying a p-value of approximately 5.10 times ten to the minus twenty-two, the three covariates jointly explain just over ninety percent of the cross-event variation in operator decision latency in this sample, a share high enough that a reader is right to ask whether the specification has captured structure or merely traced the architectural gulf that separates the autonomous tier from the ground-loop tier. A reader should interpret these fit statistics with the same restraint applied to Paper 1: the sample is small and was assembled from public disclosure, so the very high R-squared is partly a feature of the architectural separation between the autonomous and ground-loop tiers in the sample. The fit nonetheless indicates that the linear specification captures the dominant structure of the data rather than fitting noise.</w:t>
      </w:r>
    </w:p>
    <w:bookmarkEnd w:id="116"/>
    <w:bookmarkStart w:id="117" w:name="autonomy-coefficient-1"/>
    <w:p>
      <w:pPr>
        <w:pStyle w:val="Heading3"/>
        <w:spacing w:line="480" w:lineRule="auto"/>
      </w:pPr>
      <w:r>
        <w:t xml:space="preserve">6.2.2 Autonomy coefficient</w:t>
      </w:r>
    </w:p>
    <w:p>
      <w:pPr>
        <w:pStyle w:val="FirstParagraph"/>
        <w:spacing w:line="480" w:lineRule="auto"/>
      </w:pPr>
      <w:r>
        <w:t xml:space="preserve">On autonomy level the fit returns -9.1568, robust standard error 1.8386, Wald p-value printed as 0.0000 at the precision the estimator reports. No conventional threshold leaves that estimate touching zero. Read plainly, with warning time and the log of conjunction probability held fixed, one step up the ordinal autonomy scale buys a drop of roughly 9.16 hours in operator decision latency. A standard error near twenty percent of the point estimate marks the autonomy effect as sharply pinned within this sample.</w:t>
      </w:r>
    </w:p>
    <w:p>
      <w:pPr>
        <w:pStyle w:val="BodyText"/>
        <w:spacing w:line="480" w:lineRule="auto"/>
        <w:ind w:firstLine="720"/>
      </w:pPr>
      <w:r>
        <w:t xml:space="preserve">The operational consequence of this estimate is the dissertation’s principal empirical claim on the speed-compression side of the speed-safety ledger. In low Earth orbit the typical conjunction data message is issued tens of hours, not days, before predicted time of closest approach. A reduction of approximately nine hours in the decision interval per autonomy step is therefore no marginal refinement of operations; it is on the same order of magnitude as the entire usable decision window. Integrated across the full ordinal autonomy scale, the implied compression approaches an entire operational day. The autonomous tier of the sample, dominated by Starlink events disclosed in FCC ex parte filings and semi-annual reports</w:t>
      </w:r>
      <w:r>
        <w:t xml:space="preserve"> </w:t>
      </w:r>
      <w:hyperlink w:anchor="ref-15">
        <w:r>
          <w:rPr>
            <w:rStyle w:val="Hyperlink"/>
          </w:rPr>
          <w:t xml:space="preserve">[15]</w:t>
        </w:r>
      </w:hyperlink>
      <w:r>
        <w:t xml:space="preserve">, operates at a decision cadence that is qualitatively, not quantitatively, distinct from the ground-loop science tier represented by Aqua, Terra, GRACE-FO, Sentinel-1A, and ICESat-2 [16, 17].</w:t>
      </w:r>
    </w:p>
    <w:p>
      <w:pPr>
        <w:pStyle w:val="BodyText"/>
        <w:spacing w:line="480" w:lineRule="auto"/>
        <w:ind w:firstLine="720"/>
      </w:pPr>
      <w:r>
        <w:t xml:space="preserve">The estimate also aligns with the autonomous battle-management and scheduling literature, which has long argued that machine response collapses the perception-to-action interval by orders of magnitude relative to human review even when the human keeps a supervisory role</w:t>
      </w:r>
      <w:r>
        <w:t xml:space="preserve"> </w:t>
      </w:r>
      <w:hyperlink w:anchor="ref-13">
        <w:r>
          <w:rPr>
            <w:rStyle w:val="Hyperlink"/>
          </w:rPr>
          <w:t xml:space="preserve">[13]</w:t>
        </w:r>
      </w:hyperlink>
      <w:r>
        <w:t xml:space="preserve">. Reinforcement-learning scheduling experiments report comparable compression in tasking decisions [14, 21]. The Paper 2 result attaches a defensible point estimate to that compression in an operational, rather than simulated, decision context. To the candidate’s knowledge, the conditional-on-controls reduction of approximately 9.16 hours per ordinal step is the first published quantitative elasticity of operator decision latency to onboard autonomy in a documented commercial-constellation context.</w:t>
      </w:r>
    </w:p>
    <w:bookmarkEnd w:id="117"/>
    <w:bookmarkStart w:id="118" w:name="warning-time-coefficient"/>
    <w:p>
      <w:pPr>
        <w:pStyle w:val="Heading3"/>
        <w:spacing w:line="480" w:lineRule="auto"/>
      </w:pPr>
      <w:r>
        <w:t xml:space="preserve">6.2.3 Warning time coefficient</w:t>
      </w:r>
    </w:p>
    <w:p>
      <w:pPr>
        <w:pStyle w:val="FirstParagraph"/>
        <w:spacing w:line="480" w:lineRule="auto"/>
      </w:pPr>
      <w:r>
        <w:t xml:space="preserve">On warning time the fit returns 0.3713 hours per hour of lead time, robust standard error 0.0359, Wald p-value again printed as 0.0000 at the estimator’s precision. A standard error near ten percent of the point estimate marks the relationship as tightly identified.</w:t>
      </w:r>
    </w:p>
    <w:p>
      <w:pPr>
        <w:pStyle w:val="BodyText"/>
        <w:spacing w:line="480" w:lineRule="auto"/>
        <w:ind w:firstLine="720"/>
      </w:pPr>
      <w:r>
        <w:t xml:space="preserve">Substantively, operators use available lead time when it is offered, but at a rate substantially below unity. A slope of 0.3713 means each additional hour of lead time in the conjunction data message translates into an increment of approximately twenty-two minutes of additional decision latency, rather than an hour-for-hour expansion. The implication is operational and concrete: ground-loop architectures hold maneuver decisions for batch processing during business hours rather than scaling deliberation linearly with the lead time the data product provides. Drawing on aviation-safety frameworks, the literature on human factors in space operations has argued precisely this point on qualitative grounds</w:t>
      </w:r>
      <w:r>
        <w:t xml:space="preserve"> </w:t>
      </w:r>
      <w:hyperlink w:anchor="ref-25">
        <w:r>
          <w:rPr>
            <w:rStyle w:val="Hyperlink"/>
          </w:rPr>
          <w:t xml:space="preserve">[25]</w:t>
        </w:r>
      </w:hyperlink>
      <w:r>
        <w:t xml:space="preserve">. The Paper 2 coefficient delivers a quantitative version of the same claim within the documented commercial and civil-space sample.</w:t>
      </w:r>
    </w:p>
    <w:p>
      <w:pPr>
        <w:pStyle w:val="BodyText"/>
        <w:spacing w:line="480" w:lineRule="auto"/>
        <w:ind w:firstLine="720"/>
      </w:pPr>
      <w:r>
        <w:t xml:space="preserve">The sub-unity slope is methodologically important for the dissertation’s broader argument as well. Were operators to consume all available lead time, the autonomy coefficient would risk confounding with warning time, because autonomous architectures could be construed as simply accepting messages closer to the time of closest approach. Estimated jointly with the autonomy coefficient, the 0.3713 slope on warning time demonstrates that the autonomy effect is not an artifact of differential warning-time availability. Autonomy compresses the decision interval beyond what a linear scaling on lead time would predict.</w:t>
      </w:r>
    </w:p>
    <w:bookmarkEnd w:id="118"/>
    <w:bookmarkStart w:id="119" w:name="log-probability-coefficient"/>
    <w:p>
      <w:pPr>
        <w:pStyle w:val="Heading3"/>
        <w:spacing w:line="480" w:lineRule="auto"/>
      </w:pPr>
      <w:r>
        <w:t xml:space="preserve">6.2.4 Log-probability coefficient</w:t>
      </w:r>
    </w:p>
    <w:p>
      <w:pPr>
        <w:pStyle w:val="FirstParagraph"/>
        <w:spacing w:line="480" w:lineRule="auto"/>
      </w:pPr>
      <w:r>
        <w:t xml:space="preserve">On the base-ten logarithm of the screening probability of collision the fit returns 5.0281 hours, robust standard error 3.2055, Wald p-value 0.1167. The sign is positive, so higher screening probabilities travel with longer decision intervals, though the Wald test again declines to reject the null at conventional levels.</w:t>
      </w:r>
    </w:p>
    <w:p>
      <w:pPr>
        <w:pStyle w:val="BodyText"/>
        <w:spacing w:line="480" w:lineRule="auto"/>
        <w:ind w:firstLine="720"/>
      </w:pPr>
      <w:r>
        <w:t xml:space="preserve">Substantively, operators do not scale deliberation time linearly with the magnitude of conjunction risk in this sample. That is consistent with a posture in which review is triggered on a binary screening threshold and then proceeds at a cadence governed by shift schedules and procedural review steps rather than by the underlying risk score. The literature on conjunction assessment and deconfliction in co-located constellations describes precisely this binary-trigger posture in the operator procedural context</w:t>
      </w:r>
      <w:r>
        <w:t xml:space="preserve"> </w:t>
      </w:r>
      <w:hyperlink w:anchor="ref-12">
        <w:r>
          <w:rPr>
            <w:rStyle w:val="Hyperlink"/>
          </w:rPr>
          <w:t xml:space="preserve">[12]</w:t>
        </w:r>
      </w:hyperlink>
      <w:r>
        <w:t xml:space="preserve">. The standard error is roughly sixty-four percent of the magnitude of the point estimate, which marks the result as informative but underpowered. A larger sample with broader variation in conjunction probability, particularly events drawn from the higher-risk tail of the distribution, would be required to separate this coefficient from sampling noise. The dissertation does not claim that probability is irrelevant to operator deliberation; it claims that, within this sample, the probability scaling is not separable from zero once architecture and warning time are controlled.</w:t>
      </w:r>
    </w:p>
    <w:bookmarkEnd w:id="119"/>
    <w:bookmarkStart w:id="120" w:name="intercept"/>
    <w:p>
      <w:pPr>
        <w:pStyle w:val="Heading3"/>
        <w:spacing w:line="480" w:lineRule="auto"/>
      </w:pPr>
      <w:r>
        <w:t xml:space="preserve">6.2.5 Intercept</w:t>
      </w:r>
    </w:p>
    <w:p>
      <w:pPr>
        <w:pStyle w:val="FirstParagraph"/>
        <w:spacing w:line="480" w:lineRule="auto"/>
      </w:pPr>
      <w:r>
        <w:t xml:space="preserve">The intercept comes in at 34.2606 hours, robust standard error 16.6957, with a Wald p-value of 0.0402. That clears the five percent level. Structurally it names the predicted operator decision latency at zero autonomy, zero warning time, and a log-probability of zero, a corner of the space that means nothing operationally. The intercept is reported for completeness and for the partial information it conveys about the central tendency of the ground-loop tier, where decision latencies on the order of a full operational day are routinely observed in the sample.</w:t>
      </w:r>
    </w:p>
    <w:p>
      <w:pPr>
        <w:pStyle w:val="BodyText"/>
        <w:spacing w:line="480" w:lineRule="auto"/>
        <w:ind w:firstLine="720"/>
      </w:pPr>
      <w:r>
        <w:t xml:space="preserve">That full day is the baseline autonomy erodes.</w:t>
      </w:r>
    </w:p>
    <w:bookmarkEnd w:id="120"/>
    <w:bookmarkStart w:id="121" w:name="overall-interpretation-of-paper-2"/>
    <w:p>
      <w:pPr>
        <w:pStyle w:val="Heading3"/>
        <w:spacing w:line="480" w:lineRule="auto"/>
      </w:pPr>
      <w:r>
        <w:t xml:space="preserve">6.2.6 Overall interpretation of Paper 2</w:t>
      </w:r>
    </w:p>
    <w:p>
      <w:pPr>
        <w:pStyle w:val="FirstParagraph"/>
        <w:spacing w:line="480" w:lineRule="auto"/>
      </w:pPr>
      <w:r>
        <w:t xml:space="preserve">Paper 2 returns a tightly specified, high-fit linear model in which onboard autonomy emerges as the dominant covariate of operator decision latency. The conditional reduction of approximately 9.16 hours per autonomy step, with a standard error of 1.8386, is large in absolute terms relative to the typical conjunction-data-message lead time, and the F-statistic of 258.74 with R-squared of 0.9083 confirms that the linear specification captures the dominant structure of the data. Warning time enters positively and below unity, consistent with a ground-loop operational posture that holds decisions for batch processing. Conjunction probability enters positively but is not separable from sampling noise. The overall inference is that autonomy compresses the operator decision interval to a degree that is operationally consequential rather than marginal, and that the compression is not an artifact of differential warning-time availability or of differential conjunction-probability scaling.</w:t>
      </w:r>
    </w:p>
    <w:bookmarkEnd w:id="121"/>
    <w:bookmarkEnd w:id="122"/>
    <w:bookmarkStart w:id="123" w:name="joint-interpretation"/>
    <w:p>
      <w:pPr>
        <w:pStyle w:val="Heading2"/>
        <w:spacing w:line="480" w:lineRule="auto"/>
      </w:pPr>
      <w:r>
        <w:t xml:space="preserve">6.3 Joint Interpretation</w:t>
      </w:r>
    </w:p>
    <w:p>
      <w:pPr>
        <w:pStyle w:val="FirstParagraph"/>
        <w:spacing w:line="480" w:lineRule="auto"/>
      </w:pPr>
      <w:r>
        <w:t xml:space="preserve">The two papers point the same way. Fit on non-overlapping samples and with different estimators chosen for the structure of their respective outcomes, they nonetheless return mutually reinforcing signals on the same underlying tradeoff, which is the strongest evidence a two-paper design of this kind can offer that the signal is a property of the phenomenon rather than an artifact of any single estimator. Paper 1 estimates a hazard ratio of approximately 2.49 per ordinal autonomy step on time-to-recovery, with a coefficient of 0.9141, a standard error of 0.3471, and a p-value of 0.0084. Paper 2 estimates a reduction of approximately 9.16 hours per ordinal autonomy step in operator decision latency, with a coefficient of -9.1568, a robust standard error of 1.8386, and a p-value below the precision of the estimator output. Both papers identify autonomy as the dominant covariate within their respective samples, and both attach effect sizes that are operationally rather than only statistically meaningful.</w:t>
      </w:r>
    </w:p>
    <w:p>
      <w:pPr>
        <w:pStyle w:val="BodyText"/>
        <w:spacing w:line="480" w:lineRule="auto"/>
        <w:ind w:firstLine="720"/>
      </w:pPr>
      <w:r>
        <w:t xml:space="preserve">The substantive claim that follows from the joint estimate is that autonomy is empirically a Janus-faced operational property. It compresses the recovery interval after a fault, which is protective, and it compresses the deliberation interval before a maneuver commit, which is potentially destructive when the deliberation it forecloses would have caught a miscategorized event. A coherent autonomy policy therefore cannot treat speed as a uniform virtue or a uniform hazard. The dissertation’s policy implication is conditional governance, in which the same autonomy module is licensed for fault-response acceleration, where the speed gain is recovered as restoration cadence, and gated for irreversible operational commitments, where the speed gain is paid for in foreclosed supervisory review. On qualitative grounds the crew-resource-management literature for space-domain operations has argued precisely this conditional posture [4, 25], and the two papers attach defensible numeric effect sizes to both sides of the argument for the first time within an operational civil-space and commercial-constellation sample.</w:t>
      </w:r>
    </w:p>
    <w:p>
      <w:pPr>
        <w:pStyle w:val="BodyText"/>
        <w:spacing w:line="480" w:lineRule="auto"/>
        <w:ind w:firstLine="720"/>
      </w:pPr>
      <w:r>
        <w:t xml:space="preserve">The joint inference is bounded by the two samples. Paper 1 draws on thirty-five civil-space anomalies with thirty-one observed events, and the autonomy coding was constructed by the candidate from mission descriptions rather than from an independent operator-supplied taxonomy. Paper 2 draws on thirty-five collision-avoidance events weighted toward Starlink in the autonomous tier and toward NASA and ESA science platforms in the ground-loop tier, which limits external validity beyond the documented commercial-constellation context. Neither paper claims to identify a causal effect of architecture choice in the strict counterfactual sense; both claim to characterize central tendency in the documented sample with honest standard errors. The remaining chapters interpret these point estimates within the broader policy and governance literature on autonomy in distributed space systems [1, 19, 32] and within the human-factors literature on supervisory control [4, 25], and the appendices reproduce the model configurations, coefficient covariance structures, and diagnostic plots that ground the present interpretation in the underlying estimator output.</w:t>
      </w:r>
    </w:p>
    <w:bookmarkEnd w:id="123"/>
    <w:bookmarkEnd w:id="124"/>
    <w:bookmarkStart w:id="132" w:name="X21322cb5e29cbf4eb576afddcad42f86ace4e0d"/>
    <w:p>
      <w:pPr>
        <w:pStyle w:val="Heading1"/>
        <w:spacing w:line="480" w:lineRule="auto"/>
      </w:pPr>
      <w:r>
        <w:t xml:space="preserve">Chapter 7. Discussion and Governance Implications</w:t>
      </w:r>
    </w:p>
    <w:bookmarkStart w:id="125" w:name="synthesis-of-the-two-paper-estimate"/>
    <w:p>
      <w:pPr>
        <w:pStyle w:val="Heading2"/>
        <w:spacing w:line="480" w:lineRule="auto"/>
      </w:pPr>
      <w:r>
        <w:t xml:space="preserve">7.1 Synthesis of the Two-Paper Estimate</w:t>
      </w:r>
    </w:p>
    <w:p>
      <w:pPr>
        <w:pStyle w:val="FirstParagraph"/>
        <w:spacing w:line="480" w:lineRule="auto"/>
      </w:pPr>
      <w:r>
        <w:t xml:space="preserve">Taken together, the two quantitative results at the empirical core of this dissertation define a single design surface rather than two independent findings. Paper 1 estimated, via a Cox proportional-hazards model on thirty-five documented civil-space anomaly events, a hazard ratio of approximately 2.49 per ordinal step of onboard autonomy for time-to-recovery, with the autonomy coefficient significant at p equal to 0.0084. Paper 2 estimated, via ordinary least squares on a comparably sized panel of documented collision-avoidance events, a conditional mean reduction of roughly 9.16 hours in operator decision latency per ordinal step of autonomy, with R-squared of 0.91 and the autonomy coefficient significant below the one-tenth of one percent level. The two estimates share a sign and a direction: autonomy compresses the time interval between detection and committed action across both the fault-recovery and conjunction-response settings. Their normative valence diverges. Compression of time-to-recovery is unambiguously protective. Compression of the operator decision window in conjunction response is the very mechanism through which the supervisory check that the crew resource management literature identifies as load-bearing is foreclosed [4, 25].</w:t>
      </w:r>
    </w:p>
    <w:p>
      <w:pPr>
        <w:pStyle w:val="BodyText"/>
        <w:spacing w:line="480" w:lineRule="auto"/>
        <w:ind w:firstLine="720"/>
      </w:pPr>
      <w:r>
        <w:t xml:space="preserve">So the synthesis claim of this dissertation is that the speed-safety frontier in spacecraft information technology infrastructure is not monolithic. The same autonomy module, fielded at the same tier of onboard authority, is protective along the recovery axis and corrosive along the irreversible-commitment axis. The governance implication is that autonomy authority cannot be licensed once at the spacecraft level, because one license is too coarse. It must be licensed conditionally on the class of action contemplated. The recovery branch of the FDIR architecture, where the autonomous response restores nominal function and the underlying physical state stays within recoverable bounds, is one regime. The commitment branch, where the autonomous response expends propellant, alters the orbit, transmits a signal, or otherwise produces an outcome whose reversal requires further expenditure of mission resources, is a distinct regime that must be governed under a different rule.</w:t>
      </w:r>
    </w:p>
    <w:p>
      <w:pPr>
        <w:pStyle w:val="BodyText"/>
        <w:spacing w:line="480" w:lineRule="auto"/>
        <w:ind w:firstLine="720"/>
      </w:pPr>
      <w:r>
        <w:t xml:space="preserve">This dissertation does not resolve the speed-safety tradeoff. What it does is narrower and sharper: it estimates the slope on two axes and shows that the two slopes carry opposite normative signs, and from that single fact its contribution to the governance literature follows, which is the empirical demonstration that an undifferentiated autonomy policy is mis-specified at the level of the design problem itself.</w:t>
      </w:r>
    </w:p>
    <w:bookmarkEnd w:id="125"/>
    <w:bookmarkStart w:id="126"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findings inform NASA program management in three specific ways that bear directly on how autonomy is currently authorized through the agency’s Class A through Class D mission classification, the Engineering and Safety Center review pipeline, and the standing FDIR design review checklists.</w:t>
      </w:r>
    </w:p>
    <w:p>
      <w:pPr>
        <w:pStyle w:val="BodyText"/>
        <w:spacing w:line="480" w:lineRule="auto"/>
        <w:ind w:firstLine="720"/>
      </w:pPr>
      <w:r>
        <w:t xml:space="preserve">First, the recovery-axis result strengthens the case for autonomous FDIR authorization at lower mission classes than current practice typically permits.</w:t>
      </w:r>
    </w:p>
    <w:p>
      <w:pPr>
        <w:pStyle w:val="BodyText"/>
        <w:spacing w:line="480" w:lineRule="auto"/>
        <w:ind w:firstLine="720"/>
      </w:pPr>
      <w:r>
        <w:t xml:space="preserve">The hazard-ratio estimate from Paper 1 indicates that a spacecraft operating at the highest sampled autonomy tier recovers from an anomaly at roughly six times the instantaneous rate of an otherwise comparable spacecraft at the lowest tier, integrating over the two-step ordinal increase. For Class C and Class D missions, where ground-segment staffing is by design constrained and where mission tempo cannot support a follow-the-sun operator cadre, the recovery-time compression is no marginal optimization. It is a mission-survival mechanism. The deep-space precedent in the Dawn extended mission illustrates the same logic in a regime where round-trip light time renders ground-led recovery infeasible within the mission timescale</w:t>
      </w:r>
      <w:r>
        <w:t xml:space="preserve"> </w:t>
      </w:r>
      <w:hyperlink w:anchor="ref-10">
        <w:r>
          <w:rPr>
            <w:rStyle w:val="Hyperlink"/>
          </w:rPr>
          <w:t xml:space="preserve">[10]</w:t>
        </w:r>
      </w:hyperlink>
      <w:r>
        <w:t xml:space="preserve">. The implication is that NASA program management should treat onboard FDIR autonomy at the recovery branch as a positive contribution to mission assurance for Class C and Class D missions rather than as a residual risk to be minimized.</w:t>
      </w:r>
    </w:p>
    <w:p>
      <w:pPr>
        <w:pStyle w:val="BodyText"/>
        <w:spacing w:line="480" w:lineRule="auto"/>
        <w:ind w:firstLine="720"/>
      </w:pPr>
      <w:r>
        <w:t xml:space="preserve">Second, the commitment-axis result flips that counsel the moment the contemplated action cannot be undone. Paper 2’s nine-hour conditional mean compression of operator decision latency looms large against the lead time a typical conjunction data message affords, and larger still against the window in which a misread conjunction can be caught before propellant is spent. On Class A and Class B missions, where platform value, science return, or a human-rated profile forbid committing a non-recoverable maneuver under model uncertainty, the conjunction-response branch should carry a lower autonomy-tier license than fault recovery on the very same vehicle. The source of the mis-specification is the current practice of treating the spacecraft autonomy tier as a single integer property of the flight software. The proposed remedy is a two-vector autonomy authorization in which the recovery vector and the commitment vector are licensed independently, reviewed independently, and audited independently.</w:t>
      </w:r>
    </w:p>
    <w:p>
      <w:pPr>
        <w:pStyle w:val="BodyText"/>
        <w:spacing w:line="480" w:lineRule="auto"/>
        <w:ind w:firstLine="720"/>
      </w:pPr>
      <w:r>
        <w:t xml:space="preserve">Third, the supervisory layer must be re-engineered to function under the compressed timescales the empirical results document.</w:t>
      </w:r>
    </w:p>
    <w:p>
      <w:pPr>
        <w:pStyle w:val="BodyText"/>
        <w:spacing w:line="480" w:lineRule="auto"/>
        <w:ind w:firstLine="720"/>
      </w:pPr>
      <w:r>
        <w:t xml:space="preserve">The crew resource management framework for orbital operations identifies the supervisory check as the mechanism through which miscategorized anomalies are caught before the response commits the platform to an irreversible action</w:t>
      </w:r>
      <w:r>
        <w:t xml:space="preserve"> </w:t>
      </w:r>
      <w:hyperlink w:anchor="ref-25">
        <w:r>
          <w:rPr>
            <w:rStyle w:val="Hyperlink"/>
          </w:rPr>
          <w:t xml:space="preserve">[25]</w:t>
        </w:r>
      </w:hyperlink>
      <w:r>
        <w:t xml:space="preserve">. When the operator decision window is compressed by nine hours per autonomy step, a supervisory check designed for a multi-hour deliberation cycle cannot execute within the available time. The NASA program management implication is that the supervisory layer must shift from a real-time concurrence model to a pre-authorized envelope model, in which the autonomous response is licensed in advance to operate within a parameterized envelope of conjunction probability, warning time, propellant cost, and orbital regime, and the supervisory check is exercised on the envelope boundary review rather than on the individual event. This is a structural change to the way the Engineering and Safety Center is asked to certify autonomy on flagship missions, and it requires a corresponding change to the post-event anomaly review board protocol so that the unit of review is the cumulative envelope occupancy rather than the individual maneuver.</w:t>
      </w:r>
    </w:p>
    <w:bookmarkEnd w:id="126"/>
    <w:bookmarkStart w:id="127" w:name="implications-for-jpl-decision-making"/>
    <w:p>
      <w:pPr>
        <w:pStyle w:val="Heading2"/>
        <w:spacing w:line="480" w:lineRule="auto"/>
      </w:pPr>
      <w:r>
        <w:t xml:space="preserve">7.3 Implications for JPL Decision-Making</w:t>
      </w:r>
    </w:p>
    <w:p>
      <w:pPr>
        <w:pStyle w:val="FirstParagraph"/>
        <w:spacing w:line="480" w:lineRule="auto"/>
      </w:pPr>
      <w:r>
        <w:t xml:space="preserve">The implications for the Jet Propulsion Laboratory follow the same logic with three lab-specific refinements grounded in the JPL flight-project history and the JPL FDIR design tradition.</w:t>
      </w:r>
    </w:p>
    <w:p>
      <w:pPr>
        <w:pStyle w:val="BodyText"/>
        <w:spacing w:line="480" w:lineRule="auto"/>
        <w:ind w:firstLine="720"/>
      </w:pPr>
      <w:r>
        <w:t xml:space="preserve">First, JPL’s flight projects live disproportionately in the regimes where the recovery-axis result decides the matter. Outer-planet science missions, the small-body rendezvous class that Dawn typifies, and the Mars surface operations cadre all confront round-trip light times that outrun the recovery window for a non-trivial share of credible faults</w:t>
      </w:r>
      <w:r>
        <w:t xml:space="preserve"> </w:t>
      </w:r>
      <w:hyperlink w:anchor="ref-10">
        <w:r>
          <w:rPr>
            <w:rStyle w:val="Hyperlink"/>
          </w:rPr>
          <w:t xml:space="preserve">[10]</w:t>
        </w:r>
      </w:hyperlink>
      <w:r>
        <w:t xml:space="preserve">. Drawing on civil-space data, the Cox hazard ratio of Paper 1 puts a number to a benefit JPL has argued for on qualitative grounds for years. The decision implication is that the lab can now anchor its onboard autonomy tier proposals to the new science mission directorate in a documented elasticity rather than in design heritage alone. The same elasticity is useful for internal trade studies in which the marginal cost of an additional autonomy tier on the flight software side is weighed against the marginal benefit in expected recovered mission days. The estimate does not eliminate the trade study, but it supplies the slope.</w:t>
      </w:r>
    </w:p>
    <w:p>
      <w:pPr>
        <w:pStyle w:val="BodyText"/>
        <w:spacing w:line="480" w:lineRule="auto"/>
        <w:ind w:firstLine="720"/>
      </w:pPr>
      <w:r>
        <w:t xml:space="preserve">Second, the JPL FDIR design tradition has historically separated the fault detection, isolation, and recovery layers without formally separating the recovery branch from the commitment branch within the recovery layer itself. The two-vector authorization proposed in Section 7.2 maps onto a concrete design action at the lab. The FDIR specification should be partitioned at the recovery layer into a sub-layer that authorizes restoration of nominal function within the recoverable physical envelope and a sub-layer that authorizes any action whose reversal requires further mission resource expenditure. The Wander and colleagues self-removal specification is one published example of the latter branch, where the autonomy threshold is treated as a design parameter governing an irreversible passivation action</w:t>
      </w:r>
      <w:r>
        <w:t xml:space="preserve"> </w:t>
      </w:r>
      <w:hyperlink w:anchor="ref-6">
        <w:r>
          <w:rPr>
            <w:rStyle w:val="Hyperlink"/>
          </w:rPr>
          <w:t xml:space="preserve">[6]</w:t>
        </w:r>
      </w:hyperlink>
      <w:r>
        <w:t xml:space="preserve">. The recommended JPL practice is to require, for any flight-software change that crosses into the irreversible branch, a separate review under a more conservative envelope than the recovery branch enjoys.</w:t>
      </w:r>
    </w:p>
    <w:p>
      <w:pPr>
        <w:pStyle w:val="BodyText"/>
        <w:spacing w:line="480" w:lineRule="auto"/>
        <w:ind w:firstLine="720"/>
      </w:pPr>
      <w:r>
        <w:t xml:space="preserve">Third, the JPL operations cadre faces the same supervisory-layer compression the agency-level finding identifies, with the added constraint that the lab’s deep-space mission profile already operates near the limit of human supervisory capacity per controller, so that compression which merely strains an ISS console arrives at a deep-space console that has no slack left to give. The empirical evidence on event-based sensing and on machine-learning anomaly response in deep-space habitat ECLSS contexts shows that the rate of incoming candidate anomalies is rising as instrumentation density rises [24, 28]. The lab decision implication is that the supervisory-layer redesign cannot be deferred to the next mission generation. A flight-controller staffing model that assumes a per-event concurrence cycle will overrun the available staffing within the lifetime of the missions currently in formulation. The pre-authorized envelope model proposed in Section 7.2 is therefore not only an agency-level recommendation but a lab-level operational necessity.</w:t>
      </w:r>
    </w:p>
    <w:bookmarkEnd w:id="127"/>
    <w:bookmarkStart w:id="128" w:name="X485feb8c6c7ebef6611c398bce5c885348f8cf9"/>
    <w:p>
      <w:pPr>
        <w:pStyle w:val="Heading2"/>
        <w:spacing w:line="480" w:lineRule="auto"/>
      </w:pPr>
      <w:r>
        <w:t xml:space="preserve">7.4 Implications for Distributed and Multi-Spacecraft Architectures</w:t>
      </w:r>
    </w:p>
    <w:p>
      <w:pPr>
        <w:pStyle w:val="FirstParagraph"/>
        <w:spacing w:line="480" w:lineRule="auto"/>
      </w:pPr>
      <w:r>
        <w:t xml:space="preserve">Both empirical papers focused on single-vehicle anomaly recovery and single-vehicle conjunction response. The findings extend, with appropriate caveats, to the distributed and multi-spacecraft architectures that increasingly dominate the operational picture in low Earth orbit and that are now being proposed for cislunar and deep-space science formations.</w:t>
      </w:r>
    </w:p>
    <w:p>
      <w:pPr>
        <w:pStyle w:val="BodyText"/>
        <w:spacing w:line="480" w:lineRule="auto"/>
        <w:ind w:firstLine="720"/>
      </w:pPr>
      <w:r>
        <w:t xml:space="preserve">The agent-based literature catalogues the architectures by which autonomous agents coordinate FDIR and resource management across a distributed formation [1, 32]. Starling demonstrated on-orbit reconfiguration responsiveness in a four-spacecraft formation in low Earth orbit [7, 11]. The conjunction-response paradigm for co-located satellite constellations is now an established design pattern with explicit onboard autonomous flight dynamics control</w:t>
      </w:r>
      <w:r>
        <w:t xml:space="preserve"> </w:t>
      </w:r>
      <w:hyperlink w:anchor="ref-12">
        <w:r>
          <w:rPr>
            <w:rStyle w:val="Hyperlink"/>
          </w:rPr>
          <w:t xml:space="preserve">[12]</w:t>
        </w:r>
      </w:hyperlink>
      <w:r>
        <w:t xml:space="preserve">. The autonomous mission planning literature has documented end-to-end planning architectures for resident space object imaging campaigns in which the human supervisory check is a planning-cycle review rather than a per-tasking review</w:t>
      </w:r>
      <w:r>
        <w:t xml:space="preserve"> </w:t>
      </w:r>
      <w:hyperlink w:anchor="ref-20">
        <w:r>
          <w:rPr>
            <w:rStyle w:val="Hyperlink"/>
          </w:rPr>
          <w:t xml:space="preserve">[20]</w:t>
        </w:r>
      </w:hyperlink>
      <w:r>
        <w:t xml:space="preserve">. The reinforcement-learning literature has reported scheduling architectures in which the perception-to-action cycle is collapsed to the machine timescale [14, 21]. The distributed deep learning literature has shown that the supervisory check can in principle be distributed across the formation itself rather than retained at the ground segment</w:t>
      </w:r>
      <w:r>
        <w:t xml:space="preserve"> </w:t>
      </w:r>
      <w:hyperlink w:anchor="ref-22">
        <w:r>
          <w:rPr>
            <w:rStyle w:val="Hyperlink"/>
          </w:rPr>
          <w:t xml:space="preserve">[22]</w:t>
        </w:r>
      </w:hyperlink>
      <w:r>
        <w:t xml:space="preserve">.</w:t>
      </w:r>
    </w:p>
    <w:p>
      <w:pPr>
        <w:pStyle w:val="BodyText"/>
        <w:spacing w:line="480" w:lineRule="auto"/>
        <w:ind w:firstLine="720"/>
      </w:pPr>
      <w:r>
        <w:t xml:space="preserve">The governance implication of the dissertation’s two-vector authorization extends to these architectures with one structural change. In a distributed formation, the irreversible branch of the autonomy authorization takes in actions that affect other spacecraft in the formation. A maneuver that resolves a single-spacecraft conjunction by commanding a formation-wide reconfiguration is an irreversible action at the formation scale even when it is a recovery action at the single-spacecraft scale. The two-vector authorization framework therefore requires a formation-scale projection in which the commitment branch is licensed against the cumulative formation envelope rather than the per-spacecraft envelope. This is the appropriate locus for the supervisory check in a distributed architecture, and it is the empirical extension the agent-based methodology literature has explicitly flagged as an open research question [1, 32].</w:t>
      </w:r>
    </w:p>
    <w:bookmarkEnd w:id="128"/>
    <w:bookmarkStart w:id="129" w:name="limitations"/>
    <w:p>
      <w:pPr>
        <w:pStyle w:val="Heading2"/>
        <w:spacing w:line="480" w:lineRule="auto"/>
      </w:pPr>
      <w:r>
        <w:t xml:space="preserve">7.5 Limitations</w:t>
      </w:r>
    </w:p>
    <w:p>
      <w:pPr>
        <w:pStyle w:val="FirstParagraph"/>
        <w:spacing w:line="480" w:lineRule="auto"/>
      </w:pPr>
      <w:r>
        <w:t xml:space="preserve">Four limitations bound the inference, stated here in the order of their substantive importance.</w:t>
      </w:r>
    </w:p>
    <w:p>
      <w:pPr>
        <w:pStyle w:val="BodyText"/>
        <w:spacing w:line="480" w:lineRule="auto"/>
        <w:ind w:firstLine="720"/>
      </w:pPr>
      <w:r>
        <w:t xml:space="preserve">First, the sample sizes are small. Paper 1 uses thirty-five documented anomaly events and Paper 2 uses thirty-five documented collision-avoidance events. Both samples are drawn from public disclosures and are therefore weighted toward missions whose anomaly profiles are made public, which is itself correlated with mission class, agency, and platform value. The estimated elasticities should be read as conditional on the disclosed-civil-space population. The national security platform population, the cleared commercial constellation population, and the populations operating outside the public disclosure perimeter are not represented. The pre-registered exclusion restriction set out in the prospectus, that flight software update timing is uncorrelated with the unobserved difficulty of subsequent anomalies, is testable only on the disclosed sample.</w:t>
      </w:r>
    </w:p>
    <w:p>
      <w:pPr>
        <w:pStyle w:val="BodyText"/>
        <w:spacing w:line="480" w:lineRule="auto"/>
        <w:ind w:firstLine="720"/>
      </w:pPr>
      <w:r>
        <w:t xml:space="preserve">Second, the autonomy coding is ordinal and was constructed by the author from mission descriptions. An independent recoding under a blind protocol is the appropriate sensitivity analysis, reported as a follow-on paper in Section 7.6. The hazard ratio and the latency coefficient are robust in sign and approximate magnitude under reasonable perturbations of the ordinal scale, but the point estimates should not be treated as resolved to the precision the reported standard errors imply.</w:t>
      </w:r>
    </w:p>
    <w:p>
      <w:pPr>
        <w:pStyle w:val="BodyText"/>
        <w:spacing w:line="480" w:lineRule="auto"/>
        <w:ind w:firstLine="720"/>
      </w:pPr>
      <w:r>
        <w:t xml:space="preserve">Third, the post-event classification of an inappropriate response, which is the dependent variable in the prospectus hypothesis test, is itself an output of an anomaly review board process whose own deliberation pattern is correlated with autonomy tier. The prospectus identifies this classification endogeneity as a primary threat to validity, and the blinded re-classification protocol is the proposed remedy. The two empirical papers in this dissertation address the recovery-time and decision-latency margins respectively, both measured independently of the review board classification, so the principal findings are not exposed to the endogeneity threat. The full test of the prospectus hypothesis on the inappropriate-response margin requires the blinded re-classification dataset that the Engineering and Safety Center has not yet released for academic analysis.</w:t>
      </w:r>
    </w:p>
    <w:p>
      <w:pPr>
        <w:pStyle w:val="BodyText"/>
        <w:spacing w:line="480" w:lineRule="auto"/>
        <w:ind w:firstLine="720"/>
      </w:pPr>
      <w:r>
        <w:t xml:space="preserve">Fourth, the dissertation does not address the cybersecurity attack surface that the autonomy architectures themselves introduce. The literature on artificial intelligence and autonomy in space identifies the risk balance between deterrence and escalation control as a governance question the elasticity estimates produced here do not address</w:t>
      </w:r>
      <w:r>
        <w:t xml:space="preserve"> </w:t>
      </w:r>
      <w:hyperlink w:anchor="ref-19">
        <w:r>
          <w:rPr>
            <w:rStyle w:val="Hyperlink"/>
          </w:rPr>
          <w:t xml:space="preserve">[19]</w:t>
        </w:r>
      </w:hyperlink>
      <w:r>
        <w:t xml:space="preserve">. The blockchain-anchored battle management system literature similarly identifies attack-resistance properties of the autonomy substrate as a separable governance dimension</w:t>
      </w:r>
      <w:r>
        <w:t xml:space="preserve"> </w:t>
      </w:r>
      <w:hyperlink w:anchor="ref-13">
        <w:r>
          <w:rPr>
            <w:rStyle w:val="Hyperlink"/>
          </w:rPr>
          <w:t xml:space="preserve">[13]</w:t>
        </w:r>
      </w:hyperlink>
      <w:r>
        <w:t xml:space="preserve">. The two-vector authorization framework proposed in Section 7.2 is necessary but not sufficient for governance of autonomous spacecraft information technology infrastructure under an adversarial threat model.</w:t>
      </w:r>
    </w:p>
    <w:p>
      <w:pPr>
        <w:pStyle w:val="BodyText"/>
        <w:spacing w:line="480" w:lineRule="auto"/>
        <w:ind w:firstLine="720"/>
      </w:pPr>
      <w:r>
        <w:t xml:space="preserve">Reversibility governs one axis. Adversarial resilience governs another. This dissertation speaks to the first.</w:t>
      </w:r>
    </w:p>
    <w:bookmarkEnd w:id="129"/>
    <w:bookmarkStart w:id="130" w:name="future-research"/>
    <w:p>
      <w:pPr>
        <w:pStyle w:val="Heading2"/>
        <w:spacing w:line="480" w:lineRule="auto"/>
      </w:pPr>
      <w:r>
        <w:t xml:space="preserve">7.6 Future Research</w:t>
      </w:r>
    </w:p>
    <w:p>
      <w:pPr>
        <w:pStyle w:val="FirstParagraph"/>
        <w:spacing w:line="480" w:lineRule="auto"/>
      </w:pPr>
      <w:r>
        <w:t xml:space="preserve">Five extensions follow directly from the limitations and from the synthesis claim.</w:t>
      </w:r>
    </w:p>
    <w:p>
      <w:pPr>
        <w:pStyle w:val="BodyText"/>
        <w:spacing w:line="480" w:lineRule="auto"/>
        <w:ind w:firstLine="720"/>
      </w:pPr>
      <w:r>
        <w:t xml:space="preserve">The first extension is the blinded re-classification of the anomaly review board records identified in the prospectus, with the elasticity on the inappropriate-response margin reported under both blinded and unblinded protocols. This is the test that closes the prospectus hypothesis and that the present dissertation does not deliver.</w:t>
      </w:r>
    </w:p>
    <w:p>
      <w:pPr>
        <w:pStyle w:val="BodyText"/>
        <w:spacing w:line="480" w:lineRule="auto"/>
        <w:ind w:firstLine="720"/>
      </w:pPr>
      <w:r>
        <w:t xml:space="preserve">The second extension is the panel design with operator fixed effects flagged at the end of Paper 2. As the FCC semi-annual constellation reports accumulate a longer disclosure history, the cross-operator variation in autonomy tier within a single mission lifetime becomes recoverable, and the operator fixed effects absorb the operator-specific deliberation-culture confound the present cross-sectional design cannot. The Aeolus and Sentinel conjunction operations logs released by the European Space Agency provide a complementary panel for the ground-loop tier of the autonomy distribution</w:t>
      </w:r>
      <w:r>
        <w:t xml:space="preserve"> </w:t>
      </w:r>
      <w:hyperlink w:anchor="ref-17">
        <w:r>
          <w:rPr>
            <w:rStyle w:val="Hyperlink"/>
          </w:rPr>
          <w:t xml:space="preserve">[17]</w:t>
        </w:r>
      </w:hyperlink>
      <w:r>
        <w:t xml:space="preserve">.</w:t>
      </w:r>
    </w:p>
    <w:p>
      <w:pPr>
        <w:pStyle w:val="BodyText"/>
        <w:spacing w:line="480" w:lineRule="auto"/>
        <w:ind w:firstLine="720"/>
      </w:pPr>
      <w:r>
        <w:t xml:space="preserve">The third extension is the formation-scale projection of the two-vector authorization, in which the commitment branch is operationalized as a formation envelope rather than a per-spacecraft envelope. The Starling on-orbit reconfiguration record supplies the empirical substrate for it</w:t>
      </w:r>
      <w:r>
        <w:t xml:space="preserve"> </w:t>
      </w:r>
      <w:hyperlink w:anchor="ref-11">
        <w:r>
          <w:rPr>
            <w:rStyle w:val="Hyperlink"/>
          </w:rPr>
          <w:t xml:space="preserve">[11]</w:t>
        </w:r>
      </w:hyperlink>
      <w:r>
        <w:t xml:space="preserve">. The reinforcement-learning scheduling literature supplies the algorithmic substrate [14, 21], and the distributed deep learning at the edge architecture supplies the supervisory-distribution substrate</w:t>
      </w:r>
      <w:r>
        <w:t xml:space="preserve"> </w:t>
      </w:r>
      <w:hyperlink w:anchor="ref-22">
        <w:r>
          <w:rPr>
            <w:rStyle w:val="Hyperlink"/>
          </w:rPr>
          <w:t xml:space="preserve">[22]</w:t>
        </w:r>
      </w:hyperlink>
      <w:r>
        <w:t xml:space="preserve">. The natural empirical question is whether the formation-scale elasticity differs in magnitude from the single-spacecraft elasticity estimated here.</w:t>
      </w:r>
    </w:p>
    <w:p>
      <w:pPr>
        <w:pStyle w:val="BodyText"/>
        <w:spacing w:line="480" w:lineRule="auto"/>
        <w:ind w:firstLine="720"/>
      </w:pPr>
      <w:r>
        <w:t xml:space="preserve">The fourth extension is the deep-space generalization. The deep-space small-satellite autonomous navigation literature establishes that the autonomy tier in the deep-space regime is bound by physical constraints the low Earth orbit regime does not impose</w:t>
      </w:r>
      <w:r>
        <w:t xml:space="preserve"> </w:t>
      </w:r>
      <w:hyperlink w:anchor="ref-29">
        <w:r>
          <w:rPr>
            <w:rStyle w:val="Hyperlink"/>
          </w:rPr>
          <w:t xml:space="preserve">[29]</w:t>
        </w:r>
      </w:hyperlink>
      <w:r>
        <w:t xml:space="preserve">. The dissertation’s two-vector framework should hold across regimes, though the elasticity magnitudes will differ. A natural empirical extension is the construction of a Dawn-class through Voyager-class autonomy-tier panel from the published deep-space mission anomaly record, which the Rayman lessons-learned record initiates</w:t>
      </w:r>
      <w:r>
        <w:t xml:space="preserve"> </w:t>
      </w:r>
      <w:hyperlink w:anchor="ref-10">
        <w:r>
          <w:rPr>
            <w:rStyle w:val="Hyperlink"/>
          </w:rPr>
          <w:t xml:space="preserve">[10]</w:t>
        </w:r>
      </w:hyperlink>
      <w:r>
        <w:t xml:space="preserve">. The legged subsurface lunar exploration mission concept literature suggests the deep-space regime will soon be supplemented by a planetary-surface regime with its own elasticity profile</w:t>
      </w:r>
      <w:r>
        <w:t xml:space="preserve"> </w:t>
      </w:r>
      <w:hyperlink w:anchor="ref-26">
        <w:r>
          <w:rPr>
            <w:rStyle w:val="Hyperlink"/>
          </w:rPr>
          <w:t xml:space="preserve">[26]</w:t>
        </w:r>
      </w:hyperlink>
      <w:r>
        <w:t xml:space="preserve">. The deployable structure dynamics literature similarly identifies a regime of irreversible mechanical commitments whose autonomy authorization the present framework does not address</w:t>
      </w:r>
      <w:r>
        <w:t xml:space="preserve"> </w:t>
      </w:r>
      <w:hyperlink w:anchor="ref-27">
        <w:r>
          <w:rPr>
            <w:rStyle w:val="Hyperlink"/>
          </w:rPr>
          <w:t xml:space="preserve">[27]</w:t>
        </w:r>
      </w:hyperlink>
      <w:r>
        <w:t xml:space="preserve">.</w:t>
      </w:r>
    </w:p>
    <w:p>
      <w:pPr>
        <w:pStyle w:val="BodyText"/>
        <w:spacing w:line="480" w:lineRule="auto"/>
        <w:ind w:firstLine="720"/>
      </w:pPr>
      <w:r>
        <w:t xml:space="preserve">The fifth extension is the human-factors integration. The crew self-organization record from Mars analog missions and the adaptive empirical telemetry record from extra-vehicular activity in analog environments both supply data on the human supervisory layer under conditions of autonomy compression that approximate the long-duration deep-space regime [31, 33]. Integrating that data systematically with the spacecraft autonomy elasticity estimates produced here is the empirical substrate for a unified speed-safety frontier that spans the spacecraft and the crew. The aviation safety frameworks for orbital domain resilience supply the institutional template for the integration</w:t>
      </w:r>
      <w:r>
        <w:t xml:space="preserve"> </w:t>
      </w:r>
      <w:hyperlink w:anchor="ref-25">
        <w:r>
          <w:rPr>
            <w:rStyle w:val="Hyperlink"/>
          </w:rPr>
          <w:t xml:space="preserve">[25]</w:t>
        </w:r>
      </w:hyperlink>
      <w:r>
        <w:t xml:space="preserve">. The proposed empirical design is a joint estimation of the spacecraft autonomy elasticity and the crew supervisory elasticity on a matched event panel, with the two-vector authorization framework as the governance interpretation.</w:t>
      </w:r>
    </w:p>
    <w:bookmarkEnd w:id="130"/>
    <w:bookmarkStart w:id="131" w:name="concluding-remarks"/>
    <w:p>
      <w:pPr>
        <w:pStyle w:val="Heading2"/>
        <w:spacing w:line="480" w:lineRule="auto"/>
      </w:pPr>
      <w:r>
        <w:t xml:space="preserve">7.7 Concluding Remarks</w:t>
      </w:r>
    </w:p>
    <w:p>
      <w:pPr>
        <w:pStyle w:val="FirstParagraph"/>
        <w:spacing w:line="480" w:lineRule="auto"/>
      </w:pPr>
      <w:r>
        <w:t xml:space="preserve">The dissertation began with the question of whether faster autonomous response compresses the operator decision window in ways that systematically degrade safety outcomes. The answer the two papers support is conditional. Faster autonomous response compresses the recovery interval to the protective benefit of the mission, and it compresses the decision interval to the corrosive cost of the supervisory check, simultaneously, on the same vehicle, under the same flight software. The governance implication is that the autonomy tier cannot be licensed once for the spacecraft. It must be licensed twice, once for the recovery branch and once for the commitment branch, and the supervisory layer must shift from per-event concurrence to envelope review to operate within the compressed timescales that autonomy itself produces. This is the contribution the dissertation makes to NASA program management practice, to JPL flight-project decision-making, and to the agent-based distributed-spacecraft governance literature whose open research questions framed the inquiry [1, 32]. The empirical estimates are not the final word on the speed-safety frontier. They are the slope on two of its axes, and the demonstration that the slope carries opposite normative signs on the two axes is the result that justifies the conditional governance framework proposed here.</w:t>
      </w:r>
    </w:p>
    <w:p>
      <w:pPr>
        <w:pStyle w:val="BodyText"/>
        <w:spacing w:line="480" w:lineRule="auto"/>
        <w:ind w:firstLine="720"/>
      </w:pPr>
      <w:r>
        <w:t xml:space="preserve">Two signs, one module, one rule split in two.</w:t>
      </w:r>
    </w:p>
    <w:bookmarkEnd w:id="131"/>
    <w:bookmarkEnd w:id="132"/>
    <w:bookmarkStart w:id="192" w:name="chapter-8.-conclusion"/>
    <w:p>
      <w:pPr>
        <w:pStyle w:val="Heading1"/>
        <w:spacing w:line="480" w:lineRule="auto"/>
      </w:pPr>
      <w:r>
        <w:t xml:space="preserve">Chapter 8. Conclusion</w:t>
      </w:r>
    </w:p>
    <w:bookmarkStart w:id="133" w:name="restating-the-question"/>
    <w:p>
      <w:pPr>
        <w:pStyle w:val="Heading2"/>
        <w:spacing w:line="480" w:lineRule="auto"/>
      </w:pPr>
      <w:r>
        <w:t xml:space="preserve">8.1 Restating the Question</w:t>
      </w:r>
    </w:p>
    <w:p>
      <w:pPr>
        <w:pStyle w:val="FirstParagraph"/>
        <w:spacing w:line="480" w:lineRule="auto"/>
      </w:pPr>
      <w:r>
        <w:t xml:space="preserve">A deceptively simple question opened this dissertation. As spacecraft information technology infrastructure migrates decision authority from ground operators to onboard agents, does the compression of the response interval that autonomy delivers also compress the safety envelope within which those decisions are made, The point at issue is not whether autonomy is faster than ground-loop control. That much is settled by the architecture literature and by every operator who has fielded an onboard fault-management stack [1, 9, 23]. The point at issue is whether the speed gain is bought at a measurable cost, in the form of responses that post-event review would judge to have been inappropriate, miscategorized, or premature. From opposite directions the two empirical papers at the analytic core of this dissertation attacked that question, and the synthesis offered here threads their findings into a single coherent claim about the governance of autonomous decision authority in space systems.</w:t>
      </w:r>
    </w:p>
    <w:bookmarkEnd w:id="133"/>
    <w:bookmarkStart w:id="134" w:name="synthesis-of-the-two-empirical-legs"/>
    <w:p>
      <w:pPr>
        <w:pStyle w:val="Heading2"/>
        <w:spacing w:line="480" w:lineRule="auto"/>
      </w:pPr>
      <w:r>
        <w:t xml:space="preserve">8.2 Synthesis of the Two Empirical Legs</w:t>
      </w:r>
    </w:p>
    <w:p>
      <w:pPr>
        <w:pStyle w:val="FirstParagraph"/>
        <w:spacing w:line="480" w:lineRule="auto"/>
      </w:pPr>
      <w:r>
        <w:t xml:space="preserve">The first empirical paper estimated a Cox proportional-hazards model on thirty-five documented on-orbit anomalies between 1998 and 2025 and recovered a hazard ratio of approximately 2.49 for each one-unit increase in onboard autonomy level. In operational language, a spacecraft operating at the highest sampled autonomy level recovers from a declared fault at roughly six times the instantaneous rate of an otherwise comparable spacecraft at the lowest sampled level, holding subsystem complexity and ground-contact cadence fixed. This is the protective face of autonomy. It is the property that justifies adopting onboard fault detection, isolation, and recovery loops across both deep-space science platforms</w:t>
      </w:r>
      <w:r>
        <w:t xml:space="preserve"> </w:t>
      </w:r>
      <w:hyperlink w:anchor="ref-10">
        <w:r>
          <w:rPr>
            <w:rStyle w:val="Hyperlink"/>
          </w:rPr>
          <w:t xml:space="preserve">[10]</w:t>
        </w:r>
      </w:hyperlink>
      <w:r>
        <w:t xml:space="preserve"> </w:t>
      </w:r>
      <w:r>
        <w:t xml:space="preserve">and proliferated low Earth orbit constellations [11, 12], and it is the property the agent-based mission management literature has consistently promised [1, 32]. The first paper confirms that promise empirically on the only operational record presently available in the open literature, and it does so with a hazard ratio whose magnitude is large enough to be consequential rather than marginal.</w:t>
      </w:r>
    </w:p>
    <w:p>
      <w:pPr>
        <w:pStyle w:val="BodyText"/>
        <w:spacing w:line="480" w:lineRule="auto"/>
        <w:ind w:firstLine="720"/>
      </w:pPr>
      <w:r>
        <w:t xml:space="preserve">The second empirical paper estimated an ordinary least squares model on thirty-five documented collision-avoidance events and recovered a conditional mean reduction of roughly nine hours in operator decision latency per autonomy step, after controlling for warning time and conjunction probability. The model fit was tight, with an adjusted coefficient of determination of 0.90, and the autonomy coefficient was statistically distinguishable from zero at conventional thresholds.</w:t>
      </w:r>
    </w:p>
    <w:p>
      <w:pPr>
        <w:pStyle w:val="BodyText"/>
        <w:spacing w:line="480" w:lineRule="auto"/>
        <w:ind w:firstLine="720"/>
      </w:pPr>
      <w:r>
        <w:t xml:space="preserve">This is the destructive face of the same property. The nine-hour compression is not a refinement of the response interval but a structural elimination of the supervisory window within which a ground operator could plausibly interrogate the conjunction data message, revise the screening assumptions, or escalate to a mission director. Both the reinforcement-learning scheduling literature [14, 21] and the autonomous flight dynamics work for co-located constellations</w:t>
      </w:r>
      <w:r>
        <w:t xml:space="preserve"> </w:t>
      </w:r>
      <w:hyperlink w:anchor="ref-12">
        <w:r>
          <w:rPr>
            <w:rStyle w:val="Hyperlink"/>
          </w:rPr>
          <w:t xml:space="preserve">[12]</w:t>
        </w:r>
      </w:hyperlink>
      <w:r>
        <w:t xml:space="preserve"> </w:t>
      </w:r>
      <w:r>
        <w:t xml:space="preserve">anticipated this compression and frame it as a feature. The second paper measures the magnitude of that feature and confirms it is large relative to the typical conjunction data message lead time.</w:t>
      </w:r>
    </w:p>
    <w:p>
      <w:pPr>
        <w:pStyle w:val="BodyText"/>
        <w:spacing w:line="480" w:lineRule="auto"/>
        <w:ind w:firstLine="720"/>
      </w:pPr>
      <w:r>
        <w:t xml:space="preserve">The synthesis of the two papers is the principal contribution of the dissertation, because one property drives both findings: the collapse of the perception-to-action interval. In the fault-response context that property accelerates recovery and protects the mission. In the collision-avoidance context the same property eliminates the deliberative window within which the human supervisor historically caught miscategorized conjunctions, mis-screened ephemerides, and the edge cases the crew resource management literature identified as the residual safety reserve of space operations [4, 25]. The autonomy module is no different in the two contexts; the operational consequence is opposite because the context is opposite, so that the property which is salvation in one setting becomes exposure in the other, turning on nothing more than whether the action it commits can afterward be undone. Fault response is a context in which delay is the dominant hazard. Collision avoidance, particularly under the screening probabilities and warning times observed in low Earth orbit, is a context in which premature commitment to an irreversible maneuver can introduce its own conjunction geometry, displace planned operations, or consume propellant the mission cannot replace.</w:t>
      </w:r>
    </w:p>
    <w:bookmarkEnd w:id="134"/>
    <w:bookmarkStart w:id="135" w:name="X7a79ff72fa4bb82e214904f6516d2948c144b92"/>
    <w:p>
      <w:pPr>
        <w:pStyle w:val="Heading2"/>
        <w:spacing w:line="480" w:lineRule="auto"/>
      </w:pPr>
      <w:r>
        <w:t xml:space="preserve">8.3 The Speed-Safety Tradeoff Made Operational</w:t>
      </w:r>
    </w:p>
    <w:p>
      <w:pPr>
        <w:pStyle w:val="FirstParagraph"/>
        <w:spacing w:line="480" w:lineRule="auto"/>
      </w:pPr>
      <w:r>
        <w:t xml:space="preserve">Together the two findings demonstrate that the speed-safety tradeoff posed by the prospectus is no metaphor. It is an empirically tractable elasticity that varies in sign across operational contexts within a single spacecraft, which is why the hazard ratio of 2.49 and the latency coefficient of minus nine hours are not in tension with one another even though one reads as a benefit and the other as a cost. They are the two faces of the same coefficient, evaluated on two different outcome variables, in two different decision contexts. The dissertation question therefore admits a sharper formulation than the prospectus offered. The relevant policy variable is not the autonomy level of the spacecraft considered as a single design parameter. It is the licensing of the autonomy module to act unilaterally within particular decision contexts, and the gating of the same module by supervisory review in others.</w:t>
      </w:r>
    </w:p>
    <w:p>
      <w:pPr>
        <w:pStyle w:val="BodyText"/>
        <w:spacing w:line="480" w:lineRule="auto"/>
        <w:ind w:firstLine="720"/>
      </w:pPr>
      <w:r>
        <w:t xml:space="preserve">This formulation aligns with the conditional governance posture the first empirical paper anticipated in its discussion. The same FDIR loop that earns its keep on a reaction wheel saturation event need not be the loop that commits a propulsive maneuver in response to a low-probability conjunction. The agent-based architecture literature has the vocabulary to describe this distinction. It has not yet adopted it as a binding design principle [1, 32]. The empirical results presented here support the elevation of that distinction from a research-community recommendation to an operational requirement on the flight software certification process.</w:t>
      </w:r>
    </w:p>
    <w:bookmarkEnd w:id="135"/>
    <w:bookmarkStart w:id="136" w:name="contribution-to-knowledge"/>
    <w:p>
      <w:pPr>
        <w:pStyle w:val="Heading2"/>
        <w:spacing w:line="480" w:lineRule="auto"/>
      </w:pPr>
      <w:r>
        <w:t xml:space="preserve">8.4 Contribution to Knowledge</w:t>
      </w:r>
    </w:p>
    <w:p>
      <w:pPr>
        <w:pStyle w:val="FirstParagraph"/>
        <w:spacing w:line="480" w:lineRule="auto"/>
      </w:pPr>
      <w:r>
        <w:t xml:space="preserve">The dissertation makes a threefold contribution to the literature on space systems information technology infrastructure.</w:t>
      </w:r>
    </w:p>
    <w:p>
      <w:pPr>
        <w:pStyle w:val="BodyText"/>
        <w:spacing w:line="480" w:lineRule="auto"/>
        <w:ind w:firstLine="720"/>
      </w:pPr>
      <w:r>
        <w:t xml:space="preserve">First, it provides the first published quantitative estimate of the speed-safety elasticity for onboard autonomy in operational civil-space populations, decomposed by decision context. Previous work either treated the autonomy threshold as a design parameter</w:t>
      </w:r>
      <w:r>
        <w:t xml:space="preserve"> </w:t>
      </w:r>
      <w:hyperlink w:anchor="ref-6">
        <w:r>
          <w:rPr>
            <w:rStyle w:val="Hyperlink"/>
          </w:rPr>
          <w:t xml:space="preserve">[6]</w:t>
        </w:r>
      </w:hyperlink>
      <w:r>
        <w:t xml:space="preserve"> </w:t>
      </w:r>
      <w:r>
        <w:t xml:space="preserve">or asserted the supervisory tradeoff qualitatively</w:t>
      </w:r>
      <w:r>
        <w:t xml:space="preserve"> </w:t>
      </w:r>
      <w:hyperlink w:anchor="ref-4">
        <w:r>
          <w:rPr>
            <w:rStyle w:val="Hyperlink"/>
          </w:rPr>
          <w:t xml:space="preserve">[4]</w:t>
        </w:r>
      </w:hyperlink>
      <w:r>
        <w:t xml:space="preserve">. The hazard ratio and latency coefficient reported here are point estimates with confidence intervals attached, and they are recoverable from the same observational record operators are already required to disclose. The methodology can be repeated as the disclosure record grows.</w:t>
      </w:r>
    </w:p>
    <w:p>
      <w:pPr>
        <w:pStyle w:val="BodyText"/>
        <w:spacing w:line="480" w:lineRule="auto"/>
        <w:ind w:firstLine="720"/>
      </w:pPr>
      <w:r>
        <w:t xml:space="preserve">Second, it reframes the autonomy debate from a single-axis question about the level of autonomy to a two-axis question about the context-conditional licensing of autonomous authority. That reframing has implications for flight software certification, for the structure of mission anomaly review boards, and for the human-factors training curricula the crew resource management literature has begun to specify for space domain operations [4, 25]. The implication is not that autonomy should be slowed down. It is that autonomy should be gated by reversibility, by the conjugate probability that a premature commitment introduces a new hazard geometry, and by the operator workload regime in which the decision is taken.</w:t>
      </w:r>
    </w:p>
    <w:p>
      <w:pPr>
        <w:pStyle w:val="BodyText"/>
        <w:spacing w:line="480" w:lineRule="auto"/>
        <w:ind w:firstLine="720"/>
      </w:pPr>
      <w:r>
        <w:t xml:space="preserve">Third, it offers a methodological template for the analysis of operational autonomy in space systems that does not require access to classified telemetry. The Cox proportional-hazards estimator on anomaly logs and the ordinary least squares estimator on collision-avoidance disclosures are both implementable on open-data records [15, 16, 17]. Regulator-mandated disclosure in low Earth orbit is proliferating, and combined with the continuing publication of mission anomaly review board records by civil-space agencies, it makes the methodology repeatable by independent researchers without the access constraints that would attach to a comparable national-security analysis</w:t>
      </w:r>
      <w:r>
        <w:t xml:space="preserve"> </w:t>
      </w:r>
      <w:hyperlink w:anchor="ref-19">
        <w:r>
          <w:rPr>
            <w:rStyle w:val="Hyperlink"/>
          </w:rPr>
          <w:t xml:space="preserve">[19]</w:t>
        </w:r>
      </w:hyperlink>
      <w:r>
        <w:t xml:space="preserve">. The template can therefore be extended to the next generation of distributed-spacecraft architectures [22, 30] and to the emerging class of habitat-scale autonomy systems for which anomaly response is already a published research priority</w:t>
      </w:r>
      <w:r>
        <w:t xml:space="preserve"> </w:t>
      </w:r>
      <w:hyperlink w:anchor="ref-28">
        <w:r>
          <w:rPr>
            <w:rStyle w:val="Hyperlink"/>
          </w:rPr>
          <w:t xml:space="preserve">[28]</w:t>
        </w:r>
      </w:hyperlink>
      <w:r>
        <w:t xml:space="preserve">.</w:t>
      </w:r>
    </w:p>
    <w:bookmarkEnd w:id="136"/>
    <w:bookmarkStart w:id="137" w:name="Xd86356ce1bdcf7cd8768c4632246c8fca640ed2"/>
    <w:p>
      <w:pPr>
        <w:pStyle w:val="Heading2"/>
        <w:spacing w:line="480" w:lineRule="auto"/>
      </w:pPr>
      <w:r>
        <w:t xml:space="preserve">8.5 Limitations and Directions for Further Inquiry</w:t>
      </w:r>
    </w:p>
    <w:p>
      <w:pPr>
        <w:pStyle w:val="FirstParagraph"/>
        <w:spacing w:line="480" w:lineRule="auto"/>
      </w:pPr>
      <w:r>
        <w:t xml:space="preserve">The limitations of the two empirical papers have been documented in their respective discussion sections and need not be exhaustively restated. Three deserve renewed emphasis here, because they shape the boundaries of the synthesis. The samples in both papers are small, weighted toward civil-space missions with public disclosure, and skewed toward the autonomy tiers presently fielded by the Starlink constellation in the second paper</w:t>
      </w:r>
      <w:r>
        <w:t xml:space="preserve"> </w:t>
      </w:r>
      <w:hyperlink w:anchor="ref-15">
        <w:r>
          <w:rPr>
            <w:rStyle w:val="Hyperlink"/>
          </w:rPr>
          <w:t xml:space="preserve">[15]</w:t>
        </w:r>
      </w:hyperlink>
      <w:r>
        <w:t xml:space="preserve">. The autonomy coding is ordinal and was constructed by the candidate; an independent recoding by a second analyst would strengthen the magnitude estimates without altering the qualitative direction of either finding. The exclusion restriction in the prospectus design, which assumed that flight software update timing is uncorrelated with the unobserved difficulty of subsequently encountered anomalies, was not tested with a placebo regression within the scope of the present analysis and remains the most consequential open identification question for the dissertation program.</w:t>
      </w:r>
    </w:p>
    <w:p>
      <w:pPr>
        <w:pStyle w:val="BodyText"/>
        <w:spacing w:line="480" w:lineRule="auto"/>
        <w:ind w:firstLine="720"/>
      </w:pPr>
      <w:r>
        <w:t xml:space="preserve">Two extensions are immediate. The first is a panel design with operator fixed effects on the conjunction record, which becomes feasible as the disclosure history lengthens beyond the four-year window presently available in the FCC semi-annual reports</w:t>
      </w:r>
      <w:r>
        <w:t xml:space="preserve"> </w:t>
      </w:r>
      <w:hyperlink w:anchor="ref-15">
        <w:r>
          <w:rPr>
            <w:rStyle w:val="Hyperlink"/>
          </w:rPr>
          <w:t xml:space="preserve">[15]</w:t>
        </w:r>
      </w:hyperlink>
      <w:r>
        <w:t xml:space="preserve">. The second is the extension of the methodology from collision-avoidance and FDIR contexts to the emerging class of autonomous deep-space navigation decisions</w:t>
      </w:r>
      <w:r>
        <w:t xml:space="preserve"> </w:t>
      </w:r>
      <w:hyperlink w:anchor="ref-29">
        <w:r>
          <w:rPr>
            <w:rStyle w:val="Hyperlink"/>
          </w:rPr>
          <w:t xml:space="preserve">[29]</w:t>
        </w:r>
      </w:hyperlink>
      <w:r>
        <w:t xml:space="preserve"> </w:t>
      </w:r>
      <w:r>
        <w:t xml:space="preserve">and to the anomaly-response regimes of distributed-spacecraft formations [11, 30], where the supervisory-window argument acquires additional structure because no single ground operator is positioned to interrogate the decisions of every node.</w:t>
      </w:r>
    </w:p>
    <w:p>
      <w:pPr>
        <w:pStyle w:val="BodyText"/>
        <w:spacing w:line="480" w:lineRule="auto"/>
        <w:ind w:firstLine="720"/>
      </w:pPr>
      <w:r>
        <w:t xml:space="preserve">A third and longer-horizon extension is the integration of the present elasticity estimates with the human-factors frameworks the aviation safety community has refined over five decades</w:t>
      </w:r>
      <w:r>
        <w:t xml:space="preserve"> </w:t>
      </w:r>
      <w:hyperlink w:anchor="ref-25">
        <w:r>
          <w:rPr>
            <w:rStyle w:val="Hyperlink"/>
          </w:rPr>
          <w:t xml:space="preserve">[25]</w:t>
        </w:r>
      </w:hyperlink>
      <w:r>
        <w:t xml:space="preserve">. The crew resource management literature has begun to describe the supervisory function in space operations in qualitative terms. The empirical foundation offered here provides the quantitative basis on which a formal aviation-style safety case for autonomous spacecraft could be constructed. Building that case is beyond the scope of a single dissertation, but the elasticities reported here are a necessary precondition for it.</w:t>
      </w:r>
    </w:p>
    <w:bookmarkEnd w:id="137"/>
    <w:bookmarkStart w:id="138" w:name="closing-statement"/>
    <w:p>
      <w:pPr>
        <w:pStyle w:val="Heading2"/>
        <w:spacing w:line="480" w:lineRule="auto"/>
      </w:pPr>
      <w:r>
        <w:t xml:space="preserve">8.6 Closing Statement</w:t>
      </w:r>
    </w:p>
    <w:p>
      <w:pPr>
        <w:pStyle w:val="FirstParagraph"/>
        <w:spacing w:line="480" w:lineRule="auto"/>
      </w:pPr>
      <w:r>
        <w:t xml:space="preserve">The dissertation began with a worry expressed in operational language and ends with an estimate expressed in econometric language. The worry was concrete: the speed of autonomous response, by collapsing the supervisory window, might compress the safety envelope of space operations in ways the architectural literature had not measured. The estimate is that the worry is well founded in the collision-avoidance context, where each step of autonomy compresses the operator decision interval by approximately nine hours, and misplaced in the fault-response context, where the same step of autonomy more than doubles the instantaneous recovery rate. The two findings do not contradict one another. They specify the conditions under which autonomy is a virtue and the conditions under which it is a hazard.</w:t>
      </w:r>
    </w:p>
    <w:p>
      <w:pPr>
        <w:pStyle w:val="BodyText"/>
        <w:spacing w:line="480" w:lineRule="auto"/>
        <w:ind w:firstLine="720"/>
      </w:pPr>
      <w:r>
        <w:t xml:space="preserve">The implication for the governance of onboard autonomy in spacecraft information technology infrastructure is that the licensing decision should not be taken at the level of the spacecraft. It should be taken at the level of the decision context within the spacecraft. A flight software stack certified to act unilaterally on a fault detection event need not be the stack certified to commit a maneuver that introduces an irreversible orbital element change. The agent-based architecture vocabulary supports this distinction [1, 32]. The empirical record now supports its elevation from a recommendation to a requirement. The contribution of this dissertation is to have measured the elasticity that makes the distinction quantitative, and to have shown that the measurement can be repeated as the operational record continues to accumulate.</w:t>
      </w:r>
    </w:p>
    <w:p>
      <w:pPr>
        <w:pStyle w:val="BodyText"/>
        <w:spacing w:line="480" w:lineRule="auto"/>
        <w:ind w:firstLine="720"/>
      </w:pPr>
      <w:r>
        <w:t xml:space="preserve">The speed-safety question, posed at the outset as a binary worry about whether faster autonomous response compresses the safety envelope, ends as a conditional answer. Faster autonomous response compresses the safety envelope when the decision is irreversible, when the supervisory window is the binding safety reserve, and when the operator workload regime is one in which the human retains residual diagnostic capacity. Faster autonomous response expands the safety envelope when the decision is reversible, when the binding constraint is round-trip latency to the ground, and when the supervisory function adds no incremental classification accuracy. The task of the next generation of flight software certification is to formalize that conditional and to discipline the licensing of autonomous authority against it. This dissertation provides the empirical basis on which that formalization can proceed.</w:t>
      </w:r>
    </w:p>
    <w:p>
      <w:pPr>
        <w:pStyle w:val="BodyText"/>
        <w:spacing w:line="480" w:lineRule="auto"/>
        <w:ind w:firstLine="720"/>
      </w:pPr>
      <w:r>
        <w:t xml:space="preserve">The worry is answered. The work of acting on the answer begins.</w:t>
      </w:r>
    </w:p>
    <w:bookmarkEnd w:id="138"/>
    <w:bookmarkStart w:id="191" w:name="references"/>
    <w:p>
      <w:pPr>
        <w:pStyle w:val="Heading2"/>
        <w:spacing w:line="480" w:lineRule="auto"/>
      </w:pPr>
      <w:r>
        <w:t xml:space="preserve">References</w:t>
      </w:r>
    </w:p>
    <w:p>
      <w:pPr>
        <w:pStyle w:val="FirstParagraph"/>
        <w:spacing w:line="480" w:lineRule="auto"/>
      </w:pPr>
      <w:bookmarkStart w:id="139" w:name="ref-1"/>
      <w:bookmarkEnd w:id="139"/>
      <w:r>
        <w:t xml:space="preserve">1.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rPr>
          <w:i/>
          <w:iCs/>
        </w:rPr>
        <w:t xml:space="preserve">Acta Astronautica</w:t>
      </w:r>
      <w:r>
        <w:t xml:space="preserve">, vol. 238, 2025. doi:</w:t>
      </w:r>
      <w:r>
        <w:t xml:space="preserve"> </w:t>
      </w:r>
      <w:hyperlink r:id="rId140">
        <w:r>
          <w:rPr>
            <w:rStyle w:val="Hyperlink"/>
          </w:rPr>
          <w:t xml:space="preserve">10.1016/j.actaastro.2025.10.018</w:t>
        </w:r>
      </w:hyperlink>
    </w:p>
    <w:p>
      <w:pPr>
        <w:pStyle w:val="BodyText"/>
        <w:spacing w:line="480" w:lineRule="auto"/>
        <w:ind w:firstLine="720"/>
      </w:pPr>
      <w:bookmarkStart w:id="141" w:name="ref-2"/>
      <w:bookmarkEnd w:id="141"/>
      <w:r>
        <w:t xml:space="preserve">2. W. Oldroyd, J. Uyekawa, J. Correa, and F. Aguirre,</w:t>
      </w:r>
      <w:r>
        <w:t xml:space="preserve"> </w:t>
      </w:r>
      <w:r>
        <w:t xml:space="preserve">“Dynamic Sensor Tasking for Automated Resident Space Object Characterization,”</w:t>
      </w:r>
      <w:r>
        <w:t xml:space="preserve"> </w:t>
      </w:r>
      <w:r>
        <w:t xml:space="preserve">in</w:t>
      </w:r>
      <w:r>
        <w:t xml:space="preserve"> </w:t>
      </w:r>
      <w:r>
        <w:rPr>
          <w:i/>
          <w:iCs/>
        </w:rPr>
        <w:t xml:space="preserve">Proc. Advanced Maui Optical and Space Surveillance Technologies (AMOS) Conference</w:t>
      </w:r>
      <w:r>
        <w:t xml:space="preserve">, 2025. doi:</w:t>
      </w:r>
      <w:r>
        <w:t xml:space="preserve"> </w:t>
      </w:r>
      <w:hyperlink r:id="rId142">
        <w:r>
          <w:rPr>
            <w:rStyle w:val="Hyperlink"/>
          </w:rPr>
          <w:t xml:space="preserve">10.64861/GDAF9892</w:t>
        </w:r>
      </w:hyperlink>
    </w:p>
    <w:p>
      <w:pPr>
        <w:pStyle w:val="BodyText"/>
        <w:spacing w:line="480" w:lineRule="auto"/>
        <w:ind w:firstLine="720"/>
      </w:pPr>
      <w:bookmarkStart w:id="143" w:name="ref-3"/>
      <w:bookmarkEnd w:id="143"/>
      <w:r>
        <w:t xml:space="preserve">3. Z. Li,</w:t>
      </w:r>
      <w:r>
        <w:t xml:space="preserve"> </w:t>
      </w:r>
      <w:r>
        <w:t xml:space="preserve">“Creating Situational Awareness in Spacecraft Operations with the Machine Learning Approach,”</w:t>
      </w:r>
      <w:r>
        <w:t xml:space="preserve"> </w:t>
      </w:r>
      <w:r>
        <w:t xml:space="preserve">in</w:t>
      </w:r>
      <w:r>
        <w:t xml:space="preserve"> </w:t>
      </w:r>
      <w:r>
        <w:rPr>
          <w:i/>
          <w:iCs/>
        </w:rPr>
        <w:t xml:space="preserve">Proc. Advanced Maui Optical and Space Surveillance Technologies (AMOS) Conference</w:t>
      </w:r>
      <w:r>
        <w:t xml:space="preserve">, 2016.</w:t>
      </w:r>
    </w:p>
    <w:p>
      <w:pPr>
        <w:pStyle w:val="BodyText"/>
        <w:spacing w:line="480" w:lineRule="auto"/>
        <w:ind w:firstLine="720"/>
      </w:pPr>
      <w:bookmarkStart w:id="144" w:name="ref-4"/>
      <w:bookmarkEnd w:id="144"/>
      <w:r>
        <w:t xml:space="preserve">4. J. Goldberg and T. Waltz,</w:t>
      </w:r>
      <w:r>
        <w:t xml:space="preserve"> </w:t>
      </w:r>
      <w:r>
        <w:t xml:space="preserve">“Bridging the Gap: The Critical Need for Crew Resource Management (CRM) Training in Space Domain Operations,”</w:t>
      </w:r>
      <w:r>
        <w:t xml:space="preserve"> </w:t>
      </w:r>
      <w:r>
        <w:t xml:space="preserve">in</w:t>
      </w:r>
      <w:r>
        <w:t xml:space="preserve"> </w:t>
      </w:r>
      <w:r>
        <w:rPr>
          <w:i/>
          <w:iCs/>
        </w:rPr>
        <w:t xml:space="preserve">Proc. Advanced Maui Optical and Space Surveillance Technologies (AMOS) Conference</w:t>
      </w:r>
      <w:r>
        <w:t xml:space="preserve">, 2025. doi:</w:t>
      </w:r>
      <w:r>
        <w:t xml:space="preserve"> </w:t>
      </w:r>
      <w:hyperlink r:id="rId145">
        <w:r>
          <w:rPr>
            <w:rStyle w:val="Hyperlink"/>
          </w:rPr>
          <w:t xml:space="preserve">10.64861/CXGE3201</w:t>
        </w:r>
      </w:hyperlink>
    </w:p>
    <w:p>
      <w:pPr>
        <w:pStyle w:val="BodyText"/>
        <w:spacing w:line="480" w:lineRule="auto"/>
        <w:ind w:firstLine="720"/>
      </w:pPr>
      <w:bookmarkStart w:id="146" w:name="ref-5"/>
      <w:bookmarkEnd w:id="146"/>
      <w:r>
        <w:t xml:space="preserve">5. P. Cunio, M. Bantel, B. R. Flewelling, W. Therien, M. W. Jeffries Jr., M. Montoya, R. Butler, and D. Hendrix,</w:t>
      </w:r>
      <w:r>
        <w:t xml:space="preserve"> </w:t>
      </w:r>
      <w:r>
        <w:t xml:space="preserve">“Photometric and Other Analyses of Energetic Events Related to 2017 GEO RSO Anomalies,”</w:t>
      </w:r>
      <w:r>
        <w:t xml:space="preserve"> </w:t>
      </w:r>
      <w:r>
        <w:t xml:space="preserve">in</w:t>
      </w:r>
      <w:r>
        <w:t xml:space="preserve"> </w:t>
      </w:r>
      <w:r>
        <w:rPr>
          <w:i/>
          <w:iCs/>
        </w:rPr>
        <w:t xml:space="preserve">Proc. Advanced Maui Optical and Space Surveillance Technologies (AMOS) Conference</w:t>
      </w:r>
      <w:r>
        <w:t xml:space="preserve">, 2017.</w:t>
      </w:r>
    </w:p>
    <w:p>
      <w:pPr>
        <w:pStyle w:val="BodyText"/>
        <w:spacing w:line="480" w:lineRule="auto"/>
        <w:ind w:firstLine="720"/>
      </w:pPr>
      <w:bookmarkStart w:id="147" w:name="ref-6"/>
      <w:bookmarkEnd w:id="147"/>
      <w:r>
        <w:t xml:space="preserve">6. A. Wander, K. Konstantinidis, R. Förstner, and P. Voigt,</w:t>
      </w:r>
      <w:r>
        <w:t xml:space="preserve"> </w:t>
      </w:r>
      <w:r>
        <w:t xml:space="preserve">“Autonomy and operational concept for self-removal of spacecraft: Status detection, removal triggering and passivation,”</w:t>
      </w:r>
      <w:r>
        <w:t xml:space="preserve"> </w:t>
      </w:r>
      <w:r>
        <w:rPr>
          <w:i/>
          <w:iCs/>
        </w:rPr>
        <w:t xml:space="preserve">Acta Astronautica</w:t>
      </w:r>
      <w:r>
        <w:t xml:space="preserve">, vol. 164, 2019. doi:</w:t>
      </w:r>
      <w:r>
        <w:t xml:space="preserve"> </w:t>
      </w:r>
      <w:hyperlink r:id="rId148">
        <w:r>
          <w:rPr>
            <w:rStyle w:val="Hyperlink"/>
          </w:rPr>
          <w:t xml:space="preserve">10.1016/j.actaastro.2019.07.014</w:t>
        </w:r>
      </w:hyperlink>
    </w:p>
    <w:p>
      <w:pPr>
        <w:pStyle w:val="BodyText"/>
        <w:spacing w:line="480" w:lineRule="auto"/>
        <w:ind w:firstLine="720"/>
      </w:pPr>
      <w:bookmarkStart w:id="149" w:name="ref-7"/>
      <w:bookmarkEnd w:id="149"/>
      <w:r>
        <w:t xml:space="preserve">7. R. Hunter, E. Agasid, S. Phan, N. Benz, S. Miller, C. Adams, B. Kempa, J. Frank, M. Iatauro, J. Kruger, S. D’Amico, J. Fishman, and S. Weston,</w:t>
      </w:r>
      <w:r>
        <w:t xml:space="preserve"> </w:t>
      </w:r>
      <w:r>
        <w:t xml:space="preserve">“NASA’s Starling Mission and Space Situational Awareness Implications,”</w:t>
      </w:r>
      <w:r>
        <w:t xml:space="preserve"> </w:t>
      </w:r>
      <w:r>
        <w:t xml:space="preserve">in</w:t>
      </w:r>
      <w:r>
        <w:t xml:space="preserve"> </w:t>
      </w:r>
      <w:r>
        <w:rPr>
          <w:i/>
          <w:iCs/>
        </w:rPr>
        <w:t xml:space="preserve">Proc. Advanced Maui Optical and Space Surveillance Technologies (AMOS) Conference</w:t>
      </w:r>
      <w:r>
        <w:t xml:space="preserve">, 2025. doi:</w:t>
      </w:r>
      <w:r>
        <w:t xml:space="preserve"> </w:t>
      </w:r>
      <w:hyperlink r:id="rId150">
        <w:r>
          <w:rPr>
            <w:rStyle w:val="Hyperlink"/>
          </w:rPr>
          <w:t xml:space="preserve">10.64861/XQCN3213</w:t>
        </w:r>
      </w:hyperlink>
    </w:p>
    <w:p>
      <w:pPr>
        <w:pStyle w:val="BodyText"/>
        <w:spacing w:line="480" w:lineRule="auto"/>
        <w:ind w:firstLine="720"/>
      </w:pPr>
      <w:bookmarkStart w:id="151" w:name="ref-8"/>
      <w:bookmarkEnd w:id="151"/>
      <w:r>
        <w:t xml:space="preserve">8. J. Seong, O. Jung, Y. Jung, and S. Song,</w:t>
      </w:r>
      <w:r>
        <w:t xml:space="preserve"> </w:t>
      </w:r>
      <w:r>
        <w:t xml:space="preserve">“Development of VISION (Vigilant Integrated Space Information and mOnitoring Network): An Integrated Space Information Monitoring System for Space Flight Safety,”</w:t>
      </w:r>
      <w:r>
        <w:t xml:space="preserve"> </w:t>
      </w:r>
      <w:r>
        <w:t xml:space="preserve">in</w:t>
      </w:r>
      <w:r>
        <w:t xml:space="preserve"> </w:t>
      </w:r>
      <w:r>
        <w:rPr>
          <w:i/>
          <w:iCs/>
        </w:rPr>
        <w:t xml:space="preserve">Proc. Advanced Maui Optical and Space Surveillance Technologies (AMOS) Conference</w:t>
      </w:r>
      <w:r>
        <w:t xml:space="preserve">, 2025. doi:</w:t>
      </w:r>
      <w:r>
        <w:t xml:space="preserve"> </w:t>
      </w:r>
      <w:hyperlink r:id="rId152">
        <w:r>
          <w:rPr>
            <w:rStyle w:val="Hyperlink"/>
          </w:rPr>
          <w:t xml:space="preserve">10.64861/OTAL2562</w:t>
        </w:r>
      </w:hyperlink>
    </w:p>
    <w:p>
      <w:pPr>
        <w:pStyle w:val="BodyText"/>
        <w:spacing w:line="480" w:lineRule="auto"/>
        <w:ind w:firstLine="720"/>
      </w:pPr>
      <w:bookmarkStart w:id="153" w:name="ref-9"/>
      <w:bookmarkEnd w:id="153"/>
      <w:r>
        <w:t xml:space="preserve">9. R. Stottler, S. Ramachandran, C. Healy, A. Singhal, and E. Finnigan, On-board, Autonomous, Hybrid Spacecraft Subsystem Fault and Anomaly Detection, Diagnosis, Root Cause Determination, and Recovery, AMOS Conference 2022.</w:t>
      </w:r>
    </w:p>
    <w:p>
      <w:pPr>
        <w:pStyle w:val="BodyText"/>
        <w:spacing w:line="480" w:lineRule="auto"/>
        <w:ind w:firstLine="720"/>
      </w:pPr>
      <w:bookmarkStart w:id="154" w:name="ref-10"/>
      <w:bookmarkEnd w:id="154"/>
      <w:r>
        <w:t xml:space="preserve">10. M. D. Rayman, Lessons from the Dawn mission to Ceres and Vesta, Acta Astronautica vol. 176, 2020, doi 10.1016/j.actaastro.2020.06.023.</w:t>
      </w:r>
    </w:p>
    <w:p>
      <w:pPr>
        <w:pStyle w:val="BodyText"/>
        <w:spacing w:line="480" w:lineRule="auto"/>
        <w:ind w:firstLine="720"/>
      </w:pPr>
      <w:bookmarkStart w:id="155" w:name="ref-11"/>
      <w:bookmarkEnd w:id="155"/>
      <w:r>
        <w:t xml:space="preserve">11. R. Hunter et al., NASA’s Starling Mission and Space Situational Awareness Implications, AMOS Conference 2025, doi 10.64861/XQCN3213.</w:t>
      </w:r>
    </w:p>
    <w:p>
      <w:pPr>
        <w:pStyle w:val="BodyText"/>
        <w:spacing w:line="480" w:lineRule="auto"/>
        <w:ind w:firstLine="720"/>
      </w:pPr>
      <w:bookmarkStart w:id="156" w:name="ref-12"/>
      <w:bookmarkEnd w:id="156"/>
      <w:r>
        <w:t xml:space="preserve">12. M. Hejduk and others,</w:t>
      </w:r>
      <w:r>
        <w:t xml:space="preserve"> </w:t>
      </w:r>
      <w:r>
        <w:t xml:space="preserve">“Conjunction Assessment and Deconfliction Paradigm for Co-Located Satellite Constellations with On-Spacecraft Autonomous Flight Dynamics Control,”</w:t>
      </w:r>
      <w:r>
        <w:t xml:space="preserve"> </w:t>
      </w:r>
      <w:r>
        <w:t xml:space="preserve">Advanced Maui Optical and Space Surveillance Technologies Conference, 2023, doi:</w:t>
      </w:r>
      <w:r>
        <w:t xml:space="preserve"> </w:t>
      </w:r>
      <w:hyperlink r:id="rId157">
        <w:r>
          <w:rPr>
            <w:rStyle w:val="Hyperlink"/>
          </w:rPr>
          <w:t xml:space="preserve">10.64861/KKFT4985</w:t>
        </w:r>
      </w:hyperlink>
    </w:p>
    <w:p>
      <w:pPr>
        <w:pStyle w:val="BodyText"/>
        <w:spacing w:line="480" w:lineRule="auto"/>
        <w:ind w:firstLine="720"/>
      </w:pPr>
      <w:bookmarkStart w:id="158" w:name="ref-13"/>
      <w:bookmarkEnd w:id="158"/>
      <w:r>
        <w:t xml:space="preserve">13. Y. Latif and others,</w:t>
      </w:r>
      <w:r>
        <w:t xml:space="preserve"> </w:t>
      </w:r>
      <w:r>
        <w:t xml:space="preserve">“Towards an AI-enabled Space Battle Management System on Space Protocol’s Quantum Resilient Blockchain,”</w:t>
      </w:r>
      <w:r>
        <w:t xml:space="preserve"> </w:t>
      </w:r>
      <w:r>
        <w:t xml:space="preserve">Advanced Maui Optical and Space Surveillance Technologies Conference, 2025, doi:</w:t>
      </w:r>
      <w:r>
        <w:t xml:space="preserve"> </w:t>
      </w:r>
      <w:hyperlink r:id="rId159">
        <w:r>
          <w:rPr>
            <w:rStyle w:val="Hyperlink"/>
          </w:rPr>
          <w:t xml:space="preserve">10.64861/CEPU7718</w:t>
        </w:r>
      </w:hyperlink>
    </w:p>
    <w:p>
      <w:pPr>
        <w:pStyle w:val="BodyText"/>
        <w:spacing w:line="480" w:lineRule="auto"/>
        <w:ind w:firstLine="720"/>
      </w:pPr>
      <w:bookmarkStart w:id="160" w:name="ref-14"/>
      <w:bookmarkEnd w:id="160"/>
      <w:r>
        <w:t xml:space="preserve">14. D. Huterer Prats, H. Schaub, and C. Wheeler,</w:t>
      </w:r>
      <w:r>
        <w:t xml:space="preserve"> </w:t>
      </w:r>
      <w:r>
        <w:t xml:space="preserve">“Reinforcement Learning for Space-to-Space Surveillance: Autonomous Scheduling for Resident Space Object Imaging,”</w:t>
      </w:r>
      <w:r>
        <w:t xml:space="preserve"> </w:t>
      </w:r>
      <w:r>
        <w:t xml:space="preserve">Advanced Maui Optical and Space Surveillance Technologies Conference, 2025, doi:</w:t>
      </w:r>
      <w:r>
        <w:t xml:space="preserve"> </w:t>
      </w:r>
      <w:hyperlink r:id="rId161">
        <w:r>
          <w:rPr>
            <w:rStyle w:val="Hyperlink"/>
          </w:rPr>
          <w:t xml:space="preserve">10.64861/DDFP2152</w:t>
        </w:r>
      </w:hyperlink>
    </w:p>
    <w:p>
      <w:pPr>
        <w:pStyle w:val="BodyText"/>
        <w:spacing w:line="480" w:lineRule="auto"/>
        <w:ind w:firstLine="720"/>
      </w:pPr>
      <w:bookmarkStart w:id="162" w:name="ref-15"/>
      <w:bookmarkEnd w:id="162"/>
      <w:r>
        <w:t xml:space="preserve">15. U.S. Federal Communications Commission,</w:t>
      </w:r>
      <w:r>
        <w:t xml:space="preserve"> </w:t>
      </w:r>
      <w:r>
        <w:t xml:space="preserve">“SpaceX Starlink Semi-Annual Constellation Reports,”</w:t>
      </w:r>
      <w:r>
        <w:t xml:space="preserve"> </w:t>
      </w:r>
      <w:r>
        <w:t xml:space="preserve">IBFS File No. SAT-MOD-20200417, 2020-2024.</w:t>
      </w:r>
    </w:p>
    <w:p>
      <w:pPr>
        <w:pStyle w:val="BodyText"/>
        <w:spacing w:line="480" w:lineRule="auto"/>
        <w:ind w:firstLine="720"/>
      </w:pPr>
      <w:bookmarkStart w:id="163" w:name="ref-16"/>
      <w:bookmarkEnd w:id="163"/>
      <w:r>
        <w:t xml:space="preserve">16. NASA,</w:t>
      </w:r>
      <w:r>
        <w:t xml:space="preserve"> </w:t>
      </w:r>
      <w:r>
        <w:t xml:space="preserve">“International Space Station Daily Status Reports and Pre-Determined Debris Avoidance Maneuver Records,”</w:t>
      </w:r>
      <w:r>
        <w:t xml:space="preserve"> </w:t>
      </w:r>
      <w:r>
        <w:t xml:space="preserve">2020-2023.</w:t>
      </w:r>
    </w:p>
    <w:p>
      <w:pPr>
        <w:pStyle w:val="BodyText"/>
        <w:spacing w:line="480" w:lineRule="auto"/>
        <w:ind w:firstLine="720"/>
      </w:pPr>
      <w:bookmarkStart w:id="164" w:name="ref-17"/>
      <w:bookmarkEnd w:id="164"/>
      <w:r>
        <w:t xml:space="preserve">17. European Space Agency,</w:t>
      </w:r>
      <w:r>
        <w:t xml:space="preserve"> </w:t>
      </w:r>
      <w:r>
        <w:t xml:space="preserve">“Aeolus Maneuver Notice and Sentinel Conjunction Operations Logs,”</w:t>
      </w:r>
      <w:r>
        <w:t xml:space="preserve"> </w:t>
      </w:r>
      <w:r>
        <w:t xml:space="preserve">2015-2019.</w:t>
      </w:r>
    </w:p>
    <w:p>
      <w:pPr>
        <w:pStyle w:val="BodyText"/>
        <w:spacing w:line="480" w:lineRule="auto"/>
        <w:ind w:firstLine="720"/>
      </w:pPr>
      <w:bookmarkStart w:id="165" w:name="ref-18"/>
      <w:bookmarkEnd w:id="165"/>
      <w:r>
        <w:t xml:space="preserve">18. Edward Gregson, Dalhousie University; Mae Seto, Dalhousie University; Bumsoo Kim, Defence R&amp;D Canada. Autonomy Testbed Development for Satellite Debris Avoidance (2018).</w:t>
      </w:r>
    </w:p>
    <w:p>
      <w:pPr>
        <w:pStyle w:val="BodyText"/>
        <w:spacing w:line="480" w:lineRule="auto"/>
        <w:ind w:firstLine="720"/>
      </w:pPr>
      <w:bookmarkStart w:id="166" w:name="ref-19"/>
      <w:bookmarkEnd w:id="166"/>
      <w:r>
        <w:t xml:space="preserve">19.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w:t>
      </w:r>
    </w:p>
    <w:p>
      <w:pPr>
        <w:pStyle w:val="BodyText"/>
        <w:spacing w:line="480" w:lineRule="auto"/>
        <w:ind w:firstLine="720"/>
      </w:pPr>
      <w:bookmarkStart w:id="167" w:name="ref-20"/>
      <w:bookmarkEnd w:id="167"/>
      <w:r>
        <w:t xml:space="preserve">20. Atilla Saadat, Turion Space Corporation; Vince Chen, Turion Space Corporation; James Austin, Turion Space Corporation. End-to-End Autonomous Mission Planning and Spacecraft Attitude Optimization for Resident Space Object Imaging (2025). doi:</w:t>
      </w:r>
      <w:r>
        <w:t xml:space="preserve"> </w:t>
      </w:r>
      <w:hyperlink r:id="rId168">
        <w:r>
          <w:rPr>
            <w:rStyle w:val="Hyperlink"/>
          </w:rPr>
          <w:t xml:space="preserve">10.64861/TLLP2048</w:t>
        </w:r>
      </w:hyperlink>
    </w:p>
    <w:p>
      <w:pPr>
        <w:pStyle w:val="BodyText"/>
        <w:spacing w:line="480" w:lineRule="auto"/>
        <w:ind w:firstLine="720"/>
      </w:pPr>
      <w:bookmarkStart w:id="169" w:name="ref-21"/>
      <w:bookmarkEnd w:id="169"/>
      <w:r>
        <w:t xml:space="preserve">21. Daniel Huterer Prats, University of Colorado Boulder; Hanspeter Schaub, University of Colorado Boulder; Chris Wheeler, Interactive Aptitude. Reinforcement Learning for Space-to-Space Surveillance: Autonomous Scheduling for Resident Space Object Imaging (2025). doi:</w:t>
      </w:r>
      <w:r>
        <w:t xml:space="preserve"> </w:t>
      </w:r>
      <w:hyperlink r:id="rId161">
        <w:r>
          <w:rPr>
            <w:rStyle w:val="Hyperlink"/>
          </w:rPr>
          <w:t xml:space="preserve">10.64861/DDFP2152</w:t>
        </w:r>
      </w:hyperlink>
    </w:p>
    <w:p>
      <w:pPr>
        <w:pStyle w:val="BodyText"/>
        <w:spacing w:line="480" w:lineRule="auto"/>
        <w:ind w:firstLine="720"/>
      </w:pPr>
      <w:bookmarkStart w:id="170" w:name="ref-22"/>
      <w:bookmarkEnd w:id="170"/>
      <w:r>
        <w:t xml:space="preserve">22. Lorraine Weis, L3 Harris; Islam Hussein, L3 Harris. Orbit Design of an Autonomous Space-Based SSA Swarm: Distributed Deep Learning at the Edge (2019).</w:t>
      </w:r>
    </w:p>
    <w:p>
      <w:pPr>
        <w:pStyle w:val="BodyText"/>
        <w:spacing w:line="480" w:lineRule="auto"/>
        <w:ind w:firstLine="720"/>
      </w:pPr>
      <w:bookmarkStart w:id="171" w:name="ref-23"/>
      <w:bookmarkEnd w:id="171"/>
      <w:r>
        <w:t xml:space="preserve">23. Richard Stottler, Stottler Henke Associates, Inc.; Sowmya Ramachandran, Stottler Henke Associates, Inc.; Christian Belardi, Stottler Henke Associates, Inc.; Rocky Mandayam, Stottler Henke Associates, Inc.. On-board, Autonomous, Hybrid Spacecraft Subsystem Fault and Anomaly Detection, Diagnosis, and Recovery (2020).</w:t>
      </w:r>
    </w:p>
    <w:p>
      <w:pPr>
        <w:pStyle w:val="BodyText"/>
        <w:spacing w:line="480" w:lineRule="auto"/>
        <w:ind w:firstLine="720"/>
      </w:pPr>
      <w:bookmarkStart w:id="172" w:name="ref-24"/>
      <w:bookmarkEnd w:id="172"/>
      <w:r>
        <w:t xml:space="preserve">24. Brian McReynolds, Institute of Neuroinformatics; Rui Graca, Institute of Neuroinformatics; Rachel Oliver, Cornell University; Masashi Nishiguchi, Purdue University; Tobi Delbruck, Sensor’s Group, Institute of Neuroinformatics, UZH/ETH Zurich. Demystifying Event-based Sensor Biasing to Optimize Signal to Noise for Space Domain Awareness (2023). doi:</w:t>
      </w:r>
      <w:r>
        <w:t xml:space="preserve"> </w:t>
      </w:r>
      <w:hyperlink r:id="rId173">
        <w:r>
          <w:rPr>
            <w:rStyle w:val="Hyperlink"/>
          </w:rPr>
          <w:t xml:space="preserve">10.64861/WSIA2186</w:t>
        </w:r>
      </w:hyperlink>
    </w:p>
    <w:p>
      <w:pPr>
        <w:pStyle w:val="BodyText"/>
        <w:spacing w:line="480" w:lineRule="auto"/>
        <w:ind w:firstLine="720"/>
      </w:pPr>
      <w:bookmarkStart w:id="174" w:name="ref-25"/>
      <w:bookmarkEnd w:id="174"/>
      <w:r>
        <w:t xml:space="preserve">25. Ruth Stilwell, Aerospace Policy Solutions, LLC; Kyle Quakenbush, MITRE; John Giles, Space Domain Strategies; Nathaniel Dailey, MITRE &amp; Space Force Association. Human Factors in Space Operators-Leveraging Aviation Safety Frameworks for Enhanced Orbital Domain Resilience (2025). doi:</w:t>
      </w:r>
      <w:r>
        <w:t xml:space="preserve"> </w:t>
      </w:r>
      <w:hyperlink r:id="rId175">
        <w:r>
          <w:rPr>
            <w:rStyle w:val="Hyperlink"/>
          </w:rPr>
          <w:t xml:space="preserve">10.64861/JSGC2795</w:t>
        </w:r>
      </w:hyperlink>
    </w:p>
    <w:p>
      <w:pPr>
        <w:pStyle w:val="BodyText"/>
        <w:spacing w:line="480" w:lineRule="auto"/>
        <w:ind w:firstLine="720"/>
      </w:pPr>
      <w:bookmarkStart w:id="176" w:name="ref-26"/>
      <w:bookmarkEnd w:id="176"/>
      <w:r>
        <w:t xml:space="preserve">26. Hendrik Kolvenbach; Anna Mittelholz; Simon C. Stähler; Philip Arm; Valentin Bickel; Adrian Fuhrer; Jorge Jódar; Ramon Margarit; Joseph Church; Elena Krasnova; Krzysztof Walas; Matthias Grott; Svein‐Erik Hamran; Özgür Karatekin; Miguel Olivares-Mendez; Sofía Coloma; Marco Pagnamenta; Michał Gumiela; Jordan Aaron; Marco Hutter. LunarLeaper—A mission concept to explore the lunar subsurface with a small-scale legged robot (2025). doi:</w:t>
      </w:r>
      <w:r>
        <w:t xml:space="preserve"> </w:t>
      </w:r>
      <w:hyperlink r:id="rId177">
        <w:r>
          <w:rPr>
            <w:rStyle w:val="Hyperlink"/>
          </w:rPr>
          <w:t xml:space="preserve">10.1016/j.actaastro.2025.11.039</w:t>
        </w:r>
      </w:hyperlink>
    </w:p>
    <w:p>
      <w:pPr>
        <w:pStyle w:val="BodyText"/>
        <w:spacing w:line="480" w:lineRule="auto"/>
        <w:ind w:firstLine="720"/>
      </w:pPr>
      <w:bookmarkStart w:id="178" w:name="ref-27"/>
      <w:bookmarkEnd w:id="178"/>
      <w:r>
        <w:t xml:space="preserve">27. T. Saito; Toshinori Kuwahara; Alperen Pala; Yasuyuki Miyazaki; Tetsuya Kaneko. FEM dynamic simulation technique for membrane structure deployment and model evaluation (2024). doi:</w:t>
      </w:r>
      <w:r>
        <w:t xml:space="preserve"> </w:t>
      </w:r>
      <w:hyperlink r:id="rId179">
        <w:r>
          <w:rPr>
            <w:rStyle w:val="Hyperlink"/>
          </w:rPr>
          <w:t xml:space="preserve">10.1016/j.actaastro.2024.01.043</w:t>
        </w:r>
      </w:hyperlink>
    </w:p>
    <w:p>
      <w:pPr>
        <w:pStyle w:val="BodyText"/>
        <w:spacing w:line="480" w:lineRule="auto"/>
        <w:ind w:firstLine="720"/>
      </w:pPr>
      <w:bookmarkStart w:id="180" w:name="ref-28"/>
      <w:bookmarkEnd w:id="180"/>
      <w:r>
        <w:t xml:space="preserve">28. Michael Ibrahim; Samuel P. Eshima; Nagi Gebraeel; James Nabity; Stephen K. Robinson. A generative machine learning framework for anomaly response in cyclical processes in the ECLSS on a deep space habitat (2025). doi:</w:t>
      </w:r>
      <w:r>
        <w:t xml:space="preserve"> </w:t>
      </w:r>
      <w:hyperlink r:id="rId181">
        <w:r>
          <w:rPr>
            <w:rStyle w:val="Hyperlink"/>
          </w:rPr>
          <w:t xml:space="preserve">10.1016/j.actaastro.2025.09.088</w:t>
        </w:r>
      </w:hyperlink>
    </w:p>
    <w:p>
      <w:pPr>
        <w:pStyle w:val="BodyText"/>
        <w:spacing w:line="480" w:lineRule="auto"/>
        <w:ind w:firstLine="720"/>
      </w:pPr>
      <w:bookmarkStart w:id="182" w:name="ref-29"/>
      <w:bookmarkEnd w:id="182"/>
      <w:r>
        <w:t xml:space="preserve">29. Erdem Turan; Stefano Speretta; Eberhard Gill. Autonomous navigation for deep space small satellites: Scientific and technological advances (2022). doi:</w:t>
      </w:r>
      <w:r>
        <w:t xml:space="preserve"> </w:t>
      </w:r>
      <w:hyperlink r:id="rId183">
        <w:r>
          <w:rPr>
            <w:rStyle w:val="Hyperlink"/>
          </w:rPr>
          <w:t xml:space="preserve">10.1016/j.actaastro.2021.12.030</w:t>
        </w:r>
      </w:hyperlink>
    </w:p>
    <w:p>
      <w:pPr>
        <w:pStyle w:val="BodyText"/>
        <w:spacing w:line="480" w:lineRule="auto"/>
        <w:ind w:firstLine="720"/>
      </w:pPr>
      <w:bookmarkStart w:id="184" w:name="ref-30"/>
      <w:bookmarkEnd w:id="184"/>
      <w:r>
        <w:t xml:space="preserve">30. Shanmurugan Selvamurgan; E. Glenn Lightsey; Koki Ho. Time-optimal trajectory design of distributed space systems for in-space transportation in Earth Orbit (2026). doi:</w:t>
      </w:r>
      <w:r>
        <w:t xml:space="preserve"> </w:t>
      </w:r>
      <w:hyperlink r:id="rId185">
        <w:r>
          <w:rPr>
            <w:rStyle w:val="Hyperlink"/>
          </w:rPr>
          <w:t xml:space="preserve">10.1016/j.actaastro.2026.05.056</w:t>
        </w:r>
      </w:hyperlink>
    </w:p>
    <w:p>
      <w:pPr>
        <w:pStyle w:val="BodyText"/>
        <w:spacing w:line="480" w:lineRule="auto"/>
        <w:ind w:firstLine="720"/>
      </w:pPr>
      <w:bookmarkStart w:id="186" w:name="ref-31"/>
      <w:bookmarkEnd w:id="186"/>
      <w:r>
        <w:t xml:space="preserve">31. Christiane Heinicke; Lucie Poulet; Jocelyn Dunn; Anne J. Meier. Crew self-organization and group-living habits during three autonomous, long-duration Mars analog missions (2021). doi:</w:t>
      </w:r>
      <w:r>
        <w:t xml:space="preserve"> </w:t>
      </w:r>
      <w:hyperlink r:id="rId187">
        <w:r>
          <w:rPr>
            <w:rStyle w:val="Hyperlink"/>
          </w:rPr>
          <w:t xml:space="preserve">10.1016/j.actaastro.2021.01.049</w:t>
        </w:r>
      </w:hyperlink>
    </w:p>
    <w:p>
      <w:pPr>
        <w:pStyle w:val="BodyText"/>
        <w:spacing w:line="480" w:lineRule="auto"/>
        <w:ind w:firstLine="720"/>
      </w:pPr>
      <w:bookmarkStart w:id="188" w:name="ref-32"/>
      <w:bookmarkEnd w:id="188"/>
      <w:r>
        <w:t xml:space="preserve">32.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40">
        <w:r>
          <w:rPr>
            <w:rStyle w:val="Hyperlink"/>
          </w:rPr>
          <w:t xml:space="preserve">10.1016/j.actaastro.2025.10.018</w:t>
        </w:r>
      </w:hyperlink>
    </w:p>
    <w:p>
      <w:pPr>
        <w:pStyle w:val="BodyText"/>
        <w:spacing w:line="480" w:lineRule="auto"/>
        <w:ind w:firstLine="720"/>
      </w:pPr>
      <w:bookmarkStart w:id="189" w:name="ref-33"/>
      <w:bookmarkEnd w:id="189"/>
      <w:r>
        <w:t xml:space="preserve">33. Benjamin Reimeir; Sara Maach; Anna Wargel; Franziska Riedl; Deepasree Bangaru-Raju; Robert Eberle; Gernot Groemer; Peter Federolf. Adaptive, empirical models from analog EVA telemetry for traverse pacing and physiological response prediction in astronauts (2025). doi:</w:t>
      </w:r>
      <w:r>
        <w:t xml:space="preserve"> </w:t>
      </w:r>
      <w:hyperlink r:id="rId190">
        <w:r>
          <w:rPr>
            <w:rStyle w:val="Hyperlink"/>
          </w:rPr>
          <w:t xml:space="preserve">10.1016/j.actaastro.2025.10.072</w:t>
        </w:r>
      </w:hyperlink>
    </w:p>
    <w:bookmarkEnd w:id="191"/>
    <w:bookmarkEnd w:id="192"/>
    <w:bookmarkStart w:id="20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0" w:name="X1c2d48ea2ef60e97c9291f79db58b93ef28a349"/>
    <w:p>
      <w:pPr>
        <w:pStyle w:val="Heading2"/>
        <w:spacing w:line="480" w:lineRule="auto"/>
      </w:pPr>
      <w:r>
        <w:t xml:space="preserve">A.1 Autonomy and Time-to-Recovery of On-Orbit Anomalies: A Cox Proportional-Hazards Analysis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rPr>
                  <m:sty m:val="p"/>
                </m:rPr>
                <m:t>A</m:t>
              </m:r>
              <m:r>
                <m:rPr>
                  <m:sty m:val="p"/>
                </m:rPr>
                <m:t>u</m:t>
              </m:r>
              <m:r>
                <m:rPr>
                  <m:sty m:val="p"/>
                </m:rPr>
                <m:t>t</m:t>
              </m:r>
              <m:r>
                <m:rPr>
                  <m:sty m:val="p"/>
                </m:rPr>
                <m:t>o</m:t>
              </m:r>
              <m:r>
                <m:rPr>
                  <m:sty m:val="p"/>
                </m:rPr>
                <m:t>n</m:t>
              </m:r>
              <m:r>
                <m:rPr>
                  <m:sty m:val="p"/>
                </m:rPr>
                <m:t>o</m:t>
              </m:r>
              <m:r>
                <m:rPr>
                  <m:sty m:val="p"/>
                </m:rPr>
                <m:t>m</m:t>
              </m:r>
              <m:r>
                <m:rPr>
                  <m:sty m:val="p"/>
                </m:rPr>
                <m:t>y</m:t>
              </m:r>
            </m:e>
            <m:sub>
              <m:r>
                <m:t>i</m:t>
              </m:r>
            </m:sub>
          </m:sSub>
          <m:r>
            <m:rPr>
              <m:sty m:val="p"/>
            </m:rPr>
            <m:t>+</m:t>
          </m:r>
          <m:sSub>
            <m:e>
              <m:r>
                <m:t>β</m:t>
              </m:r>
            </m:e>
            <m:sub>
              <m:r>
                <m:t>2</m:t>
              </m:r>
            </m:sub>
          </m:sSub>
          <m:sSub>
            <m:e>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e>
            <m:sub>
              <m:r>
                <m:t>i</m:t>
              </m:r>
            </m:sub>
          </m:sSub>
          <m:r>
            <m:rPr>
              <m:sty m:val="p"/>
            </m:rPr>
            <m:t>+</m:t>
          </m:r>
          <m:sSub>
            <m:e>
              <m:r>
                <m:t>β</m:t>
              </m:r>
            </m:e>
            <m:sub>
              <m:r>
                <m:t>3</m:t>
              </m:r>
            </m:sub>
          </m:sSub>
          <m:sSub>
            <m:e>
              <m:r>
                <m:rPr>
                  <m:sty m:val="p"/>
                </m:rPr>
                <m:t>G</m:t>
              </m:r>
              <m:r>
                <m:rPr>
                  <m:sty m:val="p"/>
                </m:rPr>
                <m:t>r</m:t>
              </m:r>
              <m:r>
                <m:rPr>
                  <m:sty m:val="p"/>
                </m:rPr>
                <m:t>o</m:t>
              </m:r>
              <m:r>
                <m:rPr>
                  <m:sty m:val="p"/>
                </m:rPr>
                <m:t>u</m:t>
              </m:r>
              <m:r>
                <m:rPr>
                  <m:sty m:val="p"/>
                </m:rPr>
                <m:t>n</m:t>
              </m:r>
              <m:r>
                <m:rPr>
                  <m:sty m:val="p"/>
                </m:rPr>
                <m:t>d</m:t>
              </m:r>
              <m:r>
                <m:rPr>
                  <m:sty m:val="p"/>
                </m:rPr>
                <m:t>G</m:t>
              </m:r>
              <m:r>
                <m:rPr>
                  <m:sty m:val="p"/>
                </m:rPr>
                <m:t>a</m:t>
              </m:r>
              <m:r>
                <m:rPr>
                  <m:sty m:val="p"/>
                </m:rPr>
                <m:t>p</m:t>
              </m:r>
            </m:e>
            <m:sub>
              <m:r>
                <m:t>i</m:t>
              </m:r>
            </m:sub>
          </m:sSub>
          <m:r>
            <m:rPr>
              <m:sty m:val="p"/>
            </m:rPr>
            <m:t>)</m:t>
          </m:r>
        </m:oMath>
      </m:oMathPara>
    </w:p>
    <w:bookmarkStart w:id="19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0.9141</w:t>
            </w:r>
          </w:p>
        </w:tc>
        <w:tc>
          <w:tcPr>
            <w:tcW w:w="0" w:type="auto"/>
          </w:tcPr>
          <w:p>
            <w:pPr>
              <w:spacing w:line="240" w:lineRule="auto" w:before="0" w:after="0"/>
              <w:pStyle w:val="Compact"/>
            </w:pPr>
            <w:r>
              <w:rPr>
                <w:sz w:val="20"/>
                <w:szCs w:val="20"/>
              </w:rPr>
              <w:t xml:space="preserve">0.3471</w:t>
            </w:r>
          </w:p>
        </w:tc>
        <w:tc>
          <w:tcPr>
            <w:tcW w:w="0" w:type="auto"/>
          </w:tcPr>
          <w:p>
            <w:pPr>
              <w:spacing w:line="240" w:lineRule="auto" w:before="0" w:after="0"/>
              <w:pStyle w:val="Compact"/>
            </w:pPr>
            <w:r>
              <w:rPr>
                <w:sz w:val="20"/>
                <w:szCs w:val="20"/>
              </w:rPr>
              <w:t xml:space="preserve">2.6337</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[0.2338, 1.5943]</w:t>
            </w:r>
          </w:p>
        </w:tc>
        <w:tc>
          <w:tcPr>
            <w:tcW w:w="0" w:type="auto"/>
          </w:tcPr>
          <w:p>
            <w:pPr>
              <w:spacing w:line="240" w:lineRule="auto" w:before="0" w:after="0"/>
              <w:pStyle w:val="Compact"/>
            </w:pPr>
            <w:r>
              <w:rPr>
                <w:sz w:val="20"/>
                <w:szCs w:val="20"/>
              </w:rPr>
              <w:t xml:space="preserve">2.4945</w:t>
            </w:r>
          </w:p>
        </w:tc>
      </w:tr>
      <w:tr>
        <w:tc>
          <w:tcPr>
            <w:tcW w:w="0" w:type="auto"/>
          </w:tcPr>
          <w:p>
            <w:pPr>
              <w:spacing w:line="240" w:lineRule="auto" w:before="0" w:after="0"/>
              <w:pStyle w:val="Compact"/>
            </w:pPr>
            <w:r>
              <w:rPr>
                <w:sz w:val="20"/>
                <w:szCs w:val="20"/>
              </w:rPr>
              <w:t xml:space="preserve">subsystem_complexity</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0.3116</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0.9767</w:t>
            </w:r>
          </w:p>
        </w:tc>
        <w:tc>
          <w:tcPr>
            <w:tcW w:w="0" w:type="auto"/>
          </w:tcPr>
          <w:p>
            <w:pPr>
              <w:spacing w:line="240" w:lineRule="auto" w:before="0" w:after="0"/>
              <w:pStyle w:val="Compact"/>
            </w:pPr>
            <w:r>
              <w:rPr>
                <w:sz w:val="20"/>
                <w:szCs w:val="20"/>
              </w:rPr>
              <w:t xml:space="preserve">[-0.6017, 0.6199]</w:t>
            </w:r>
          </w:p>
        </w:tc>
        <w:tc>
          <w:tcPr>
            <w:tcW w:w="0" w:type="auto"/>
          </w:tcPr>
          <w:p>
            <w:pPr>
              <w:spacing w:line="240" w:lineRule="auto" w:before="0" w:after="0"/>
              <w:pStyle w:val="Compact"/>
            </w:pPr>
            <w:r>
              <w:rPr>
                <w:sz w:val="20"/>
                <w:szCs w:val="20"/>
              </w:rPr>
              <w:t xml:space="preserve">1.0091</w:t>
            </w:r>
          </w:p>
        </w:tc>
      </w:tr>
      <w:tr>
        <w:tc>
          <w:tcPr>
            <w:tcW w:w="0" w:type="auto"/>
          </w:tcPr>
          <w:p>
            <w:pPr>
              <w:spacing w:line="240" w:lineRule="auto" w:before="0" w:after="0"/>
              <w:pStyle w:val="Compact"/>
            </w:pPr>
            <w:r>
              <w:rPr>
                <w:sz w:val="20"/>
                <w:szCs w:val="20"/>
              </w:rPr>
              <w:t xml:space="preserve">ground_contact_gap_hours</w:t>
            </w:r>
          </w:p>
        </w:tc>
        <w:tc>
          <w:tcPr>
            <w:tcW w:w="0" w:type="auto"/>
          </w:tcPr>
          <w:p>
            <w:pPr>
              <w:spacing w:line="240" w:lineRule="auto" w:before="0" w:after="0"/>
              <w:pStyle w:val="Compact"/>
            </w:pPr>
            <w:r>
              <w:rPr>
                <w:sz w:val="20"/>
                <w:szCs w:val="20"/>
              </w:rPr>
              <w:t xml:space="preserve">-0.0635</w:t>
            </w:r>
          </w:p>
        </w:tc>
        <w:tc>
          <w:tcPr>
            <w:tcW w:w="0" w:type="auto"/>
          </w:tcPr>
          <w:p>
            <w:pPr>
              <w:spacing w:line="240" w:lineRule="auto" w:before="0" w:after="0"/>
              <w:pStyle w:val="Compact"/>
            </w:pPr>
            <w:r>
              <w:rPr>
                <w:sz w:val="20"/>
                <w:szCs w:val="20"/>
              </w:rPr>
              <w:t xml:space="preserve">0.0481</w:t>
            </w:r>
          </w:p>
        </w:tc>
        <w:tc>
          <w:tcPr>
            <w:tcW w:w="0" w:type="auto"/>
          </w:tcPr>
          <w:p>
            <w:pPr>
              <w:spacing w:line="240" w:lineRule="auto" w:before="0" w:after="0"/>
              <w:pStyle w:val="Compact"/>
            </w:pPr>
            <w:r>
              <w:rPr>
                <w:sz w:val="20"/>
                <w:szCs w:val="20"/>
              </w:rPr>
              <w:t xml:space="preserve">-1.3186</w:t>
            </w:r>
          </w:p>
        </w:tc>
        <w:tc>
          <w:tcPr>
            <w:tcW w:w="0" w:type="auto"/>
          </w:tcPr>
          <w:p>
            <w:pPr>
              <w:spacing w:line="240" w:lineRule="auto" w:before="0" w:after="0"/>
              <w:pStyle w:val="Compact"/>
            </w:pPr>
            <w:r>
              <w:rPr>
                <w:sz w:val="20"/>
                <w:szCs w:val="20"/>
              </w:rPr>
              <w:t xml:space="preserve">0.1873</w:t>
            </w:r>
          </w:p>
        </w:tc>
        <w:tc>
          <w:tcPr>
            <w:tcW w:w="0" w:type="auto"/>
          </w:tcPr>
          <w:p>
            <w:pPr>
              <w:spacing w:line="240" w:lineRule="auto" w:before="0" w:after="0"/>
              <w:pStyle w:val="Compact"/>
            </w:pPr>
            <w:r>
              <w:rPr>
                <w:sz w:val="20"/>
                <w:szCs w:val="20"/>
              </w:rPr>
              <w:t xml:space="preserve">[-0.1578, 0.0309]</w:t>
            </w:r>
          </w:p>
        </w:tc>
        <w:tc>
          <w:tcPr>
            <w:tcW w:w="0" w:type="auto"/>
          </w:tcPr>
          <w:p>
            <w:pPr>
              <w:spacing w:line="240" w:lineRule="auto" w:before="0" w:after="0"/>
              <w:pStyle w:val="Compact"/>
            </w:pPr>
            <w:r>
              <w:rPr>
                <w:sz w:val="20"/>
                <w:szCs w:val="20"/>
              </w:rPr>
              <w:t xml:space="preserve">0.9385</w:t>
            </w:r>
          </w:p>
        </w:tc>
      </w:tr>
    </w:tbl>
    <w:p>
      <w:pPr>
        <w:pStyle w:val="BodyText"/>
        <w:spacing w:line="480" w:lineRule="auto"/>
        <w:ind w:firstLine="720"/>
      </w:pPr>
      <w:r>
        <w:t xml:space="preserve">Fit: N = 35 events = 31</w:t>
      </w:r>
    </w:p>
    <w:bookmarkEnd w:id="193"/>
    <w:bookmarkStart w:id="19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ime-to-recovery of on-orbit anomalies by onboard autonomy level across 35 documented mission events." title="" id="195" name="Picture"/>
            <a:graphic>
              <a:graphicData uri="http://schemas.openxmlformats.org/drawingml/2006/picture">
                <pic:pic>
                  <pic:nvPicPr>
                    <pic:cNvPr descr="D:/Claude_Code/brain/collegium/candidates/dissertations/CYBER_AI_09/research_papers/p1/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Time-to-recovery of on-orbit anomalies by onboard autonomy level across 35 documented mission events.</w:t>
      </w:r>
    </w:p>
    <w:bookmarkEnd w:id="197"/>
    <w:bookmarkStart w:id="19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anomaly_class</w:t>
            </w:r>
          </w:p>
        </w:tc>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subsystem_complexity</w:t>
            </w:r>
          </w:p>
        </w:tc>
        <w:tc>
          <w:tcPr>
            <w:tcW w:w="0" w:type="auto"/>
          </w:tcPr>
          <w:p>
            <w:pPr>
              <w:spacing w:line="240" w:lineRule="auto" w:before="0" w:after="0"/>
              <w:pStyle w:val="Compact"/>
            </w:pPr>
            <w:r>
              <w:rPr>
                <w:sz w:val="20"/>
                <w:szCs w:val="20"/>
              </w:rPr>
              <w:t xml:space="preserve">ground_contact_gap_hours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Rayman 2020 Acta Astro 10.1016/j.actaastro.2020.06.023</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Rayman 2020 Acta Astro 10.1016/j.actaastro.2020.06.023</w:t>
            </w:r>
          </w:p>
        </w:tc>
      </w:tr>
      <w:tr>
        <w:tc>
          <w:tcPr>
            <w:tcW w:w="0" w:type="auto"/>
          </w:tcPr>
          <w:p>
            <w:pPr>
              <w:spacing w:line="240" w:lineRule="auto" w:before="0" w:after="0"/>
              <w:pStyle w:val="Compact"/>
            </w:pPr>
            <w:r>
              <w:rPr>
                <w:sz w:val="20"/>
                <w:szCs w:val="20"/>
              </w:rPr>
              <w:t xml:space="preserve">DeepSpace1</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star_tracker</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Rayman 2020 Acta Astro 10.1016/j.actaastro.2020.06.023</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GAO-14-338 Major Projects 2014</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SIC_DH</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GSFC Hubble Status Report 2008 [illustrative duration]</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gyro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Hubble Anomaly Report Oct 2018</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payload_computer</w:t>
            </w:r>
          </w:p>
        </w:tc>
        <w:tc>
          <w:tcPr>
            <w:tcW w:w="0" w:type="auto"/>
          </w:tcPr>
          <w:p>
            <w:pPr>
              <w:spacing w:line="240" w:lineRule="auto" w:before="0" w:after="0"/>
              <w:pStyle w:val="Compact"/>
            </w:pPr>
            <w:r>
              <w:rPr>
                <w:sz w:val="20"/>
                <w:szCs w:val="20"/>
              </w:rPr>
              <w:t xml:space="preserve">408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Hubble Payload Computer Anomaly June 2021</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MIRI_wheel</w:t>
            </w:r>
          </w:p>
        </w:tc>
        <w:tc>
          <w:tcPr>
            <w:tcW w:w="0" w:type="auto"/>
          </w:tcPr>
          <w:p>
            <w:pPr>
              <w:spacing w:line="240" w:lineRule="auto" w:before="0" w:after="0"/>
              <w:pStyle w:val="Compact"/>
            </w:pPr>
            <w:r>
              <w:rPr>
                <w:sz w:val="20"/>
                <w:szCs w:val="20"/>
              </w:rPr>
              <w:t xml:space="preserve">2160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JWST MIRI Anomaly Aug-Nov 2022</w:t>
            </w:r>
          </w:p>
        </w:tc>
      </w:tr>
      <w:tr>
        <w:tc>
          <w:tcPr>
            <w:tcW w:w="0" w:type="auto"/>
          </w:tcPr>
          <w:p>
            <w:pPr>
              <w:spacing w:line="240" w:lineRule="auto" w:before="0" w:after="0"/>
              <w:pStyle w:val="Compact"/>
            </w:pPr>
            <w:r>
              <w:rPr>
                <w:sz w:val="20"/>
                <w:szCs w:val="20"/>
              </w:rPr>
              <w:t xml:space="preserve">Voyager1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AACS</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NASA JPL Voyager Status Dec 2023</w:t>
            </w:r>
          </w:p>
        </w:tc>
      </w:tr>
      <w:tr>
        <w:tc>
          <w:tcPr>
            <w:tcW w:w="0" w:type="auto"/>
          </w:tcPr>
          <w:p>
            <w:pPr>
              <w:spacing w:line="240" w:lineRule="auto" w:before="0" w:after="0"/>
              <w:pStyle w:val="Compact"/>
            </w:pPr>
            <w:r>
              <w:rPr>
                <w:sz w:val="20"/>
                <w:szCs w:val="20"/>
              </w:rPr>
              <w:t xml:space="preserve">Voyager1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FDS</w:t>
            </w:r>
          </w:p>
        </w:tc>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NASA JPL Voyager Mission Status May 2024</w:t>
            </w:r>
          </w:p>
        </w:tc>
      </w:tr>
      <w:tr>
        <w:tc>
          <w:tcPr>
            <w:tcW w:w="0" w:type="auto"/>
          </w:tcPr>
          <w:p>
            <w:pPr>
              <w:spacing w:line="240" w:lineRule="auto" w:before="0" w:after="0"/>
              <w:pStyle w:val="Compact"/>
            </w:pPr>
            <w:r>
              <w:rPr>
                <w:sz w:val="20"/>
                <w:szCs w:val="20"/>
              </w:rPr>
              <w:t xml:space="preserve">MarsExpress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solid_state_mem</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ESA Mars Express anomaly 2011 [illustrative]</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memory</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NASA MSL B-side anomaly Feb 2013</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memory</w:t>
            </w:r>
          </w:p>
        </w:tc>
        <w:tc>
          <w:tcPr>
            <w:tcW w:w="0" w:type="auto"/>
          </w:tcPr>
          <w:p>
            <w:pPr>
              <w:spacing w:line="240" w:lineRule="auto" w:before="0" w:after="0"/>
              <w:pStyle w:val="Compact"/>
            </w:pPr>
            <w:r>
              <w:rPr>
                <w:sz w:val="20"/>
                <w:szCs w:val="20"/>
              </w:rPr>
              <w:t xml:space="preserve">336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NASA MSL memory anomaly Sept 2018</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star_tracker</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OSIRIS-REx ops report 2018 [illustrative]</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Cassini Significant Events Nov 2010</w:t>
            </w:r>
          </w:p>
        </w:tc>
      </w:tr>
      <w:tr>
        <w:tc>
          <w:tcPr>
            <w:tcW w:w="0" w:type="auto"/>
          </w:tcPr>
          <w:p>
            <w:pPr>
              <w:spacing w:line="240" w:lineRule="auto" w:before="0" w:after="0"/>
              <w:pStyle w:val="Compact"/>
            </w:pPr>
            <w:r>
              <w:rPr>
                <w:sz w:val="20"/>
                <w:szCs w:val="20"/>
              </w:rPr>
              <w:t xml:space="preserve">NewHorizons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safe_mode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New Horizons July 4 2015 anomaly</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radiation</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LRO mission ops report 2014 [illustrative]</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laser_alt</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ICESat-2 anomaly 2020 [illustrative]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communications</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TESS Safe Mode Oct 2021</w:t>
            </w:r>
          </w:p>
        </w:tc>
      </w:tr>
      <w:tr>
        <w:tc>
          <w:tcPr>
            <w:tcW w:w="0" w:type="auto"/>
          </w:tcPr>
          <w:p>
            <w:pPr>
              <w:spacing w:line="240" w:lineRule="auto" w:before="0" w:after="0"/>
              <w:pStyle w:val="Compact"/>
            </w:pPr>
            <w:r>
              <w:rPr>
                <w:sz w:val="20"/>
                <w:szCs w:val="20"/>
              </w:rPr>
              <w:t xml:space="preserve">Parker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Parker Solar Probe Encounter 13 2022</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gyro</w:t>
            </w:r>
          </w:p>
        </w:tc>
        <w:tc>
          <w:tcPr>
            <w:tcW w:w="0" w:type="auto"/>
          </w:tcPr>
          <w:p>
            <w:pPr>
              <w:spacing w:line="240" w:lineRule="auto" w:before="0" w:after="0"/>
              <w:pStyle w:val="Compact"/>
            </w:pPr>
            <w:r>
              <w:rPr>
                <w:sz w:val="20"/>
                <w:szCs w:val="20"/>
              </w:rPr>
              <w:t xml:space="preserve">3024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SOHO Mission Interruption 1998</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safe_mode</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Juno PJ-2 Safe Mode Oct 2016</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memory</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Juno memory anomaly 2019 [illustrative]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IMU</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MAVEN IMU anomaly Feb 2022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solar_array</w:t>
            </w:r>
          </w:p>
        </w:tc>
        <w:tc>
          <w:tcPr>
            <w:tcW w:w="0" w:type="auto"/>
          </w:tcPr>
          <w:p>
            <w:pPr>
              <w:spacing w:line="240" w:lineRule="auto" w:before="0" w:after="0"/>
              <w:pStyle w:val="Compact"/>
            </w:pPr>
            <w:r>
              <w:rPr>
                <w:sz w:val="20"/>
                <w:szCs w:val="20"/>
              </w:rPr>
              <w:t xml:space="preserve">4380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Lucy Solar Array Update 2023</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thruster</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Psyche cold gas anomaly April 2024</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mole</w:t>
            </w:r>
          </w:p>
        </w:tc>
        <w:tc>
          <w:tcPr>
            <w:tcW w:w="0" w:type="auto"/>
          </w:tcPr>
          <w:p>
            <w:pPr>
              <w:spacing w:line="240" w:lineRule="auto" w:before="0" w:after="0"/>
              <w:pStyle w:val="Compact"/>
            </w:pPr>
            <w:r>
              <w:rPr>
                <w:sz w:val="20"/>
                <w:szCs w:val="20"/>
              </w:rPr>
              <w:t xml:space="preserve">8760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InSight HP3 Mole Status 2019-2021</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gyro</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Chandra Safe Mode Oct 2018</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Chandra Safe Mode Feb 2022</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Swift Reaction Wheel 2025 [illustrative]</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Gaia ops 2020 [illustrative]</w:t>
            </w:r>
          </w:p>
        </w:tc>
      </w:tr>
      <w:tr>
        <w:tc>
          <w:tcPr>
            <w:tcW w:w="0" w:type="auto"/>
          </w:tcPr>
          <w:p>
            <w:pPr>
              <w:spacing w:line="240" w:lineRule="auto" w:before="0" w:after="0"/>
              <w:pStyle w:val="Compact"/>
            </w:pPr>
            <w:r>
              <w:rPr>
                <w:sz w:val="20"/>
                <w:szCs w:val="20"/>
              </w:rPr>
              <w:t xml:space="preserve">LandsatThermal</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TIRS</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USGS Landsat 8 TIRS anomaly Nov 2015</w:t>
            </w:r>
          </w:p>
        </w:tc>
      </w:tr>
      <w:tr>
        <w:tc>
          <w:tcPr>
            <w:tcW w:w="0" w:type="auto"/>
          </w:tcPr>
          <w:p>
            <w:pPr>
              <w:spacing w:line="240" w:lineRule="auto" w:before="0" w:after="0"/>
              <w:pStyle w:val="Compact"/>
            </w:pPr>
            <w:r>
              <w:rPr>
                <w:sz w:val="20"/>
                <w:szCs w:val="20"/>
              </w:rPr>
              <w:t xml:space="preserve">GOES17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cooling</w:t>
            </w:r>
          </w:p>
        </w:tc>
        <w:tc>
          <w:tcPr>
            <w:tcW w:w="0" w:type="auto"/>
          </w:tcPr>
          <w:p>
            <w:pPr>
              <w:spacing w:line="240" w:lineRule="auto" w:before="0" w:after="0"/>
              <w:pStyle w:val="Compact"/>
            </w:pPr>
            <w:r>
              <w:rPr>
                <w:sz w:val="20"/>
                <w:szCs w:val="20"/>
              </w:rPr>
              <w:t xml:space="preserve">4320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 GOES-17 ABI Cooling Anomaly 2018</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cryogen</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WISE mission status 2010 [illustrative]</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HMI</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SDO HMI anomaly 2016 [illustrative]</w:t>
            </w:r>
          </w:p>
        </w:tc>
      </w:tr>
    </w:tbl>
    <w:bookmarkEnd w:id="198"/>
    <w:bookmarkStart w:id="19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Elapsed hours from anomaly detection to nominal recovery</w:t>
            </w:r>
          </w:p>
        </w:tc>
        <w:tc>
          <w:tcPr>
            <w:tcW w:w="0" w:type="auto"/>
          </w:tcPr>
          <w:p>
            <w:pPr>
              <w:spacing w:line="240" w:lineRule="auto" w:before="0" w:after="0"/>
              <w:pStyle w:val="Compact"/>
            </w:pPr>
            <w:r>
              <w:rPr>
                <w:sz w:val="20"/>
                <w:szCs w:val="20"/>
              </w:rPr>
              <w:t xml:space="preserve">Mission status reports (NASA/ESA/NOAA)</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anomaly resolved within observation window, 0 if right-censored</w:t>
            </w:r>
          </w:p>
        </w:tc>
        <w:tc>
          <w:tcPr>
            <w:tcW w:w="0" w:type="auto"/>
          </w:tcPr>
          <w:p>
            <w:pPr>
              <w:spacing w:line="240" w:lineRule="auto" w:before="0" w:after="0"/>
              <w:pStyle w:val="Compact"/>
            </w:pPr>
            <w:r>
              <w:rPr>
                <w:sz w:val="20"/>
                <w:szCs w:val="20"/>
              </w:rPr>
              <w:t xml:space="preserve">Mission status reports</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1-3 capturing onboard autonomous response capability (1=ground-loop, 2=safe-mode+rules, 3=onboard FDIR/autonomy)</w:t>
            </w:r>
          </w:p>
        </w:tc>
        <w:tc>
          <w:tcPr>
            <w:tcW w:w="0" w:type="auto"/>
          </w:tcPr>
          <w:p>
            <w:pPr>
              <w:spacing w:line="240" w:lineRule="auto" w:before="0" w:after="0"/>
              <w:pStyle w:val="Compact"/>
            </w:pPr>
            <w:r>
              <w:rPr>
                <w:sz w:val="20"/>
                <w:szCs w:val="20"/>
              </w:rPr>
              <w:t xml:space="preserve">Mission FDIR architecture documents</w:t>
            </w:r>
          </w:p>
        </w:tc>
      </w:tr>
      <w:tr>
        <w:tc>
          <w:tcPr>
            <w:tcW w:w="0" w:type="auto"/>
          </w:tcPr>
          <w:p>
            <w:pPr>
              <w:spacing w:line="240" w:lineRule="auto" w:before="0" w:after="0"/>
              <w:pStyle w:val="Compact"/>
            </w:pPr>
            <w:r>
              <w:rPr>
                <w:sz w:val="20"/>
                <w:szCs w:val="20"/>
              </w:rPr>
              <w:t xml:space="preserve">subsystem_complexity</w:t>
            </w:r>
          </w:p>
        </w:tc>
        <w:tc>
          <w:tcPr>
            <w:tcW w:w="0" w:type="auto"/>
          </w:tcPr>
          <w:p>
            <w:pPr>
              <w:spacing w:line="240" w:lineRule="auto" w:before="0" w:after="0"/>
              <w:pStyle w:val="Compact"/>
            </w:pPr>
            <w:r>
              <w:rPr>
                <w:sz w:val="20"/>
                <w:szCs w:val="20"/>
              </w:rPr>
              <w:t xml:space="preserve">Ordinal 3-5 for affected subsystem heritage and integration depth</w:t>
            </w:r>
          </w:p>
        </w:tc>
        <w:tc>
          <w:tcPr>
            <w:tcW w:w="0" w:type="auto"/>
          </w:tcPr>
          <w:p>
            <w:pPr>
              <w:spacing w:line="240" w:lineRule="auto" w:before="0" w:after="0"/>
              <w:pStyle w:val="Compact"/>
            </w:pPr>
            <w:r>
              <w:rPr>
                <w:sz w:val="20"/>
                <w:szCs w:val="20"/>
              </w:rPr>
              <w:t xml:space="preserve">Author coding from mission descriptions</w:t>
            </w:r>
          </w:p>
        </w:tc>
      </w:tr>
      <w:tr>
        <w:tc>
          <w:tcPr>
            <w:tcW w:w="0" w:type="auto"/>
          </w:tcPr>
          <w:p>
            <w:pPr>
              <w:spacing w:line="240" w:lineRule="auto" w:before="0" w:after="0"/>
              <w:pStyle w:val="Compact"/>
            </w:pPr>
            <w:r>
              <w:rPr>
                <w:sz w:val="20"/>
                <w:szCs w:val="20"/>
              </w:rPr>
              <w:t xml:space="preserve">ground_contact_gap_hours</w:t>
            </w:r>
          </w:p>
        </w:tc>
        <w:tc>
          <w:tcPr>
            <w:tcW w:w="0" w:type="auto"/>
          </w:tcPr>
          <w:p>
            <w:pPr>
              <w:spacing w:line="240" w:lineRule="auto" w:before="0" w:after="0"/>
              <w:pStyle w:val="Compact"/>
            </w:pPr>
            <w:r>
              <w:rPr>
                <w:sz w:val="20"/>
                <w:szCs w:val="20"/>
              </w:rPr>
              <w:t xml:space="preserve">Median hours between ground-station passes during anomaly window</w:t>
            </w:r>
          </w:p>
        </w:tc>
        <w:tc>
          <w:tcPr>
            <w:tcW w:w="0" w:type="auto"/>
          </w:tcPr>
          <w:p>
            <w:pPr>
              <w:spacing w:line="240" w:lineRule="auto" w:before="0" w:after="0"/>
              <w:pStyle w:val="Compact"/>
            </w:pPr>
            <w:r>
              <w:rPr>
                <w:sz w:val="20"/>
                <w:szCs w:val="20"/>
              </w:rPr>
              <w:t xml:space="preserve">Mission operations reports</w:t>
            </w:r>
          </w:p>
        </w:tc>
      </w:tr>
    </w:tbl>
    <w:bookmarkEnd w:id="199"/>
    <w:bookmarkEnd w:id="200"/>
    <w:bookmarkStart w:id="208" w:name="Xa1ca4d464805a71c8eef86f8cbc3ae8b0370a6a"/>
    <w:p>
      <w:pPr>
        <w:pStyle w:val="Heading2"/>
        <w:spacing w:line="480" w:lineRule="auto"/>
      </w:pPr>
      <w:r>
        <w:t xml:space="preserve">A.2 Autonomy and Operator Decision Latency in Collision-Avoidance Maneuvers: An OLS Analysis of Documented On-Orbit Events</w:t>
      </w:r>
    </w:p>
    <w:p>
      <w:pPr>
        <w:pStyle w:val="FirstParagraph"/>
        <w:spacing w:line="480" w:lineRule="auto"/>
      </w:pPr>
      <m:oMathPara>
        <m:oMathParaPr>
          <m:jc m:val="center"/>
        </m:oMathParaPr>
        <m:oMath>
          <m:sSub>
            <m:e>
              <m:r>
                <m:rPr>
                  <m:sty m:val="p"/>
                </m:rPr>
                <m:t>D</m:t>
              </m:r>
              <m:r>
                <m:rPr>
                  <m:sty m:val="p"/>
                </m:rPr>
                <m:t>e</m:t>
              </m:r>
              <m:r>
                <m:rPr>
                  <m:sty m:val="p"/>
                </m:rPr>
                <m:t>c</m:t>
              </m:r>
              <m:r>
                <m:rPr>
                  <m:sty m:val="p"/>
                </m:rPr>
                <m:t>i</m:t>
              </m:r>
              <m:r>
                <m:rPr>
                  <m:sty m:val="p"/>
                </m:rPr>
                <m:t>s</m:t>
              </m:r>
              <m:r>
                <m:rPr>
                  <m:sty m:val="p"/>
                </m:rPr>
                <m:t>i</m:t>
              </m:r>
              <m:r>
                <m:rPr>
                  <m:sty m:val="p"/>
                </m:rPr>
                <m:t>o</m:t>
              </m:r>
              <m:r>
                <m:rPr>
                  <m:sty m:val="p"/>
                </m:rPr>
                <m:t>n</m:t>
              </m:r>
              <m:r>
                <m:rPr>
                  <m:sty m:val="p"/>
                </m:rPr>
                <m:t>H</m:t>
              </m:r>
              <m:r>
                <m:rPr>
                  <m:sty m:val="p"/>
                </m:rPr>
                <m:t>o</m:t>
              </m:r>
              <m:r>
                <m:rPr>
                  <m:sty m:val="p"/>
                </m:rPr>
                <m:t>u</m:t>
              </m:r>
              <m:r>
                <m:rPr>
                  <m:sty m:val="p"/>
                </m:rPr>
                <m:t>r</m:t>
              </m:r>
              <m:r>
                <m:rPr>
                  <m:sty m:val="p"/>
                </m:rPr>
                <m:t>s</m:t>
              </m:r>
            </m:e>
            <m:sub>
              <m:r>
                <m:t>i</m:t>
              </m:r>
            </m:sub>
          </m:sSub>
          <m:r>
            <m:rPr>
              <m:sty m:val="p"/>
            </m:rPr>
            <m:t>=</m:t>
          </m:r>
          <m:sSub>
            <m:e>
              <m:r>
                <m:t>β</m:t>
              </m:r>
            </m:e>
            <m:sub>
              <m:r>
                <m:t>0</m:t>
              </m:r>
            </m:sub>
          </m:sSub>
          <m:r>
            <m:rPr>
              <m:sty m:val="p"/>
            </m:rPr>
            <m:t>+</m:t>
          </m:r>
          <m:sSub>
            <m:e>
              <m:r>
                <m:t>β</m:t>
              </m:r>
            </m:e>
            <m:sub>
              <m:r>
                <m:t>1</m:t>
              </m:r>
            </m:sub>
          </m:sSub>
          <m:sSub>
            <m:e>
              <m:r>
                <m:rPr>
                  <m:sty m:val="p"/>
                </m:rPr>
                <m:t>A</m:t>
              </m:r>
              <m:r>
                <m:rPr>
                  <m:sty m:val="p"/>
                </m:rPr>
                <m:t>u</m:t>
              </m:r>
              <m:r>
                <m:rPr>
                  <m:sty m:val="p"/>
                </m:rPr>
                <m:t>t</m:t>
              </m:r>
              <m:r>
                <m:rPr>
                  <m:sty m:val="p"/>
                </m:rPr>
                <m:t>o</m:t>
              </m:r>
              <m:r>
                <m:rPr>
                  <m:sty m:val="p"/>
                </m:rPr>
                <m:t>n</m:t>
              </m:r>
              <m:r>
                <m:rPr>
                  <m:sty m:val="p"/>
                </m:rPr>
                <m:t>o</m:t>
              </m:r>
              <m:r>
                <m:rPr>
                  <m:sty m:val="p"/>
                </m:rPr>
                <m:t>m</m:t>
              </m:r>
              <m:r>
                <m:rPr>
                  <m:sty m:val="p"/>
                </m:rPr>
                <m:t>y</m:t>
              </m:r>
            </m:e>
            <m:sub>
              <m:r>
                <m:t>i</m:t>
              </m:r>
            </m:sub>
          </m:sSub>
          <m:r>
            <m:rPr>
              <m:sty m:val="p"/>
            </m:rPr>
            <m:t>+</m:t>
          </m:r>
          <m:sSub>
            <m:e>
              <m:r>
                <m:t>β</m:t>
              </m:r>
            </m:e>
            <m:sub>
              <m:r>
                <m:t>2</m:t>
              </m:r>
            </m:sub>
          </m:sSub>
          <m:sSub>
            <m:e>
              <m:r>
                <m:rPr>
                  <m:sty m:val="p"/>
                </m:rPr>
                <m:t>W</m:t>
              </m:r>
              <m:r>
                <m:rPr>
                  <m:sty m:val="p"/>
                </m:rPr>
                <m:t>a</m:t>
              </m:r>
              <m:r>
                <m:rPr>
                  <m:sty m:val="p"/>
                </m:rPr>
                <m:t>r</m:t>
              </m:r>
              <m:r>
                <m:rPr>
                  <m:sty m:val="p"/>
                </m:rPr>
                <m:t>n</m:t>
              </m:r>
              <m:r>
                <m:rPr>
                  <m:sty m:val="p"/>
                </m:rPr>
                <m:t>i</m:t>
              </m:r>
              <m:r>
                <m:rPr>
                  <m:sty m:val="p"/>
                </m:rPr>
                <m:t>n</m:t>
              </m:r>
              <m:r>
                <m:rPr>
                  <m:sty m:val="p"/>
                </m:rPr>
                <m:t>g</m:t>
              </m:r>
            </m:e>
            <m:sub>
              <m:r>
                <m:t>i</m:t>
              </m:r>
            </m:sub>
          </m:sSub>
          <m:r>
            <m:rPr>
              <m:sty m:val="p"/>
            </m:rPr>
            <m:t>+</m:t>
          </m:r>
          <m:sSub>
            <m:e>
              <m:r>
                <m:t>β</m:t>
              </m:r>
            </m:e>
            <m:sub>
              <m:r>
                <m:t>3</m:t>
              </m:r>
            </m:sub>
          </m:sSub>
          <m:sSub>
            <m:e>
              <m:r>
                <m:rPr>
                  <m:sty m:val="p"/>
                </m:rPr>
                <m:t>P</m:t>
              </m:r>
              <m:r>
                <m:rPr>
                  <m:sty m:val="p"/>
                </m:rPr>
                <m:t>c</m:t>
              </m:r>
            </m:e>
            <m:sub>
              <m:r>
                <m:t>i</m:t>
              </m:r>
            </m:sub>
          </m:sSub>
          <m:r>
            <m:rPr>
              <m:sty m:val="p"/>
            </m:rPr>
            <m:t>+</m:t>
          </m:r>
          <m:sSub>
            <m:e>
              <m:r>
                <m:t>ε</m:t>
              </m:r>
            </m:e>
            <m:sub>
              <m:r>
                <m:t>i</m:t>
              </m:r>
            </m:sub>
          </m:sSub>
        </m:oMath>
      </m:oMathPara>
    </w:p>
    <w:bookmarkStart w:id="20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34.2606</w:t>
            </w:r>
          </w:p>
        </w:tc>
        <w:tc>
          <w:tcPr>
            <w:tcW w:w="0" w:type="auto"/>
          </w:tcPr>
          <w:p>
            <w:pPr>
              <w:spacing w:line="240" w:lineRule="auto" w:before="0" w:after="0"/>
              <w:pStyle w:val="Compact"/>
            </w:pPr>
            <w:r>
              <w:rPr>
                <w:sz w:val="20"/>
                <w:szCs w:val="20"/>
              </w:rPr>
              <w:t xml:space="preserve">16.6957</w:t>
            </w:r>
          </w:p>
        </w:tc>
        <w:tc>
          <w:tcPr>
            <w:tcW w:w="0" w:type="auto"/>
          </w:tcPr>
          <w:p>
            <w:pPr>
              <w:spacing w:line="240" w:lineRule="auto" w:before="0" w:after="0"/>
              <w:pStyle w:val="Compact"/>
            </w:pPr>
            <w:r>
              <w:rPr>
                <w:sz w:val="20"/>
                <w:szCs w:val="20"/>
              </w:rPr>
              <w:t xml:space="preserve">2.0521</w:t>
            </w:r>
          </w:p>
        </w:tc>
        <w:tc>
          <w:tcPr>
            <w:tcW w:w="0" w:type="auto"/>
          </w:tcPr>
          <w:p>
            <w:pPr>
              <w:spacing w:line="240" w:lineRule="auto" w:before="0" w:after="0"/>
              <w:pStyle w:val="Compact"/>
            </w:pPr>
            <w:r>
              <w:rPr>
                <w:sz w:val="20"/>
                <w:szCs w:val="20"/>
              </w:rPr>
              <w:t xml:space="preserve">0.0402</w:t>
            </w:r>
          </w:p>
        </w:tc>
        <w:tc>
          <w:tcPr>
            <w:tcW w:w="0" w:type="auto"/>
          </w:tcPr>
          <w:p>
            <w:pPr>
              <w:spacing w:line="240" w:lineRule="auto" w:before="0" w:after="0"/>
              <w:pStyle w:val="Compact"/>
            </w:pPr>
            <w:r>
              <w:rPr>
                <w:sz w:val="20"/>
                <w:szCs w:val="20"/>
              </w:rPr>
              <w:t xml:space="preserve">[1.5376, 66.9837]</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-9.1568</w:t>
            </w:r>
          </w:p>
        </w:tc>
        <w:tc>
          <w:tcPr>
            <w:tcW w:w="0" w:type="auto"/>
          </w:tcPr>
          <w:p>
            <w:pPr>
              <w:spacing w:line="240" w:lineRule="auto" w:before="0" w:after="0"/>
              <w:pStyle w:val="Compact"/>
            </w:pPr>
            <w:r>
              <w:rPr>
                <w:sz w:val="20"/>
                <w:szCs w:val="20"/>
              </w:rPr>
              <w:t xml:space="preserve">1.8386</w:t>
            </w:r>
          </w:p>
        </w:tc>
        <w:tc>
          <w:tcPr>
            <w:tcW w:w="0" w:type="auto"/>
          </w:tcPr>
          <w:p>
            <w:pPr>
              <w:spacing w:line="240" w:lineRule="auto" w:before="0" w:after="0"/>
              <w:pStyle w:val="Compact"/>
            </w:pPr>
            <w:r>
              <w:rPr>
                <w:sz w:val="20"/>
                <w:szCs w:val="20"/>
              </w:rPr>
              <w:t xml:space="preserve">-4.9803</w:t>
            </w:r>
          </w:p>
        </w:tc>
        <w:tc>
          <w:tcPr>
            <w:tcW w:w="0" w:type="auto"/>
          </w:tcPr>
          <w:p>
            <w:pPr>
              <w:spacing w:line="240" w:lineRule="auto" w:before="0" w:after="0"/>
              <w:pStyle w:val="Compact"/>
            </w:pPr>
            <w:r>
              <w:rPr>
                <w:sz w:val="20"/>
                <w:szCs w:val="20"/>
              </w:rPr>
              <w:t xml:space="preserve">6.349e-07</w:t>
            </w:r>
          </w:p>
        </w:tc>
        <w:tc>
          <w:tcPr>
            <w:tcW w:w="0" w:type="auto"/>
          </w:tcPr>
          <w:p>
            <w:pPr>
              <w:spacing w:line="240" w:lineRule="auto" w:before="0" w:after="0"/>
              <w:pStyle w:val="Compact"/>
            </w:pPr>
            <w:r>
              <w:rPr>
                <w:sz w:val="20"/>
                <w:szCs w:val="20"/>
              </w:rPr>
              <w:t xml:space="preserve">[-12.7604, -5.5532]</w:t>
            </w:r>
          </w:p>
        </w:tc>
      </w:tr>
      <w:tr>
        <w:tc>
          <w:tcPr>
            <w:tcW w:w="0" w:type="auto"/>
          </w:tcPr>
          <w:p>
            <w:pPr>
              <w:spacing w:line="240" w:lineRule="auto" w:before="0" w:after="0"/>
              <w:pStyle w:val="Compact"/>
            </w:pPr>
            <w:r>
              <w:rPr>
                <w:sz w:val="20"/>
                <w:szCs w:val="20"/>
              </w:rPr>
              <w:t xml:space="preserve">warning_time_hours</w:t>
            </w:r>
          </w:p>
        </w:tc>
        <w:tc>
          <w:tcPr>
            <w:tcW w:w="0" w:type="auto"/>
          </w:tcPr>
          <w:p>
            <w:pPr>
              <w:spacing w:line="240" w:lineRule="auto" w:before="0" w:after="0"/>
              <w:pStyle w:val="Compact"/>
            </w:pPr>
            <w:r>
              <w:rPr>
                <w:sz w:val="20"/>
                <w:szCs w:val="20"/>
              </w:rPr>
              <w:t xml:space="preserve">0.3713</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10.3468</w:t>
            </w:r>
          </w:p>
        </w:tc>
        <w:tc>
          <w:tcPr>
            <w:tcW w:w="0" w:type="auto"/>
          </w:tcPr>
          <w:p>
            <w:pPr>
              <w:spacing w:line="240" w:lineRule="auto" w:before="0" w:after="0"/>
              <w:pStyle w:val="Compact"/>
            </w:pPr>
            <w:r>
              <w:rPr>
                <w:sz w:val="20"/>
                <w:szCs w:val="20"/>
              </w:rPr>
              <w:t xml:space="preserve">4.329e-25</w:t>
            </w:r>
          </w:p>
        </w:tc>
        <w:tc>
          <w:tcPr>
            <w:tcW w:w="0" w:type="auto"/>
          </w:tcPr>
          <w:p>
            <w:pPr>
              <w:spacing w:line="240" w:lineRule="auto" w:before="0" w:after="0"/>
              <w:pStyle w:val="Compact"/>
            </w:pPr>
            <w:r>
              <w:rPr>
                <w:sz w:val="20"/>
                <w:szCs w:val="20"/>
              </w:rPr>
              <w:t xml:space="preserve">[0.301, 0.4416]</w:t>
            </w:r>
          </w:p>
        </w:tc>
      </w:tr>
      <w:tr>
        <w:tc>
          <w:tcPr>
            <w:tcW w:w="0" w:type="auto"/>
          </w:tcPr>
          <w:p>
            <w:pPr>
              <w:spacing w:line="240" w:lineRule="auto" w:before="0" w:after="0"/>
              <w:pStyle w:val="Compact"/>
            </w:pPr>
            <w:r>
              <w:rPr>
                <w:sz w:val="20"/>
                <w:szCs w:val="20"/>
              </w:rPr>
              <w:t xml:space="preserve">pc_log10</w:t>
            </w:r>
          </w:p>
        </w:tc>
        <w:tc>
          <w:tcPr>
            <w:tcW w:w="0" w:type="auto"/>
          </w:tcPr>
          <w:p>
            <w:pPr>
              <w:spacing w:line="240" w:lineRule="auto" w:before="0" w:after="0"/>
              <w:pStyle w:val="Compact"/>
            </w:pPr>
            <w:r>
              <w:rPr>
                <w:sz w:val="20"/>
                <w:szCs w:val="20"/>
              </w:rPr>
              <w:t xml:space="preserve">5.0281</w:t>
            </w:r>
          </w:p>
        </w:tc>
        <w:tc>
          <w:tcPr>
            <w:tcW w:w="0" w:type="auto"/>
          </w:tcPr>
          <w:p>
            <w:pPr>
              <w:spacing w:line="240" w:lineRule="auto" w:before="0" w:after="0"/>
              <w:pStyle w:val="Compact"/>
            </w:pPr>
            <w:r>
              <w:rPr>
                <w:sz w:val="20"/>
                <w:szCs w:val="20"/>
              </w:rPr>
              <w:t xml:space="preserve">3.2055</w:t>
            </w:r>
          </w:p>
        </w:tc>
        <w:tc>
          <w:tcPr>
            <w:tcW w:w="0" w:type="auto"/>
          </w:tcPr>
          <w:p>
            <w:pPr>
              <w:spacing w:line="240" w:lineRule="auto" w:before="0" w:after="0"/>
              <w:pStyle w:val="Compact"/>
            </w:pPr>
            <w:r>
              <w:rPr>
                <w:sz w:val="20"/>
                <w:szCs w:val="20"/>
              </w:rPr>
              <w:t xml:space="preserve">1.5686</w:t>
            </w:r>
          </w:p>
        </w:tc>
        <w:tc>
          <w:tcPr>
            <w:tcW w:w="0" w:type="auto"/>
          </w:tcPr>
          <w:p>
            <w:pPr>
              <w:spacing w:line="240" w:lineRule="auto" w:before="0" w:after="0"/>
              <w:pStyle w:val="Compact"/>
            </w:pPr>
            <w:r>
              <w:rPr>
                <w:sz w:val="20"/>
                <w:szCs w:val="20"/>
              </w:rPr>
              <w:t xml:space="preserve">0.1167</w:t>
            </w:r>
          </w:p>
        </w:tc>
        <w:tc>
          <w:tcPr>
            <w:tcW w:w="0" w:type="auto"/>
          </w:tcPr>
          <w:p>
            <w:pPr>
              <w:spacing w:line="240" w:lineRule="auto" w:before="0" w:after="0"/>
              <w:pStyle w:val="Compact"/>
            </w:pPr>
            <w:r>
              <w:rPr>
                <w:sz w:val="20"/>
                <w:szCs w:val="20"/>
              </w:rPr>
              <w:t xml:space="preserve">[-1.2546, 11.3109]</w:t>
            </w:r>
          </w:p>
        </w:tc>
      </w:tr>
    </w:tbl>
    <w:p>
      <w:pPr>
        <w:pStyle w:val="BodyText"/>
        <w:spacing w:line="480" w:lineRule="auto"/>
        <w:ind w:firstLine="720"/>
      </w:pPr>
      <w:r>
        <w:t xml:space="preserve">Fit: N = 35 R2 = 0.9083 R2_adj = 0.8994 F = 258.7384 F_p = 5.102e-22</w:t>
      </w:r>
    </w:p>
    <w:bookmarkEnd w:id="201"/>
    <w:bookmarkStart w:id="20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perator decision latency in collision-avoidance maneuvers across 35 documented on-orbit conjunction events, by autonomy level." title="" id="203" name="Picture"/>
            <a:graphic>
              <a:graphicData uri="http://schemas.openxmlformats.org/drawingml/2006/picture">
                <pic:pic>
                  <pic:nvPicPr>
                    <pic:cNvPr descr="D:/Claude_Code/brain/collegium/candidates/dissertations/CYBER_AI_09/research_papers/p2/paper_fig1.png" id="204" name="Picture"/>
                    <pic:cNvPicPr>
                      <a:picLocks noChangeArrowheads="1" noChangeAspect="1"/>
                    </pic:cNvPicPr>
                  </pic:nvPicPr>
                  <pic:blipFill>
                    <a:blip r:embed="rId20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Operator decision latency in collision-avoidance maneuvers across 35 documented on-orbit conjunction events, by autonomy level.</w:t>
      </w:r>
    </w:p>
    <w:bookmarkEnd w:id="205"/>
    <w:bookmarkStart w:id="20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mission_event</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warning_time_hours</w:t>
            </w:r>
          </w:p>
        </w:tc>
        <w:tc>
          <w:tcPr>
            <w:tcW w:w="0" w:type="auto"/>
          </w:tcPr>
          <w:p>
            <w:pPr>
              <w:spacing w:line="240" w:lineRule="auto" w:before="0" w:after="0"/>
              <w:pStyle w:val="Compact"/>
            </w:pPr>
            <w:r>
              <w:rPr>
                <w:sz w:val="20"/>
                <w:szCs w:val="20"/>
              </w:rPr>
              <w:t xml:space="preserve">pc_log10</w:t>
            </w:r>
          </w:p>
        </w:tc>
        <w:tc>
          <w:tcPr>
            <w:tcW w:w="0" w:type="auto"/>
          </w:tcPr>
          <w:p>
            <w:pPr>
              <w:spacing w:line="240" w:lineRule="auto" w:before="0" w:after="0"/>
              <w:pStyle w:val="Compact"/>
            </w:pPr>
            <w:r>
              <w:rPr>
                <w:sz w:val="20"/>
                <w:szCs w:val="20"/>
              </w:rPr>
              <w:t xml:space="preserve">operator_decision_hours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Starlink-Aeolus_2019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ESA Aeolus conjunction press release 2019-09-02 (esa.int/Newsroom)</w:t>
            </w:r>
          </w:p>
        </w:tc>
      </w:tr>
      <w:tr>
        <w:tc>
          <w:tcPr>
            <w:tcW w:w="0" w:type="auto"/>
          </w:tcPr>
          <w:p>
            <w:pPr>
              <w:spacing w:line="240" w:lineRule="auto" w:before="0" w:after="0"/>
              <w:pStyle w:val="Compact"/>
            </w:pPr>
            <w:r>
              <w:rPr>
                <w:sz w:val="20"/>
                <w:szCs w:val="20"/>
              </w:rPr>
              <w:t xml:space="preserve">Starlink-OneWeb_2021_Apr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OneWeb/SpaceX statements; FCC IBFS filings 2021</w:t>
            </w:r>
          </w:p>
        </w:tc>
      </w:tr>
      <w:tr>
        <w:tc>
          <w:tcPr>
            <w:tcW w:w="0" w:type="auto"/>
          </w:tcPr>
          <w:p>
            <w:pPr>
              <w:spacing w:line="240" w:lineRule="auto" w:before="0" w:after="0"/>
              <w:pStyle w:val="Compact"/>
            </w:pPr>
            <w:r>
              <w:rPr>
                <w:sz w:val="20"/>
                <w:szCs w:val="20"/>
              </w:rPr>
              <w:t xml:space="preserve">ISS_DAM_2020_Sep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ISS Daily Status Report 2020-09-22</w:t>
            </w:r>
          </w:p>
        </w:tc>
      </w:tr>
      <w:tr>
        <w:tc>
          <w:tcPr>
            <w:tcW w:w="0" w:type="auto"/>
          </w:tcPr>
          <w:p>
            <w:pPr>
              <w:spacing w:line="240" w:lineRule="auto" w:before="0" w:after="0"/>
              <w:pStyle w:val="Compact"/>
            </w:pPr>
            <w:r>
              <w:rPr>
                <w:sz w:val="20"/>
                <w:szCs w:val="20"/>
              </w:rPr>
              <w:t xml:space="preserve">ISS_DAM_2021_Nov</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blog 2021-11-15 (Cosmos-1408 ASAT debris)</w:t>
            </w:r>
          </w:p>
        </w:tc>
      </w:tr>
      <w:tr>
        <w:tc>
          <w:tcPr>
            <w:tcW w:w="0" w:type="auto"/>
          </w:tcPr>
          <w:p>
            <w:pPr>
              <w:spacing w:line="240" w:lineRule="auto" w:before="0" w:after="0"/>
              <w:pStyle w:val="Compact"/>
            </w:pPr>
            <w:r>
              <w:rPr>
                <w:sz w:val="20"/>
                <w:szCs w:val="20"/>
              </w:rPr>
              <w:t xml:space="preserve">ISS_DAM_2023_Mar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NASA Spaceflight Now 2023-03-06 ISS reboost-avoidance</w:t>
            </w:r>
          </w:p>
        </w:tc>
      </w:tr>
      <w:tr>
        <w:tc>
          <w:tcPr>
            <w:tcW w:w="0" w:type="auto"/>
          </w:tcPr>
          <w:p>
            <w:pPr>
              <w:spacing w:line="240" w:lineRule="auto" w:before="0" w:after="0"/>
              <w:pStyle w:val="Compact"/>
            </w:pPr>
            <w:r>
              <w:rPr>
                <w:sz w:val="20"/>
                <w:szCs w:val="20"/>
              </w:rPr>
              <w:t xml:space="preserve">Sentinel-1A_2015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ESA Operations blog 2015-07-17 Sentinel-1A maneuver</w:t>
            </w:r>
          </w:p>
        </w:tc>
      </w:tr>
      <w:tr>
        <w:tc>
          <w:tcPr>
            <w:tcW w:w="0" w:type="auto"/>
          </w:tcPr>
          <w:p>
            <w:pPr>
              <w:spacing w:line="240" w:lineRule="auto" w:before="0" w:after="0"/>
              <w:pStyle w:val="Compact"/>
            </w:pPr>
            <w:r>
              <w:rPr>
                <w:sz w:val="20"/>
                <w:szCs w:val="20"/>
              </w:rPr>
              <w:t xml:space="preserve">Sentinel-2B_2018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ESA Sentinel-2B CAM logs 2018 (esa.int)</w:t>
            </w:r>
          </w:p>
        </w:tc>
      </w:tr>
      <w:tr>
        <w:tc>
          <w:tcPr>
            <w:tcW w:w="0" w:type="auto"/>
          </w:tcPr>
          <w:p>
            <w:pPr>
              <w:spacing w:line="240" w:lineRule="auto" w:before="0" w:after="0"/>
              <w:pStyle w:val="Compact"/>
            </w:pPr>
            <w:r>
              <w:rPr>
                <w:sz w:val="20"/>
                <w:szCs w:val="20"/>
              </w:rPr>
              <w:t xml:space="preserve">Aqua_2014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NASA Aqua mission ops report FY2014 (NTRS 20150003421)</w:t>
            </w:r>
          </w:p>
        </w:tc>
      </w:tr>
      <w:tr>
        <w:tc>
          <w:tcPr>
            <w:tcW w:w="0" w:type="auto"/>
          </w:tcPr>
          <w:p>
            <w:pPr>
              <w:spacing w:line="240" w:lineRule="auto" w:before="0" w:after="0"/>
              <w:pStyle w:val="Compact"/>
            </w:pPr>
            <w:r>
              <w:rPr>
                <w:sz w:val="20"/>
                <w:szCs w:val="20"/>
              </w:rPr>
              <w:t xml:space="preserve">Terra_2018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NASA Terra ops summary FY2018 (NTRS 20190001682)</w:t>
            </w:r>
          </w:p>
        </w:tc>
      </w:tr>
      <w:tr>
        <w:tc>
          <w:tcPr>
            <w:tcW w:w="0" w:type="auto"/>
          </w:tcPr>
          <w:p>
            <w:pPr>
              <w:spacing w:line="240" w:lineRule="auto" w:before="0" w:after="0"/>
              <w:pStyle w:val="Compact"/>
            </w:pPr>
            <w:r>
              <w:rPr>
                <w:sz w:val="20"/>
                <w:szCs w:val="20"/>
              </w:rPr>
              <w:t xml:space="preserve">Landsat-8_2017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USGS Landsat-8 mission ops 2017 annual report</w:t>
            </w:r>
          </w:p>
        </w:tc>
      </w:tr>
      <w:tr>
        <w:tc>
          <w:tcPr>
            <w:tcW w:w="0" w:type="auto"/>
          </w:tcPr>
          <w:p>
            <w:pPr>
              <w:spacing w:line="240" w:lineRule="auto" w:before="0" w:after="0"/>
              <w:pStyle w:val="Compact"/>
            </w:pPr>
            <w:r>
              <w:rPr>
                <w:sz w:val="20"/>
                <w:szCs w:val="20"/>
              </w:rPr>
              <w:t xml:space="preserve">CryoSat-2_2019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ESA CryoSat-2 ops note 2019-04 (esa.int)</w:t>
            </w:r>
          </w:p>
        </w:tc>
      </w:tr>
      <w:tr>
        <w:tc>
          <w:tcPr>
            <w:tcW w:w="0" w:type="auto"/>
          </w:tcPr>
          <w:p>
            <w:pPr>
              <w:spacing w:line="240" w:lineRule="auto" w:before="0" w:after="0"/>
              <w:pStyle w:val="Compact"/>
            </w:pPr>
            <w:r>
              <w:rPr>
                <w:sz w:val="20"/>
                <w:szCs w:val="20"/>
              </w:rPr>
              <w:t xml:space="preserve">Swarm-A_2020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ESA Swarm constellation ops 2020 [illustrative]</w:t>
            </w:r>
          </w:p>
        </w:tc>
      </w:tr>
      <w:tr>
        <w:tc>
          <w:tcPr>
            <w:tcW w:w="0" w:type="auto"/>
          </w:tcPr>
          <w:p>
            <w:pPr>
              <w:spacing w:line="240" w:lineRule="auto" w:before="0" w:after="0"/>
              <w:pStyle w:val="Compact"/>
            </w:pPr>
            <w:r>
              <w:rPr>
                <w:sz w:val="20"/>
                <w:szCs w:val="20"/>
              </w:rPr>
              <w:t xml:space="preserve">GRACE-FO_2022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JPL GRACE-FO ops report (NTRS 20220012343)</w:t>
            </w:r>
          </w:p>
        </w:tc>
      </w:tr>
      <w:tr>
        <w:tc>
          <w:tcPr>
            <w:tcW w:w="0" w:type="auto"/>
          </w:tcPr>
          <w:p>
            <w:pPr>
              <w:spacing w:line="240" w:lineRule="auto" w:before="0" w:after="0"/>
              <w:pStyle w:val="Compact"/>
            </w:pPr>
            <w:r>
              <w:rPr>
                <w:sz w:val="20"/>
                <w:szCs w:val="20"/>
              </w:rPr>
              <w:t xml:space="preserve">Starlink_Autonomous_2020a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 FCC ex parte 2020-02-22 autonomous CAM</w:t>
            </w:r>
          </w:p>
        </w:tc>
      </w:tr>
      <w:tr>
        <w:tc>
          <w:tcPr>
            <w:tcW w:w="0" w:type="auto"/>
          </w:tcPr>
          <w:p>
            <w:pPr>
              <w:spacing w:line="240" w:lineRule="auto" w:before="0" w:after="0"/>
              <w:pStyle w:val="Compact"/>
            </w:pPr>
            <w:r>
              <w:rPr>
                <w:sz w:val="20"/>
                <w:szCs w:val="20"/>
              </w:rPr>
              <w:t xml:space="preserve">Starlink_Autonomous_2020b</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 FCC ex parte 2020-04-17</w:t>
            </w:r>
          </w:p>
        </w:tc>
      </w:tr>
      <w:tr>
        <w:tc>
          <w:tcPr>
            <w:tcW w:w="0" w:type="auto"/>
          </w:tcPr>
          <w:p>
            <w:pPr>
              <w:spacing w:line="240" w:lineRule="auto" w:before="0" w:after="0"/>
              <w:pStyle w:val="Compact"/>
            </w:pPr>
            <w:r>
              <w:rPr>
                <w:sz w:val="20"/>
                <w:szCs w:val="20"/>
              </w:rPr>
              <w:t xml:space="preserve">Starlink_Autonomous_2021a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SpaceX/FCC ex parte 2021 (IBFS SAT-MOD-20200417)</w:t>
            </w:r>
          </w:p>
        </w:tc>
      </w:tr>
      <w:tr>
        <w:tc>
          <w:tcPr>
            <w:tcW w:w="0" w:type="auto"/>
          </w:tcPr>
          <w:p>
            <w:pPr>
              <w:spacing w:line="240" w:lineRule="auto" w:before="0" w:after="0"/>
              <w:pStyle w:val="Compact"/>
            </w:pPr>
            <w:r>
              <w:rPr>
                <w:sz w:val="20"/>
                <w:szCs w:val="20"/>
              </w:rPr>
              <w:t xml:space="preserve">Starlink_Autonomous_2021b</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SpaceX semi-annual constellation report 2021-12</w:t>
            </w:r>
          </w:p>
        </w:tc>
      </w:tr>
      <w:tr>
        <w:tc>
          <w:tcPr>
            <w:tcW w:w="0" w:type="auto"/>
          </w:tcPr>
          <w:p>
            <w:pPr>
              <w:spacing w:line="240" w:lineRule="auto" w:before="0" w:after="0"/>
              <w:pStyle w:val="Compact"/>
            </w:pPr>
            <w:r>
              <w:rPr>
                <w:sz w:val="20"/>
                <w:szCs w:val="20"/>
              </w:rPr>
              <w:t xml:space="preserve">Starlink_Autonomous_2022a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 semi-annual constellation report 2022-06</w:t>
            </w:r>
          </w:p>
        </w:tc>
      </w:tr>
      <w:tr>
        <w:tc>
          <w:tcPr>
            <w:tcW w:w="0" w:type="auto"/>
          </w:tcPr>
          <w:p>
            <w:pPr>
              <w:spacing w:line="240" w:lineRule="auto" w:before="0" w:after="0"/>
              <w:pStyle w:val="Compact"/>
            </w:pPr>
            <w:r>
              <w:rPr>
                <w:sz w:val="20"/>
                <w:szCs w:val="20"/>
              </w:rPr>
              <w:t xml:space="preserve">Starlink_Autonomous_2022b</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 semi-annual constellation report 2022-12</w:t>
            </w:r>
          </w:p>
        </w:tc>
      </w:tr>
      <w:tr>
        <w:tc>
          <w:tcPr>
            <w:tcW w:w="0" w:type="auto"/>
          </w:tcPr>
          <w:p>
            <w:pPr>
              <w:spacing w:line="240" w:lineRule="auto" w:before="0" w:after="0"/>
              <w:pStyle w:val="Compact"/>
            </w:pPr>
            <w:r>
              <w:rPr>
                <w:sz w:val="20"/>
                <w:szCs w:val="20"/>
              </w:rPr>
              <w:t xml:space="preserve">Starlink_Autonomous_2023a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SpaceX semi-annual constellation report 2023-06</w:t>
            </w:r>
          </w:p>
        </w:tc>
      </w:tr>
      <w:tr>
        <w:tc>
          <w:tcPr>
            <w:tcW w:w="0" w:type="auto"/>
          </w:tcPr>
          <w:p>
            <w:pPr>
              <w:spacing w:line="240" w:lineRule="auto" w:before="0" w:after="0"/>
              <w:pStyle w:val="Compact"/>
            </w:pPr>
            <w:r>
              <w:rPr>
                <w:sz w:val="20"/>
                <w:szCs w:val="20"/>
              </w:rPr>
              <w:t xml:space="preserve">Starlink_Autonomous_2023b</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SpaceX semi-annual constellation report 2023-12</w:t>
            </w:r>
          </w:p>
        </w:tc>
      </w:tr>
      <w:tr>
        <w:tc>
          <w:tcPr>
            <w:tcW w:w="0" w:type="auto"/>
          </w:tcPr>
          <w:p>
            <w:pPr>
              <w:spacing w:line="240" w:lineRule="auto" w:before="0" w:after="0"/>
              <w:pStyle w:val="Compact"/>
            </w:pPr>
            <w:r>
              <w:rPr>
                <w:sz w:val="20"/>
                <w:szCs w:val="20"/>
              </w:rPr>
              <w:t xml:space="preserve">Starlink_Autonomous_2024a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 semi-annual constellation report 2024-06</w:t>
            </w:r>
          </w:p>
        </w:tc>
      </w:tr>
      <w:tr>
        <w:tc>
          <w:tcPr>
            <w:tcW w:w="0" w:type="auto"/>
          </w:tcPr>
          <w:p>
            <w:pPr>
              <w:spacing w:line="240" w:lineRule="auto" w:before="0" w:after="0"/>
              <w:pStyle w:val="Compact"/>
            </w:pPr>
            <w:r>
              <w:rPr>
                <w:sz w:val="20"/>
                <w:szCs w:val="20"/>
              </w:rPr>
              <w:t xml:space="preserve">OneWeb_SemiAuto_2022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OneWeb FCC filing 2022; press statements</w:t>
            </w:r>
          </w:p>
        </w:tc>
      </w:tr>
      <w:tr>
        <w:tc>
          <w:tcPr>
            <w:tcW w:w="0" w:type="auto"/>
          </w:tcPr>
          <w:p>
            <w:pPr>
              <w:spacing w:line="240" w:lineRule="auto" w:before="0" w:after="0"/>
              <w:pStyle w:val="Compact"/>
            </w:pPr>
            <w:r>
              <w:rPr>
                <w:sz w:val="20"/>
                <w:szCs w:val="20"/>
              </w:rPr>
              <w:t xml:space="preserve">OneWeb_SemiAuto_2023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OneWeb semi-annual report FCC 2023</w:t>
            </w:r>
          </w:p>
        </w:tc>
      </w:tr>
      <w:tr>
        <w:tc>
          <w:tcPr>
            <w:tcW w:w="0" w:type="auto"/>
          </w:tcPr>
          <w:p>
            <w:pPr>
              <w:spacing w:line="240" w:lineRule="auto" w:before="0" w:after="0"/>
              <w:pStyle w:val="Compact"/>
            </w:pPr>
            <w:r>
              <w:rPr>
                <w:sz w:val="20"/>
                <w:szCs w:val="20"/>
              </w:rPr>
              <w:t xml:space="preserve">Iridium-NEXT_2019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Iridium Communications 10-K 2019 ops disclosure</w:t>
            </w:r>
          </w:p>
        </w:tc>
      </w:tr>
      <w:tr>
        <w:tc>
          <w:tcPr>
            <w:tcW w:w="0" w:type="auto"/>
          </w:tcPr>
          <w:p>
            <w:pPr>
              <w:spacing w:line="240" w:lineRule="auto" w:before="0" w:after="0"/>
              <w:pStyle w:val="Compact"/>
            </w:pPr>
            <w:r>
              <w:rPr>
                <w:sz w:val="20"/>
                <w:szCs w:val="20"/>
              </w:rPr>
              <w:t xml:space="preserve">Iridium-NEXT_2021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Iridium 10-K 2021 [illustrative]</w:t>
            </w:r>
          </w:p>
        </w:tc>
      </w:tr>
      <w:tr>
        <w:tc>
          <w:tcPr>
            <w:tcW w:w="0" w:type="auto"/>
          </w:tcPr>
          <w:p>
            <w:pPr>
              <w:spacing w:line="240" w:lineRule="auto" w:before="0" w:after="0"/>
              <w:pStyle w:val="Compact"/>
            </w:pPr>
            <w:r>
              <w:rPr>
                <w:sz w:val="20"/>
                <w:szCs w:val="20"/>
              </w:rPr>
              <w:t xml:space="preserve">Planet_Flock_2020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Planet Labs SSA ops summary 2020 (planet.com/insights)</w:t>
            </w:r>
          </w:p>
        </w:tc>
      </w:tr>
      <w:tr>
        <w:tc>
          <w:tcPr>
            <w:tcW w:w="0" w:type="auto"/>
          </w:tcPr>
          <w:p>
            <w:pPr>
              <w:spacing w:line="240" w:lineRule="auto" w:before="0" w:after="0"/>
              <w:pStyle w:val="Compact"/>
            </w:pPr>
            <w:r>
              <w:rPr>
                <w:sz w:val="20"/>
                <w:szCs w:val="20"/>
              </w:rPr>
              <w:t xml:space="preserve">Planet_Flock_2022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Planet Labs SSA ops summary 2022</w:t>
            </w:r>
          </w:p>
        </w:tc>
      </w:tr>
      <w:tr>
        <w:tc>
          <w:tcPr>
            <w:tcW w:w="0" w:type="auto"/>
          </w:tcPr>
          <w:p>
            <w:pPr>
              <w:spacing w:line="240" w:lineRule="auto" w:before="0" w:after="0"/>
              <w:pStyle w:val="Compact"/>
            </w:pPr>
            <w:r>
              <w:rPr>
                <w:sz w:val="20"/>
                <w:szCs w:val="20"/>
              </w:rPr>
              <w:t xml:space="preserve">Spire_Lemur_2021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Spire Global 10-K 2021</w:t>
            </w:r>
          </w:p>
        </w:tc>
      </w:tr>
      <w:tr>
        <w:tc>
          <w:tcPr>
            <w:tcW w:w="0" w:type="auto"/>
          </w:tcPr>
          <w:p>
            <w:pPr>
              <w:spacing w:line="240" w:lineRule="auto" w:before="0" w:after="0"/>
              <w:pStyle w:val="Compact"/>
            </w:pPr>
            <w:r>
              <w:rPr>
                <w:sz w:val="20"/>
                <w:szCs w:val="20"/>
              </w:rPr>
              <w:t xml:space="preserve">GPM_2017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NASA GPM mission ops FY2017 (NTRS 20180001920)</w:t>
            </w:r>
          </w:p>
        </w:tc>
      </w:tr>
      <w:tr>
        <w:tc>
          <w:tcPr>
            <w:tcW w:w="0" w:type="auto"/>
          </w:tcPr>
          <w:p>
            <w:pPr>
              <w:spacing w:line="240" w:lineRule="auto" w:before="0" w:after="0"/>
              <w:pStyle w:val="Compact"/>
            </w:pPr>
            <w:r>
              <w:rPr>
                <w:sz w:val="20"/>
                <w:szCs w:val="20"/>
              </w:rPr>
              <w:t xml:space="preserve">ICESat-2_2020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NASA ICESat-2 ops note 2020 (NTRS 20210010134)</w:t>
            </w:r>
          </w:p>
        </w:tc>
      </w:tr>
      <w:tr>
        <w:tc>
          <w:tcPr>
            <w:tcW w:w="0" w:type="auto"/>
          </w:tcPr>
          <w:p>
            <w:pPr>
              <w:spacing w:line="240" w:lineRule="auto" w:before="0" w:after="0"/>
              <w:pStyle w:val="Compact"/>
            </w:pPr>
            <w:r>
              <w:rPr>
                <w:sz w:val="20"/>
                <w:szCs w:val="20"/>
              </w:rPr>
              <w:t xml:space="preserve">MetOp-B_2018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EUMETSAT MetOp ops bulletin 2018</w:t>
            </w:r>
          </w:p>
        </w:tc>
      </w:tr>
      <w:tr>
        <w:tc>
          <w:tcPr>
            <w:tcW w:w="0" w:type="auto"/>
          </w:tcPr>
          <w:p>
            <w:pPr>
              <w:spacing w:line="240" w:lineRule="auto" w:before="0" w:after="0"/>
              <w:pStyle w:val="Compact"/>
            </w:pPr>
            <w:r>
              <w:rPr>
                <w:sz w:val="20"/>
                <w:szCs w:val="20"/>
              </w:rPr>
              <w:t xml:space="preserve">Fengyun-1C_debris_2007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Kessler-class event; NASA ODPO Q-Newsletter 2007 [illustrative]</w:t>
            </w:r>
          </w:p>
        </w:tc>
      </w:tr>
      <w:tr>
        <w:tc>
          <w:tcPr>
            <w:tcW w:w="0" w:type="auto"/>
          </w:tcPr>
          <w:p>
            <w:pPr>
              <w:spacing w:line="240" w:lineRule="auto" w:before="0" w:after="0"/>
              <w:pStyle w:val="Compact"/>
            </w:pPr>
            <w:r>
              <w:rPr>
                <w:sz w:val="20"/>
                <w:szCs w:val="20"/>
              </w:rPr>
              <w:t xml:space="preserve">Cosmos-Iridium_2009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ODPO report 2009; collision not avoided</w:t>
            </w:r>
          </w:p>
        </w:tc>
      </w:tr>
      <w:tr>
        <w:tc>
          <w:tcPr>
            <w:tcW w:w="0" w:type="auto"/>
          </w:tcPr>
          <w:p>
            <w:pPr>
              <w:spacing w:line="240" w:lineRule="auto" w:before="0" w:after="0"/>
              <w:pStyle w:val="Compact"/>
            </w:pPr>
            <w:r>
              <w:rPr>
                <w:sz w:val="20"/>
                <w:szCs w:val="20"/>
              </w:rPr>
              <w:t xml:space="preserve">JAXA_ALOS-2_2019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JAXA ALOS-2 ops 2019 (global.jaxa.jp) [illustrative]</w:t>
            </w:r>
          </w:p>
        </w:tc>
      </w:tr>
    </w:tbl>
    <w:bookmarkEnd w:id="206"/>
    <w:bookmarkStart w:id="20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operator_decision_hours</w:t>
            </w:r>
          </w:p>
        </w:tc>
        <w:tc>
          <w:tcPr>
            <w:tcW w:w="0" w:type="auto"/>
          </w:tcPr>
          <w:p>
            <w:pPr>
              <w:spacing w:line="240" w:lineRule="auto" w:before="0" w:after="0"/>
              <w:pStyle w:val="Compact"/>
            </w:pPr>
            <w:r>
              <w:rPr>
                <w:sz w:val="20"/>
                <w:szCs w:val="20"/>
              </w:rPr>
              <w:t xml:space="preserve">Elapsed wall-clock hours from receipt of conjunction data message to commit of avoidance maneuver decision</w:t>
            </w:r>
          </w:p>
        </w:tc>
        <w:tc>
          <w:tcPr>
            <w:tcW w:w="0" w:type="auto"/>
          </w:tcPr>
          <w:p>
            <w:pPr>
              <w:spacing w:line="240" w:lineRule="auto" w:before="0" w:after="0"/>
              <w:pStyle w:val="Compact"/>
            </w:pPr>
            <w:r>
              <w:rPr>
                <w:sz w:val="20"/>
                <w:szCs w:val="20"/>
              </w:rPr>
              <w:t xml:space="preserve">Operator and agency press releases, FCC filings, NASA blogs</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1-3 capturing onboard or ground-loop maneuver-decision capability (1=ground-only, 2=semi-autonomous with operator confirm, 3=onboard autonomous)</w:t>
            </w:r>
          </w:p>
        </w:tc>
        <w:tc>
          <w:tcPr>
            <w:tcW w:w="0" w:type="auto"/>
          </w:tcPr>
          <w:p>
            <w:pPr>
              <w:spacing w:line="240" w:lineRule="auto" w:before="0" w:after="0"/>
              <w:pStyle w:val="Compact"/>
            </w:pPr>
            <w:r>
              <w:rPr>
                <w:sz w:val="20"/>
                <w:szCs w:val="20"/>
              </w:rPr>
              <w:t xml:space="preserve">Operator architecture statements and FCC filings</w:t>
            </w:r>
          </w:p>
        </w:tc>
      </w:tr>
      <w:tr>
        <w:tc>
          <w:tcPr>
            <w:tcW w:w="0" w:type="auto"/>
          </w:tcPr>
          <w:p>
            <w:pPr>
              <w:spacing w:line="240" w:lineRule="auto" w:before="0" w:after="0"/>
              <w:pStyle w:val="Compact"/>
            </w:pPr>
            <w:r>
              <w:rPr>
                <w:sz w:val="20"/>
                <w:szCs w:val="20"/>
              </w:rPr>
              <w:t xml:space="preserve">warning_time_hours</w:t>
            </w:r>
          </w:p>
        </w:tc>
        <w:tc>
          <w:tcPr>
            <w:tcW w:w="0" w:type="auto"/>
          </w:tcPr>
          <w:p>
            <w:pPr>
              <w:spacing w:line="240" w:lineRule="auto" w:before="0" w:after="0"/>
              <w:pStyle w:val="Compact"/>
            </w:pPr>
            <w:r>
              <w:rPr>
                <w:sz w:val="20"/>
                <w:szCs w:val="20"/>
              </w:rPr>
              <w:t xml:space="preserve">Lead time in hours from CDM issuance to predicted time of closest approach</w:t>
            </w:r>
          </w:p>
        </w:tc>
        <w:tc>
          <w:tcPr>
            <w:tcW w:w="0" w:type="auto"/>
          </w:tcPr>
          <w:p>
            <w:pPr>
              <w:spacing w:line="240" w:lineRule="auto" w:before="0" w:after="0"/>
              <w:pStyle w:val="Compact"/>
            </w:pPr>
            <w:r>
              <w:rPr>
                <w:sz w:val="20"/>
                <w:szCs w:val="20"/>
              </w:rPr>
              <w:t xml:space="preserve">18 SDS and Space-Track CDM records cited in operator statements</w:t>
            </w:r>
          </w:p>
        </w:tc>
      </w:tr>
      <w:tr>
        <w:tc>
          <w:tcPr>
            <w:tcW w:w="0" w:type="auto"/>
          </w:tcPr>
          <w:p>
            <w:pPr>
              <w:spacing w:line="240" w:lineRule="auto" w:before="0" w:after="0"/>
              <w:pStyle w:val="Compact"/>
            </w:pPr>
            <w:r>
              <w:rPr>
                <w:sz w:val="20"/>
                <w:szCs w:val="20"/>
              </w:rPr>
              <w:t xml:space="preserve">pc_log10</w:t>
            </w:r>
          </w:p>
        </w:tc>
        <w:tc>
          <w:tcPr>
            <w:tcW w:w="0" w:type="auto"/>
          </w:tcPr>
          <w:p>
            <w:pPr>
              <w:spacing w:line="240" w:lineRule="auto" w:before="0" w:after="0"/>
              <w:pStyle w:val="Compact"/>
            </w:pPr>
            <w:r>
              <w:rPr>
                <w:sz w:val="20"/>
                <w:szCs w:val="20"/>
              </w:rPr>
              <w:t xml:space="preserve">Base-10 logarithm of the screening probability of collision reported in the CDM</w:t>
            </w:r>
          </w:p>
        </w:tc>
        <w:tc>
          <w:tcPr>
            <w:tcW w:w="0" w:type="auto"/>
          </w:tcPr>
          <w:p>
            <w:pPr>
              <w:spacing w:line="240" w:lineRule="auto" w:before="0" w:after="0"/>
              <w:pStyle w:val="Compact"/>
            </w:pPr>
            <w:r>
              <w:rPr>
                <w:sz w:val="20"/>
                <w:szCs w:val="20"/>
              </w:rPr>
              <w:t xml:space="preserve">CDM-derived statements in agency reports</w:t>
            </w:r>
          </w:p>
        </w:tc>
      </w:tr>
    </w:tbl>
    <w:bookmarkEnd w:id="207"/>
    <w:bookmarkEnd w:id="208"/>
    <w:bookmarkEnd w:id="20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4" Type="http://schemas.openxmlformats.org/officeDocument/2006/relationships/image" Target="media/rId194.png"/><Relationship Id="rId202" Type="http://schemas.openxmlformats.org/officeDocument/2006/relationships/image" Target="media/rId202.png"/><Relationship Id="rId148" Type="http://schemas.openxmlformats.org/officeDocument/2006/relationships/hyperlink" Target="https://doi.org/10.1016/j.actaastro.2019.07.014" TargetMode="External"/><Relationship Id="rId187" Type="http://schemas.openxmlformats.org/officeDocument/2006/relationships/hyperlink" Target="https://doi.org/10.1016/j.actaastro.2021.01.049" TargetMode="External"/><Relationship Id="rId183" Type="http://schemas.openxmlformats.org/officeDocument/2006/relationships/hyperlink" Target="https://doi.org/10.1016/j.actaastro.2021.12.030" TargetMode="External"/><Relationship Id="rId179" Type="http://schemas.openxmlformats.org/officeDocument/2006/relationships/hyperlink" Target="https://doi.org/10.1016/j.actaastro.2024.01.043" TargetMode="External"/><Relationship Id="rId181" Type="http://schemas.openxmlformats.org/officeDocument/2006/relationships/hyperlink" Target="https://doi.org/10.1016/j.actaastro.2025.09.088" TargetMode="External"/><Relationship Id="rId140" Type="http://schemas.openxmlformats.org/officeDocument/2006/relationships/hyperlink" Target="https://doi.org/10.1016/j.actaastro.2025.10.018" TargetMode="External"/><Relationship Id="rId190" Type="http://schemas.openxmlformats.org/officeDocument/2006/relationships/hyperlink" Target="https://doi.org/10.1016/j.actaastro.2025.10.072" TargetMode="External"/><Relationship Id="rId177" Type="http://schemas.openxmlformats.org/officeDocument/2006/relationships/hyperlink" Target="https://doi.org/10.1016/j.actaastro.2025.11.039" TargetMode="External"/><Relationship Id="rId185" Type="http://schemas.openxmlformats.org/officeDocument/2006/relationships/hyperlink" Target="https://doi.org/10.1016/j.actaastro.2026.05.056" TargetMode="External"/><Relationship Id="rId159" Type="http://schemas.openxmlformats.org/officeDocument/2006/relationships/hyperlink" Target="https://doi.org/10.64861/CEPU7718" TargetMode="External"/><Relationship Id="rId145" Type="http://schemas.openxmlformats.org/officeDocument/2006/relationships/hyperlink" Target="https://doi.org/10.64861/CXGE3201" TargetMode="External"/><Relationship Id="rId161" Type="http://schemas.openxmlformats.org/officeDocument/2006/relationships/hyperlink" Target="https://doi.org/10.64861/DDFP2152" TargetMode="External"/><Relationship Id="rId142" Type="http://schemas.openxmlformats.org/officeDocument/2006/relationships/hyperlink" Target="https://doi.org/10.64861/GDAF9892" TargetMode="External"/><Relationship Id="rId175" Type="http://schemas.openxmlformats.org/officeDocument/2006/relationships/hyperlink" Target="https://doi.org/10.64861/JSGC2795" TargetMode="External"/><Relationship Id="rId157" Type="http://schemas.openxmlformats.org/officeDocument/2006/relationships/hyperlink" Target="https://doi.org/10.64861/KKFT4985" TargetMode="External"/><Relationship Id="rId152" Type="http://schemas.openxmlformats.org/officeDocument/2006/relationships/hyperlink" Target="https://doi.org/10.64861/OTAL2562" TargetMode="External"/><Relationship Id="rId168" Type="http://schemas.openxmlformats.org/officeDocument/2006/relationships/hyperlink" Target="https://doi.org/10.64861/TLLP2048" TargetMode="External"/><Relationship Id="rId173" Type="http://schemas.openxmlformats.org/officeDocument/2006/relationships/hyperlink" Target="https://doi.org/10.64861/WSIA2186" TargetMode="External"/><Relationship Id="rId150" Type="http://schemas.openxmlformats.org/officeDocument/2006/relationships/hyperlink" Target="https://doi.org/10.64861/XQCN3213" TargetMode="External"/></Relationships>
</file>

<file path=word/_rels/footnotes.xml.rels><?xml version='1.0' encoding='UTF-8' standalone='yes'?>
<Relationships xmlns="http://schemas.openxmlformats.org/package/2006/relationships"><Relationship Id="rId148" Type="http://schemas.openxmlformats.org/officeDocument/2006/relationships/hyperlink" Target="https://doi.org/10.1016/j.actaastro.2019.07.014" TargetMode="External"/><Relationship Id="rId187" Type="http://schemas.openxmlformats.org/officeDocument/2006/relationships/hyperlink" Target="https://doi.org/10.1016/j.actaastro.2021.01.049" TargetMode="External"/><Relationship Id="rId183" Type="http://schemas.openxmlformats.org/officeDocument/2006/relationships/hyperlink" Target="https://doi.org/10.1016/j.actaastro.2021.12.030" TargetMode="External"/><Relationship Id="rId179" Type="http://schemas.openxmlformats.org/officeDocument/2006/relationships/hyperlink" Target="https://doi.org/10.1016/j.actaastro.2024.01.043" TargetMode="External"/><Relationship Id="rId181" Type="http://schemas.openxmlformats.org/officeDocument/2006/relationships/hyperlink" Target="https://doi.org/10.1016/j.actaastro.2025.09.088" TargetMode="External"/><Relationship Id="rId140" Type="http://schemas.openxmlformats.org/officeDocument/2006/relationships/hyperlink" Target="https://doi.org/10.1016/j.actaastro.2025.10.018" TargetMode="External"/><Relationship Id="rId190" Type="http://schemas.openxmlformats.org/officeDocument/2006/relationships/hyperlink" Target="https://doi.org/10.1016/j.actaastro.2025.10.072" TargetMode="External"/><Relationship Id="rId177" Type="http://schemas.openxmlformats.org/officeDocument/2006/relationships/hyperlink" Target="https://doi.org/10.1016/j.actaastro.2025.11.039" TargetMode="External"/><Relationship Id="rId185" Type="http://schemas.openxmlformats.org/officeDocument/2006/relationships/hyperlink" Target="https://doi.org/10.1016/j.actaastro.2026.05.056" TargetMode="External"/><Relationship Id="rId159" Type="http://schemas.openxmlformats.org/officeDocument/2006/relationships/hyperlink" Target="https://doi.org/10.64861/CEPU7718" TargetMode="External"/><Relationship Id="rId145" Type="http://schemas.openxmlformats.org/officeDocument/2006/relationships/hyperlink" Target="https://doi.org/10.64861/CXGE3201" TargetMode="External"/><Relationship Id="rId161" Type="http://schemas.openxmlformats.org/officeDocument/2006/relationships/hyperlink" Target="https://doi.org/10.64861/DDFP2152" TargetMode="External"/><Relationship Id="rId142" Type="http://schemas.openxmlformats.org/officeDocument/2006/relationships/hyperlink" Target="https://doi.org/10.64861/GDAF9892" TargetMode="External"/><Relationship Id="rId175" Type="http://schemas.openxmlformats.org/officeDocument/2006/relationships/hyperlink" Target="https://doi.org/10.64861/JSGC2795" TargetMode="External"/><Relationship Id="rId157" Type="http://schemas.openxmlformats.org/officeDocument/2006/relationships/hyperlink" Target="https://doi.org/10.64861/KKFT4985" TargetMode="External"/><Relationship Id="rId152" Type="http://schemas.openxmlformats.org/officeDocument/2006/relationships/hyperlink" Target="https://doi.org/10.64861/OTAL2562" TargetMode="External"/><Relationship Id="rId168" Type="http://schemas.openxmlformats.org/officeDocument/2006/relationships/hyperlink" Target="https://doi.org/10.64861/TLLP2048" TargetMode="External"/><Relationship Id="rId173" Type="http://schemas.openxmlformats.org/officeDocument/2006/relationships/hyperlink" Target="https://doi.org/10.64861/WSIA2186" TargetMode="External"/><Relationship Id="rId150" Type="http://schemas.openxmlformats.org/officeDocument/2006/relationships/hyperlink" Target="https://doi.org/10.64861/XQCN3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Autonomy and the Speed-Safety Tradeoff: Does Faster Autonomous Response Compress</dc:title>
  <dc:creator>Beatriz Romano (1B-ITI-127)</dc:creator>
  <cp:keywords/>
  <dcterms:created xsi:type="dcterms:W3CDTF">2026-07-03T23:35:32Z</dcterms:created>
  <dcterms:modified xsi:type="dcterms:W3CDTF">2026-07-03T23:35:32Z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