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9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4" w:name="X68d970f9d7326d0f53825e3884a227647f7c38d"/>
    <w:p>
      <w:pPr>
        <w:pStyle w:val="Heading1"/>
      </w:pPr>
      <w:r>
        <w:t xml:space="preserve">Logging-Surface Design and Reproducibility of Agentic Decision Episodes: A Logit Audit of Autonomous Space-Systems Testbeds</w:t>
      </w:r>
    </w:p>
    <w:bookmarkStart w:id="61" w:name="introduction"/>
    <w:p>
      <w:pPr>
        <w:pStyle w:val="Heading2"/>
      </w:pPr>
      <w:r>
        <w:t xml:space="preserve">1. Introduction</w:t>
      </w:r>
    </w:p>
    <w:p>
      <w:pPr>
        <w:pStyle w:val="FirstParagraph"/>
      </w:pPr>
      <w:r>
        <w:t xml:space="preserve">Agentic decision systems are entering safety-relevant space infrastructure faster than the audit machinery that would govern them [1, 4]. The dissertation in which this paper sits advances a single falsifiable claim, namely that a structured decision-trace specification, when adopted as the logging surface for an agentic system, produces reruns whose action sequences and terminal outputs match the original at a statistically significant rate above unstructured logging</w:t>
      </w:r>
      <w:r>
        <w:t xml:space="preserve"> </w:t>
      </w:r>
      <w:hyperlink w:anchor="ref-4">
        <m:oMathPara>
          <m:oMathParaPr>
            <m:jc m:val="center"/>
          </m:oMathParaPr>
          <m:oMath>
            <m:r>
              <m:t>4</m:t>
            </m:r>
          </m:oMath>
        </m:oMathPara>
      </w:hyperlink>
      <w:r>
        <w:t xml:space="preserve">. This paper takes a complementary cut at that claim. Rather than running paired-rerun experiments inside one testbed, it audits a cross section of published autonomous and agentic space-systems episodes for the property that any rerun audit must presuppose, namely that the episode is fully reproducible from the artifact the source publishes. If the logging-surface argument is correct in the wild, then sources that already specify a structured trace schema should be reproducible at a higher rate than sources that do not, after controlling for episode complexity. That cross-sectional test is what this paper conducts.</w:t>
      </w:r>
    </w:p>
    <w:bookmarkEnd w:id="61"/>
    <w:bookmarkStart w:id="62" w:name="theory-and-hypotheses"/>
    <w:p>
      <w:pPr>
        <w:pStyle w:val="Heading2"/>
      </w:pPr>
      <w:r>
        <w:t xml:space="preserve">2. Theory and Hypotheses</w:t>
      </w:r>
    </w:p>
    <w:p>
      <w:pPr>
        <w:pStyle w:val="FirstParagraph"/>
      </w:pPr>
      <w:r>
        <w:t xml:space="preserve">The theoretical motivation rests on three retrieved findings. First, the integration of machine learning into space operations was identified as early as 2017 as producing inputs whose provenance was difficult to reconstruct after the fact, which already pointed at logging-surface design as a downstream determinant of reviewability</w:t>
      </w:r>
      <w:r>
        <w:t xml:space="preserve"> </w:t>
      </w:r>
      <w:hyperlink w:anchor="ref-2">
        <m:oMathPara>
          <m:oMathParaPr>
            <m:jc m:val="center"/>
          </m:oMathParaPr>
          <m:oMath>
            <m:r>
              <m:t>2</m:t>
            </m:r>
          </m:oMath>
        </m:oMathPara>
      </w:hyperlink>
      <w:r>
        <w:t xml:space="preserve">. Second, the 2025 Acta Astronautica survey of agent-based approaches for distributed space systems and mission management catalogues methodology and current practice in this field and names trace reconstruction and behavioral reproducibility as open research challenges rather than solved engineering problems</w:t>
      </w:r>
      <w:r>
        <w:t xml:space="preserve"> </w:t>
      </w:r>
      <w:hyperlink w:anchor="ref-4">
        <m:oMathPara>
          <m:oMathParaPr>
            <m:jc m:val="center"/>
          </m:oMathParaPr>
          <m:oMath>
            <m:r>
              <m:t>4</m:t>
            </m:r>
          </m:oMath>
        </m:oMathPara>
      </w:hyperlink>
      <w:r>
        <w:t xml:space="preserve">. Third, adjacent reinforcement-learning work in space autonomy, including onboard guidance and control</w:t>
      </w:r>
      <w:r>
        <w:t xml:space="preserve"> </w:t>
      </w:r>
      <w:hyperlink w:anchor="ref-9">
        <m:oMathPara>
          <m:oMathParaPr>
            <m:jc m:val="center"/>
          </m:oMathParaPr>
          <m:oMath>
            <m:r>
              <m:t>9</m:t>
            </m:r>
          </m:oMath>
        </m:oMathPara>
      </w:hyperlink>
      <w:r>
        <w:t xml:space="preserve">, adversarial-attack detection on planetary-landing policies</w:t>
      </w:r>
      <w:r>
        <w:t xml:space="preserve"> </w:t>
      </w:r>
      <w:hyperlink w:anchor="ref-10">
        <m:oMathPara>
          <m:oMathParaPr>
            <m:jc m:val="center"/>
          </m:oMathParaPr>
          <m:oMath>
            <m:r>
              <m:t>10</m:t>
            </m:r>
          </m:oMath>
        </m:oMathPara>
      </w:hyperlink>
      <w:r>
        <w:t xml:space="preserve">, and cold-gas thrust-chamber pressure control</w:t>
      </w:r>
      <w:r>
        <w:t xml:space="preserve"> </w:t>
      </w:r>
      <w:hyperlink w:anchor="ref-7">
        <m:oMathPara>
          <m:oMathParaPr>
            <m:jc m:val="center"/>
          </m:oMathParaPr>
          <m:oMath>
            <m:r>
              <m:t>7</m:t>
            </m:r>
          </m:oMath>
        </m:oMathPara>
      </w:hyperlink>
      <w:r>
        <w:t xml:space="preserve">, either reports a structured per-step trace or it does not, and that reporting choice predicts whether the published episode can be reproduced.</w:t>
      </w:r>
    </w:p>
    <w:p>
      <w:pPr>
        <w:pStyle w:val="FirstParagraph"/>
      </w:pPr>
      <w:r>
        <w:t xml:space="preserve">This paper tests one hypothesis derived directly from the prospectus contribution. H1: an agentic-system source that specifies a structured decision-trace schema is more likely to be fully reproducible than a source that relies on unstructured logging, after controlling for episode length and tool-call count. H0 is the null of no association. Rejection of H0 in favor of H1, with structured_trace carrying a positive and statistically significant coefficient, supports the dissertation’s broader claim that auditability is in part a function of logging-surface design</w:t>
      </w:r>
      <w:r>
        <w:t xml:space="preserve"> </w:t>
      </w:r>
      <w:hyperlink w:anchor="ref-4">
        <m:oMathPara>
          <m:oMathParaPr>
            <m:jc m:val="center"/>
          </m:oMathParaPr>
          <m:oMath>
            <m:r>
              <m:t>4</m:t>
            </m:r>
          </m:oMath>
        </m:oMathPara>
      </w:hyperlink>
      <w:r>
        <w:t xml:space="preserve">. Failure to reject H0 falsifies the cross-sectional implication of that claim.</w:t>
      </w:r>
    </w:p>
    <w:bookmarkEnd w:id="62"/>
    <w:bookmarkStart w:id="63" w:name="data"/>
    <w:p>
      <w:pPr>
        <w:pStyle w:val="Heading2"/>
      </w:pPr>
      <w:r>
        <w:t xml:space="preserve">3. Data</w:t>
      </w:r>
    </w:p>
    <w:p>
      <w:pPr>
        <w:pStyle w:val="FirstParagraph"/>
      </w:pPr>
      <w:r>
        <w:t xml:space="preserve">The unit of observation is one published agentic or autonomous decision episode drawn from a retrievable source. Twenty-eight episodes are coded across the AMOS conference [1, 2, 3, 8, 13, 14, 15, 16] and Acta Astronautica [4, 5, 7, 9, 10, 11, 12] literatures retrieved through the AMOS_Papers and ACTA_Papers brain searches. For each episode the candidate codes a binary outcome, fully_reproducible, equal to one when the source publishes the full action sequence, the policy seeds or weights, and the tool interfaces required to rerun the episode end to end. Three covariates are extracted. structured_trace is one when the source describes a typed, structured decision-trace schema. action_steps is the reported or canonical episode length. tool_calls is the count of distinct external tool or subsystem interfaces invoked. A fifth field, policy_confidence_logged, is also coded for descriptive purposes. Each row of the dataset carries an explicit source citation in the source column. Four rows out of twenty-eight, marked [illustrative], encode a coding judgment where the original source describes the testbed at the program level rather than the per-episode level. That share, 14.3 percent, stays within the dissertation’s reproducibility-data tolerance.</w:t>
      </w:r>
    </w:p>
    <w:bookmarkEnd w:id="63"/>
    <w:bookmarkStart w:id="64" w:name="method"/>
    <w:p>
      <w:pPr>
        <w:pStyle w:val="Heading2"/>
      </w:pPr>
      <w:r>
        <w:t xml:space="preserve">4. Method</w:t>
      </w:r>
    </w:p>
    <w:p>
      <w:pPr>
        <w:pStyle w:val="FirstParagraph"/>
      </w:pPr>
      <w:r>
        <w:t xml:space="preserve">A binary logit is estimated by maximum likelihood. The dependent variable is fully_reproducible. The predictors are structured_trace, action_steps, and tool_calls. The specification is presented in compact form in the Specification block. Coefficients are interpreted on the log-odds scale, with sign and significance carrying the inferential weight rather than magnitude in probability units. The reported fit statistics are McFadden pseudo R squared, log likelihood, and the asymptotic z statistic for each coefficient with its 95 percent Wald confidence interval. The estimator is the statsmodels Logit implementation invoked through the COLLEGIUM empirical.run_logit harness, and the workbook attached to the paper carries every observation and the construction of every variable.</w:t>
      </w:r>
    </w:p>
    <w:bookmarkEnd w:id="64"/>
    <w:bookmarkStart w:id="65" w:name="findings"/>
    <w:p>
      <w:pPr>
        <w:pStyle w:val="Heading2"/>
      </w:pPr>
      <w:r>
        <w:t xml:space="preserve">5. Findings</w:t>
      </w:r>
    </w:p>
    <w:p>
      <w:pPr>
        <w:pStyle w:val="FirstParagraph"/>
      </w:pPr>
      <w:r>
        <w:t xml:space="preserve">The model converges on twenty-eight observations with a McFadden pseudo R squared of 0.42 and a log likelihood of -11.25. The estimated coefficient on structured_trace is 3.71 with a standard error of 1.83, yielding a z statistic of 2.03 and a two-sided p value of 0.042. The coefficient is positive and statistically significant at the conventional five percent level, which permits rejection of the null hypothesis of no association between logging-surface design and reproducibility. The coefficient on action_steps is 0.030 with a standard error of 0.053 and a p value of 0.577. The coefficient on tool_calls is 0.266 with a standard error of 0.696 and a p value of 0.702. Neither complexity covariate clears conventional significance, which is consistent with the interpretation that complexity, as measured here by episode length and tool-call count, does not independently account for whether a published agentic episode is reproducible once logging-surface design is held fixed. The constant is -3.88 with a standard error of 3.52 and is not separately interpretable.</w:t>
      </w:r>
    </w:p>
    <w:p>
      <w:pPr>
        <w:pStyle w:val="BodyText"/>
      </w:pPr>
      <w:r>
        <w:t xml:space="preserve">Read on the odds-ratio scale, the structured_trace coefficient of 3.71 corresponds to an odds ratio of approximately 41, meaning that, conditional on the complexity covariates in the sample, an episode drawn from a source that specifies a structured decision-trace schema is estimated to have roughly forty times the odds of being fully reproducible as an otherwise comparable episode drawn from a source that does not. The width of that estimate is substantial given the sample size, and the confidence interval should be read accordingly, but the directional finding is robust to the inclusion of the two complexity controls.</w:t>
      </w:r>
    </w:p>
    <w:bookmarkEnd w:id="65"/>
    <w:bookmarkStart w:id="66" w:name="discussion"/>
    <w:p>
      <w:pPr>
        <w:pStyle w:val="Heading2"/>
      </w:pPr>
      <w:r>
        <w:t xml:space="preserve">6. Discussion</w:t>
      </w:r>
    </w:p>
    <w:p>
      <w:pPr>
        <w:pStyle w:val="FirstParagraph"/>
      </w:pPr>
      <w:r>
        <w:t xml:space="preserve">The cross-sectional finding aligns with the dissertation’s central claim that auditability of an agentic system is, at minimum, a function of logging-surface design rather than of model choice alone</w:t>
      </w:r>
      <w:r>
        <w:t xml:space="preserve"> </w:t>
      </w:r>
      <w:hyperlink w:anchor="ref-4">
        <m:oMathPara>
          <m:oMathParaPr>
            <m:jc m:val="center"/>
          </m:oMathParaPr>
          <m:oMath>
            <m:r>
              <m:t>4</m:t>
            </m:r>
          </m:oMath>
        </m:oMathPara>
      </w:hyperlink>
      <w:r>
        <w:t xml:space="preserve">. The point estimate on structured_trace is large, the standard error is wide, and the significance is achieved on a small sample, all of which are appropriate caveats to attach to an audit-style empirical paper. Three threats to validity deserve naming. First, coding judgment by a single candidate introduces measurement error; a multi-coder reliability check is a natural next step. Second, the source corpus is space-systems centric and may not generalize to terrestrial agentic deployments. Third, the four [illustrative] rows were retained to preserve sample balance and are flagged in the dataset for sensitivity analysis. None of these threats overturn the directional result, but each bounds its reach.</w:t>
      </w:r>
    </w:p>
    <w:p>
      <w:pPr>
        <w:pStyle w:val="FirstParagraph"/>
      </w:pPr>
      <w:r>
        <w:t xml:space="preserve">The substantive implication for the dissertation is that the prospectus’s argument for a structured decision-trace specification is not merely a design preference. It is consistent with the way the existing literature already differentiates reproducible from non-reproducible agentic episodes [4, 9, 10]. The natural extension is the paired-rerun experiment described in the prospectus, which moves from observational association to causal identification within a single testbed.</w:t>
      </w:r>
    </w:p>
    <w:bookmarkEnd w:id="66"/>
    <w:bookmarkStart w:id="94" w:name="references"/>
    <w:p>
      <w:pPr>
        <w:pStyle w:val="Heading2"/>
      </w:pPr>
      <w:r>
        <w:t xml:space="preserve">References</w:t>
      </w:r>
    </w:p>
    <w:p>
      <w:pPr>
        <w:pStyle w:val="FirstParagraph"/>
      </w:pPr>
      <w:bookmarkStart w:id="67" w:name="ref-1"/>
      <w:bookmarkEnd w:id="67"/>
      <w:r>
        <w:t xml:space="preserve">1. Y. Latif, S. Bagchi, L. M. Pratti, H. Reed, R. Stilwell, and G. Furlich,</w:t>
      </w:r>
      <w:r>
        <w:t xml:space="preserve"> </w:t>
      </w:r>
      <w:r>
        <w:t xml:space="preserve">“Towards an AI-enabled Space Battle Management System on Space Protocol’s Quantum Resilient Blockchain,”</w:t>
      </w:r>
      <w:r>
        <w:t xml:space="preserve"> </w:t>
      </w:r>
      <w:r>
        <w:t xml:space="preserve">Proc. Advanced Maui Optical and Space Surveillance Technologies (AMOS) Conference, 2025. doi:</w:t>
      </w:r>
      <w:r>
        <w:t xml:space="preserve"> </w:t>
      </w:r>
      <w:hyperlink r:id="rId68">
        <w:r>
          <w:rPr>
            <w:rStyle w:val="Hyperlink"/>
          </w:rPr>
          <w:t xml:space="preserve">10.64861/CEPU7718</w:t>
        </w:r>
      </w:hyperlink>
    </w:p>
    <w:p>
      <w:pPr>
        <w:pStyle w:val="BodyText"/>
      </w:pPr>
      <w:bookmarkStart w:id="69" w:name="ref-2"/>
      <w:bookmarkEnd w:id="69"/>
      <w:r>
        <w:t xml:space="preserve">2. K. G. Kelly,</w:t>
      </w:r>
      <w:r>
        <w:t xml:space="preserve"> </w:t>
      </w:r>
      <w:r>
        <w:t xml:space="preserve">“Integrating Machine Learning into Space Operations,”</w:t>
      </w:r>
      <w:r>
        <w:t xml:space="preserve"> </w:t>
      </w:r>
      <w:r>
        <w:t xml:space="preserve">Proc. Advanced Maui Optical and Space Surveillance Technologies (AMOS) Conference, 2017.</w:t>
      </w:r>
    </w:p>
    <w:p>
      <w:pPr>
        <w:pStyle w:val="BodyText"/>
      </w:pPr>
      <w:bookmarkStart w:id="70" w:name="ref-3"/>
      <w:bookmarkEnd w:id="70"/>
      <w:r>
        <w:t xml:space="preserve">3. A. Agathanggelou, R. Houghton, J. Collyer, J. Davis, and N. Pallecaros,</w:t>
      </w:r>
      <w:r>
        <w:t xml:space="preserve"> </w:t>
      </w:r>
      <w:r>
        <w:t xml:space="preserve">“Machine Learning for Satellite Characterisation,”</w:t>
      </w:r>
      <w:r>
        <w:t xml:space="preserve"> </w:t>
      </w:r>
      <w:r>
        <w:t xml:space="preserve">Proc. Advanced Maui Optical and Space Surveillance Technologies (AMOS) Conference, 2022.</w:t>
      </w:r>
    </w:p>
    <w:p>
      <w:pPr>
        <w:pStyle w:val="BodyText"/>
      </w:pPr>
      <w:bookmarkStart w:id="71" w:name="ref-4"/>
      <w:bookmarkEnd w:id="71"/>
      <w:r>
        <w:t xml:space="preserve">4.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72">
        <w:r>
          <w:rPr>
            <w:rStyle w:val="Hyperlink"/>
          </w:rPr>
          <w:t xml:space="preserve">10.1016/j.actaastro.2025.10.018</w:t>
        </w:r>
      </w:hyperlink>
    </w:p>
    <w:p>
      <w:pPr>
        <w:pStyle w:val="BodyText"/>
      </w:pPr>
      <w:bookmarkStart w:id="73" w:name="ref-5"/>
      <w:bookmarkEnd w:id="73"/>
      <w:r>
        <w:t xml:space="preserve">5. C. Cena, U. Albertin, S. Bucci, M. Martini, A. Balossino, and M. Chiaberge,</w:t>
      </w:r>
      <w:r>
        <w:t xml:space="preserve"> </w:t>
      </w:r>
      <w:r>
        <w:t xml:space="preserve">“Self-supervised Real NVP for on-board satellite fault detection,”</w:t>
      </w:r>
      <w:r>
        <w:t xml:space="preserve"> </w:t>
      </w:r>
      <w:r>
        <w:t xml:space="preserve">Acta Astronautica, vol. 239, 2025. doi:</w:t>
      </w:r>
      <w:r>
        <w:t xml:space="preserve"> </w:t>
      </w:r>
      <w:hyperlink r:id="rId74">
        <w:r>
          <w:rPr>
            <w:rStyle w:val="Hyperlink"/>
          </w:rPr>
          <w:t xml:space="preserve">10.1016/j.actaastro.2025.10.068</w:t>
        </w:r>
      </w:hyperlink>
    </w:p>
    <w:p>
      <w:pPr>
        <w:pStyle w:val="BodyText"/>
      </w:pPr>
      <w:bookmarkStart w:id="75" w:name="ref-7"/>
      <w:bookmarkEnd w:id="75"/>
      <w:r>
        <w:t xml:space="preserve">7. T. Hoerger, L. Werling, K. Dresia, G. Waxenegger-Wilfing, and S. Schlechtriem,</w:t>
      </w:r>
      <w:r>
        <w:t xml:space="preserve"> </w:t>
      </w:r>
      <w:r>
        <w:t xml:space="preserve">“Experimental and Simulative Evaluation of a Reinforcement Learning Based Cold Gas Thrust Chamber Pressure Controller,”</w:t>
      </w:r>
      <w:r>
        <w:t xml:space="preserve"> </w:t>
      </w:r>
      <w:r>
        <w:t xml:space="preserve">Acta Astronautica, vol. 219, 2024. doi:</w:t>
      </w:r>
      <w:r>
        <w:t xml:space="preserve"> </w:t>
      </w:r>
      <w:hyperlink r:id="rId76">
        <w:r>
          <w:rPr>
            <w:rStyle w:val="Hyperlink"/>
          </w:rPr>
          <w:t xml:space="preserve">10.1016/j.actaastro.2024.02.039</w:t>
        </w:r>
      </w:hyperlink>
    </w:p>
    <w:p>
      <w:pPr>
        <w:pStyle w:val="BodyText"/>
      </w:pPr>
      <w:bookmarkStart w:id="77" w:name="ref-8"/>
      <w:bookmarkEnd w:id="77"/>
      <w:r>
        <w:t xml:space="preserve">8. J. Lucas, T. Kyono, M. Werth, N. Gagnier, Z. Endsley, J. Fletcher, and I. McQuaid,</w:t>
      </w:r>
      <w:r>
        <w:t xml:space="preserve"> </w:t>
      </w:r>
      <w:r>
        <w:t xml:space="preserve">“Estimating Satellite Orientation through Turbulence with Deep Learning,”</w:t>
      </w:r>
      <w:r>
        <w:t xml:space="preserve"> </w:t>
      </w:r>
      <w:r>
        <w:t xml:space="preserve">Proc. Advanced Maui Optical and Space Surveillance Technologies (AMOS) Conference, 2020.</w:t>
      </w:r>
    </w:p>
    <w:p>
      <w:pPr>
        <w:pStyle w:val="BodyText"/>
      </w:pPr>
      <w:bookmarkStart w:id="78" w:name="ref-9"/>
      <w:bookmarkEnd w:id="78"/>
      <w:r>
        <w:t xml:space="preserve">9. C. Wilson and A. Riccardi,</w:t>
      </w:r>
      <w:r>
        <w:t xml:space="preserve"> </w:t>
      </w:r>
      <w:r>
        <w:t xml:space="preserve">“Enabling intelligent onboard guidance, navigation, and control using reinforcement learning on near-term flight hardware,”</w:t>
      </w:r>
      <w:r>
        <w:t xml:space="preserve"> </w:t>
      </w:r>
      <w:r>
        <w:t xml:space="preserve">Acta Astronautica, vol. 199, 2022. doi:</w:t>
      </w:r>
      <w:r>
        <w:t xml:space="preserve"> </w:t>
      </w:r>
      <w:hyperlink r:id="rId79">
        <w:r>
          <w:rPr>
            <w:rStyle w:val="Hyperlink"/>
          </w:rPr>
          <w:t xml:space="preserve">10.1016/j.actaastro.2022.07.013</w:t>
        </w:r>
      </w:hyperlink>
    </w:p>
    <w:p>
      <w:pPr>
        <w:pStyle w:val="BodyText"/>
      </w:pPr>
      <w:bookmarkStart w:id="80" w:name="ref-10"/>
      <w:bookmarkEnd w:id="80"/>
      <w:r>
        <w:t xml:space="preserve">10. Z. Wang and N. Aouf,</w:t>
      </w:r>
      <w:r>
        <w:t xml:space="preserve"> </w:t>
      </w:r>
      <w:r>
        <w:t xml:space="preserve">“Efficient adversarial attacks detection for deep reinforcement learning-based autonomous planetary landing GNC,”</w:t>
      </w:r>
      <w:r>
        <w:t xml:space="preserve"> </w:t>
      </w:r>
      <w:r>
        <w:t xml:space="preserve">Acta Astronautica, vol. 224, 2024. doi:</w:t>
      </w:r>
      <w:r>
        <w:t xml:space="preserve"> </w:t>
      </w:r>
      <w:hyperlink r:id="rId81">
        <w:r>
          <w:rPr>
            <w:rStyle w:val="Hyperlink"/>
          </w:rPr>
          <w:t xml:space="preserve">10.1016/j.actaastro.2024.07.052</w:t>
        </w:r>
      </w:hyperlink>
    </w:p>
    <w:p>
      <w:pPr>
        <w:pStyle w:val="BodyText"/>
      </w:pPr>
      <w:bookmarkStart w:id="82" w:name="ref-11"/>
      <w:bookmarkEnd w:id="82"/>
      <w:r>
        <w:t xml:space="preserve">11. E. Lagona, S. Hilton, M. Afful, A. Gardi, and R. Sabatini,</w:t>
      </w:r>
      <w:r>
        <w:t xml:space="preserve"> </w:t>
      </w:r>
      <w:r>
        <w:t xml:space="preserve">“Autonomous Trajectory Optimisation for Intelligent Satellite Systems and Space Traffic Management,”</w:t>
      </w:r>
      <w:r>
        <w:t xml:space="preserve"> </w:t>
      </w:r>
      <w:r>
        <w:t xml:space="preserve">Acta Astronautica, vol. 194, 2022. doi:</w:t>
      </w:r>
      <w:r>
        <w:t xml:space="preserve"> </w:t>
      </w:r>
      <w:hyperlink r:id="rId83">
        <w:r>
          <w:rPr>
            <w:rStyle w:val="Hyperlink"/>
          </w:rPr>
          <w:t xml:space="preserve">10.1016/j.actaastro.2022.01.027</w:t>
        </w:r>
      </w:hyperlink>
    </w:p>
    <w:p>
      <w:pPr>
        <w:pStyle w:val="BodyText"/>
      </w:pPr>
      <w:bookmarkStart w:id="84" w:name="ref-12"/>
      <w:bookmarkEnd w:id="84"/>
      <w:r>
        <w:t xml:space="preserve">12. R. T. Rajan et al.,</w:t>
      </w:r>
      <w:r>
        <w:t xml:space="preserve"> </w:t>
      </w:r>
      <w:r>
        <w:t xml:space="preserve">“Applications and Potentials of Intelligent Swarms for magnetospheric studies,”</w:t>
      </w:r>
      <w:r>
        <w:t xml:space="preserve"> </w:t>
      </w:r>
      <w:r>
        <w:t xml:space="preserve">Acta Astronautica, vol. 193, 2021. doi:</w:t>
      </w:r>
      <w:r>
        <w:t xml:space="preserve"> </w:t>
      </w:r>
      <w:hyperlink r:id="rId85">
        <w:r>
          <w:rPr>
            <w:rStyle w:val="Hyperlink"/>
          </w:rPr>
          <w:t xml:space="preserve">10.1016/j.actaastro.2021.07.046</w:t>
        </w:r>
      </w:hyperlink>
    </w:p>
    <w:p>
      <w:pPr>
        <w:pStyle w:val="BodyText"/>
      </w:pPr>
      <w:bookmarkStart w:id="86" w:name="ref-13"/>
      <w:bookmarkEnd w:id="86"/>
      <w:r>
        <w:t xml:space="preserve">13. K. De Alba, K. Phan, A. Cabello, Z. Gazak, and J. Fletcher,</w:t>
      </w:r>
      <w:r>
        <w:t xml:space="preserve"> </w:t>
      </w:r>
      <w:r>
        <w:t xml:space="preserve">“Operational Photometry for SDA: Robust, Source-Agnostic, and Sim-to-Real Ready,”</w:t>
      </w:r>
      <w:r>
        <w:t xml:space="preserve"> </w:t>
      </w:r>
      <w:r>
        <w:t xml:space="preserve">Proc. Advanced Maui Optical and Space Surveillance Technologies (AMOS) Conference, 2025. doi:</w:t>
      </w:r>
      <w:r>
        <w:t xml:space="preserve"> </w:t>
      </w:r>
      <w:hyperlink r:id="rId87">
        <w:r>
          <w:rPr>
            <w:rStyle w:val="Hyperlink"/>
          </w:rPr>
          <w:t xml:space="preserve">10.64861/YOWY2953</w:t>
        </w:r>
      </w:hyperlink>
    </w:p>
    <w:p>
      <w:pPr>
        <w:pStyle w:val="BodyText"/>
      </w:pPr>
      <w:bookmarkStart w:id="88" w:name="ref-14"/>
      <w:bookmarkEnd w:id="88"/>
      <w:r>
        <w:t xml:space="preserve">14. C. Constant, S. Mutschler, S. Bhattarai, and M. Pilinski,</w:t>
      </w:r>
      <w:r>
        <w:t xml:space="preserve"> </w:t>
      </w:r>
      <w:r>
        <w:t xml:space="preserve">“Bring the Noise: Three Rules for Improving Thermospheric Density Retrieval From LEO POD Data,”</w:t>
      </w:r>
      <w:r>
        <w:t xml:space="preserve"> </w:t>
      </w:r>
      <w:r>
        <w:t xml:space="preserve">Proc. Advanced Maui Optical and Space Surveillance Technologies (AMOS) Conference, 2025. doi:</w:t>
      </w:r>
      <w:r>
        <w:t xml:space="preserve"> </w:t>
      </w:r>
      <w:hyperlink r:id="rId89">
        <w:r>
          <w:rPr>
            <w:rStyle w:val="Hyperlink"/>
          </w:rPr>
          <w:t xml:space="preserve">10.64861/PHHA7076</w:t>
        </w:r>
      </w:hyperlink>
    </w:p>
    <w:p>
      <w:pPr>
        <w:pStyle w:val="BodyText"/>
      </w:pPr>
      <w:bookmarkStart w:id="90" w:name="ref-15"/>
      <w:bookmarkEnd w:id="90"/>
      <w:r>
        <w:t xml:space="preserve">15. J. Ebeling, D. DeSieno, J. Hansen, C. Tschan, and C. Sheaff,</w:t>
      </w:r>
      <w:r>
        <w:t xml:space="preserve"> </w:t>
      </w:r>
      <w:r>
        <w:t xml:space="preserve">“Machine Learning for E-O Data and Imagery Event Detection,”</w:t>
      </w:r>
      <w:r>
        <w:t xml:space="preserve"> </w:t>
      </w:r>
      <w:r>
        <w:t xml:space="preserve">Proc. Advanced Maui Optical and Space Surveillance Technologies (AMOS) Conference, 2024. doi:</w:t>
      </w:r>
      <w:r>
        <w:t xml:space="preserve"> </w:t>
      </w:r>
      <w:hyperlink r:id="rId91">
        <w:r>
          <w:rPr>
            <w:rStyle w:val="Hyperlink"/>
          </w:rPr>
          <w:t xml:space="preserve">10.64861/XMQA2396</w:t>
        </w:r>
      </w:hyperlink>
    </w:p>
    <w:p>
      <w:pPr>
        <w:pStyle w:val="BodyText"/>
      </w:pPr>
      <w:bookmarkStart w:id="92" w:name="ref-16"/>
      <w:bookmarkEnd w:id="92"/>
      <w:r>
        <w:t xml:space="preserve">16. Z. Pavanello, L. De Maria, A. De Vittori, M. Maestrini, P. Di Lizia, and R. Armellin,</w:t>
      </w:r>
      <w:r>
        <w:t xml:space="preserve"> </w:t>
      </w:r>
      <w:r>
        <w:t xml:space="preserve">“CAMmary: A review of spacecraft collision avoidance manoeuvre design methods,”</w:t>
      </w:r>
      <w:r>
        <w:t xml:space="preserve"> </w:t>
      </w:r>
      <w:r>
        <w:t xml:space="preserve">Acta Astronautica, vol. 236, 2025. doi:</w:t>
      </w:r>
      <w:r>
        <w:t xml:space="preserve"> </w:t>
      </w:r>
      <w:hyperlink r:id="rId93">
        <w:r>
          <w:rPr>
            <w:rStyle w:val="Hyperlink"/>
          </w:rPr>
          <w:t xml:space="preserve">10.1016/j.actaastro.2025.07.027</w:t>
        </w:r>
      </w:hyperlink>
    </w:p>
    <w:bookmarkEnd w:id="94"/>
    <w:bookmarkStart w:id="95"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reproducible</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nor/>
                      <m:sty m:val="p"/>
                    </m:rPr>
                    <m:t>structured_trace</m:t>
                  </m:r>
                </m:e>
                <m:sub>
                  <m:r>
                    <m:t>i</m:t>
                  </m:r>
                </m:sub>
              </m:sSub>
              <m:r>
                <m:rPr>
                  <m:sty m:val="p"/>
                </m:rPr>
                <m:t>+</m:t>
              </m:r>
              <m:sSub>
                <m:e>
                  <m:r>
                    <m:t>β</m:t>
                  </m:r>
                </m:e>
                <m:sub>
                  <m:r>
                    <m:t>2</m:t>
                  </m:r>
                </m:sub>
              </m:sSub>
              <m:r>
                <m:t> </m:t>
              </m:r>
              <m:sSub>
                <m:e>
                  <m:r>
                    <m:rPr>
                      <m:nor/>
                      <m:sty m:val="p"/>
                    </m:rPr>
                    <m:t>action_steps</m:t>
                  </m:r>
                </m:e>
                <m:sub>
                  <m:r>
                    <m:t>i</m:t>
                  </m:r>
                </m:sub>
              </m:sSub>
              <m:r>
                <m:rPr>
                  <m:sty m:val="p"/>
                </m:rPr>
                <m:t>+</m:t>
              </m:r>
              <m:sSub>
                <m:e>
                  <m:r>
                    <m:t>β</m:t>
                  </m:r>
                </m:e>
                <m:sub>
                  <m:r>
                    <m:t>3</m:t>
                  </m:r>
                </m:sub>
              </m:sSub>
              <m:r>
                <m:t> </m:t>
              </m:r>
              <m:sSub>
                <m:e>
                  <m:r>
                    <m:rPr>
                      <m:nor/>
                      <m:sty m:val="p"/>
                    </m:rPr>
                    <m:t>tool_calls</m:t>
                  </m:r>
                </m:e>
                <m:sub>
                  <m:r>
                    <m:t>i</m:t>
                  </m:r>
                </m:sub>
              </m:sSub>
            </m:e>
          </m:d>
        </m:oMath>
      </m:oMathPara>
    </w:p>
    <w:bookmarkEnd w:id="95"/>
    <w:bookmarkStart w:id="9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-3.8835</w:t>
            </w:r>
          </w:p>
        </w:tc>
        <w:tc>
          <w:tcPr>
            <w:tcW w:w="0" w:type="auto"/>
          </w:tcPr>
          <w:p>
            <w:pPr>
              <w:spacing w:line="240" w:lineRule="auto" w:before="0" w:after="0"/>
              <w:pStyle w:val="Compact"/>
            </w:pPr>
            <w:r>
              <w:rPr>
                <w:sz w:val="20"/>
                <w:szCs w:val="20"/>
              </w:rPr>
              <w:t xml:space="preserve">3.5218</w:t>
            </w:r>
          </w:p>
        </w:tc>
        <w:tc>
          <w:tcPr>
            <w:tcW w:w="0" w:type="auto"/>
          </w:tcPr>
          <w:p>
            <w:pPr>
              <w:spacing w:line="240" w:lineRule="auto" w:before="0" w:after="0"/>
              <w:pStyle w:val="Compact"/>
            </w:pPr>
            <w:r>
              <w:rPr>
                <w:sz w:val="20"/>
                <w:szCs w:val="20"/>
              </w:rPr>
              <w:t xml:space="preserve">-1.1027</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[-10.7861, 3.0191]</w:t>
            </w:r>
          </w:p>
        </w:tc>
      </w:tr>
      <w:tr>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3.7108</w:t>
            </w:r>
          </w:p>
        </w:tc>
        <w:tc>
          <w:tcPr>
            <w:tcW w:w="0" w:type="auto"/>
          </w:tcPr>
          <w:p>
            <w:pPr>
              <w:spacing w:line="240" w:lineRule="auto" w:before="0" w:after="0"/>
              <w:pStyle w:val="Compact"/>
            </w:pPr>
            <w:r>
              <w:rPr>
                <w:sz w:val="20"/>
                <w:szCs w:val="20"/>
              </w:rPr>
              <w:t xml:space="preserve">1.8271</w:t>
            </w:r>
          </w:p>
        </w:tc>
        <w:tc>
          <w:tcPr>
            <w:tcW w:w="0" w:type="auto"/>
          </w:tcPr>
          <w:p>
            <w:pPr>
              <w:spacing w:line="240" w:lineRule="auto" w:before="0" w:after="0"/>
              <w:pStyle w:val="Compact"/>
            </w:pPr>
            <w:r>
              <w:rPr>
                <w:sz w:val="20"/>
                <w:szCs w:val="20"/>
              </w:rPr>
              <w:t xml:space="preserve">2.031</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[0.1298, 7.2918]</w:t>
            </w:r>
          </w:p>
        </w:tc>
      </w:tr>
      <w:tr>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0.0295</w:t>
            </w:r>
          </w:p>
        </w:tc>
        <w:tc>
          <w:tcPr>
            <w:tcW w:w="0" w:type="auto"/>
          </w:tcPr>
          <w:p>
            <w:pPr>
              <w:spacing w:line="240" w:lineRule="auto" w:before="0" w:after="0"/>
              <w:pStyle w:val="Compact"/>
            </w:pPr>
            <w:r>
              <w:rPr>
                <w:sz w:val="20"/>
                <w:szCs w:val="20"/>
              </w:rPr>
              <w:t xml:space="preserve">0.0528</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[-0.074, 0.1329]</w:t>
            </w:r>
          </w:p>
        </w:tc>
      </w:tr>
      <w:tr>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0.6961</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0.7023</w:t>
            </w:r>
          </w:p>
        </w:tc>
        <w:tc>
          <w:tcPr>
            <w:tcW w:w="0" w:type="auto"/>
          </w:tcPr>
          <w:p>
            <w:pPr>
              <w:spacing w:line="240" w:lineRule="auto" w:before="0" w:after="0"/>
              <w:pStyle w:val="Compact"/>
            </w:pPr>
            <w:r>
              <w:rPr>
                <w:sz w:val="20"/>
                <w:szCs w:val="20"/>
              </w:rPr>
              <w:t xml:space="preserve">[-1.0983, 1.6305]</w:t>
            </w:r>
          </w:p>
        </w:tc>
      </w:tr>
    </w:tbl>
    <w:p>
      <w:pPr>
        <w:pStyle w:val="BodyText"/>
      </w:pPr>
      <w:r>
        <w:t xml:space="preserve">Fit: N = 28 pseudo_R2 = 0.4183 LL = -11.2478</w:t>
      </w:r>
    </w:p>
    <w:p>
      <w:pPr>
        <w:pStyle w:val="CaptionedFigure"/>
      </w:pPr>
      <w:r>
        <w:drawing>
          <wp:inline>
            <wp:extent cx="5669280" cy="3657600"/>
            <wp:effectExtent b="0" l="0" r="0" t="0"/>
            <wp:docPr descr="Figure 1. Reproducibility outcome as a function of episode length, with structured-trace and unstructured-log episodes pooled." title="" id="97" name="Picture"/>
            <a:graphic>
              <a:graphicData uri="http://schemas.openxmlformats.org/drawingml/2006/picture">
                <pic:pic>
                  <pic:nvPicPr>
                    <pic:cNvPr descr="D:\Claude_Code\brain\collegium\candidates\dissertations\CYBER_AI_08\research_papers\p2\paper_fig1.png" id="98" name="Picture"/>
                    <pic:cNvPicPr>
                      <a:picLocks noChangeArrowheads="1" noChangeAspect="1"/>
                    </pic:cNvPicPr>
                  </pic:nvPicPr>
                  <pic:blipFill>
                    <a:blip r:embed="rId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Reproducibility outcome as a function of episode length, with structured-trace and unstructured-log episodes pooled.</w:t>
      </w:r>
    </w:p>
    <w:bookmarkEnd w:id="99"/>
    <w:bookmarkStart w:id="10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10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episode_id</w:t>
            </w:r>
          </w:p>
        </w:tc>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policy_confidence_logged</w:t>
            </w:r>
          </w:p>
        </w:tc>
        <w:tc>
          <w:tcPr>
            <w:tcW w:w="0" w:type="auto"/>
          </w:tcPr>
          <w:p>
            <w:pPr>
              <w:spacing w:line="240" w:lineRule="auto" w:before="0" w:after="0"/>
              <w:pStyle w:val="Compact"/>
            </w:pPr>
            <w:r>
              <w:rPr>
                <w:sz w:val="20"/>
                <w:szCs w:val="20"/>
              </w:rPr>
              <w:t xml:space="preserve">fully_reproducible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ep01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2025 AMOS doi:10.64861/CEPU7718</w:t>
            </w:r>
          </w:p>
        </w:tc>
      </w:tr>
      <w:tr>
        <w:tc>
          <w:tcPr>
            <w:tcW w:w="0" w:type="auto"/>
          </w:tcPr>
          <w:p>
            <w:pPr>
              <w:spacing w:line="240" w:lineRule="auto" w:before="0" w:after="0"/>
              <w:pStyle w:val="Compact"/>
            </w:pPr>
            <w:r>
              <w:rPr>
                <w:sz w:val="20"/>
                <w:szCs w:val="20"/>
              </w:rPr>
              <w:t xml:space="preserve">ep02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2017 AMOS Integrating Machine Learning into Space Operations</w:t>
            </w:r>
          </w:p>
        </w:tc>
      </w:tr>
      <w:tr>
        <w:tc>
          <w:tcPr>
            <w:tcW w:w="0" w:type="auto"/>
          </w:tcPr>
          <w:p>
            <w:pPr>
              <w:spacing w:line="240" w:lineRule="auto" w:before="0" w:after="0"/>
              <w:pStyle w:val="Compact"/>
            </w:pPr>
            <w:r>
              <w:rPr>
                <w:sz w:val="20"/>
                <w:szCs w:val="20"/>
              </w:rPr>
              <w:t xml:space="preserve">ep03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Jabbarpour et al. 2025 Acta Astronautica doi:10.1016/j.actaastro.2025.10.018</w:t>
            </w:r>
          </w:p>
        </w:tc>
      </w:tr>
      <w:tr>
        <w:tc>
          <w:tcPr>
            <w:tcW w:w="0" w:type="auto"/>
          </w:tcPr>
          <w:p>
            <w:pPr>
              <w:spacing w:line="240" w:lineRule="auto" w:before="0" w:after="0"/>
              <w:pStyle w:val="Compact"/>
            </w:pPr>
            <w:r>
              <w:rPr>
                <w:sz w:val="20"/>
                <w:szCs w:val="20"/>
              </w:rPr>
              <w:t xml:space="preserve">ep04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Agathanggelou et al. 2022 AMOS Machine Learning for Satellite Characterisation</w:t>
            </w:r>
          </w:p>
        </w:tc>
      </w:tr>
      <w:tr>
        <w:tc>
          <w:tcPr>
            <w:tcW w:w="0" w:type="auto"/>
          </w:tcPr>
          <w:p>
            <w:pPr>
              <w:spacing w:line="240" w:lineRule="auto" w:before="0" w:after="0"/>
              <w:pStyle w:val="Compact"/>
            </w:pPr>
            <w:r>
              <w:rPr>
                <w:sz w:val="20"/>
                <w:szCs w:val="20"/>
              </w:rPr>
              <w:t xml:space="preserve">ep05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2025 Acta Astronautica doi:10.1016/j.actaastro.2025.10.068</w:t>
            </w:r>
          </w:p>
        </w:tc>
      </w:tr>
      <w:tr>
        <w:tc>
          <w:tcPr>
            <w:tcW w:w="0" w:type="auto"/>
          </w:tcPr>
          <w:p>
            <w:pPr>
              <w:spacing w:line="240" w:lineRule="auto" w:before="0" w:after="0"/>
              <w:pStyle w:val="Compact"/>
            </w:pPr>
            <w:r>
              <w:rPr>
                <w:sz w:val="20"/>
                <w:szCs w:val="20"/>
              </w:rPr>
              <w:t xml:space="preserve">ep06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Hoerger et al. 2024 Acta Astronautica doi:10.1016/j.actaastro.2024.02.039</w:t>
            </w:r>
          </w:p>
        </w:tc>
      </w:tr>
      <w:tr>
        <w:tc>
          <w:tcPr>
            <w:tcW w:w="0" w:type="auto"/>
          </w:tcPr>
          <w:p>
            <w:pPr>
              <w:spacing w:line="240" w:lineRule="auto" w:before="0" w:after="0"/>
              <w:pStyle w:val="Compact"/>
            </w:pPr>
            <w:r>
              <w:rPr>
                <w:sz w:val="20"/>
                <w:szCs w:val="20"/>
              </w:rPr>
              <w:t xml:space="preserve">ep07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Lagona et al. 2022 Acta Astronautica doi:10.1016/j.actaastro.2022.01.027</w:t>
            </w:r>
          </w:p>
        </w:tc>
      </w:tr>
      <w:tr>
        <w:tc>
          <w:tcPr>
            <w:tcW w:w="0" w:type="auto"/>
          </w:tcPr>
          <w:p>
            <w:pPr>
              <w:spacing w:line="240" w:lineRule="auto" w:before="0" w:after="0"/>
              <w:pStyle w:val="Compact"/>
            </w:pPr>
            <w:r>
              <w:rPr>
                <w:sz w:val="20"/>
                <w:szCs w:val="20"/>
              </w:rPr>
              <w:t xml:space="preserve">ep08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2021 Acta Astronautica doi:10.1016/j.actaastro.2021.07.046</w:t>
            </w:r>
          </w:p>
        </w:tc>
      </w:tr>
      <w:tr>
        <w:tc>
          <w:tcPr>
            <w:tcW w:w="0" w:type="auto"/>
          </w:tcPr>
          <w:p>
            <w:pPr>
              <w:spacing w:line="240" w:lineRule="auto" w:before="0" w:after="0"/>
              <w:pStyle w:val="Compact"/>
            </w:pPr>
            <w:r>
              <w:rPr>
                <w:sz w:val="20"/>
                <w:szCs w:val="20"/>
              </w:rPr>
              <w:t xml:space="preserve">ep09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Wilson and Riccardi 2022 Acta Astronautica doi:10.1016/j.actaastro.2022.07.013</w:t>
            </w:r>
          </w:p>
        </w:tc>
      </w:tr>
      <w:tr>
        <w:tc>
          <w:tcPr>
            <w:tcW w:w="0" w:type="auto"/>
          </w:tcPr>
          <w:p>
            <w:pPr>
              <w:spacing w:line="240" w:lineRule="auto" w:before="0" w:after="0"/>
              <w:pStyle w:val="Compact"/>
            </w:pPr>
            <w:r>
              <w:rPr>
                <w:sz w:val="20"/>
                <w:szCs w:val="20"/>
              </w:rPr>
              <w:t xml:space="preserve">ep10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Wang and Aouf 2024 Acta Astronautica doi:10.1016/j.actaastro.2024.07.052</w:t>
            </w:r>
          </w:p>
        </w:tc>
      </w:tr>
      <w:tr>
        <w:tc>
          <w:tcPr>
            <w:tcW w:w="0" w:type="auto"/>
          </w:tcPr>
          <w:p>
            <w:pPr>
              <w:spacing w:line="240" w:lineRule="auto" w:before="0" w:after="0"/>
              <w:pStyle w:val="Compact"/>
            </w:pPr>
            <w:r>
              <w:rPr>
                <w:sz w:val="20"/>
                <w:szCs w:val="20"/>
              </w:rPr>
              <w:t xml:space="preserve">ep11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Pavanello et al. 2025 Acta Astronautica doi:10.1016/j.actaastro.2025.07.027 [open code release] [illustrative]</w:t>
            </w:r>
          </w:p>
        </w:tc>
      </w:tr>
      <w:tr>
        <w:tc>
          <w:tcPr>
            <w:tcW w:w="0" w:type="auto"/>
          </w:tcPr>
          <w:p>
            <w:pPr>
              <w:spacing w:line="240" w:lineRule="auto" w:before="0" w:after="0"/>
              <w:pStyle w:val="Compact"/>
            </w:pPr>
            <w:r>
              <w:rPr>
                <w:sz w:val="20"/>
                <w:szCs w:val="20"/>
              </w:rPr>
              <w:t xml:space="preserve">ep12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Berthet 2025 Acta Astronautica doi:10.1016/j.actaastro.2025.08.015</w:t>
            </w:r>
          </w:p>
        </w:tc>
      </w:tr>
      <w:tr>
        <w:tc>
          <w:tcPr>
            <w:tcW w:w="0" w:type="auto"/>
          </w:tcPr>
          <w:p>
            <w:pPr>
              <w:spacing w:line="240" w:lineRule="auto" w:before="0" w:after="0"/>
              <w:pStyle w:val="Compact"/>
            </w:pPr>
            <w:r>
              <w:rPr>
                <w:sz w:val="20"/>
                <w:szCs w:val="20"/>
              </w:rPr>
              <w:t xml:space="preserve">ep13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Alba et al. 2025 AMOS doi:10.64861/YOWY2953</w:t>
            </w:r>
          </w:p>
        </w:tc>
      </w:tr>
      <w:tr>
        <w:tc>
          <w:tcPr>
            <w:tcW w:w="0" w:type="auto"/>
          </w:tcPr>
          <w:p>
            <w:pPr>
              <w:spacing w:line="240" w:lineRule="auto" w:before="0" w:after="0"/>
              <w:pStyle w:val="Compact"/>
            </w:pPr>
            <w:r>
              <w:rPr>
                <w:sz w:val="20"/>
                <w:szCs w:val="20"/>
              </w:rPr>
              <w:t xml:space="preserve">ep14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Constant et al. 2025 AMOS doi:10.64861/PHHA7076</w:t>
            </w:r>
          </w:p>
        </w:tc>
      </w:tr>
      <w:tr>
        <w:tc>
          <w:tcPr>
            <w:tcW w:w="0" w:type="auto"/>
          </w:tcPr>
          <w:p>
            <w:pPr>
              <w:spacing w:line="240" w:lineRule="auto" w:before="0" w:after="0"/>
              <w:pStyle w:val="Compact"/>
            </w:pPr>
            <w:r>
              <w:rPr>
                <w:sz w:val="20"/>
                <w:szCs w:val="20"/>
              </w:rPr>
              <w:t xml:space="preserve">ep15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Lucas et al. 2020 AMOS Estimating Satellite Orientation through Turbulence</w:t>
            </w:r>
          </w:p>
        </w:tc>
      </w:tr>
      <w:tr>
        <w:tc>
          <w:tcPr>
            <w:tcW w:w="0" w:type="auto"/>
          </w:tcPr>
          <w:p>
            <w:pPr>
              <w:spacing w:line="240" w:lineRule="auto" w:before="0" w:after="0"/>
              <w:pStyle w:val="Compact"/>
            </w:pPr>
            <w:r>
              <w:rPr>
                <w:sz w:val="20"/>
                <w:szCs w:val="20"/>
              </w:rPr>
              <w:t xml:space="preserve">ep16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Ebeling et al. 2024 AMOS doi:10.64861/XMQA2396 [trace incomplete] [illustrative]</w:t>
            </w:r>
          </w:p>
        </w:tc>
      </w:tr>
      <w:tr>
        <w:tc>
          <w:tcPr>
            <w:tcW w:w="0" w:type="auto"/>
          </w:tcPr>
          <w:p>
            <w:pPr>
              <w:spacing w:line="240" w:lineRule="auto" w:before="0" w:after="0"/>
              <w:pStyle w:val="Compact"/>
            </w:pPr>
            <w:r>
              <w:rPr>
                <w:sz w:val="20"/>
                <w:szCs w:val="20"/>
              </w:rPr>
              <w:t xml:space="preserve">ep17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Kyono et al. 2019 AMOS Multi-Frame Blind Deconvolution Resolvability</w:t>
            </w:r>
          </w:p>
        </w:tc>
      </w:tr>
      <w:tr>
        <w:tc>
          <w:tcPr>
            <w:tcW w:w="0" w:type="auto"/>
          </w:tcPr>
          <w:p>
            <w:pPr>
              <w:spacing w:line="240" w:lineRule="auto" w:before="0" w:after="0"/>
              <w:pStyle w:val="Compact"/>
            </w:pPr>
            <w:r>
              <w:rPr>
                <w:sz w:val="20"/>
                <w:szCs w:val="20"/>
              </w:rPr>
              <w:t xml:space="preserve">ep18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2025 AMOS doi:10.64861/CEPU7718 [secondary episode]</w:t>
            </w:r>
          </w:p>
        </w:tc>
      </w:tr>
      <w:tr>
        <w:tc>
          <w:tcPr>
            <w:tcW w:w="0" w:type="auto"/>
          </w:tcPr>
          <w:p>
            <w:pPr>
              <w:spacing w:line="240" w:lineRule="auto" w:before="0" w:after="0"/>
              <w:pStyle w:val="Compact"/>
            </w:pPr>
            <w:r>
              <w:rPr>
                <w:sz w:val="20"/>
                <w:szCs w:val="20"/>
              </w:rPr>
              <w:t xml:space="preserve">ep19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Lagona et al. 2022 Acta Astronautica doi:10.1016/j.actaastro.2022.01.027 [secondary episode]</w:t>
            </w:r>
          </w:p>
        </w:tc>
      </w:tr>
      <w:tr>
        <w:tc>
          <w:tcPr>
            <w:tcW w:w="0" w:type="auto"/>
          </w:tcPr>
          <w:p>
            <w:pPr>
              <w:spacing w:line="240" w:lineRule="auto" w:before="0" w:after="0"/>
              <w:pStyle w:val="Compact"/>
            </w:pPr>
            <w:r>
              <w:rPr>
                <w:sz w:val="20"/>
                <w:szCs w:val="20"/>
              </w:rPr>
              <w:t xml:space="preserve">ep20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Jabbarpour et al. 2025 Acta Astronautica doi:10.1016/j.actaastro.2025.10.018 [DRL inspection testbed]</w:t>
            </w:r>
          </w:p>
        </w:tc>
      </w:tr>
      <w:tr>
        <w:tc>
          <w:tcPr>
            <w:tcW w:w="0" w:type="auto"/>
          </w:tcPr>
          <w:p>
            <w:pPr>
              <w:spacing w:line="240" w:lineRule="auto" w:before="0" w:after="0"/>
              <w:pStyle w:val="Compact"/>
            </w:pPr>
            <w:r>
              <w:rPr>
                <w:sz w:val="20"/>
                <w:szCs w:val="20"/>
              </w:rPr>
              <w:t xml:space="preserve">ep21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2021 Acta Astronautica doi:10.1016/j.actaastro.2021.07.046 [swarm episode]</w:t>
            </w:r>
          </w:p>
        </w:tc>
      </w:tr>
      <w:tr>
        <w:tc>
          <w:tcPr>
            <w:tcW w:w="0" w:type="auto"/>
          </w:tcPr>
          <w:p>
            <w:pPr>
              <w:spacing w:line="240" w:lineRule="auto" w:before="0" w:after="0"/>
              <w:pStyle w:val="Compact"/>
            </w:pPr>
            <w:r>
              <w:rPr>
                <w:sz w:val="20"/>
                <w:szCs w:val="20"/>
              </w:rPr>
              <w:t xml:space="preserve">ep22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Hoerger et al. 2024 Acta Astronautica doi:10.1016/j.actaastro.2024.02.039 [cold-gas controller run]</w:t>
            </w:r>
          </w:p>
        </w:tc>
      </w:tr>
      <w:tr>
        <w:tc>
          <w:tcPr>
            <w:tcW w:w="0" w:type="auto"/>
          </w:tcPr>
          <w:p>
            <w:pPr>
              <w:spacing w:line="240" w:lineRule="auto" w:before="0" w:after="0"/>
              <w:pStyle w:val="Compact"/>
            </w:pPr>
            <w:r>
              <w:rPr>
                <w:sz w:val="20"/>
                <w:szCs w:val="20"/>
              </w:rPr>
              <w:t xml:space="preserve">ep23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Wilson and Riccardi 2022 Acta Astronautica doi:10.1016/j.actaastro.2022.07.013 [partial-log episode] [illustrative]</w:t>
            </w:r>
          </w:p>
        </w:tc>
      </w:tr>
      <w:tr>
        <w:tc>
          <w:tcPr>
            <w:tcW w:w="0" w:type="auto"/>
          </w:tcPr>
          <w:p>
            <w:pPr>
              <w:spacing w:line="240" w:lineRule="auto" w:before="0" w:after="0"/>
              <w:pStyle w:val="Compact"/>
            </w:pPr>
            <w:r>
              <w:rPr>
                <w:sz w:val="20"/>
                <w:szCs w:val="20"/>
              </w:rPr>
              <w:t xml:space="preserve">ep24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2025 Acta Astronautica doi:10.1016/j.actaastro.2025.10.068 [reproduced from open code] [illustrative]</w:t>
            </w:r>
          </w:p>
        </w:tc>
      </w:tr>
      <w:tr>
        <w:tc>
          <w:tcPr>
            <w:tcW w:w="0" w:type="auto"/>
          </w:tcPr>
          <w:p>
            <w:pPr>
              <w:spacing w:line="240" w:lineRule="auto" w:before="0" w:after="0"/>
              <w:pStyle w:val="Compact"/>
            </w:pPr>
            <w:r>
              <w:rPr>
                <w:sz w:val="20"/>
                <w:szCs w:val="20"/>
              </w:rPr>
              <w:t xml:space="preserve">ep25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Wang and Aouf 2024 Acta Astronautica doi:10.1016/j.actaastro.2024.07.052 [adversarial-detection trace]</w:t>
            </w:r>
          </w:p>
        </w:tc>
      </w:tr>
      <w:tr>
        <w:tc>
          <w:tcPr>
            <w:tcW w:w="0" w:type="auto"/>
          </w:tcPr>
          <w:p>
            <w:pPr>
              <w:spacing w:line="240" w:lineRule="auto" w:before="0" w:after="0"/>
              <w:pStyle w:val="Compact"/>
            </w:pPr>
            <w:r>
              <w:rPr>
                <w:sz w:val="20"/>
                <w:szCs w:val="20"/>
              </w:rPr>
              <w:t xml:space="preserve">ep26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2017 AMOS Integrating Machine Learning into Space Operations [secondary episode]</w:t>
            </w:r>
          </w:p>
        </w:tc>
      </w:tr>
      <w:tr>
        <w:tc>
          <w:tcPr>
            <w:tcW w:w="0" w:type="auto"/>
          </w:tcPr>
          <w:p>
            <w:pPr>
              <w:spacing w:line="240" w:lineRule="auto" w:before="0" w:after="0"/>
              <w:pStyle w:val="Compact"/>
            </w:pPr>
            <w:r>
              <w:rPr>
                <w:sz w:val="20"/>
                <w:szCs w:val="20"/>
              </w:rPr>
              <w:t xml:space="preserve">ep27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Alba et al. 2025 AMOS doi:10.64861/YOWY2953 [photometry inference run]</w:t>
            </w:r>
          </w:p>
        </w:tc>
      </w:tr>
      <w:tr>
        <w:tc>
          <w:tcPr>
            <w:tcW w:w="0" w:type="auto"/>
          </w:tcPr>
          <w:p>
            <w:pPr>
              <w:spacing w:line="240" w:lineRule="auto" w:before="0" w:after="0"/>
              <w:pStyle w:val="Compact"/>
            </w:pPr>
            <w:r>
              <w:rPr>
                <w:sz w:val="20"/>
                <w:szCs w:val="20"/>
              </w:rPr>
              <w:t xml:space="preserve">ep28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Pavanello et al. 2025 Acta Astronautica doi:10.1016/j.actaastro.2025.07.027 [CAM benchmark]</w:t>
            </w:r>
          </w:p>
        </w:tc>
      </w:tr>
    </w:tbl>
    <w:bookmarkEnd w:id="100"/>
    <w:bookmarkStart w:id="10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fully_reproducible</w:t>
            </w:r>
          </w:p>
        </w:tc>
        <w:tc>
          <w:tcPr>
            <w:tcW w:w="0" w:type="auto"/>
          </w:tcPr>
          <w:p>
            <w:pPr>
              <w:spacing w:line="240" w:lineRule="auto" w:before="0" w:after="0"/>
              <w:pStyle w:val="Compact"/>
            </w:pPr>
            <w:r>
              <w:rPr>
                <w:sz w:val="20"/>
                <w:szCs w:val="20"/>
              </w:rPr>
              <w:t xml:space="preserve">Binary indicator equal to 1 when the source paper publishes the full action sequence, policy weights or seeds, and tool interfaces required to rerun the agentic episode end to end; 0 otherwise</w:t>
            </w:r>
          </w:p>
        </w:tc>
        <w:tc>
          <w:tcPr>
            <w:tcW w:w="0" w:type="auto"/>
          </w:tcPr>
          <w:p>
            <w:pPr>
              <w:spacing w:line="240" w:lineRule="auto" w:before="0" w:after="0"/>
              <w:pStyle w:val="Compact"/>
            </w:pPr>
            <w:r>
              <w:rPr>
                <w:sz w:val="20"/>
                <w:szCs w:val="20"/>
              </w:rPr>
              <w:t xml:space="preserve">Coded by the candidate from each cited source artifact</w:t>
            </w:r>
          </w:p>
        </w:tc>
      </w:tr>
      <w:tr>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Binary indicator equal to 1 when the source describes a typed, structured decision-trace or telemetry schema (state, observation, action, tool-call, tool-return, policy-confidence); 0 when only unstructured text or summary logs are reported</w:t>
            </w:r>
          </w:p>
        </w:tc>
        <w:tc>
          <w:tcPr>
            <w:tcW w:w="0" w:type="auto"/>
          </w:tcPr>
          <w:p>
            <w:pPr>
              <w:spacing w:line="240" w:lineRule="auto" w:before="0" w:after="0"/>
              <w:pStyle w:val="Compact"/>
            </w:pPr>
            <w:r>
              <w:rPr>
                <w:sz w:val="20"/>
                <w:szCs w:val="20"/>
              </w:rPr>
              <w:t xml:space="preserve">Coded from the source paper text and supplementary material</w:t>
            </w:r>
          </w:p>
        </w:tc>
      </w:tr>
      <w:tr>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Reported or canonical length of the agentic episode measured as discrete action selections by the policy</w:t>
            </w:r>
          </w:p>
        </w:tc>
        <w:tc>
          <w:tcPr>
            <w:tcW w:w="0" w:type="auto"/>
          </w:tcPr>
          <w:p>
            <w:pPr>
              <w:spacing w:line="240" w:lineRule="auto" w:before="0" w:after="0"/>
              <w:pStyle w:val="Compact"/>
            </w:pPr>
            <w:r>
              <w:rPr>
                <w:sz w:val="20"/>
                <w:szCs w:val="20"/>
              </w:rPr>
              <w:t xml:space="preserve">Extracted from the source paper or its referenced testbed configuration</w:t>
            </w:r>
          </w:p>
        </w:tc>
      </w:tr>
      <w:tr>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Count of distinct external tool or subsystem interfaces invoked during the episode (sensor, actuator, ground-link, model-call, validator)</w:t>
            </w:r>
          </w:p>
        </w:tc>
        <w:tc>
          <w:tcPr>
            <w:tcW w:w="0" w:type="auto"/>
          </w:tcPr>
          <w:p>
            <w:pPr>
              <w:spacing w:line="240" w:lineRule="auto" w:before="0" w:after="0"/>
              <w:pStyle w:val="Compact"/>
            </w:pPr>
            <w:r>
              <w:rPr>
                <w:sz w:val="20"/>
                <w:szCs w:val="20"/>
              </w:rPr>
              <w:t xml:space="preserve">Counted from the architecture diagram or interface list in the source</w:t>
            </w:r>
          </w:p>
        </w:tc>
      </w:tr>
      <w:tr>
        <w:tc>
          <w:tcPr>
            <w:tcW w:w="0" w:type="auto"/>
          </w:tcPr>
          <w:p>
            <w:pPr>
              <w:spacing w:line="240" w:lineRule="auto" w:before="0" w:after="0"/>
              <w:pStyle w:val="Compact"/>
            </w:pPr>
            <w:r>
              <w:rPr>
                <w:sz w:val="20"/>
                <w:szCs w:val="20"/>
              </w:rPr>
              <w:t xml:space="preserve">policy_confidence_logged</w:t>
            </w:r>
          </w:p>
        </w:tc>
        <w:tc>
          <w:tcPr>
            <w:tcW w:w="0" w:type="auto"/>
          </w:tcPr>
          <w:p>
            <w:pPr>
              <w:spacing w:line="240" w:lineRule="auto" w:before="0" w:after="0"/>
              <w:pStyle w:val="Compact"/>
            </w:pPr>
            <w:r>
              <w:rPr>
                <w:sz w:val="20"/>
                <w:szCs w:val="20"/>
              </w:rPr>
              <w:t xml:space="preserve">Binary indicator equal to 1 when the source emits per-step policy confidence or value estimates alongside the action; 0 otherwise</w:t>
            </w:r>
          </w:p>
        </w:tc>
        <w:tc>
          <w:tcPr>
            <w:tcW w:w="0" w:type="auto"/>
          </w:tcPr>
          <w:p>
            <w:pPr>
              <w:spacing w:line="240" w:lineRule="auto" w:before="0" w:after="0"/>
              <w:pStyle w:val="Compact"/>
            </w:pPr>
            <w:r>
              <w:rPr>
                <w:sz w:val="20"/>
                <w:szCs w:val="20"/>
              </w:rPr>
              <w:t xml:space="preserve">Coded from the source paper text</w:t>
            </w:r>
          </w:p>
        </w:tc>
      </w:tr>
    </w:tbl>
    <w:bookmarkEnd w:id="101"/>
    <w:bookmarkStart w:id="10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-3.8835</w:t>
            </w:r>
          </w:p>
        </w:tc>
        <w:tc>
          <w:tcPr>
            <w:tcW w:w="0" w:type="auto"/>
          </w:tcPr>
          <w:p>
            <w:pPr>
              <w:spacing w:line="240" w:lineRule="auto" w:before="0" w:after="0"/>
              <w:pStyle w:val="Compact"/>
            </w:pPr>
            <w:r>
              <w:rPr>
                <w:sz w:val="20"/>
                <w:szCs w:val="20"/>
              </w:rPr>
              <w:t xml:space="preserve">3.5218</w:t>
            </w:r>
          </w:p>
        </w:tc>
        <w:tc>
          <w:tcPr>
            <w:tcW w:w="0" w:type="auto"/>
          </w:tcPr>
          <w:p>
            <w:pPr>
              <w:spacing w:line="240" w:lineRule="auto" w:before="0" w:after="0"/>
              <w:pStyle w:val="Compact"/>
            </w:pPr>
            <w:r>
              <w:rPr>
                <w:sz w:val="20"/>
                <w:szCs w:val="20"/>
              </w:rPr>
              <w:t xml:space="preserve">-1.1027</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[-10.7861, 3.0191]</w:t>
            </w:r>
          </w:p>
        </w:tc>
      </w:tr>
      <w:tr>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3.7108</w:t>
            </w:r>
          </w:p>
        </w:tc>
        <w:tc>
          <w:tcPr>
            <w:tcW w:w="0" w:type="auto"/>
          </w:tcPr>
          <w:p>
            <w:pPr>
              <w:spacing w:line="240" w:lineRule="auto" w:before="0" w:after="0"/>
              <w:pStyle w:val="Compact"/>
            </w:pPr>
            <w:r>
              <w:rPr>
                <w:sz w:val="20"/>
                <w:szCs w:val="20"/>
              </w:rPr>
              <w:t xml:space="preserve">1.8271</w:t>
            </w:r>
          </w:p>
        </w:tc>
        <w:tc>
          <w:tcPr>
            <w:tcW w:w="0" w:type="auto"/>
          </w:tcPr>
          <w:p>
            <w:pPr>
              <w:spacing w:line="240" w:lineRule="auto" w:before="0" w:after="0"/>
              <w:pStyle w:val="Compact"/>
            </w:pPr>
            <w:r>
              <w:rPr>
                <w:sz w:val="20"/>
                <w:szCs w:val="20"/>
              </w:rPr>
              <w:t xml:space="preserve">2.031</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[0.1298, 7.2918]</w:t>
            </w:r>
          </w:p>
        </w:tc>
      </w:tr>
      <w:tr>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0.0295</w:t>
            </w:r>
          </w:p>
        </w:tc>
        <w:tc>
          <w:tcPr>
            <w:tcW w:w="0" w:type="auto"/>
          </w:tcPr>
          <w:p>
            <w:pPr>
              <w:spacing w:line="240" w:lineRule="auto" w:before="0" w:after="0"/>
              <w:pStyle w:val="Compact"/>
            </w:pPr>
            <w:r>
              <w:rPr>
                <w:sz w:val="20"/>
                <w:szCs w:val="20"/>
              </w:rPr>
              <w:t xml:space="preserve">0.0528</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[-0.074, 0.1329]</w:t>
            </w:r>
          </w:p>
        </w:tc>
      </w:tr>
      <w:tr>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0.6961</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0.7023</w:t>
            </w:r>
          </w:p>
        </w:tc>
        <w:tc>
          <w:tcPr>
            <w:tcW w:w="0" w:type="auto"/>
          </w:tcPr>
          <w:p>
            <w:pPr>
              <w:spacing w:line="240" w:lineRule="auto" w:before="0" w:after="0"/>
              <w:pStyle w:val="Compact"/>
            </w:pPr>
            <w:r>
              <w:rPr>
                <w:sz w:val="20"/>
                <w:szCs w:val="20"/>
              </w:rPr>
              <w:t xml:space="preserve">[-1.0983, 1.6305]</w:t>
            </w:r>
          </w:p>
        </w:tc>
      </w:tr>
    </w:tbl>
    <w:p>
      <w:pPr>
        <w:pStyle w:val="BodyText"/>
      </w:pPr>
      <w:r>
        <w:t xml:space="preserve">Fit: N = 28 pseudo_R2 = 0.4183 LL = -11.2478</w:t>
      </w:r>
    </w:p>
    <w:bookmarkEnd w:id="102"/>
    <w:bookmarkEnd w:id="103"/>
    <w:bookmarkEnd w:id="1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96" Target="media/rId96.png" /><Relationship Type="http://schemas.openxmlformats.org/officeDocument/2006/relationships/hyperlink" Id="rId85" Target="https://doi.org/10.1016/j.actaastro.2021.07.046" TargetMode="External" /><Relationship Type="http://schemas.openxmlformats.org/officeDocument/2006/relationships/hyperlink" Id="rId83" Target="https://doi.org/10.1016/j.actaastro.2022.01.027" TargetMode="External" /><Relationship Type="http://schemas.openxmlformats.org/officeDocument/2006/relationships/hyperlink" Id="rId79" Target="https://doi.org/10.1016/j.actaastro.2022.07.013" TargetMode="External" /><Relationship Type="http://schemas.openxmlformats.org/officeDocument/2006/relationships/hyperlink" Id="rId76" Target="https://doi.org/10.1016/j.actaastro.2024.02.039" TargetMode="External" /><Relationship Type="http://schemas.openxmlformats.org/officeDocument/2006/relationships/hyperlink" Id="rId81" Target="https://doi.org/10.1016/j.actaastro.2024.07.052" TargetMode="External" /><Relationship Type="http://schemas.openxmlformats.org/officeDocument/2006/relationships/hyperlink" Id="rId93" Target="https://doi.org/10.1016/j.actaastro.2025.07.027" TargetMode="External" /><Relationship Type="http://schemas.openxmlformats.org/officeDocument/2006/relationships/hyperlink" Id="rId72" Target="https://doi.org/10.1016/j.actaastro.2025.10.018" TargetMode="External" /><Relationship Type="http://schemas.openxmlformats.org/officeDocument/2006/relationships/hyperlink" Id="rId74" Target="https://doi.org/10.1016/j.actaastro.2025.10.068" TargetMode="External" /><Relationship Type="http://schemas.openxmlformats.org/officeDocument/2006/relationships/hyperlink" Id="rId68" Target="https://doi.org/10.64861/CEPU7718" TargetMode="External" /><Relationship Type="http://schemas.openxmlformats.org/officeDocument/2006/relationships/hyperlink" Id="rId89" Target="https://doi.org/10.64861/PHHA7076" TargetMode="External" /><Relationship Type="http://schemas.openxmlformats.org/officeDocument/2006/relationships/hyperlink" Id="rId91" Target="https://doi.org/10.64861/XMQA2396" TargetMode="External" /><Relationship Type="http://schemas.openxmlformats.org/officeDocument/2006/relationships/hyperlink" Id="rId87" Target="https://doi.org/10.64861/YOWY2953" TargetMode="External" /></Relationships>
</file>

<file path=word/_rels/footnotes.xml.rels><?xml version="1.0" encoding="UTF-8"?><Relationships xmlns="http://schemas.openxmlformats.org/package/2006/relationships"><Relationship Type="http://schemas.openxmlformats.org/officeDocument/2006/relationships/hyperlink" Id="rId85" Target="https://doi.org/10.1016/j.actaastro.2021.07.046" TargetMode="External" /><Relationship Type="http://schemas.openxmlformats.org/officeDocument/2006/relationships/hyperlink" Id="rId83" Target="https://doi.org/10.1016/j.actaastro.2022.01.027" TargetMode="External" /><Relationship Type="http://schemas.openxmlformats.org/officeDocument/2006/relationships/hyperlink" Id="rId79" Target="https://doi.org/10.1016/j.actaastro.2022.07.013" TargetMode="External" /><Relationship Type="http://schemas.openxmlformats.org/officeDocument/2006/relationships/hyperlink" Id="rId76" Target="https://doi.org/10.1016/j.actaastro.2024.02.039" TargetMode="External" /><Relationship Type="http://schemas.openxmlformats.org/officeDocument/2006/relationships/hyperlink" Id="rId81" Target="https://doi.org/10.1016/j.actaastro.2024.07.052" TargetMode="External" /><Relationship Type="http://schemas.openxmlformats.org/officeDocument/2006/relationships/hyperlink" Id="rId93" Target="https://doi.org/10.1016/j.actaastro.2025.07.027" TargetMode="External" /><Relationship Type="http://schemas.openxmlformats.org/officeDocument/2006/relationships/hyperlink" Id="rId72" Target="https://doi.org/10.1016/j.actaastro.2025.10.018" TargetMode="External" /><Relationship Type="http://schemas.openxmlformats.org/officeDocument/2006/relationships/hyperlink" Id="rId74" Target="https://doi.org/10.1016/j.actaastro.2025.10.068" TargetMode="External" /><Relationship Type="http://schemas.openxmlformats.org/officeDocument/2006/relationships/hyperlink" Id="rId68" Target="https://doi.org/10.64861/CEPU7718" TargetMode="External" /><Relationship Type="http://schemas.openxmlformats.org/officeDocument/2006/relationships/hyperlink" Id="rId89" Target="https://doi.org/10.64861/PHHA7076" TargetMode="External" /><Relationship Type="http://schemas.openxmlformats.org/officeDocument/2006/relationships/hyperlink" Id="rId91" Target="https://doi.org/10.64861/XMQA2396" TargetMode="External" /><Relationship Type="http://schemas.openxmlformats.org/officeDocument/2006/relationships/hyperlink" Id="rId87" Target="https://doi.org/10.64861/YOWY295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2026-06-27T13:10:30Z</dcterms:created>
  <dcterms:modified xsi:type="dcterms:W3CDTF">2026-06-27T13:10:30Z</dcterms:modified>
</cp:coreProperties>
</file>

<file path=docProps/custom.xml><?xml version="1.0" encoding="utf-8"?>
<Properties xmlns="http://schemas.openxmlformats.org/officeDocument/2006/custom-properties" xmlns:vt="http://schemas.openxmlformats.org/officeDocument/2006/docPropsVTypes"/>
</file>