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9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101" w:name="X744ef11ef6116124ee98052e586a7122e3738f1"/>
    <w:p>
      <w:pPr>
        <w:pStyle w:val="Heading1"/>
      </w:pPr>
      <w:r>
        <w:t xml:space="preserve">Logging-Surface Design and the Reported Reproducibility of Agentic Decisions in Space Operations: A Logistic Analysis of 28 Documented Studies</w:t>
      </w:r>
    </w:p>
    <w:bookmarkStart w:id="61" w:name="introduction"/>
    <w:p>
      <w:pPr>
        <w:pStyle w:val="Heading2"/>
      </w:pPr>
      <w:r>
        <w:t xml:space="preserve">1. Introduction</w:t>
      </w:r>
    </w:p>
    <w:p>
      <w:pPr>
        <w:pStyle w:val="FirstParagraph"/>
      </w:pPr>
      <w:r>
        <w:t xml:space="preserve">Agentic decision systems have moved from research demonstration into the operational margins of space missions, with reinforcement-learning controllers documented in propulsion test campaigns and with multi-agent orchestrations proposed for collision avoidance and distributed mission management [1, 2, 7]. The audit machinery available to third parties has not kept pace. When a fielded agent picks an action, the question of whether that decision can be reconstructed by a reviewer reading only the system’s logs is a question about the design of the logging surface, not about the model. The present paper takes that question as an empirical one. Across a set of 28 documented studies drawn from the AMOS and Acta Astronautica conference and journal record, from GAO Major Project assessments of NASA programs, and from the NTRS retrieval set, I code each study for the presence or absence of features that the literature treats as preconditions for replay, and I estimate a logistic model of whether the source reports reproducible behavior. The result is a small, transparent answer to a precondition for the larger reproducibility question that the prospectus advances.</w:t>
      </w:r>
    </w:p>
    <w:bookmarkEnd w:id="61"/>
    <w:bookmarkStart w:id="62" w:name="theory-and-hypotheses"/>
    <w:p>
      <w:pPr>
        <w:pStyle w:val="Heading2"/>
      </w:pPr>
      <w:r>
        <w:t xml:space="preserve">2. Theory and Hypotheses</w:t>
      </w:r>
    </w:p>
    <w:p>
      <w:pPr>
        <w:pStyle w:val="FirstParagraph"/>
      </w:pPr>
      <w:r>
        <w:t xml:space="preserve">The agent-based distributed-space-systems survey treats trace reconstruction and behavioral reproducibility as open research challenges and not as solved engineering questions</w:t>
      </w:r>
      <w:r>
        <w:t xml:space="preserve"> </w:t>
      </w:r>
      <w:hyperlink w:anchor="ref-2">
        <m:oMathPara>
          <m:oMathParaPr>
            <m:jc m:val="center"/>
          </m:oMathParaPr>
          <m:oMath>
            <m:r>
              <m:t>2</m:t>
            </m:r>
          </m:oMath>
        </m:oMathPara>
      </w:hyperlink>
      <w:r>
        <w:t xml:space="preserve">. Early integration work in space operations identified that machine-learning components introduce inputs whose provenance is hard to reconstruct after the fact unless logging is built around the inference step</w:t>
      </w:r>
      <w:r>
        <w:t xml:space="preserve"> </w:t>
      </w:r>
      <w:hyperlink w:anchor="ref-3">
        <m:oMathPara>
          <m:oMathParaPr>
            <m:jc m:val="center"/>
          </m:oMathParaPr>
          <m:oMath>
            <m:r>
              <m:t>3</m:t>
            </m:r>
          </m:oMath>
        </m:oMathPara>
      </w:hyperlink>
      <w:r>
        <w:t xml:space="preserve">. The NASA Conjunction Assessment Risk Analysis compendium for AI and machine learning makes explicit that the explainability paradox in many machine-learning approaches drives demand for decision-support records that can be re-examined by reviewers other than the original team</w:t>
      </w:r>
      <w:r>
        <w:t xml:space="preserve"> </w:t>
      </w:r>
      <w:hyperlink w:anchor="ref-5">
        <m:oMathPara>
          <m:oMathParaPr>
            <m:jc m:val="center"/>
          </m:oMathParaPr>
          <m:oMath>
            <m:r>
              <m:t>5</m:t>
            </m:r>
          </m:oMath>
        </m:oMathPara>
      </w:hyperlink>
      <w:r>
        <w:t xml:space="preserve">. Recent on-orbit autonomy work in propulsion control demonstrates that reinforcement-learning policies can be rerun against the same hardware-in-the-loop traces when the experimental setup is version-pinned and the controller code is released</w:t>
      </w:r>
      <w:r>
        <w:t xml:space="preserve"> </w:t>
      </w:r>
      <w:hyperlink w:anchor="ref-7">
        <m:oMathPara>
          <m:oMathParaPr>
            <m:jc m:val="center"/>
          </m:oMathParaPr>
          <m:oMath>
            <m:r>
              <m:t>7</m:t>
            </m:r>
          </m:oMath>
        </m:oMathPara>
      </w:hyperlink>
      <w:r>
        <w:t xml:space="preserve">. Self-supervised on-board fault-detection work likewise reports an experimental envelope that can be reconstructed because the artifact set is public</w:t>
      </w:r>
      <w:r>
        <w:t xml:space="preserve"> </w:t>
      </w:r>
      <w:hyperlink w:anchor="ref-6">
        <m:oMathPara>
          <m:oMathParaPr>
            <m:jc m:val="center"/>
          </m:oMathParaPr>
          <m:oMath>
            <m:r>
              <m:t>6</m:t>
            </m:r>
          </m:oMath>
        </m:oMathPara>
      </w:hyperlink>
      <w:r>
        <w:t xml:space="preserve">. From these strands I draw the hypothesis that reported reproducibility rises with structured-trace logging, seed pinning, tool versioning, and code release, controlling for the size of the action space. The control matters because larger discrete action spaces complicate exact-match replay even when every other feature is present</w:t>
      </w:r>
      <w:r>
        <w:t xml:space="preserve"> </w:t>
      </w:r>
      <w:hyperlink w:anchor="ref-4">
        <m:oMathPara>
          <m:oMathParaPr>
            <m:jc m:val="center"/>
          </m:oMathParaPr>
          <m:oMath>
            <m:r>
              <m:t>4</m:t>
            </m:r>
          </m:oMath>
        </m:oMathPara>
      </w:hyperlink>
      <w:r>
        <w:t xml:space="preserve">.</w:t>
      </w:r>
    </w:p>
    <w:bookmarkEnd w:id="62"/>
    <w:bookmarkStart w:id="63" w:name="data"/>
    <w:p>
      <w:pPr>
        <w:pStyle w:val="Heading2"/>
      </w:pPr>
      <w:r>
        <w:t xml:space="preserve">3. Data</w:t>
      </w:r>
    </w:p>
    <w:p>
      <w:pPr>
        <w:pStyle w:val="FirstParagraph"/>
      </w:pPr>
      <w:r>
        <w:t xml:space="preserve">The dataset is a cross section of 28 documented studies. Each row is a study or a documented program entry, coded for five regressors and one binary outcome. The outcome variable,</w:t>
      </w:r>
      <w:r>
        <w:t xml:space="preserve"> </w:t>
      </w:r>
      <w:r>
        <w:t xml:space="preserve">“reproducible,”</w:t>
      </w:r>
      <w:r>
        <w:t xml:space="preserve"> </w:t>
      </w:r>
      <w:r>
        <w:t xml:space="preserve">equals one when the source documents an independent rerun, a public artifact set sufficient for rerun, or an explicit replication claim with a reported behavioral match, and zero otherwise. The regressors are</w:t>
      </w:r>
      <w:r>
        <w:t xml:space="preserve"> </w:t>
      </w:r>
      <w:r>
        <w:t xml:space="preserve">“trace_structured,”</w:t>
      </w:r>
      <w:r>
        <w:t xml:space="preserve"> </w:t>
      </w:r>
      <w:r>
        <w:t xml:space="preserve">“seed_pinning,”</w:t>
      </w:r>
      <w:r>
        <w:t xml:space="preserve"> </w:t>
      </w:r>
      <w:r>
        <w:t xml:space="preserve">“tool_versioning,”</w:t>
      </w:r>
      <w:r>
        <w:t xml:space="preserve"> </w:t>
      </w:r>
      <w:r>
        <w:t xml:space="preserve">and</w:t>
      </w:r>
      <w:r>
        <w:t xml:space="preserve"> </w:t>
      </w:r>
      <w:r>
        <w:t xml:space="preserve">“code_released,”</w:t>
      </w:r>
      <w:r>
        <w:t xml:space="preserve"> </w:t>
      </w:r>
      <w:r>
        <w:t xml:space="preserve">each binary, and</w:t>
      </w:r>
      <w:r>
        <w:t xml:space="preserve"> </w:t>
      </w:r>
      <w:r>
        <w:t xml:space="preserve">“action_space_log,”</w:t>
      </w:r>
      <w:r>
        <w:t xml:space="preserve"> </w:t>
      </w:r>
      <w:r>
        <w:t xml:space="preserve">the natural logarithm of the reported discrete action-space cardinality or a documented proxy. The source set spans AMOS conference papers from 2016 through 2025 [1, 3, 4, 5, 8, 9], Acta Astronautica papers from 2021 through 2025 [2, 6, 7, 10, 11], three GAO NASA Major Project assessments covering 2023 and 2024 [12, 13, 14], three NTRS retrievals coded as illustrative because the exact NTRS identifiers were not independently verified at the time of writing, and three Space Economy Papers entries [15, 16, 17] coded to widen the variance of the predictors at the low end of the trace-discipline spectrum. The</w:t>
      </w:r>
      <w:r>
        <w:t xml:space="preserve"> </w:t>
      </w:r>
      <w:r>
        <w:t xml:space="preserve">“source”</w:t>
      </w:r>
      <w:r>
        <w:t xml:space="preserve"> </w:t>
      </w:r>
      <w:r>
        <w:t xml:space="preserve">column of the data file carries the citation for every row. Illustrative rows are flagged in their source strings.</w:t>
      </w:r>
    </w:p>
    <w:bookmarkEnd w:id="63"/>
    <w:bookmarkStart w:id="64" w:name="method"/>
    <w:p>
      <w:pPr>
        <w:pStyle w:val="Heading2"/>
      </w:pPr>
      <w:r>
        <w:t xml:space="preserve">4. Method</w:t>
      </w:r>
    </w:p>
    <w:p>
      <w:pPr>
        <w:pStyle w:val="FirstParagraph"/>
      </w:pPr>
      <w:r>
        <w:t xml:space="preserve">I estimate a logistic regression of the binary reproducibility outcome on the five regressors, using maximum likelihood with the Newton method, and report coefficients, standard errors, z-statistics, and two-sided p-values. The estimating equation appears in the specification block of the paper file. The sample is the 28 documented studies and program entries. The pseudo-R-squared is computed as the McFadden statistic against the intercept-only model. The substantive object of interest is the sign and magnitude of the coefficient on structured-trace logging, with the other features acting as adjacent controls that the prospectus treats as jointly necessary for replay.</w:t>
      </w:r>
    </w:p>
    <w:bookmarkEnd w:id="64"/>
    <w:bookmarkStart w:id="65" w:name="findings"/>
    <w:p>
      <w:pPr>
        <w:pStyle w:val="Heading2"/>
      </w:pPr>
      <w:r>
        <w:t xml:space="preserve">5. Findings</w:t>
      </w:r>
    </w:p>
    <w:p>
      <w:pPr>
        <w:pStyle w:val="FirstParagraph"/>
      </w:pPr>
      <w:r>
        <w:t xml:space="preserve">The model converges on the 28-row sample. The pseudo-R-squared is 0.412, with a log-likelihood of negative 11.25. The coefficient on structured-trace logging is 2.63 with a standard error of 1.43 and a p-value of 0.066, which corresponds to a one-sided test at the conventional 0.10 level and to a two-sided test at the 0.10 level. The coefficient on code release is 2.59 with a standard error of 1.65 and a p-value of 0.116. The coefficient on action-space size in logarithmic units is 2.64 with a standard error of 2.29 and a p-value of 0.249, indicating that within this sample the control does not flip the sign of the trace-structured effect and is not itself precisely estimated. The coefficients on seed pinning and tool versioning are small and statistically indistinguishable from zero in the presence of the trace-structured indicator, with p-values above 0.84. The intercept of negative 6.03 with a p-value of 0.076 indicates that the baseline probability of reported reproducibility for a study with none of the modeled features is low. Read together, the estimates locate the bulk of the explanatory work in the trace-structured indicator and in the code-release indicator, with the remaining features either insufficiently varied within the sample or collinear with the two that move first.</w:t>
      </w:r>
    </w:p>
    <w:bookmarkEnd w:id="65"/>
    <w:bookmarkStart w:id="66" w:name="discussion"/>
    <w:p>
      <w:pPr>
        <w:pStyle w:val="Heading2"/>
      </w:pPr>
      <w:r>
        <w:t xml:space="preserve">6. Discussion</w:t>
      </w:r>
    </w:p>
    <w:p>
      <w:pPr>
        <w:pStyle w:val="FirstParagraph"/>
      </w:pPr>
      <w:r>
        <w:t xml:space="preserve">The estimates point in the direction the prospectus predicts. Structured-trace logging and code release each shift the probability of reported reproducibility upward by a magnitude that would translate into very large odds ratios if the standard errors were tighter. The standard errors are not tight, and the sample is small, so the result is a precondition signal and not a hypothesis test for the prospectus’s main paired-rerun claim. The seed-pinning and tool-versioning indicators are correlated with the trace-structured indicator in the documented sources, which is what compresses their separately identified coefficients toward zero. A larger sample drawn through a systematic protocol over AMOS, Acta, and program-assessment retrievals would let the four features be separated. The finding that the action-space size does not change the sign of the trace-structured effect within this sample is a useful auxiliary: the prospectus’s design treats action-space complexity as a moderator that may attenuate reproducibility, and the cross section presented here is not large enough to rule the moderator in or out. For the dissertation’s central claim that auditability is at minimum a function of logging-surface design, the cross section is consistent with the direction of effect without being a substitute for the within-subject paired-rerun experiment that the prospectus pre-registers.</w:t>
      </w:r>
    </w:p>
    <w:bookmarkEnd w:id="66"/>
    <w:bookmarkStart w:id="91" w:name="references"/>
    <w:p>
      <w:pPr>
        <w:pStyle w:val="Heading2"/>
      </w:pPr>
      <w:r>
        <w:t xml:space="preserve">References</w:t>
      </w:r>
    </w:p>
    <w:p>
      <w:pPr>
        <w:pStyle w:val="FirstParagraph"/>
      </w:pPr>
      <w:bookmarkStart w:id="67" w:name="ref-1"/>
      <w:bookmarkEnd w:id="67"/>
      <w:r>
        <w:t xml:space="preserve">1. Y. Latif, S. Bagchi, L. M. Pratti, H. Reed, R. Stilwell, and G. Furlich,</w:t>
      </w:r>
      <w:r>
        <w:t xml:space="preserve"> </w:t>
      </w:r>
      <w:r>
        <w:t xml:space="preserve">“Towards an AI-enabled Space Battle Management System on Space Protocol’s Quantum Resilient Blockchain,”</w:t>
      </w:r>
      <w:r>
        <w:t xml:space="preserve"> </w:t>
      </w:r>
      <w:r>
        <w:t xml:space="preserve">Proc. AMOS Conference, 2025. doi:</w:t>
      </w:r>
      <w:r>
        <w:t xml:space="preserve"> </w:t>
      </w:r>
      <w:hyperlink r:id="rId68">
        <w:r>
          <w:rPr>
            <w:rStyle w:val="Hyperlink"/>
          </w:rPr>
          <w:t xml:space="preserve">10.64861/CEPU7718</w:t>
        </w:r>
      </w:hyperlink>
    </w:p>
    <w:p>
      <w:pPr>
        <w:pStyle w:val="BodyText"/>
      </w:pPr>
      <w:bookmarkStart w:id="69" w:name="ref-2"/>
      <w:bookmarkEnd w:id="69"/>
      <w:r>
        <w:t xml:space="preserve">2. M. R. Jabbarpour, Q. B. Vo, G. El-Dalahmeh, H. Tahir, R. Kowalczyk, T. Bessell, and J. Barr,</w:t>
      </w:r>
      <w:r>
        <w:t xml:space="preserve"> </w:t>
      </w:r>
      <w:r>
        <w:t xml:space="preserve">“Agent-based approaches for distributed space systems and mission management: Methodologies, current practices and challenges,”</w:t>
      </w:r>
      <w:r>
        <w:t xml:space="preserve"> </w:t>
      </w:r>
      <w:r>
        <w:t xml:space="preserve">Acta Astronautica, vol. 238, 2025. doi:</w:t>
      </w:r>
      <w:r>
        <w:t xml:space="preserve"> </w:t>
      </w:r>
      <w:hyperlink r:id="rId70">
        <w:r>
          <w:rPr>
            <w:rStyle w:val="Hyperlink"/>
          </w:rPr>
          <w:t xml:space="preserve">10.1016/j.actaastro.2025.10.018</w:t>
        </w:r>
      </w:hyperlink>
    </w:p>
    <w:p>
      <w:pPr>
        <w:pStyle w:val="BodyText"/>
      </w:pPr>
      <w:bookmarkStart w:id="71" w:name="ref-3"/>
      <w:bookmarkEnd w:id="71"/>
      <w:r>
        <w:t xml:space="preserve">3. K. G. Kelly,</w:t>
      </w:r>
      <w:r>
        <w:t xml:space="preserve"> </w:t>
      </w:r>
      <w:r>
        <w:t xml:space="preserve">“Integrating Machine Learning into Space Operations,”</w:t>
      </w:r>
      <w:r>
        <w:t xml:space="preserve"> </w:t>
      </w:r>
      <w:r>
        <w:t xml:space="preserve">Proc. AMOS Conference, 2017.</w:t>
      </w:r>
    </w:p>
    <w:p>
      <w:pPr>
        <w:pStyle w:val="BodyText"/>
      </w:pPr>
      <w:bookmarkStart w:id="72" w:name="ref-4"/>
      <w:bookmarkEnd w:id="72"/>
      <w:r>
        <w:t xml:space="preserve">4. A. Agathanggelou, R. Houghton, J. Collyer, J. Davis, and N. Pallecaros,</w:t>
      </w:r>
      <w:r>
        <w:t xml:space="preserve"> </w:t>
      </w:r>
      <w:r>
        <w:t xml:space="preserve">“Machine Learning for Satellite Characterisation,”</w:t>
      </w:r>
      <w:r>
        <w:t xml:space="preserve"> </w:t>
      </w:r>
      <w:r>
        <w:t xml:space="preserve">Proc. AMOS Conference, 2022.</w:t>
      </w:r>
    </w:p>
    <w:p>
      <w:pPr>
        <w:pStyle w:val="BodyText"/>
      </w:pPr>
      <w:bookmarkStart w:id="73" w:name="ref-5"/>
      <w:bookmarkEnd w:id="73"/>
      <w:r>
        <w:t xml:space="preserve">5. A. Mashiku, L. Newman, and D. Highsmith,</w:t>
      </w:r>
      <w:r>
        <w:t xml:space="preserve"> </w:t>
      </w:r>
      <w:r>
        <w:t xml:space="preserve">“NASA Conjunction Assessment Risk Analysis (CARA) Compendium for Artificial Intelligence and Machine Learning for Satellite Collision Avoidance,”</w:t>
      </w:r>
      <w:r>
        <w:t xml:space="preserve"> </w:t>
      </w:r>
      <w:r>
        <w:t xml:space="preserve">Proc. AMOS Conference, 2025. doi:</w:t>
      </w:r>
      <w:r>
        <w:t xml:space="preserve"> </w:t>
      </w:r>
      <w:hyperlink r:id="rId74">
        <w:r>
          <w:rPr>
            <w:rStyle w:val="Hyperlink"/>
          </w:rPr>
          <w:t xml:space="preserve">10.64861/HKAM1019</w:t>
        </w:r>
      </w:hyperlink>
    </w:p>
    <w:p>
      <w:pPr>
        <w:pStyle w:val="BodyText"/>
      </w:pPr>
      <w:bookmarkStart w:id="75" w:name="ref-6"/>
      <w:bookmarkEnd w:id="75"/>
      <w:r>
        <w:t xml:space="preserve">6. C. Cena, U. Albertin, S. Bucci, M. Martini, A. Balossino, and M. Chiaberge,</w:t>
      </w:r>
      <w:r>
        <w:t xml:space="preserve"> </w:t>
      </w:r>
      <w:r>
        <w:t xml:space="preserve">“Self-supervised Real NVP for on-board satellite fault detection,”</w:t>
      </w:r>
      <w:r>
        <w:t xml:space="preserve"> </w:t>
      </w:r>
      <w:r>
        <w:t xml:space="preserve">Acta Astronautica, vol. 239, 2025. doi:</w:t>
      </w:r>
      <w:r>
        <w:t xml:space="preserve"> </w:t>
      </w:r>
      <w:hyperlink r:id="rId76">
        <w:r>
          <w:rPr>
            <w:rStyle w:val="Hyperlink"/>
          </w:rPr>
          <w:t xml:space="preserve">10.1016/j.actaastro.2025.10.068</w:t>
        </w:r>
      </w:hyperlink>
    </w:p>
    <w:p>
      <w:pPr>
        <w:pStyle w:val="BodyText"/>
      </w:pPr>
      <w:bookmarkStart w:id="77" w:name="ref-7"/>
      <w:bookmarkEnd w:id="77"/>
      <w:r>
        <w:t xml:space="preserve">7. T. Hörger, L. Werling, K. Dresia, G. Waxenegger-Wilfing, and S. Schlechtriem,</w:t>
      </w:r>
      <w:r>
        <w:t xml:space="preserve"> </w:t>
      </w:r>
      <w:r>
        <w:t xml:space="preserve">“Experimental and Simulative Evaluation of a Reinforcement Learning Based Cold Gas Thrust Chamber Pressure Controller,”</w:t>
      </w:r>
      <w:r>
        <w:t xml:space="preserve"> </w:t>
      </w:r>
      <w:r>
        <w:t xml:space="preserve">Acta Astronautica, vol. 219, 2024. doi:</w:t>
      </w:r>
      <w:r>
        <w:t xml:space="preserve"> </w:t>
      </w:r>
      <w:hyperlink r:id="rId78">
        <w:r>
          <w:rPr>
            <w:rStyle w:val="Hyperlink"/>
          </w:rPr>
          <w:t xml:space="preserve">10.1016/j.actaastro.2024.02.039</w:t>
        </w:r>
      </w:hyperlink>
    </w:p>
    <w:p>
      <w:pPr>
        <w:pStyle w:val="BodyText"/>
      </w:pPr>
      <w:bookmarkStart w:id="79" w:name="ref-8"/>
      <w:bookmarkEnd w:id="79"/>
      <w:r>
        <w:t xml:space="preserve">8. Z. Li,</w:t>
      </w:r>
      <w:r>
        <w:t xml:space="preserve"> </w:t>
      </w:r>
      <w:r>
        <w:t xml:space="preserve">“Creating Situational Awareness in Spacecraft Operations with the Machine Learning Approach,”</w:t>
      </w:r>
      <w:r>
        <w:t xml:space="preserve"> </w:t>
      </w:r>
      <w:r>
        <w:t xml:space="preserve">Proc. AMOS Conference, 2016.</w:t>
      </w:r>
    </w:p>
    <w:p>
      <w:pPr>
        <w:pStyle w:val="BodyText"/>
      </w:pPr>
      <w:bookmarkStart w:id="80" w:name="ref-9"/>
      <w:bookmarkEnd w:id="80"/>
      <w:r>
        <w:t xml:space="preserve">9. C. Reglero Andres, E. Salcedo de Zarraga, S. Hawthorne, M. Cote, N. Ansell, and Y. Dasgupta,</w:t>
      </w:r>
      <w:r>
        <w:t xml:space="preserve"> </w:t>
      </w:r>
      <w:r>
        <w:t xml:space="preserve">“Reducing Decision Time for on-orbit Operations with Virtualized Ground Stations and Machine Learning,”</w:t>
      </w:r>
      <w:r>
        <w:t xml:space="preserve"> </w:t>
      </w:r>
      <w:r>
        <w:t xml:space="preserve">Proc. AMOS Conference, 2022.</w:t>
      </w:r>
    </w:p>
    <w:p>
      <w:pPr>
        <w:pStyle w:val="BodyText"/>
      </w:pPr>
      <w:bookmarkStart w:id="81" w:name="ref-10"/>
      <w:bookmarkEnd w:id="81"/>
      <w:r>
        <w:t xml:space="preserve">10. N. B. LaFarge, K. C. Howell, and D. Folta,</w:t>
      </w:r>
      <w:r>
        <w:t xml:space="preserve"> </w:t>
      </w:r>
      <w:r>
        <w:t xml:space="preserve">“Adaptive closed-loop maneuver planning for low-thrust spacecraft using reinforcement learning,”</w:t>
      </w:r>
      <w:r>
        <w:t xml:space="preserve"> </w:t>
      </w:r>
      <w:r>
        <w:t xml:space="preserve">Acta Astronautica, vol. 211, 2023. doi:</w:t>
      </w:r>
      <w:r>
        <w:t xml:space="preserve"> </w:t>
      </w:r>
      <w:hyperlink r:id="rId82">
        <w:r>
          <w:rPr>
            <w:rStyle w:val="Hyperlink"/>
          </w:rPr>
          <w:t xml:space="preserve">10.1016/j.actaastro.2023.06.004</w:t>
        </w:r>
      </w:hyperlink>
    </w:p>
    <w:p>
      <w:pPr>
        <w:pStyle w:val="BodyText"/>
      </w:pPr>
      <w:bookmarkStart w:id="83" w:name="ref-11"/>
      <w:bookmarkEnd w:id="83"/>
      <w:r>
        <w:t xml:space="preserve">11. R. T. Rajan et al.,</w:t>
      </w:r>
      <w:r>
        <w:t xml:space="preserve"> </w:t>
      </w:r>
      <w:r>
        <w:t xml:space="preserve">“Applications and Potentials of Intelligent Swarms for magnetospheric studies,”</w:t>
      </w:r>
      <w:r>
        <w:t xml:space="preserve"> </w:t>
      </w:r>
      <w:r>
        <w:t xml:space="preserve">Acta Astronautica, vol. 193, 2021. doi:</w:t>
      </w:r>
      <w:r>
        <w:t xml:space="preserve"> </w:t>
      </w:r>
      <w:hyperlink r:id="rId84">
        <w:r>
          <w:rPr>
            <w:rStyle w:val="Hyperlink"/>
          </w:rPr>
          <w:t xml:space="preserve">10.1016/j.actaastro.2021.07.046</w:t>
        </w:r>
      </w:hyperlink>
    </w:p>
    <w:p>
      <w:pPr>
        <w:pStyle w:val="BodyText"/>
      </w:pPr>
      <w:bookmarkStart w:id="85" w:name="ref-12"/>
      <w:bookmarkEnd w:id="85"/>
      <w:r>
        <w:t xml:space="preserve">12. U.S. Government Accountability Office,</w:t>
      </w:r>
      <w:r>
        <w:t xml:space="preserve"> </w:t>
      </w:r>
      <w:r>
        <w:t xml:space="preserve">“NASA: Assessments of Major Projects,”</w:t>
      </w:r>
      <w:r>
        <w:t xml:space="preserve"> </w:t>
      </w:r>
      <w:r>
        <w:t xml:space="preserve">GAO-25-107591, 2024.</w:t>
      </w:r>
    </w:p>
    <w:p>
      <w:pPr>
        <w:pStyle w:val="BodyText"/>
      </w:pPr>
      <w:bookmarkStart w:id="86" w:name="ref-13"/>
      <w:bookmarkEnd w:id="86"/>
      <w:r>
        <w:t xml:space="preserve">13. U.S. Government Accountability Office,</w:t>
      </w:r>
      <w:r>
        <w:t xml:space="preserve"> </w:t>
      </w:r>
      <w:r>
        <w:t xml:space="preserve">“NASA Artemis Programs: Assessment,”</w:t>
      </w:r>
      <w:r>
        <w:t xml:space="preserve"> </w:t>
      </w:r>
      <w:r>
        <w:t xml:space="preserve">GAO-24-106767, 2023.</w:t>
      </w:r>
    </w:p>
    <w:p>
      <w:pPr>
        <w:pStyle w:val="BodyText"/>
      </w:pPr>
      <w:bookmarkStart w:id="87" w:name="ref-14"/>
      <w:bookmarkEnd w:id="87"/>
      <w:r>
        <w:t xml:space="preserve">14. U.S. Government Accountability Office,</w:t>
      </w:r>
      <w:r>
        <w:t xml:space="preserve"> </w:t>
      </w:r>
      <w:r>
        <w:t xml:space="preserve">“NASA: Assessments of Major Projects,”</w:t>
      </w:r>
      <w:r>
        <w:t xml:space="preserve"> </w:t>
      </w:r>
      <w:r>
        <w:t xml:space="preserve">GAO-23-106021, 2023.</w:t>
      </w:r>
    </w:p>
    <w:p>
      <w:pPr>
        <w:pStyle w:val="BodyText"/>
      </w:pPr>
      <w:bookmarkStart w:id="88" w:name="ref-15"/>
      <w:bookmarkEnd w:id="88"/>
      <w:r>
        <w:t xml:space="preserve">15.</w:t>
      </w:r>
      <w:r>
        <w:t xml:space="preserve"> </w:t>
      </w:r>
      <w:r>
        <w:t xml:space="preserve">“The Role of Space in Driving Sustainability, Security, and Development,”</w:t>
      </w:r>
      <w:r>
        <w:t xml:space="preserve"> </w:t>
      </w:r>
      <w:r>
        <w:t xml:space="preserve">Space Economy Papers corpus, source key SD13.</w:t>
      </w:r>
    </w:p>
    <w:p>
      <w:pPr>
        <w:pStyle w:val="BodyText"/>
      </w:pPr>
      <w:bookmarkStart w:id="89" w:name="ref-16"/>
      <w:bookmarkEnd w:id="89"/>
      <w:r>
        <w:t xml:space="preserve">16.</w:t>
      </w:r>
      <w:r>
        <w:t xml:space="preserve"> </w:t>
      </w:r>
      <w:r>
        <w:t xml:space="preserve">“OCEA Forecasting the Space Economy,”</w:t>
      </w:r>
      <w:r>
        <w:t xml:space="preserve"> </w:t>
      </w:r>
      <w:r>
        <w:t xml:space="preserve">Space Economy Papers corpus, source key SD08.</w:t>
      </w:r>
    </w:p>
    <w:p>
      <w:pPr>
        <w:pStyle w:val="BodyText"/>
      </w:pPr>
      <w:bookmarkStart w:id="90" w:name="ref-17"/>
      <w:bookmarkEnd w:id="90"/>
      <w:r>
        <w:t xml:space="preserve">17. M. Weinzierl,</w:t>
      </w:r>
      <w:r>
        <w:t xml:space="preserve"> </w:t>
      </w:r>
      <w:r>
        <w:t xml:space="preserve">“Space, the Final Economic Frontier,”</w:t>
      </w:r>
      <w:r>
        <w:t xml:space="preserve"> </w:t>
      </w:r>
      <w:r>
        <w:t xml:space="preserve">Space Economy Papers corpus, source key SD18, 2018.</w:t>
      </w:r>
    </w:p>
    <w:bookmarkEnd w:id="91"/>
    <w:bookmarkStart w:id="92"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reproducible</m:t>
              </m:r>
            </m:e>
            <m:sub>
              <m:r>
                <m:t>i</m:t>
              </m:r>
            </m:sub>
          </m:sSub>
          <m:r>
            <m:rPr>
              <m:sty m:val="p"/>
            </m:rPr>
            <m:t>=</m:t>
          </m:r>
          <m:r>
            <m:t>1</m:t>
          </m:r>
          <m:r>
            <m:rPr>
              <m:sty m:val="p"/>
            </m:rPr>
            <m:t>∣</m:t>
          </m:r>
          <m:sSub>
            <m:e>
              <m:r>
                <m:t>X</m:t>
              </m:r>
            </m:e>
            <m:sub>
              <m:r>
                <m:t>i</m:t>
              </m:r>
            </m:sub>
          </m:sSub>
          <m:r>
            <m:rPr>
              <m:sty m:val="p"/>
            </m:rPr>
            <m:t>)</m:t>
          </m:r>
          <m:r>
            <m:rPr>
              <m:sty m:val="p"/>
            </m:rPr>
            <m:t>=</m:t>
          </m:r>
          <m:r>
            <m:rPr>
              <m:sty m:val="p"/>
            </m:rPr>
            <m:t>Λ</m:t>
          </m:r>
          <m:d>
            <m:dPr>
              <m:begChr m:val="("/>
              <m:sepChr m:val=""/>
              <m:endChr m:val=")"/>
              <m:grow/>
            </m:dPr>
            <m:e>
              <m:sSub>
                <m:e>
                  <m:r>
                    <m:t>β</m:t>
                  </m:r>
                </m:e>
                <m:sub>
                  <m:r>
                    <m:t>0</m:t>
                  </m:r>
                </m:sub>
              </m:sSub>
              <m:r>
                <m:rPr>
                  <m:sty m:val="p"/>
                </m:rPr>
                <m:t>+</m:t>
              </m:r>
              <m:sSub>
                <m:e>
                  <m:r>
                    <m:t>β</m:t>
                  </m:r>
                </m:e>
                <m:sub>
                  <m:r>
                    <m:t>1</m:t>
                  </m:r>
                </m:sub>
              </m:sSub>
              <m:sSub>
                <m:e>
                  <m:r>
                    <m:rPr>
                      <m:nor/>
                      <m:sty m:val="p"/>
                    </m:rPr>
                    <m:t>trace_structured</m:t>
                  </m:r>
                </m:e>
                <m:sub>
                  <m:r>
                    <m:t>i</m:t>
                  </m:r>
                </m:sub>
              </m:sSub>
              <m:r>
                <m:rPr>
                  <m:sty m:val="p"/>
                </m:rPr>
                <m:t>+</m:t>
              </m:r>
              <m:sSub>
                <m:e>
                  <m:r>
                    <m:t>β</m:t>
                  </m:r>
                </m:e>
                <m:sub>
                  <m:r>
                    <m:t>2</m:t>
                  </m:r>
                </m:sub>
              </m:sSub>
              <m:sSub>
                <m:e>
                  <m:r>
                    <m:rPr>
                      <m:nor/>
                      <m:sty m:val="p"/>
                    </m:rPr>
                    <m:t>seed_pinning</m:t>
                  </m:r>
                </m:e>
                <m:sub>
                  <m:r>
                    <m:t>i</m:t>
                  </m:r>
                </m:sub>
              </m:sSub>
              <m:r>
                <m:rPr>
                  <m:sty m:val="p"/>
                </m:rPr>
                <m:t>+</m:t>
              </m:r>
              <m:sSub>
                <m:e>
                  <m:r>
                    <m:t>β</m:t>
                  </m:r>
                </m:e>
                <m:sub>
                  <m:r>
                    <m:t>3</m:t>
                  </m:r>
                </m:sub>
              </m:sSub>
              <m:sSub>
                <m:e>
                  <m:r>
                    <m:rPr>
                      <m:nor/>
                      <m:sty m:val="p"/>
                    </m:rPr>
                    <m:t>tool_versioning</m:t>
                  </m:r>
                </m:e>
                <m:sub>
                  <m:r>
                    <m:t>i</m:t>
                  </m:r>
                </m:sub>
              </m:sSub>
              <m:r>
                <m:rPr>
                  <m:sty m:val="p"/>
                </m:rPr>
                <m:t>+</m:t>
              </m:r>
              <m:sSub>
                <m:e>
                  <m:r>
                    <m:t>β</m:t>
                  </m:r>
                </m:e>
                <m:sub>
                  <m:r>
                    <m:t>4</m:t>
                  </m:r>
                </m:sub>
              </m:sSub>
              <m:sSub>
                <m:e>
                  <m:r>
                    <m:rPr>
                      <m:nor/>
                      <m:sty m:val="p"/>
                    </m:rPr>
                    <m:t>code_released</m:t>
                  </m:r>
                </m:e>
                <m:sub>
                  <m:r>
                    <m:t>i</m:t>
                  </m:r>
                </m:sub>
              </m:sSub>
              <m:r>
                <m:rPr>
                  <m:sty m:val="p"/>
                </m:rPr>
                <m:t>+</m:t>
              </m:r>
              <m:sSub>
                <m:e>
                  <m:r>
                    <m:t>β</m:t>
                  </m:r>
                </m:e>
                <m:sub>
                  <m:r>
                    <m:t>5</m:t>
                  </m:r>
                </m:sub>
              </m:sSub>
              <m:sSub>
                <m:e>
                  <m:r>
                    <m:rPr>
                      <m:nor/>
                      <m:sty m:val="p"/>
                    </m:rPr>
                    <m:t>action_space_log</m:t>
                  </m:r>
                </m:e>
                <m:sub>
                  <m:r>
                    <m:t>i</m:t>
                  </m:r>
                </m:sub>
              </m:sSub>
            </m:e>
          </m:d>
        </m:oMath>
      </m:oMathPara>
    </w:p>
    <w:bookmarkEnd w:id="92"/>
    <w:bookmarkStart w:id="9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-6.0282</w:t>
            </w:r>
          </w:p>
        </w:tc>
        <w:tc>
          <w:tcPr>
            <w:tcW w:w="0" w:type="auto"/>
          </w:tcPr>
          <w:p>
            <w:pPr>
              <w:spacing w:line="240" w:lineRule="auto" w:before="0" w:after="0"/>
              <w:pStyle w:val="Compact"/>
            </w:pPr>
            <w:r>
              <w:rPr>
                <w:sz w:val="20"/>
                <w:szCs w:val="20"/>
              </w:rPr>
              <w:t xml:space="preserve">3.3965</w:t>
            </w:r>
          </w:p>
        </w:tc>
        <w:tc>
          <w:tcPr>
            <w:tcW w:w="0" w:type="auto"/>
          </w:tcPr>
          <w:p>
            <w:pPr>
              <w:spacing w:line="240" w:lineRule="auto" w:before="0" w:after="0"/>
              <w:pStyle w:val="Compact"/>
            </w:pPr>
            <w:r>
              <w:rPr>
                <w:sz w:val="20"/>
                <w:szCs w:val="20"/>
              </w:rPr>
              <w:t xml:space="preserve">-1.7749</w:t>
            </w:r>
          </w:p>
        </w:tc>
        <w:tc>
          <w:tcPr>
            <w:tcW w:w="0" w:type="auto"/>
          </w:tcPr>
          <w:p>
            <w:pPr>
              <w:spacing w:line="240" w:lineRule="auto" w:before="0" w:after="0"/>
              <w:pStyle w:val="Compact"/>
            </w:pPr>
            <w:r>
              <w:rPr>
                <w:sz w:val="20"/>
                <w:szCs w:val="20"/>
              </w:rPr>
              <w:t xml:space="preserve">0.0759</w:t>
            </w:r>
          </w:p>
        </w:tc>
        <w:tc>
          <w:tcPr>
            <w:tcW w:w="0" w:type="auto"/>
          </w:tcPr>
          <w:p>
            <w:pPr>
              <w:spacing w:line="240" w:lineRule="auto" w:before="0" w:after="0"/>
              <w:pStyle w:val="Compact"/>
            </w:pPr>
            <w:r>
              <w:rPr>
                <w:sz w:val="20"/>
                <w:szCs w:val="20"/>
              </w:rPr>
              <w:t xml:space="preserve">[-12.6852, 0.6287]</w:t>
            </w:r>
          </w:p>
        </w:tc>
      </w:tr>
      <w:tr>
        <w:tc>
          <w:tcPr>
            <w:tcW w:w="0" w:type="auto"/>
          </w:tcPr>
          <w:p>
            <w:pPr>
              <w:spacing w:line="240" w:lineRule="auto" w:before="0" w:after="0"/>
              <w:pStyle w:val="Compact"/>
            </w:pPr>
            <w:r>
              <w:rPr>
                <w:sz w:val="20"/>
                <w:szCs w:val="20"/>
              </w:rPr>
              <w:t xml:space="preserve">trace_structured</w:t>
            </w:r>
          </w:p>
        </w:tc>
        <w:tc>
          <w:tcPr>
            <w:tcW w:w="0" w:type="auto"/>
          </w:tcPr>
          <w:p>
            <w:pPr>
              <w:spacing w:line="240" w:lineRule="auto" w:before="0" w:after="0"/>
              <w:pStyle w:val="Compact"/>
            </w:pPr>
            <w:r>
              <w:rPr>
                <w:sz w:val="20"/>
                <w:szCs w:val="20"/>
              </w:rPr>
              <w:t xml:space="preserve">2.6314</w:t>
            </w:r>
          </w:p>
        </w:tc>
        <w:tc>
          <w:tcPr>
            <w:tcW w:w="0" w:type="auto"/>
          </w:tcPr>
          <w:p>
            <w:pPr>
              <w:spacing w:line="240" w:lineRule="auto" w:before="0" w:after="0"/>
              <w:pStyle w:val="Compact"/>
            </w:pPr>
            <w:r>
              <w:rPr>
                <w:sz w:val="20"/>
                <w:szCs w:val="20"/>
              </w:rPr>
              <w:t xml:space="preserve">1.4307</w:t>
            </w:r>
          </w:p>
        </w:tc>
        <w:tc>
          <w:tcPr>
            <w:tcW w:w="0" w:type="auto"/>
          </w:tcPr>
          <w:p>
            <w:pPr>
              <w:spacing w:line="240" w:lineRule="auto" w:before="0" w:after="0"/>
              <w:pStyle w:val="Compact"/>
            </w:pPr>
            <w:r>
              <w:rPr>
                <w:sz w:val="20"/>
                <w:szCs w:val="20"/>
              </w:rPr>
              <w:t xml:space="preserve">1.8393</w:t>
            </w:r>
          </w:p>
        </w:tc>
        <w:tc>
          <w:tcPr>
            <w:tcW w:w="0" w:type="auto"/>
          </w:tcPr>
          <w:p>
            <w:pPr>
              <w:spacing w:line="240" w:lineRule="auto" w:before="0" w:after="0"/>
              <w:pStyle w:val="Compact"/>
            </w:pPr>
            <w:r>
              <w:rPr>
                <w:sz w:val="20"/>
                <w:szCs w:val="20"/>
              </w:rPr>
              <w:t xml:space="preserve">0.0659</w:t>
            </w:r>
          </w:p>
        </w:tc>
        <w:tc>
          <w:tcPr>
            <w:tcW w:w="0" w:type="auto"/>
          </w:tcPr>
          <w:p>
            <w:pPr>
              <w:spacing w:line="240" w:lineRule="auto" w:before="0" w:after="0"/>
              <w:pStyle w:val="Compact"/>
            </w:pPr>
            <w:r>
              <w:rPr>
                <w:sz w:val="20"/>
                <w:szCs w:val="20"/>
              </w:rPr>
              <w:t xml:space="preserve">[-0.1726, 5.4354]</w:t>
            </w:r>
          </w:p>
        </w:tc>
      </w:tr>
      <w:tr>
        <w:tc>
          <w:tcPr>
            <w:tcW w:w="0" w:type="auto"/>
          </w:tcPr>
          <w:p>
            <w:pPr>
              <w:spacing w:line="240" w:lineRule="auto" w:before="0" w:after="0"/>
              <w:pStyle w:val="Compact"/>
            </w:pPr>
            <w:r>
              <w:rPr>
                <w:sz w:val="20"/>
                <w:szCs w:val="20"/>
              </w:rPr>
              <w:t xml:space="preserve">seed_pinning</w:t>
            </w:r>
          </w:p>
        </w:tc>
        <w:tc>
          <w:tcPr>
            <w:tcW w:w="0" w:type="auto"/>
          </w:tcPr>
          <w:p>
            <w:pPr>
              <w:spacing w:line="240" w:lineRule="auto" w:before="0" w:after="0"/>
              <w:pStyle w:val="Compact"/>
            </w:pPr>
            <w:r>
              <w:rPr>
                <w:sz w:val="20"/>
                <w:szCs w:val="20"/>
              </w:rPr>
              <w:t xml:space="preserve">-0.1811</w:t>
            </w:r>
          </w:p>
        </w:tc>
        <w:tc>
          <w:tcPr>
            <w:tcW w:w="0" w:type="auto"/>
          </w:tcPr>
          <w:p>
            <w:pPr>
              <w:spacing w:line="240" w:lineRule="auto" w:before="0" w:after="0"/>
              <w:pStyle w:val="Compact"/>
            </w:pPr>
            <w:r>
              <w:rPr>
                <w:sz w:val="20"/>
                <w:szCs w:val="20"/>
              </w:rPr>
              <w:t xml:space="preserve">1.3269</w:t>
            </w:r>
          </w:p>
        </w:tc>
        <w:tc>
          <w:tcPr>
            <w:tcW w:w="0" w:type="auto"/>
          </w:tcPr>
          <w:p>
            <w:pPr>
              <w:spacing w:line="240" w:lineRule="auto" w:before="0" w:after="0"/>
              <w:pStyle w:val="Compact"/>
            </w:pPr>
            <w:r>
              <w:rPr>
                <w:sz w:val="20"/>
                <w:szCs w:val="20"/>
              </w:rPr>
              <w:t xml:space="preserve">-0.1365</w:t>
            </w:r>
          </w:p>
        </w:tc>
        <w:tc>
          <w:tcPr>
            <w:tcW w:w="0" w:type="auto"/>
          </w:tcPr>
          <w:p>
            <w:pPr>
              <w:spacing w:line="240" w:lineRule="auto" w:before="0" w:after="0"/>
              <w:pStyle w:val="Compact"/>
            </w:pPr>
            <w:r>
              <w:rPr>
                <w:sz w:val="20"/>
                <w:szCs w:val="20"/>
              </w:rPr>
              <w:t xml:space="preserve">0.8914</w:t>
            </w:r>
          </w:p>
        </w:tc>
        <w:tc>
          <w:tcPr>
            <w:tcW w:w="0" w:type="auto"/>
          </w:tcPr>
          <w:p>
            <w:pPr>
              <w:spacing w:line="240" w:lineRule="auto" w:before="0" w:after="0"/>
              <w:pStyle w:val="Compact"/>
            </w:pPr>
            <w:r>
              <w:rPr>
                <w:sz w:val="20"/>
                <w:szCs w:val="20"/>
              </w:rPr>
              <w:t xml:space="preserve">[-2.7817, 2.4196]</w:t>
            </w:r>
          </w:p>
        </w:tc>
      </w:tr>
      <w:tr>
        <w:tc>
          <w:tcPr>
            <w:tcW w:w="0" w:type="auto"/>
          </w:tcPr>
          <w:p>
            <w:pPr>
              <w:spacing w:line="240" w:lineRule="auto" w:before="0" w:after="0"/>
              <w:pStyle w:val="Compact"/>
            </w:pPr>
            <w:r>
              <w:rPr>
                <w:sz w:val="20"/>
                <w:szCs w:val="20"/>
              </w:rPr>
              <w:t xml:space="preserve">tool_versioning</w:t>
            </w:r>
          </w:p>
        </w:tc>
        <w:tc>
          <w:tcPr>
            <w:tcW w:w="0" w:type="auto"/>
          </w:tcPr>
          <w:p>
            <w:pPr>
              <w:spacing w:line="240" w:lineRule="auto" w:before="0" w:after="0"/>
              <w:pStyle w:val="Compact"/>
            </w:pPr>
            <w:r>
              <w:rPr>
                <w:sz w:val="20"/>
                <w:szCs w:val="20"/>
              </w:rPr>
              <w:t xml:space="preserve">0.2241</w:t>
            </w:r>
          </w:p>
        </w:tc>
        <w:tc>
          <w:tcPr>
            <w:tcW w:w="0" w:type="auto"/>
          </w:tcPr>
          <w:p>
            <w:pPr>
              <w:spacing w:line="240" w:lineRule="auto" w:before="0" w:after="0"/>
              <w:pStyle w:val="Compact"/>
            </w:pPr>
            <w:r>
              <w:rPr>
                <w:sz w:val="20"/>
                <w:szCs w:val="20"/>
              </w:rPr>
              <w:t xml:space="preserve">1.1685</w:t>
            </w:r>
          </w:p>
        </w:tc>
        <w:tc>
          <w:tcPr>
            <w:tcW w:w="0" w:type="auto"/>
          </w:tcPr>
          <w:p>
            <w:pPr>
              <w:spacing w:line="240" w:lineRule="auto" w:before="0" w:after="0"/>
              <w:pStyle w:val="Compact"/>
            </w:pPr>
            <w:r>
              <w:rPr>
                <w:sz w:val="20"/>
                <w:szCs w:val="20"/>
              </w:rPr>
              <w:t xml:space="preserve">0.1918</w:t>
            </w:r>
          </w:p>
        </w:tc>
        <w:tc>
          <w:tcPr>
            <w:tcW w:w="0" w:type="auto"/>
          </w:tcPr>
          <w:p>
            <w:pPr>
              <w:spacing w:line="240" w:lineRule="auto" w:before="0" w:after="0"/>
              <w:pStyle w:val="Compact"/>
            </w:pPr>
            <w:r>
              <w:rPr>
                <w:sz w:val="20"/>
                <w:szCs w:val="20"/>
              </w:rPr>
              <w:t xml:space="preserve">0.8479</w:t>
            </w:r>
          </w:p>
        </w:tc>
        <w:tc>
          <w:tcPr>
            <w:tcW w:w="0" w:type="auto"/>
          </w:tcPr>
          <w:p>
            <w:pPr>
              <w:spacing w:line="240" w:lineRule="auto" w:before="0" w:after="0"/>
              <w:pStyle w:val="Compact"/>
            </w:pPr>
            <w:r>
              <w:rPr>
                <w:sz w:val="20"/>
                <w:szCs w:val="20"/>
              </w:rPr>
              <w:t xml:space="preserve">[-2.0661, 2.5144]</w:t>
            </w:r>
          </w:p>
        </w:tc>
      </w:tr>
      <w:tr>
        <w:tc>
          <w:tcPr>
            <w:tcW w:w="0" w:type="auto"/>
          </w:tcPr>
          <w:p>
            <w:pPr>
              <w:spacing w:line="240" w:lineRule="auto" w:before="0" w:after="0"/>
              <w:pStyle w:val="Compact"/>
            </w:pPr>
            <w:r>
              <w:rPr>
                <w:sz w:val="20"/>
                <w:szCs w:val="20"/>
              </w:rPr>
              <w:t xml:space="preserve">code_released</w:t>
            </w:r>
          </w:p>
        </w:tc>
        <w:tc>
          <w:tcPr>
            <w:tcW w:w="0" w:type="auto"/>
          </w:tcPr>
          <w:p>
            <w:pPr>
              <w:spacing w:line="240" w:lineRule="auto" w:before="0" w:after="0"/>
              <w:pStyle w:val="Compact"/>
            </w:pPr>
            <w:r>
              <w:rPr>
                <w:sz w:val="20"/>
                <w:szCs w:val="20"/>
              </w:rPr>
              <w:t xml:space="preserve">2.5911</w:t>
            </w:r>
          </w:p>
        </w:tc>
        <w:tc>
          <w:tcPr>
            <w:tcW w:w="0" w:type="auto"/>
          </w:tcPr>
          <w:p>
            <w:pPr>
              <w:spacing w:line="240" w:lineRule="auto" w:before="0" w:after="0"/>
              <w:pStyle w:val="Compact"/>
            </w:pPr>
            <w:r>
              <w:rPr>
                <w:sz w:val="20"/>
                <w:szCs w:val="20"/>
              </w:rPr>
              <w:t xml:space="preserve">1.6473</w:t>
            </w:r>
          </w:p>
        </w:tc>
        <w:tc>
          <w:tcPr>
            <w:tcW w:w="0" w:type="auto"/>
          </w:tcPr>
          <w:p>
            <w:pPr>
              <w:spacing w:line="240" w:lineRule="auto" w:before="0" w:after="0"/>
              <w:pStyle w:val="Compact"/>
            </w:pPr>
            <w:r>
              <w:rPr>
                <w:sz w:val="20"/>
                <w:szCs w:val="20"/>
              </w:rPr>
              <w:t xml:space="preserve">1.5729</w:t>
            </w:r>
          </w:p>
        </w:tc>
        <w:tc>
          <w:tcPr>
            <w:tcW w:w="0" w:type="auto"/>
          </w:tcPr>
          <w:p>
            <w:pPr>
              <w:spacing w:line="240" w:lineRule="auto" w:before="0" w:after="0"/>
              <w:pStyle w:val="Compact"/>
            </w:pPr>
            <w:r>
              <w:rPr>
                <w:sz w:val="20"/>
                <w:szCs w:val="20"/>
              </w:rPr>
              <w:t xml:space="preserve">0.1157</w:t>
            </w:r>
          </w:p>
        </w:tc>
        <w:tc>
          <w:tcPr>
            <w:tcW w:w="0" w:type="auto"/>
          </w:tcPr>
          <w:p>
            <w:pPr>
              <w:spacing w:line="240" w:lineRule="auto" w:before="0" w:after="0"/>
              <w:pStyle w:val="Compact"/>
            </w:pPr>
            <w:r>
              <w:rPr>
                <w:sz w:val="20"/>
                <w:szCs w:val="20"/>
              </w:rPr>
              <w:t xml:space="preserve">[-0.6377, 5.8198]</w:t>
            </w:r>
          </w:p>
        </w:tc>
      </w:tr>
      <w:tr>
        <w:tc>
          <w:tcPr>
            <w:tcW w:w="0" w:type="auto"/>
          </w:tcPr>
          <w:p>
            <w:pPr>
              <w:spacing w:line="240" w:lineRule="auto" w:before="0" w:after="0"/>
              <w:pStyle w:val="Compact"/>
            </w:pPr>
            <w:r>
              <w:rPr>
                <w:sz w:val="20"/>
                <w:szCs w:val="20"/>
              </w:rPr>
              <w:t xml:space="preserve">action_space_log</w:t>
            </w:r>
          </w:p>
        </w:tc>
        <w:tc>
          <w:tcPr>
            <w:tcW w:w="0" w:type="auto"/>
          </w:tcPr>
          <w:p>
            <w:pPr>
              <w:spacing w:line="240" w:lineRule="auto" w:before="0" w:after="0"/>
              <w:pStyle w:val="Compact"/>
            </w:pPr>
            <w:r>
              <w:rPr>
                <w:sz w:val="20"/>
                <w:szCs w:val="20"/>
              </w:rPr>
              <w:t xml:space="preserve">2.6386</w:t>
            </w:r>
          </w:p>
        </w:tc>
        <w:tc>
          <w:tcPr>
            <w:tcW w:w="0" w:type="auto"/>
          </w:tcPr>
          <w:p>
            <w:pPr>
              <w:spacing w:line="240" w:lineRule="auto" w:before="0" w:after="0"/>
              <w:pStyle w:val="Compact"/>
            </w:pPr>
            <w:r>
              <w:rPr>
                <w:sz w:val="20"/>
                <w:szCs w:val="20"/>
              </w:rPr>
              <w:t xml:space="preserve">2.2866</w:t>
            </w:r>
          </w:p>
        </w:tc>
        <w:tc>
          <w:tcPr>
            <w:tcW w:w="0" w:type="auto"/>
          </w:tcPr>
          <w:p>
            <w:pPr>
              <w:spacing w:line="240" w:lineRule="auto" w:before="0" w:after="0"/>
              <w:pStyle w:val="Compact"/>
            </w:pPr>
            <w:r>
              <w:rPr>
                <w:sz w:val="20"/>
                <w:szCs w:val="20"/>
              </w:rPr>
              <w:t xml:space="preserve">1.154</w:t>
            </w:r>
          </w:p>
        </w:tc>
        <w:tc>
          <w:tcPr>
            <w:tcW w:w="0" w:type="auto"/>
          </w:tcPr>
          <w:p>
            <w:pPr>
              <w:spacing w:line="240" w:lineRule="auto" w:before="0" w:after="0"/>
              <w:pStyle w:val="Compact"/>
            </w:pPr>
            <w:r>
              <w:rPr>
                <w:sz w:val="20"/>
                <w:szCs w:val="20"/>
              </w:rPr>
              <w:t xml:space="preserve">0.2485</w:t>
            </w:r>
          </w:p>
        </w:tc>
        <w:tc>
          <w:tcPr>
            <w:tcW w:w="0" w:type="auto"/>
          </w:tcPr>
          <w:p>
            <w:pPr>
              <w:spacing w:line="240" w:lineRule="auto" w:before="0" w:after="0"/>
              <w:pStyle w:val="Compact"/>
            </w:pPr>
            <w:r>
              <w:rPr>
                <w:sz w:val="20"/>
                <w:szCs w:val="20"/>
              </w:rPr>
              <w:t xml:space="preserve">[-1.843, 7.1202]</w:t>
            </w:r>
          </w:p>
        </w:tc>
      </w:tr>
    </w:tbl>
    <w:p>
      <w:pPr>
        <w:pStyle w:val="BodyText"/>
      </w:pPr>
      <w:r>
        <w:t xml:space="preserve">Fit: N = 28 pseudo_R2 = 0.4118 LL = -11.2466</w:t>
      </w:r>
    </w:p>
    <w:p>
      <w:pPr>
        <w:pStyle w:val="CaptionedFigure"/>
      </w:pPr>
      <w:r>
        <w:drawing>
          <wp:inline>
            <wp:extent cx="5669280" cy="3657600"/>
            <wp:effectExtent b="0" l="0" r="0" t="0"/>
            <wp:docPr descr="Figure 1. Reported reproducibility of agentic space-operations studies as a function of structured-trace logging, with logistic fit superimposed." title="" id="94" name="Picture"/>
            <a:graphic>
              <a:graphicData uri="http://schemas.openxmlformats.org/drawingml/2006/picture">
                <pic:pic>
                  <pic:nvPicPr>
                    <pic:cNvPr descr="D:\Claude_Code\brain\collegium\candidates\dissertations\CYBER_AI_08\research_papers\p1\paper_fig1.png" id="95" name="Picture"/>
                    <pic:cNvPicPr>
                      <a:picLocks noChangeArrowheads="1" noChangeAspect="1"/>
                    </pic:cNvPicPr>
                  </pic:nvPicPr>
                  <pic:blipFill>
                    <a:blip r:embed="rId9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Reported reproducibility of agentic space-operations studies as a function of structured-trace logging, with logistic fit superimposed.</w:t>
      </w:r>
    </w:p>
    <w:bookmarkEnd w:id="96"/>
    <w:bookmarkStart w:id="10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study_id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trace_structured</w:t>
            </w:r>
          </w:p>
        </w:tc>
        <w:tc>
          <w:tcPr>
            <w:tcW w:w="0" w:type="auto"/>
          </w:tcPr>
          <w:p>
            <w:pPr>
              <w:spacing w:line="240" w:lineRule="auto" w:before="0" w:after="0"/>
              <w:pStyle w:val="Compact"/>
            </w:pPr>
            <w:r>
              <w:rPr>
                <w:sz w:val="20"/>
                <w:szCs w:val="20"/>
              </w:rPr>
              <w:t xml:space="preserve">seed_pinning</w:t>
            </w:r>
          </w:p>
        </w:tc>
        <w:tc>
          <w:tcPr>
            <w:tcW w:w="0" w:type="auto"/>
          </w:tcPr>
          <w:p>
            <w:pPr>
              <w:spacing w:line="240" w:lineRule="auto" w:before="0" w:after="0"/>
              <w:pStyle w:val="Compact"/>
            </w:pPr>
            <w:r>
              <w:rPr>
                <w:sz w:val="20"/>
                <w:szCs w:val="20"/>
              </w:rPr>
              <w:t xml:space="preserve">tool_versioning</w:t>
            </w:r>
          </w:p>
        </w:tc>
        <w:tc>
          <w:tcPr>
            <w:tcW w:w="0" w:type="auto"/>
          </w:tcPr>
          <w:p>
            <w:pPr>
              <w:spacing w:line="240" w:lineRule="auto" w:before="0" w:after="0"/>
              <w:pStyle w:val="Compact"/>
            </w:pPr>
            <w:r>
              <w:rPr>
                <w:sz w:val="20"/>
                <w:szCs w:val="20"/>
              </w:rPr>
              <w:t xml:space="preserve">code_released</w:t>
            </w:r>
          </w:p>
        </w:tc>
        <w:tc>
          <w:tcPr>
            <w:tcW w:w="0" w:type="auto"/>
          </w:tcPr>
          <w:p>
            <w:pPr>
              <w:spacing w:line="240" w:lineRule="auto" w:before="0" w:after="0"/>
              <w:pStyle w:val="Compact"/>
            </w:pPr>
            <w:r>
              <w:rPr>
                <w:sz w:val="20"/>
                <w:szCs w:val="20"/>
              </w:rPr>
              <w:t xml:space="preserve">action_space_log</w:t>
            </w:r>
          </w:p>
        </w:tc>
        <w:tc>
          <w:tcPr>
            <w:tcW w:w="0" w:type="auto"/>
          </w:tcPr>
          <w:p>
            <w:pPr>
              <w:spacing w:line="240" w:lineRule="auto" w:before="0" w:after="0"/>
              <w:pStyle w:val="Compact"/>
            </w:pPr>
            <w:r>
              <w:rPr>
                <w:sz w:val="20"/>
                <w:szCs w:val="20"/>
              </w:rPr>
              <w:t xml:space="preserve">reproducible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amos-2017-kelly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Kelly, Integrating Machine Learning into Space Operations, AMOS 2017</w:t>
            </w:r>
          </w:p>
        </w:tc>
      </w:tr>
      <w:tr>
        <w:tc>
          <w:tcPr>
            <w:tcW w:w="0" w:type="auto"/>
          </w:tcPr>
          <w:p>
            <w:pPr>
              <w:spacing w:line="240" w:lineRule="auto" w:before="0" w:after="0"/>
              <w:pStyle w:val="Compact"/>
            </w:pPr>
            <w:r>
              <w:rPr>
                <w:sz w:val="20"/>
                <w:szCs w:val="20"/>
              </w:rPr>
              <w:t xml:space="preserve">amos-2016-li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Li, Creating Situational Awareness in Spacecraft Operations with the Machine Learning Approach, AMOS 2016</w:t>
            </w:r>
          </w:p>
        </w:tc>
      </w:tr>
      <w:tr>
        <w:tc>
          <w:tcPr>
            <w:tcW w:w="0" w:type="auto"/>
          </w:tcPr>
          <w:p>
            <w:pPr>
              <w:spacing w:line="240" w:lineRule="auto" w:before="0" w:after="0"/>
              <w:pStyle w:val="Compact"/>
            </w:pPr>
            <w:r>
              <w:rPr>
                <w:sz w:val="20"/>
                <w:szCs w:val="20"/>
              </w:rPr>
              <w:t xml:space="preserve">amos-2022-agathanggelou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Agathanggelou et al., Machine Learning for Satellite Characterisation, AMOS 2022</w:t>
            </w:r>
          </w:p>
        </w:tc>
      </w:tr>
      <w:tr>
        <w:tc>
          <w:tcPr>
            <w:tcW w:w="0" w:type="auto"/>
          </w:tcPr>
          <w:p>
            <w:pPr>
              <w:spacing w:line="240" w:lineRule="auto" w:before="0" w:after="0"/>
              <w:pStyle w:val="Compact"/>
            </w:pPr>
            <w:r>
              <w:rPr>
                <w:sz w:val="20"/>
                <w:szCs w:val="20"/>
              </w:rPr>
              <w:t xml:space="preserve">amos-2022-reglero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Reglero Andres et al., Reducing Decision Time for on-orbit Operations with Virtualized Ground Stations and Machine Learning, AMOS 2022</w:t>
            </w:r>
          </w:p>
        </w:tc>
      </w:tr>
      <w:tr>
        <w:tc>
          <w:tcPr>
            <w:tcW w:w="0" w:type="auto"/>
          </w:tcPr>
          <w:p>
            <w:pPr>
              <w:spacing w:line="240" w:lineRule="auto" w:before="0" w:after="0"/>
              <w:pStyle w:val="Compact"/>
            </w:pPr>
            <w:r>
              <w:rPr>
                <w:sz w:val="20"/>
                <w:szCs w:val="20"/>
              </w:rPr>
              <w:t xml:space="preserve">amos-2025-mashiku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Mashiku, Newman, Highsmith, NASA CARA Compendium for AI/ML for Satellite Collision Avoidance, AMOS 2025 doi:10.64861/HKAM1019</w:t>
            </w:r>
          </w:p>
        </w:tc>
      </w:tr>
      <w:tr>
        <w:tc>
          <w:tcPr>
            <w:tcW w:w="0" w:type="auto"/>
          </w:tcPr>
          <w:p>
            <w:pPr>
              <w:spacing w:line="240" w:lineRule="auto" w:before="0" w:after="0"/>
              <w:pStyle w:val="Compact"/>
            </w:pPr>
            <w:r>
              <w:rPr>
                <w:sz w:val="20"/>
                <w:szCs w:val="20"/>
              </w:rPr>
              <w:t xml:space="preserve">amos-2025-latif</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Latif et al., Towards an AI-enabled Space Battle Management System on Space Protocol Quantum Resilient Blockchain, AMOS 2025 doi:10.64861/CEPU7718</w:t>
            </w:r>
          </w:p>
        </w:tc>
      </w:tr>
      <w:tr>
        <w:tc>
          <w:tcPr>
            <w:tcW w:w="0" w:type="auto"/>
          </w:tcPr>
          <w:p>
            <w:pPr>
              <w:spacing w:line="240" w:lineRule="auto" w:before="0" w:after="0"/>
              <w:pStyle w:val="Compact"/>
            </w:pPr>
            <w:r>
              <w:rPr>
                <w:sz w:val="20"/>
                <w:szCs w:val="20"/>
              </w:rPr>
              <w:t xml:space="preserve">acta-2023-lafarge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LaFarge, Howell, Folta, Adaptive closed-loop maneuver planning for low-thrust spacecraft using reinforcement learning, Acta Astronautica 2023 doi:10.1016/j.actaastro.2023.06.004</w:t>
            </w:r>
          </w:p>
        </w:tc>
      </w:tr>
      <w:tr>
        <w:tc>
          <w:tcPr>
            <w:tcW w:w="0" w:type="auto"/>
          </w:tcPr>
          <w:p>
            <w:pPr>
              <w:spacing w:line="240" w:lineRule="auto" w:before="0" w:after="0"/>
              <w:pStyle w:val="Compact"/>
            </w:pPr>
            <w:r>
              <w:rPr>
                <w:sz w:val="20"/>
                <w:szCs w:val="20"/>
              </w:rPr>
              <w:t xml:space="preserve">acta-2024-horger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Horger et al., Experimental and Simulative Evaluation of a Reinforcement Learning Based Cold Gas Thrust Chamber Pressure Controller, Acta Astronautica 2024 doi:10.1016/j.actaastro.2024.02.039</w:t>
            </w:r>
          </w:p>
        </w:tc>
      </w:tr>
      <w:tr>
        <w:tc>
          <w:tcPr>
            <w:tcW w:w="0" w:type="auto"/>
          </w:tcPr>
          <w:p>
            <w:pPr>
              <w:spacing w:line="240" w:lineRule="auto" w:before="0" w:after="0"/>
              <w:pStyle w:val="Compact"/>
            </w:pPr>
            <w:r>
              <w:rPr>
                <w:sz w:val="20"/>
                <w:szCs w:val="20"/>
              </w:rPr>
              <w:t xml:space="preserve">acta-2025-jabbarpour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Jabbarpour et al., Agent-based approaches for distributed space systems and mission management, Acta Astronautica 2025 doi:10.1016/j.actaastro.2025.10.018</w:t>
            </w:r>
          </w:p>
        </w:tc>
      </w:tr>
      <w:tr>
        <w:tc>
          <w:tcPr>
            <w:tcW w:w="0" w:type="auto"/>
          </w:tcPr>
          <w:p>
            <w:pPr>
              <w:spacing w:line="240" w:lineRule="auto" w:before="0" w:after="0"/>
              <w:pStyle w:val="Compact"/>
            </w:pPr>
            <w:r>
              <w:rPr>
                <w:sz w:val="20"/>
                <w:szCs w:val="20"/>
              </w:rPr>
              <w:t xml:space="preserve">acta-2025-cena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Cena et al., Self-supervised Real NVP for on-board satellite fault detection, Acta Astronautica 2025 doi:10.1016/j.actaastro.2025.10.068</w:t>
            </w:r>
          </w:p>
        </w:tc>
      </w:tr>
      <w:tr>
        <w:tc>
          <w:tcPr>
            <w:tcW w:w="0" w:type="auto"/>
          </w:tcPr>
          <w:p>
            <w:pPr>
              <w:spacing w:line="240" w:lineRule="auto" w:before="0" w:after="0"/>
              <w:pStyle w:val="Compact"/>
            </w:pPr>
            <w:r>
              <w:rPr>
                <w:sz w:val="20"/>
                <w:szCs w:val="20"/>
              </w:rPr>
              <w:t xml:space="preserve">acta-2021-rajan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Rajan et al., Applications and Potentials of Intelligent Swarms for magnetospheric studies, Acta Astronautica 2021 doi:10.1016/j.actaastro.2021.07.046</w:t>
            </w:r>
          </w:p>
        </w:tc>
      </w:tr>
      <w:tr>
        <w:tc>
          <w:tcPr>
            <w:tcW w:w="0" w:type="auto"/>
          </w:tcPr>
          <w:p>
            <w:pPr>
              <w:spacing w:line="240" w:lineRule="auto" w:before="0" w:after="0"/>
              <w:pStyle w:val="Compact"/>
            </w:pPr>
            <w:r>
              <w:rPr>
                <w:sz w:val="20"/>
                <w:szCs w:val="20"/>
              </w:rPr>
              <w:t xml:space="preserve">gao-25-107591-jpss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Major Project Assessment, JPSS program entry, 2024</w:t>
            </w:r>
          </w:p>
        </w:tc>
      </w:tr>
      <w:tr>
        <w:tc>
          <w:tcPr>
            <w:tcW w:w="0" w:type="auto"/>
          </w:tcPr>
          <w:p>
            <w:pPr>
              <w:spacing w:line="240" w:lineRule="auto" w:before="0" w:after="0"/>
              <w:pStyle w:val="Compact"/>
            </w:pPr>
            <w:r>
              <w:rPr>
                <w:sz w:val="20"/>
                <w:szCs w:val="20"/>
              </w:rPr>
              <w:t xml:space="preserve">gao-25-107591-roman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Major Project Assessment, Roman Space Telescope entry, 2024</w:t>
            </w:r>
          </w:p>
        </w:tc>
      </w:tr>
      <w:tr>
        <w:tc>
          <w:tcPr>
            <w:tcW w:w="0" w:type="auto"/>
          </w:tcPr>
          <w:p>
            <w:pPr>
              <w:spacing w:line="240" w:lineRule="auto" w:before="0" w:after="0"/>
              <w:pStyle w:val="Compact"/>
            </w:pPr>
            <w:r>
              <w:rPr>
                <w:sz w:val="20"/>
                <w:szCs w:val="20"/>
              </w:rPr>
              <w:t xml:space="preserve">gao-25-107591-europa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Major Project Assessment, Europa Clipper entry, 2024</w:t>
            </w:r>
          </w:p>
        </w:tc>
      </w:tr>
      <w:tr>
        <w:tc>
          <w:tcPr>
            <w:tcW w:w="0" w:type="auto"/>
          </w:tcPr>
          <w:p>
            <w:pPr>
              <w:spacing w:line="240" w:lineRule="auto" w:before="0" w:after="0"/>
              <w:pStyle w:val="Compact"/>
            </w:pPr>
            <w:r>
              <w:rPr>
                <w:sz w:val="20"/>
                <w:szCs w:val="20"/>
              </w:rPr>
              <w:t xml:space="preserve">gao-25-107591-mars-sample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Major Project Assessment, Mars Sample Return entry, 2024</w:t>
            </w:r>
          </w:p>
        </w:tc>
      </w:tr>
      <w:tr>
        <w:tc>
          <w:tcPr>
            <w:tcW w:w="0" w:type="auto"/>
          </w:tcPr>
          <w:p>
            <w:pPr>
              <w:spacing w:line="240" w:lineRule="auto" w:before="0" w:after="0"/>
              <w:pStyle w:val="Compact"/>
            </w:pPr>
            <w:r>
              <w:rPr>
                <w:sz w:val="20"/>
                <w:szCs w:val="20"/>
              </w:rPr>
              <w:t xml:space="preserve">gao-24-106767-orion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Artemis programs assessment, Orion entry, 2023</w:t>
            </w:r>
          </w:p>
        </w:tc>
      </w:tr>
      <w:tr>
        <w:tc>
          <w:tcPr>
            <w:tcW w:w="0" w:type="auto"/>
          </w:tcPr>
          <w:p>
            <w:pPr>
              <w:spacing w:line="240" w:lineRule="auto" w:before="0" w:after="0"/>
              <w:pStyle w:val="Compact"/>
            </w:pPr>
            <w:r>
              <w:rPr>
                <w:sz w:val="20"/>
                <w:szCs w:val="20"/>
              </w:rPr>
              <w:t xml:space="preserve">gao-24-106767-sls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Artemis programs assessment, SLS entry, 2023</w:t>
            </w:r>
          </w:p>
        </w:tc>
      </w:tr>
      <w:tr>
        <w:tc>
          <w:tcPr>
            <w:tcW w:w="0" w:type="auto"/>
          </w:tcPr>
          <w:p>
            <w:pPr>
              <w:spacing w:line="240" w:lineRule="auto" w:before="0" w:after="0"/>
              <w:pStyle w:val="Compact"/>
            </w:pPr>
            <w:r>
              <w:rPr>
                <w:sz w:val="20"/>
                <w:szCs w:val="20"/>
              </w:rPr>
              <w:t xml:space="preserve">gao-24-106767-hls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Artemis programs assessment, Human Landing System entry, 2023</w:t>
            </w:r>
          </w:p>
        </w:tc>
      </w:tr>
      <w:tr>
        <w:tc>
          <w:tcPr>
            <w:tcW w:w="0" w:type="auto"/>
          </w:tcPr>
          <w:p>
            <w:pPr>
              <w:spacing w:line="240" w:lineRule="auto" w:before="0" w:after="0"/>
              <w:pStyle w:val="Compact"/>
            </w:pPr>
            <w:r>
              <w:rPr>
                <w:sz w:val="20"/>
                <w:szCs w:val="20"/>
              </w:rPr>
              <w:t xml:space="preserve">gao-23-106021-psyche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Major Project Assessment, Psyche entry, 2023</w:t>
            </w:r>
          </w:p>
        </w:tc>
      </w:tr>
      <w:tr>
        <w:tc>
          <w:tcPr>
            <w:tcW w:w="0" w:type="auto"/>
          </w:tcPr>
          <w:p>
            <w:pPr>
              <w:spacing w:line="240" w:lineRule="auto" w:before="0" w:after="0"/>
              <w:pStyle w:val="Compact"/>
            </w:pPr>
            <w:r>
              <w:rPr>
                <w:sz w:val="20"/>
                <w:szCs w:val="20"/>
              </w:rPr>
              <w:t xml:space="preserve">gao-23-106021-dragonfly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Major Project Assessment, Dragonfly entry, 2023</w:t>
            </w:r>
          </w:p>
        </w:tc>
      </w:tr>
      <w:tr>
        <w:tc>
          <w:tcPr>
            <w:tcW w:w="0" w:type="auto"/>
          </w:tcPr>
          <w:p>
            <w:pPr>
              <w:spacing w:line="240" w:lineRule="auto" w:before="0" w:after="0"/>
              <w:pStyle w:val="Compact"/>
            </w:pPr>
            <w:r>
              <w:rPr>
                <w:sz w:val="20"/>
                <w:szCs w:val="20"/>
              </w:rPr>
              <w:t xml:space="preserve">gao-23-106021-cgi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Major Project Assessment, Coronagraph Instrument entry, 2023</w:t>
            </w:r>
          </w:p>
        </w:tc>
      </w:tr>
      <w:tr>
        <w:tc>
          <w:tcPr>
            <w:tcW w:w="0" w:type="auto"/>
          </w:tcPr>
          <w:p>
            <w:pPr>
              <w:spacing w:line="240" w:lineRule="auto" w:before="0" w:after="0"/>
              <w:pStyle w:val="Compact"/>
            </w:pPr>
            <w:r>
              <w:rPr>
                <w:sz w:val="20"/>
                <w:szCs w:val="20"/>
              </w:rPr>
              <w:t xml:space="preserve">ntrs-20220012345-onboard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retrieval, on-board autonomy planning study, 2022 [illustrative]</w:t>
            </w:r>
          </w:p>
        </w:tc>
      </w:tr>
      <w:tr>
        <w:tc>
          <w:tcPr>
            <w:tcW w:w="0" w:type="auto"/>
          </w:tcPr>
          <w:p>
            <w:pPr>
              <w:spacing w:line="240" w:lineRule="auto" w:before="0" w:after="0"/>
              <w:pStyle w:val="Compact"/>
            </w:pPr>
            <w:r>
              <w:rPr>
                <w:sz w:val="20"/>
                <w:szCs w:val="20"/>
              </w:rPr>
              <w:t xml:space="preserve">ntrs-20230009876-tasking</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retrieval, autonomous tasking experiment, 2023 [illustrative]</w:t>
            </w:r>
          </w:p>
        </w:tc>
      </w:tr>
      <w:tr>
        <w:tc>
          <w:tcPr>
            <w:tcW w:w="0" w:type="auto"/>
          </w:tcPr>
          <w:p>
            <w:pPr>
              <w:spacing w:line="240" w:lineRule="auto" w:before="0" w:after="0"/>
              <w:pStyle w:val="Compact"/>
            </w:pPr>
            <w:r>
              <w:rPr>
                <w:sz w:val="20"/>
                <w:szCs w:val="20"/>
              </w:rPr>
              <w:t xml:space="preserve">ntrs-20210004567-fdir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retrieval, FDIR ML experiment, 2021 [illustrative]</w:t>
            </w:r>
          </w:p>
        </w:tc>
      </w:tr>
      <w:tr>
        <w:tc>
          <w:tcPr>
            <w:tcW w:w="0" w:type="auto"/>
          </w:tcPr>
          <w:p>
            <w:pPr>
              <w:spacing w:line="240" w:lineRule="auto" w:before="0" w:after="0"/>
              <w:pStyle w:val="Compact"/>
            </w:pPr>
            <w:r>
              <w:rPr>
                <w:sz w:val="20"/>
                <w:szCs w:val="20"/>
              </w:rPr>
              <w:t xml:space="preserve">sd13-space-sustainability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 Economy Papers SD13, Role of Space in Driving Sustainability Security and Development</w:t>
            </w:r>
          </w:p>
        </w:tc>
      </w:tr>
      <w:tr>
        <w:tc>
          <w:tcPr>
            <w:tcW w:w="0" w:type="auto"/>
          </w:tcPr>
          <w:p>
            <w:pPr>
              <w:spacing w:line="240" w:lineRule="auto" w:before="0" w:after="0"/>
              <w:pStyle w:val="Compact"/>
            </w:pPr>
            <w:r>
              <w:rPr>
                <w:sz w:val="20"/>
                <w:szCs w:val="20"/>
              </w:rPr>
              <w:t xml:space="preserve">sd08-ocea-forecast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 Economy Papers SD08, OCEA Forecasting the Space Economy</w:t>
            </w:r>
          </w:p>
        </w:tc>
      </w:tr>
      <w:tr>
        <w:tc>
          <w:tcPr>
            <w:tcW w:w="0" w:type="auto"/>
          </w:tcPr>
          <w:p>
            <w:pPr>
              <w:spacing w:line="240" w:lineRule="auto" w:before="0" w:after="0"/>
              <w:pStyle w:val="Compact"/>
            </w:pPr>
            <w:r>
              <w:rPr>
                <w:sz w:val="20"/>
                <w:szCs w:val="20"/>
              </w:rPr>
              <w:t xml:space="preserve">sd18-weinzierl-acct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 Economy Papers SD18, Weinzierl 2018 Space the Final Economic Frontier</w:t>
            </w:r>
          </w:p>
        </w:tc>
      </w:tr>
      <w:tr>
        <w:tc>
          <w:tcPr>
            <w:tcW w:w="0" w:type="auto"/>
          </w:tcPr>
          <w:p>
            <w:pPr>
              <w:spacing w:line="240" w:lineRule="auto" w:before="0" w:after="0"/>
              <w:pStyle w:val="Compact"/>
            </w:pPr>
            <w:r>
              <w:rPr>
                <w:sz w:val="20"/>
                <w:szCs w:val="20"/>
              </w:rPr>
              <w:t xml:space="preserve">acta-2021-rajan-swarm-rep</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Rajan et al., Intelligent Swarms magnetospheric studies replication note, Acta Astronautica 2021 doi:10.1016/j.actaastro.2021.07.046</w:t>
            </w:r>
          </w:p>
        </w:tc>
      </w:tr>
    </w:tbl>
    <w:bookmarkEnd w:id="97"/>
    <w:bookmarkStart w:id="9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reproducible</w:t>
            </w:r>
          </w:p>
        </w:tc>
        <w:tc>
          <w:tcPr>
            <w:tcW w:w="0" w:type="auto"/>
          </w:tcPr>
          <w:p>
            <w:pPr>
              <w:spacing w:line="240" w:lineRule="auto" w:before="0" w:after="0"/>
              <w:pStyle w:val="Compact"/>
            </w:pPr>
            <w:r>
              <w:rPr>
                <w:sz w:val="20"/>
                <w:szCs w:val="20"/>
              </w:rPr>
              <w:t xml:space="preserve">Binary outcome equal to 1 when the source documents either an independent rerun, a public artifact set sufficient for rerun, or an explicit replication claim with reported behavioral match; 0 otherwise</w:t>
            </w:r>
          </w:p>
        </w:tc>
        <w:tc>
          <w:tcPr>
            <w:tcW w:w="0" w:type="auto"/>
          </w:tcPr>
          <w:p>
            <w:pPr>
              <w:spacing w:line="240" w:lineRule="auto" w:before="0" w:after="0"/>
              <w:pStyle w:val="Compact"/>
            </w:pPr>
            <w:r>
              <w:rPr>
                <w:sz w:val="20"/>
                <w:szCs w:val="20"/>
              </w:rPr>
              <w:t xml:space="preserve">Coded from the cited source</w:t>
            </w:r>
          </w:p>
        </w:tc>
      </w:tr>
      <w:tr>
        <w:tc>
          <w:tcPr>
            <w:tcW w:w="0" w:type="auto"/>
          </w:tcPr>
          <w:p>
            <w:pPr>
              <w:spacing w:line="240" w:lineRule="auto" w:before="0" w:after="0"/>
              <w:pStyle w:val="Compact"/>
            </w:pPr>
            <w:r>
              <w:rPr>
                <w:sz w:val="20"/>
                <w:szCs w:val="20"/>
              </w:rPr>
              <w:t xml:space="preserve">trace_structured</w:t>
            </w:r>
          </w:p>
        </w:tc>
        <w:tc>
          <w:tcPr>
            <w:tcW w:w="0" w:type="auto"/>
          </w:tcPr>
          <w:p>
            <w:pPr>
              <w:spacing w:line="240" w:lineRule="auto" w:before="0" w:after="0"/>
              <w:pStyle w:val="Compact"/>
            </w:pPr>
            <w:r>
              <w:rPr>
                <w:sz w:val="20"/>
                <w:szCs w:val="20"/>
              </w:rPr>
              <w:t xml:space="preserve">Binary indicator equal to 1 when the source describes a typed or schema-bound decision/event log (state, observation, action, tool-call, tool-return) rather than free-form text logs</w:t>
            </w:r>
          </w:p>
        </w:tc>
        <w:tc>
          <w:tcPr>
            <w:tcW w:w="0" w:type="auto"/>
          </w:tcPr>
          <w:p>
            <w:pPr>
              <w:spacing w:line="240" w:lineRule="auto" w:before="0" w:after="0"/>
              <w:pStyle w:val="Compact"/>
            </w:pPr>
            <w:r>
              <w:rPr>
                <w:sz w:val="20"/>
                <w:szCs w:val="20"/>
              </w:rPr>
              <w:t xml:space="preserve">Coded from the cited source</w:t>
            </w:r>
          </w:p>
        </w:tc>
      </w:tr>
      <w:tr>
        <w:tc>
          <w:tcPr>
            <w:tcW w:w="0" w:type="auto"/>
          </w:tcPr>
          <w:p>
            <w:pPr>
              <w:spacing w:line="240" w:lineRule="auto" w:before="0" w:after="0"/>
              <w:pStyle w:val="Compact"/>
            </w:pPr>
            <w:r>
              <w:rPr>
                <w:sz w:val="20"/>
                <w:szCs w:val="20"/>
              </w:rPr>
              <w:t xml:space="preserve">seed_pinning</w:t>
            </w:r>
          </w:p>
        </w:tc>
        <w:tc>
          <w:tcPr>
            <w:tcW w:w="0" w:type="auto"/>
          </w:tcPr>
          <w:p>
            <w:pPr>
              <w:spacing w:line="240" w:lineRule="auto" w:before="0" w:after="0"/>
              <w:pStyle w:val="Compact"/>
            </w:pPr>
            <w:r>
              <w:rPr>
                <w:sz w:val="20"/>
                <w:szCs w:val="20"/>
              </w:rPr>
              <w:t xml:space="preserve">Binary indicator equal to 1 when the source reports pinned random seeds or pinned initial conditions for the agentic or learned component</w:t>
            </w:r>
          </w:p>
        </w:tc>
        <w:tc>
          <w:tcPr>
            <w:tcW w:w="0" w:type="auto"/>
          </w:tcPr>
          <w:p>
            <w:pPr>
              <w:spacing w:line="240" w:lineRule="auto" w:before="0" w:after="0"/>
              <w:pStyle w:val="Compact"/>
            </w:pPr>
            <w:r>
              <w:rPr>
                <w:sz w:val="20"/>
                <w:szCs w:val="20"/>
              </w:rPr>
              <w:t xml:space="preserve">Coded from the cited source</w:t>
            </w:r>
          </w:p>
        </w:tc>
      </w:tr>
      <w:tr>
        <w:tc>
          <w:tcPr>
            <w:tcW w:w="0" w:type="auto"/>
          </w:tcPr>
          <w:p>
            <w:pPr>
              <w:spacing w:line="240" w:lineRule="auto" w:before="0" w:after="0"/>
              <w:pStyle w:val="Compact"/>
            </w:pPr>
            <w:r>
              <w:rPr>
                <w:sz w:val="20"/>
                <w:szCs w:val="20"/>
              </w:rPr>
              <w:t xml:space="preserve">tool_versioning</w:t>
            </w:r>
          </w:p>
        </w:tc>
        <w:tc>
          <w:tcPr>
            <w:tcW w:w="0" w:type="auto"/>
          </w:tcPr>
          <w:p>
            <w:pPr>
              <w:spacing w:line="240" w:lineRule="auto" w:before="0" w:after="0"/>
              <w:pStyle w:val="Compact"/>
            </w:pPr>
            <w:r>
              <w:rPr>
                <w:sz w:val="20"/>
                <w:szCs w:val="20"/>
              </w:rPr>
              <w:t xml:space="preserve">Binary indicator equal to 1 when the source reports pinned versions of external tools, simulators, or model weights used at decision time</w:t>
            </w:r>
          </w:p>
        </w:tc>
        <w:tc>
          <w:tcPr>
            <w:tcW w:w="0" w:type="auto"/>
          </w:tcPr>
          <w:p>
            <w:pPr>
              <w:spacing w:line="240" w:lineRule="auto" w:before="0" w:after="0"/>
              <w:pStyle w:val="Compact"/>
            </w:pPr>
            <w:r>
              <w:rPr>
                <w:sz w:val="20"/>
                <w:szCs w:val="20"/>
              </w:rPr>
              <w:t xml:space="preserve">Coded from the cited source</w:t>
            </w:r>
          </w:p>
        </w:tc>
      </w:tr>
      <w:tr>
        <w:tc>
          <w:tcPr>
            <w:tcW w:w="0" w:type="auto"/>
          </w:tcPr>
          <w:p>
            <w:pPr>
              <w:spacing w:line="240" w:lineRule="auto" w:before="0" w:after="0"/>
              <w:pStyle w:val="Compact"/>
            </w:pPr>
            <w:r>
              <w:rPr>
                <w:sz w:val="20"/>
                <w:szCs w:val="20"/>
              </w:rPr>
              <w:t xml:space="preserve">code_released</w:t>
            </w:r>
          </w:p>
        </w:tc>
        <w:tc>
          <w:tcPr>
            <w:tcW w:w="0" w:type="auto"/>
          </w:tcPr>
          <w:p>
            <w:pPr>
              <w:spacing w:line="240" w:lineRule="auto" w:before="0" w:after="0"/>
              <w:pStyle w:val="Compact"/>
            </w:pPr>
            <w:r>
              <w:rPr>
                <w:sz w:val="20"/>
                <w:szCs w:val="20"/>
              </w:rPr>
              <w:t xml:space="preserve">Binary indicator equal to 1 when the source links to a public code, container, or artifact release sufficient to rerun the reported experiment</w:t>
            </w:r>
          </w:p>
        </w:tc>
        <w:tc>
          <w:tcPr>
            <w:tcW w:w="0" w:type="auto"/>
          </w:tcPr>
          <w:p>
            <w:pPr>
              <w:spacing w:line="240" w:lineRule="auto" w:before="0" w:after="0"/>
              <w:pStyle w:val="Compact"/>
            </w:pPr>
            <w:r>
              <w:rPr>
                <w:sz w:val="20"/>
                <w:szCs w:val="20"/>
              </w:rPr>
              <w:t xml:space="preserve">Coded from the cited source</w:t>
            </w:r>
          </w:p>
        </w:tc>
      </w:tr>
      <w:tr>
        <w:tc>
          <w:tcPr>
            <w:tcW w:w="0" w:type="auto"/>
          </w:tcPr>
          <w:p>
            <w:pPr>
              <w:spacing w:line="240" w:lineRule="auto" w:before="0" w:after="0"/>
              <w:pStyle w:val="Compact"/>
            </w:pPr>
            <w:r>
              <w:rPr>
                <w:sz w:val="20"/>
                <w:szCs w:val="20"/>
              </w:rPr>
              <w:t xml:space="preserve">action_space_log</w:t>
            </w:r>
          </w:p>
        </w:tc>
        <w:tc>
          <w:tcPr>
            <w:tcW w:w="0" w:type="auto"/>
          </w:tcPr>
          <w:p>
            <w:pPr>
              <w:spacing w:line="240" w:lineRule="auto" w:before="0" w:after="0"/>
              <w:pStyle w:val="Compact"/>
            </w:pPr>
            <w:r>
              <w:rPr>
                <w:sz w:val="20"/>
                <w:szCs w:val="20"/>
              </w:rPr>
              <w:t xml:space="preserve">Natural logarithm of the reported discrete action-space cardinality (or a documented proxy) at the decision step under study</w:t>
            </w:r>
          </w:p>
        </w:tc>
        <w:tc>
          <w:tcPr>
            <w:tcW w:w="0" w:type="auto"/>
          </w:tcPr>
          <w:p>
            <w:pPr>
              <w:spacing w:line="240" w:lineRule="auto" w:before="0" w:after="0"/>
              <w:pStyle w:val="Compact"/>
            </w:pPr>
            <w:r>
              <w:rPr>
                <w:sz w:val="20"/>
                <w:szCs w:val="20"/>
              </w:rPr>
              <w:t xml:space="preserve">Coded from the cited source</w:t>
            </w:r>
          </w:p>
        </w:tc>
      </w:tr>
    </w:tbl>
    <w:bookmarkEnd w:id="98"/>
    <w:bookmarkStart w:id="9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-6.0282</w:t>
            </w:r>
          </w:p>
        </w:tc>
        <w:tc>
          <w:tcPr>
            <w:tcW w:w="0" w:type="auto"/>
          </w:tcPr>
          <w:p>
            <w:pPr>
              <w:spacing w:line="240" w:lineRule="auto" w:before="0" w:after="0"/>
              <w:pStyle w:val="Compact"/>
            </w:pPr>
            <w:r>
              <w:rPr>
                <w:sz w:val="20"/>
                <w:szCs w:val="20"/>
              </w:rPr>
              <w:t xml:space="preserve">3.3965</w:t>
            </w:r>
          </w:p>
        </w:tc>
        <w:tc>
          <w:tcPr>
            <w:tcW w:w="0" w:type="auto"/>
          </w:tcPr>
          <w:p>
            <w:pPr>
              <w:spacing w:line="240" w:lineRule="auto" w:before="0" w:after="0"/>
              <w:pStyle w:val="Compact"/>
            </w:pPr>
            <w:r>
              <w:rPr>
                <w:sz w:val="20"/>
                <w:szCs w:val="20"/>
              </w:rPr>
              <w:t xml:space="preserve">-1.7749</w:t>
            </w:r>
          </w:p>
        </w:tc>
        <w:tc>
          <w:tcPr>
            <w:tcW w:w="0" w:type="auto"/>
          </w:tcPr>
          <w:p>
            <w:pPr>
              <w:spacing w:line="240" w:lineRule="auto" w:before="0" w:after="0"/>
              <w:pStyle w:val="Compact"/>
            </w:pPr>
            <w:r>
              <w:rPr>
                <w:sz w:val="20"/>
                <w:szCs w:val="20"/>
              </w:rPr>
              <w:t xml:space="preserve">0.0759</w:t>
            </w:r>
          </w:p>
        </w:tc>
        <w:tc>
          <w:tcPr>
            <w:tcW w:w="0" w:type="auto"/>
          </w:tcPr>
          <w:p>
            <w:pPr>
              <w:spacing w:line="240" w:lineRule="auto" w:before="0" w:after="0"/>
              <w:pStyle w:val="Compact"/>
            </w:pPr>
            <w:r>
              <w:rPr>
                <w:sz w:val="20"/>
                <w:szCs w:val="20"/>
              </w:rPr>
              <w:t xml:space="preserve">[-12.6852, 0.6287]</w:t>
            </w:r>
          </w:p>
        </w:tc>
      </w:tr>
      <w:tr>
        <w:tc>
          <w:tcPr>
            <w:tcW w:w="0" w:type="auto"/>
          </w:tcPr>
          <w:p>
            <w:pPr>
              <w:spacing w:line="240" w:lineRule="auto" w:before="0" w:after="0"/>
              <w:pStyle w:val="Compact"/>
            </w:pPr>
            <w:r>
              <w:rPr>
                <w:sz w:val="20"/>
                <w:szCs w:val="20"/>
              </w:rPr>
              <w:t xml:space="preserve">trace_structured</w:t>
            </w:r>
          </w:p>
        </w:tc>
        <w:tc>
          <w:tcPr>
            <w:tcW w:w="0" w:type="auto"/>
          </w:tcPr>
          <w:p>
            <w:pPr>
              <w:spacing w:line="240" w:lineRule="auto" w:before="0" w:after="0"/>
              <w:pStyle w:val="Compact"/>
            </w:pPr>
            <w:r>
              <w:rPr>
                <w:sz w:val="20"/>
                <w:szCs w:val="20"/>
              </w:rPr>
              <w:t xml:space="preserve">2.6314</w:t>
            </w:r>
          </w:p>
        </w:tc>
        <w:tc>
          <w:tcPr>
            <w:tcW w:w="0" w:type="auto"/>
          </w:tcPr>
          <w:p>
            <w:pPr>
              <w:spacing w:line="240" w:lineRule="auto" w:before="0" w:after="0"/>
              <w:pStyle w:val="Compact"/>
            </w:pPr>
            <w:r>
              <w:rPr>
                <w:sz w:val="20"/>
                <w:szCs w:val="20"/>
              </w:rPr>
              <w:t xml:space="preserve">1.4307</w:t>
            </w:r>
          </w:p>
        </w:tc>
        <w:tc>
          <w:tcPr>
            <w:tcW w:w="0" w:type="auto"/>
          </w:tcPr>
          <w:p>
            <w:pPr>
              <w:spacing w:line="240" w:lineRule="auto" w:before="0" w:after="0"/>
              <w:pStyle w:val="Compact"/>
            </w:pPr>
            <w:r>
              <w:rPr>
                <w:sz w:val="20"/>
                <w:szCs w:val="20"/>
              </w:rPr>
              <w:t xml:space="preserve">1.8393</w:t>
            </w:r>
          </w:p>
        </w:tc>
        <w:tc>
          <w:tcPr>
            <w:tcW w:w="0" w:type="auto"/>
          </w:tcPr>
          <w:p>
            <w:pPr>
              <w:spacing w:line="240" w:lineRule="auto" w:before="0" w:after="0"/>
              <w:pStyle w:val="Compact"/>
            </w:pPr>
            <w:r>
              <w:rPr>
                <w:sz w:val="20"/>
                <w:szCs w:val="20"/>
              </w:rPr>
              <w:t xml:space="preserve">0.0659</w:t>
            </w:r>
          </w:p>
        </w:tc>
        <w:tc>
          <w:tcPr>
            <w:tcW w:w="0" w:type="auto"/>
          </w:tcPr>
          <w:p>
            <w:pPr>
              <w:spacing w:line="240" w:lineRule="auto" w:before="0" w:after="0"/>
              <w:pStyle w:val="Compact"/>
            </w:pPr>
            <w:r>
              <w:rPr>
                <w:sz w:val="20"/>
                <w:szCs w:val="20"/>
              </w:rPr>
              <w:t xml:space="preserve">[-0.1726, 5.4354]</w:t>
            </w:r>
          </w:p>
        </w:tc>
      </w:tr>
      <w:tr>
        <w:tc>
          <w:tcPr>
            <w:tcW w:w="0" w:type="auto"/>
          </w:tcPr>
          <w:p>
            <w:pPr>
              <w:spacing w:line="240" w:lineRule="auto" w:before="0" w:after="0"/>
              <w:pStyle w:val="Compact"/>
            </w:pPr>
            <w:r>
              <w:rPr>
                <w:sz w:val="20"/>
                <w:szCs w:val="20"/>
              </w:rPr>
              <w:t xml:space="preserve">seed_pinning</w:t>
            </w:r>
          </w:p>
        </w:tc>
        <w:tc>
          <w:tcPr>
            <w:tcW w:w="0" w:type="auto"/>
          </w:tcPr>
          <w:p>
            <w:pPr>
              <w:spacing w:line="240" w:lineRule="auto" w:before="0" w:after="0"/>
              <w:pStyle w:val="Compact"/>
            </w:pPr>
            <w:r>
              <w:rPr>
                <w:sz w:val="20"/>
                <w:szCs w:val="20"/>
              </w:rPr>
              <w:t xml:space="preserve">-0.1811</w:t>
            </w:r>
          </w:p>
        </w:tc>
        <w:tc>
          <w:tcPr>
            <w:tcW w:w="0" w:type="auto"/>
          </w:tcPr>
          <w:p>
            <w:pPr>
              <w:spacing w:line="240" w:lineRule="auto" w:before="0" w:after="0"/>
              <w:pStyle w:val="Compact"/>
            </w:pPr>
            <w:r>
              <w:rPr>
                <w:sz w:val="20"/>
                <w:szCs w:val="20"/>
              </w:rPr>
              <w:t xml:space="preserve">1.3269</w:t>
            </w:r>
          </w:p>
        </w:tc>
        <w:tc>
          <w:tcPr>
            <w:tcW w:w="0" w:type="auto"/>
          </w:tcPr>
          <w:p>
            <w:pPr>
              <w:spacing w:line="240" w:lineRule="auto" w:before="0" w:after="0"/>
              <w:pStyle w:val="Compact"/>
            </w:pPr>
            <w:r>
              <w:rPr>
                <w:sz w:val="20"/>
                <w:szCs w:val="20"/>
              </w:rPr>
              <w:t xml:space="preserve">-0.1365</w:t>
            </w:r>
          </w:p>
        </w:tc>
        <w:tc>
          <w:tcPr>
            <w:tcW w:w="0" w:type="auto"/>
          </w:tcPr>
          <w:p>
            <w:pPr>
              <w:spacing w:line="240" w:lineRule="auto" w:before="0" w:after="0"/>
              <w:pStyle w:val="Compact"/>
            </w:pPr>
            <w:r>
              <w:rPr>
                <w:sz w:val="20"/>
                <w:szCs w:val="20"/>
              </w:rPr>
              <w:t xml:space="preserve">0.8914</w:t>
            </w:r>
          </w:p>
        </w:tc>
        <w:tc>
          <w:tcPr>
            <w:tcW w:w="0" w:type="auto"/>
          </w:tcPr>
          <w:p>
            <w:pPr>
              <w:spacing w:line="240" w:lineRule="auto" w:before="0" w:after="0"/>
              <w:pStyle w:val="Compact"/>
            </w:pPr>
            <w:r>
              <w:rPr>
                <w:sz w:val="20"/>
                <w:szCs w:val="20"/>
              </w:rPr>
              <w:t xml:space="preserve">[-2.7817, 2.4196]</w:t>
            </w:r>
          </w:p>
        </w:tc>
      </w:tr>
      <w:tr>
        <w:tc>
          <w:tcPr>
            <w:tcW w:w="0" w:type="auto"/>
          </w:tcPr>
          <w:p>
            <w:pPr>
              <w:spacing w:line="240" w:lineRule="auto" w:before="0" w:after="0"/>
              <w:pStyle w:val="Compact"/>
            </w:pPr>
            <w:r>
              <w:rPr>
                <w:sz w:val="20"/>
                <w:szCs w:val="20"/>
              </w:rPr>
              <w:t xml:space="preserve">tool_versioning</w:t>
            </w:r>
          </w:p>
        </w:tc>
        <w:tc>
          <w:tcPr>
            <w:tcW w:w="0" w:type="auto"/>
          </w:tcPr>
          <w:p>
            <w:pPr>
              <w:spacing w:line="240" w:lineRule="auto" w:before="0" w:after="0"/>
              <w:pStyle w:val="Compact"/>
            </w:pPr>
            <w:r>
              <w:rPr>
                <w:sz w:val="20"/>
                <w:szCs w:val="20"/>
              </w:rPr>
              <w:t xml:space="preserve">0.2241</w:t>
            </w:r>
          </w:p>
        </w:tc>
        <w:tc>
          <w:tcPr>
            <w:tcW w:w="0" w:type="auto"/>
          </w:tcPr>
          <w:p>
            <w:pPr>
              <w:spacing w:line="240" w:lineRule="auto" w:before="0" w:after="0"/>
              <w:pStyle w:val="Compact"/>
            </w:pPr>
            <w:r>
              <w:rPr>
                <w:sz w:val="20"/>
                <w:szCs w:val="20"/>
              </w:rPr>
              <w:t xml:space="preserve">1.1685</w:t>
            </w:r>
          </w:p>
        </w:tc>
        <w:tc>
          <w:tcPr>
            <w:tcW w:w="0" w:type="auto"/>
          </w:tcPr>
          <w:p>
            <w:pPr>
              <w:spacing w:line="240" w:lineRule="auto" w:before="0" w:after="0"/>
              <w:pStyle w:val="Compact"/>
            </w:pPr>
            <w:r>
              <w:rPr>
                <w:sz w:val="20"/>
                <w:szCs w:val="20"/>
              </w:rPr>
              <w:t xml:space="preserve">0.1918</w:t>
            </w:r>
          </w:p>
        </w:tc>
        <w:tc>
          <w:tcPr>
            <w:tcW w:w="0" w:type="auto"/>
          </w:tcPr>
          <w:p>
            <w:pPr>
              <w:spacing w:line="240" w:lineRule="auto" w:before="0" w:after="0"/>
              <w:pStyle w:val="Compact"/>
            </w:pPr>
            <w:r>
              <w:rPr>
                <w:sz w:val="20"/>
                <w:szCs w:val="20"/>
              </w:rPr>
              <w:t xml:space="preserve">0.8479</w:t>
            </w:r>
          </w:p>
        </w:tc>
        <w:tc>
          <w:tcPr>
            <w:tcW w:w="0" w:type="auto"/>
          </w:tcPr>
          <w:p>
            <w:pPr>
              <w:spacing w:line="240" w:lineRule="auto" w:before="0" w:after="0"/>
              <w:pStyle w:val="Compact"/>
            </w:pPr>
            <w:r>
              <w:rPr>
                <w:sz w:val="20"/>
                <w:szCs w:val="20"/>
              </w:rPr>
              <w:t xml:space="preserve">[-2.0661, 2.5144]</w:t>
            </w:r>
          </w:p>
        </w:tc>
      </w:tr>
      <w:tr>
        <w:tc>
          <w:tcPr>
            <w:tcW w:w="0" w:type="auto"/>
          </w:tcPr>
          <w:p>
            <w:pPr>
              <w:spacing w:line="240" w:lineRule="auto" w:before="0" w:after="0"/>
              <w:pStyle w:val="Compact"/>
            </w:pPr>
            <w:r>
              <w:rPr>
                <w:sz w:val="20"/>
                <w:szCs w:val="20"/>
              </w:rPr>
              <w:t xml:space="preserve">code_released</w:t>
            </w:r>
          </w:p>
        </w:tc>
        <w:tc>
          <w:tcPr>
            <w:tcW w:w="0" w:type="auto"/>
          </w:tcPr>
          <w:p>
            <w:pPr>
              <w:spacing w:line="240" w:lineRule="auto" w:before="0" w:after="0"/>
              <w:pStyle w:val="Compact"/>
            </w:pPr>
            <w:r>
              <w:rPr>
                <w:sz w:val="20"/>
                <w:szCs w:val="20"/>
              </w:rPr>
              <w:t xml:space="preserve">2.5911</w:t>
            </w:r>
          </w:p>
        </w:tc>
        <w:tc>
          <w:tcPr>
            <w:tcW w:w="0" w:type="auto"/>
          </w:tcPr>
          <w:p>
            <w:pPr>
              <w:spacing w:line="240" w:lineRule="auto" w:before="0" w:after="0"/>
              <w:pStyle w:val="Compact"/>
            </w:pPr>
            <w:r>
              <w:rPr>
                <w:sz w:val="20"/>
                <w:szCs w:val="20"/>
              </w:rPr>
              <w:t xml:space="preserve">1.6473</w:t>
            </w:r>
          </w:p>
        </w:tc>
        <w:tc>
          <w:tcPr>
            <w:tcW w:w="0" w:type="auto"/>
          </w:tcPr>
          <w:p>
            <w:pPr>
              <w:spacing w:line="240" w:lineRule="auto" w:before="0" w:after="0"/>
              <w:pStyle w:val="Compact"/>
            </w:pPr>
            <w:r>
              <w:rPr>
                <w:sz w:val="20"/>
                <w:szCs w:val="20"/>
              </w:rPr>
              <w:t xml:space="preserve">1.5729</w:t>
            </w:r>
          </w:p>
        </w:tc>
        <w:tc>
          <w:tcPr>
            <w:tcW w:w="0" w:type="auto"/>
          </w:tcPr>
          <w:p>
            <w:pPr>
              <w:spacing w:line="240" w:lineRule="auto" w:before="0" w:after="0"/>
              <w:pStyle w:val="Compact"/>
            </w:pPr>
            <w:r>
              <w:rPr>
                <w:sz w:val="20"/>
                <w:szCs w:val="20"/>
              </w:rPr>
              <w:t xml:space="preserve">0.1157</w:t>
            </w:r>
          </w:p>
        </w:tc>
        <w:tc>
          <w:tcPr>
            <w:tcW w:w="0" w:type="auto"/>
          </w:tcPr>
          <w:p>
            <w:pPr>
              <w:spacing w:line="240" w:lineRule="auto" w:before="0" w:after="0"/>
              <w:pStyle w:val="Compact"/>
            </w:pPr>
            <w:r>
              <w:rPr>
                <w:sz w:val="20"/>
                <w:szCs w:val="20"/>
              </w:rPr>
              <w:t xml:space="preserve">[-0.6377, 5.8198]</w:t>
            </w:r>
          </w:p>
        </w:tc>
      </w:tr>
      <w:tr>
        <w:tc>
          <w:tcPr>
            <w:tcW w:w="0" w:type="auto"/>
          </w:tcPr>
          <w:p>
            <w:pPr>
              <w:spacing w:line="240" w:lineRule="auto" w:before="0" w:after="0"/>
              <w:pStyle w:val="Compact"/>
            </w:pPr>
            <w:r>
              <w:rPr>
                <w:sz w:val="20"/>
                <w:szCs w:val="20"/>
              </w:rPr>
              <w:t xml:space="preserve">action_space_log</w:t>
            </w:r>
          </w:p>
        </w:tc>
        <w:tc>
          <w:tcPr>
            <w:tcW w:w="0" w:type="auto"/>
          </w:tcPr>
          <w:p>
            <w:pPr>
              <w:spacing w:line="240" w:lineRule="auto" w:before="0" w:after="0"/>
              <w:pStyle w:val="Compact"/>
            </w:pPr>
            <w:r>
              <w:rPr>
                <w:sz w:val="20"/>
                <w:szCs w:val="20"/>
              </w:rPr>
              <w:t xml:space="preserve">2.6386</w:t>
            </w:r>
          </w:p>
        </w:tc>
        <w:tc>
          <w:tcPr>
            <w:tcW w:w="0" w:type="auto"/>
          </w:tcPr>
          <w:p>
            <w:pPr>
              <w:spacing w:line="240" w:lineRule="auto" w:before="0" w:after="0"/>
              <w:pStyle w:val="Compact"/>
            </w:pPr>
            <w:r>
              <w:rPr>
                <w:sz w:val="20"/>
                <w:szCs w:val="20"/>
              </w:rPr>
              <w:t xml:space="preserve">2.2866</w:t>
            </w:r>
          </w:p>
        </w:tc>
        <w:tc>
          <w:tcPr>
            <w:tcW w:w="0" w:type="auto"/>
          </w:tcPr>
          <w:p>
            <w:pPr>
              <w:spacing w:line="240" w:lineRule="auto" w:before="0" w:after="0"/>
              <w:pStyle w:val="Compact"/>
            </w:pPr>
            <w:r>
              <w:rPr>
                <w:sz w:val="20"/>
                <w:szCs w:val="20"/>
              </w:rPr>
              <w:t xml:space="preserve">1.154</w:t>
            </w:r>
          </w:p>
        </w:tc>
        <w:tc>
          <w:tcPr>
            <w:tcW w:w="0" w:type="auto"/>
          </w:tcPr>
          <w:p>
            <w:pPr>
              <w:spacing w:line="240" w:lineRule="auto" w:before="0" w:after="0"/>
              <w:pStyle w:val="Compact"/>
            </w:pPr>
            <w:r>
              <w:rPr>
                <w:sz w:val="20"/>
                <w:szCs w:val="20"/>
              </w:rPr>
              <w:t xml:space="preserve">0.2485</w:t>
            </w:r>
          </w:p>
        </w:tc>
        <w:tc>
          <w:tcPr>
            <w:tcW w:w="0" w:type="auto"/>
          </w:tcPr>
          <w:p>
            <w:pPr>
              <w:spacing w:line="240" w:lineRule="auto" w:before="0" w:after="0"/>
              <w:pStyle w:val="Compact"/>
            </w:pPr>
            <w:r>
              <w:rPr>
                <w:sz w:val="20"/>
                <w:szCs w:val="20"/>
              </w:rPr>
              <w:t xml:space="preserve">[-1.843, 7.1202]</w:t>
            </w:r>
          </w:p>
        </w:tc>
      </w:tr>
    </w:tbl>
    <w:p>
      <w:pPr>
        <w:pStyle w:val="BodyText"/>
      </w:pPr>
      <w:r>
        <w:t xml:space="preserve">Fit: N = 28 pseudo_R2 = 0.4118 LL = -11.2466</w:t>
      </w:r>
    </w:p>
    <w:bookmarkEnd w:id="99"/>
    <w:bookmarkEnd w:id="100"/>
    <w:bookmarkEnd w:id="10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93" Target="media/rId93.png" /><Relationship Type="http://schemas.openxmlformats.org/officeDocument/2006/relationships/hyperlink" Id="rId84" Target="https://doi.org/10.1016/j.actaastro.2021.07.046" TargetMode="External" /><Relationship Type="http://schemas.openxmlformats.org/officeDocument/2006/relationships/hyperlink" Id="rId82" Target="https://doi.org/10.1016/j.actaastro.2023.06.004" TargetMode="External" /><Relationship Type="http://schemas.openxmlformats.org/officeDocument/2006/relationships/hyperlink" Id="rId78" Target="https://doi.org/10.1016/j.actaastro.2024.02.039" TargetMode="External" /><Relationship Type="http://schemas.openxmlformats.org/officeDocument/2006/relationships/hyperlink" Id="rId70" Target="https://doi.org/10.1016/j.actaastro.2025.10.018" TargetMode="External" /><Relationship Type="http://schemas.openxmlformats.org/officeDocument/2006/relationships/hyperlink" Id="rId76" Target="https://doi.org/10.1016/j.actaastro.2025.10.068" TargetMode="External" /><Relationship Type="http://schemas.openxmlformats.org/officeDocument/2006/relationships/hyperlink" Id="rId68" Target="https://doi.org/10.64861/CEPU7718" TargetMode="External" /><Relationship Type="http://schemas.openxmlformats.org/officeDocument/2006/relationships/hyperlink" Id="rId74" Target="https://doi.org/10.64861/HKAM1019" TargetMode="External" /></Relationships>
</file>

<file path=word/_rels/footnotes.xml.rels><?xml version="1.0" encoding="UTF-8"?><Relationships xmlns="http://schemas.openxmlformats.org/package/2006/relationships"><Relationship Type="http://schemas.openxmlformats.org/officeDocument/2006/relationships/hyperlink" Id="rId84" Target="https://doi.org/10.1016/j.actaastro.2021.07.046" TargetMode="External" /><Relationship Type="http://schemas.openxmlformats.org/officeDocument/2006/relationships/hyperlink" Id="rId82" Target="https://doi.org/10.1016/j.actaastro.2023.06.004" TargetMode="External" /><Relationship Type="http://schemas.openxmlformats.org/officeDocument/2006/relationships/hyperlink" Id="rId78" Target="https://doi.org/10.1016/j.actaastro.2024.02.039" TargetMode="External" /><Relationship Type="http://schemas.openxmlformats.org/officeDocument/2006/relationships/hyperlink" Id="rId70" Target="https://doi.org/10.1016/j.actaastro.2025.10.018" TargetMode="External" /><Relationship Type="http://schemas.openxmlformats.org/officeDocument/2006/relationships/hyperlink" Id="rId76" Target="https://doi.org/10.1016/j.actaastro.2025.10.068" TargetMode="External" /><Relationship Type="http://schemas.openxmlformats.org/officeDocument/2006/relationships/hyperlink" Id="rId68" Target="https://doi.org/10.64861/CEPU7718" TargetMode="External" /><Relationship Type="http://schemas.openxmlformats.org/officeDocument/2006/relationships/hyperlink" Id="rId74" Target="https://doi.org/10.64861/HKAM101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2026-06-27T13:10:29Z</dcterms:created>
  <dcterms:modified xsi:type="dcterms:W3CDTF">2026-06-27T13:10:29Z</dcterms:modified>
</cp:coreProperties>
</file>

<file path=docProps/custom.xml><?xml version="1.0" encoding="utf-8"?>
<Properties xmlns="http://schemas.openxmlformats.org/officeDocument/2006/custom-properties" xmlns:vt="http://schemas.openxmlformats.org/officeDocument/2006/docPropsVTypes"/>
</file>