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CAN AN AGENTIC DECISION SYSTEM BE AUDITED? A REPRODUCIBILITY AND DECISION-TRACE STUDY</w:t>
      </w:r>
    </w:p>
    <w:p>
      <w:pPr>
        <w:jc w:val="center"/>
      </w:pPr>
    </w:p>
    <w:p>
      <w:pPr>
        <w:jc w:val="center"/>
      </w:pPr>
      <w:r>
        <w:rPr>
          <w:rFonts w:ascii="Times New Roman" w:hAnsi="Times New Roman"/>
          <w:sz w:val="24"/>
        </w:rPr>
        <w:t>by</w:t>
      </w:r>
    </w:p>
    <w:p>
      <w:pPr>
        <w:jc w:val="center"/>
      </w:pPr>
      <w:r>
        <w:rPr>
          <w:rFonts w:ascii="Times New Roman" w:hAnsi="Times New Roman"/>
          <w:b/>
          <w:sz w:val="28"/>
        </w:rPr>
        <w:t>Samir Ortiz</w:t>
      </w:r>
    </w:p>
    <w:p>
      <w:pPr>
        <w:jc w:val="center"/>
      </w:pPr>
      <w:r>
        <w:rPr>
          <w:rFonts w:ascii="Times New Roman" w:hAnsi="Times New Roman"/>
          <w:sz w:val="24"/>
        </w:rPr>
        <w:t>1B-ITI-126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operational-problem"/>
    <w:p>
      <w:pPr>
        <w:pStyle w:val="Heading2"/>
        <w:spacing w:line="480" w:lineRule="auto"/>
      </w:pPr>
      <w:r>
        <w:t xml:space="preserve">1.1 The Operational Problem</w:t>
      </w:r>
    </w:p>
    <w:p>
      <w:pPr>
        <w:pStyle w:val="FirstParagraph"/>
        <w:spacing w:line="480" w:lineRule="auto"/>
      </w:pPr>
      <w:r>
        <w:t xml:space="preserve">Deterministic command and control software has governed spacecraft and ground systems for decades. That software is now being displaced, in pieces and at the operational margin, by learned policies and tool-using agents whose decision logic is neither a closed-form controller nor a hand-written rulebook. Propulsion test campaigns have demonstrated reinforcement-learning controllers whose hardware-in-the-loop traces now sit in the open literature</w:t>
      </w:r>
      <w:r>
        <w:t xml:space="preserve"> </w:t>
      </w:r>
      <w:hyperlink w:anchor="ref-7">
        <w:r>
          <w:rPr>
            <w:rStyle w:val="Hyperlink"/>
          </w:rPr>
          <w:t xml:space="preserve">[7]</w:t>
        </w:r>
      </w:hyperlink>
      <w:r>
        <w:t xml:space="preserve">. Published maneuver planners for low-thrust spacecraft run adaptive closed-loop reinforcement-learning policies whose action sequences depend on observation histories rather than on lookup tables</w:t>
      </w:r>
      <w:r>
        <w:t xml:space="preserve"> </w:t>
      </w:r>
      <w:hyperlink w:anchor="ref-11">
        <w:r>
          <w:rPr>
            <w:rStyle w:val="Hyperlink"/>
          </w:rPr>
          <w:t xml:space="preserve">[11]</w:t>
        </w:r>
      </w:hyperlink>
      <w:r>
        <w:t xml:space="preserve">. Researchers have proposed and evaluated reinforcement-learning agents for cislunar sensor tasking, for scalable multi-agent sensor tasking in geosynchronous regimes, and for onboard guidance, navigation, and control on near-term flight hardware [19, 30, 31]. Multi-agent orchestrations extend the pattern into distributed space situational awareness, federated protect-and-defend battle management, and autonomous trajectory optimization across space traffic management contexts [21, 27, 28]. A 2025 survey of agent-based distributed space systems catalogues these methodologies and the current practices of the field, and it names trace reconstruction and behavioral reproducibility as open research challenges rather than as solved engineering problems</w:t>
      </w:r>
      <w:r>
        <w:t xml:space="preserve"> </w:t>
      </w:r>
      <w:hyperlink w:anchor="ref-4">
        <w:r>
          <w:rPr>
            <w:rStyle w:val="Hyperlink"/>
          </w:rPr>
          <w:t xml:space="preserve">[4]</w:t>
        </w:r>
      </w:hyperlink>
      <w:r>
        <w:t xml:space="preserve">.</w:t>
      </w:r>
    </w:p>
    <w:p>
      <w:pPr>
        <w:pStyle w:val="BodyText"/>
        <w:spacing w:line="480" w:lineRule="auto"/>
        <w:ind w:firstLine="720"/>
      </w:pPr>
      <w:r>
        <w:t xml:space="preserve">This dissertation begins where that catalogue ends. Its question is not whether agentic decision systems can be built, demonstrated, or fielded in space operations. The retrieved record already answers that in the affirmative across propulsion, guidance, sensor tasking, collision avoidance, and battle management [4, 7, 8, 11, 19, 21, 25, 27, 28, 30, 31]. The question this dissertation pursues instead is whether such systems can be audited in an operational sense: whether a third party, holding only the artifacts that the system itself emits during nominal execution, can rerun a decision episode and recover an outcome behaviorally equivalent to the original. That is a question about the design of the logging surface, not about the model. When the logging surface fails to record what the agent saw, what it did, and what its tools returned, no external party can adjudicate whether a fielded decision was correct, was driven by a documented policy, or was the residue of an inference drift that nobody noticed at the time. Work as early as 2017 flagged that integrating machine learning into space operations introduces inputs whose provenance is hard to reconstruct after the fact unless the logging is built around the inference step itself</w:t>
      </w:r>
      <w:r>
        <w:t xml:space="preserve"> </w:t>
      </w:r>
      <w:hyperlink w:anchor="ref-2">
        <w:r>
          <w:rPr>
            <w:rStyle w:val="Hyperlink"/>
          </w:rPr>
          <w:t xml:space="preserve">[2]</w:t>
        </w:r>
      </w:hyperlink>
      <w:r>
        <w:t xml:space="preserve">. Nine years on, the trace surface that would close that gap remains neither standardized nor empirically tested.</w:t>
      </w:r>
    </w:p>
    <w:bookmarkEnd w:id="61"/>
    <w:bookmarkStart w:id="62" w:name="stakes-for-nasa-and-jpl"/>
    <w:p>
      <w:pPr>
        <w:pStyle w:val="Heading2"/>
        <w:spacing w:line="480" w:lineRule="auto"/>
      </w:pPr>
      <w:r>
        <w:t xml:space="preserve">1.2 Stakes for NASA and JPL</w:t>
      </w:r>
    </w:p>
    <w:p>
      <w:pPr>
        <w:pStyle w:val="FirstParagraph"/>
        <w:spacing w:line="480" w:lineRule="auto"/>
      </w:pPr>
      <w:r>
        <w:t xml:space="preserve">This gap is not abstract. In its most recent assessment of NASA major projects, GAO-25-107591, the Government Accountability Office documents schedule and cost performance across the portfolio under conditions in which independent reviewers must reconstruct what software components did, when, and why</w:t>
      </w:r>
      <w:r>
        <w:t xml:space="preserve"> </w:t>
      </w:r>
      <w:hyperlink w:anchor="ref-13">
        <w:r>
          <w:rPr>
            <w:rStyle w:val="Hyperlink"/>
          </w:rPr>
          <w:t xml:space="preserve">[13]</w:t>
        </w:r>
      </w:hyperlink>
      <w:r>
        <w:t xml:space="preserve">. A companion assessment of the Artemis programs, GAO-24-106767, raises the same reconstruction question at programmatic scale</w:t>
      </w:r>
      <w:r>
        <w:t xml:space="preserve"> </w:t>
      </w:r>
      <w:hyperlink w:anchor="ref-14">
        <w:r>
          <w:rPr>
            <w:rStyle w:val="Hyperlink"/>
          </w:rPr>
          <w:t xml:space="preserve">[14]</w:t>
        </w:r>
      </w:hyperlink>
      <w:r>
        <w:t xml:space="preserve">. Where software is deterministic, that reconstruction is laborious but tractable. Where software is an agentic policy that selects actions, invokes tools, and conditions later actions on the results, the reconstruction task collapses into the question this dissertation addresses head-on, namely whether the logged artifacts suffice to rerun the decision and obtain a behaviorally equivalent result. The NASA Conjunction Assessment Risk Analysis compendium for artificial intelligence and machine learning in satellite collision avoidance makes the demand explicit: the explainability paradox in many machine-learning approaches drives demand for decision-support records that reviewers other than the original team can re-examine</w:t>
      </w:r>
      <w:r>
        <w:t xml:space="preserve"> </w:t>
      </w:r>
      <w:hyperlink w:anchor="ref-8">
        <w:r>
          <w:rPr>
            <w:rStyle w:val="Hyperlink"/>
          </w:rPr>
          <w:t xml:space="preserve">[8]</w:t>
        </w:r>
      </w:hyperlink>
      <w:r>
        <w:t xml:space="preserve">. Independent validators in the proposed AI-enabled space battle management architecture are expected to cross-check subsystem outputs against curated test datasets, yet the architecture itself leaves the trace surface for that cross-check unstandardized [1, 27].</w:t>
      </w:r>
    </w:p>
    <w:p>
      <w:pPr>
        <w:pStyle w:val="BodyText"/>
        <w:spacing w:line="480" w:lineRule="auto"/>
        <w:ind w:firstLine="720"/>
      </w:pPr>
      <w:r>
        <w:t xml:space="preserve">For the Jet Propulsion Laboratory the stakes sharpen. JPL’s portfolio leans on deep-space spacecraft whose round-trip light time and onboard autonomy demands push decision logic outboard from human operators and into policies that execute, log, and report on their own. Reinforcement-learning maneuver planning, fault detection, and sensor tasking are moving from concept toward flight readiness on the near-term flight hardware described in recent guidance, navigation, and control work</w:t>
      </w:r>
      <w:r>
        <w:t xml:space="preserve"> </w:t>
      </w:r>
      <w:hyperlink w:anchor="ref-19">
        <w:r>
          <w:rPr>
            <w:rStyle w:val="Hyperlink"/>
          </w:rPr>
          <w:t xml:space="preserve">[19]</w:t>
        </w:r>
      </w:hyperlink>
      <w:r>
        <w:t xml:space="preserve">. As they do, the chain of accountability running from a flight anomaly back through the agent’s decisions to a reviewable artifact has to be made empirical rather than aspirational. Proprioceptive-swarm work on celestial body exploration and swarm magnetospheric work both anticipate distributed autonomy in environments where ground intervention is not feasible at the relevant timescales [12, 38]. A review of collision avoidance maneuver design already notes that human review of every maneuver is infeasible at the rates implied by the current resident space object population, and that infeasibility is exactly the conjunction the AI and machine-learning compendium sets out to address [8, 25]. The space economy literature reinforces the broader institutional stakes, arguing that objective decision-making evidence pre- and post-launch is a precondition for sustained sustainability and accountability claims across the sector [6, 15, 16].</w:t>
      </w:r>
    </w:p>
    <w:bookmarkEnd w:id="62"/>
    <w:bookmarkStart w:id="63" w:name="the-gap-between-two-literatures"/>
    <w:p>
      <w:pPr>
        <w:pStyle w:val="Heading2"/>
        <w:spacing w:line="480" w:lineRule="auto"/>
      </w:pPr>
      <w:r>
        <w:t xml:space="preserve">1.3 The Gap Between Two Literatures</w:t>
      </w:r>
    </w:p>
    <w:p>
      <w:pPr>
        <w:pStyle w:val="FirstParagraph"/>
        <w:spacing w:line="480" w:lineRule="auto"/>
      </w:pPr>
      <w:r>
        <w:t xml:space="preserve">Two literatures touch this problem and neither closes it. The first is the domain literature on autonomous and agentic space systems. It documents the policies, the test campaigns, the operational testbeds, and the survey-level claims about open challenges [1, 4, 7, 11, 19, 21, 25, 27, 28, 30, 31, 34, 37]. Machine-learning approaches to satellite characterization treat reproducibility as a training-pipeline property rather than a runtime-trace property</w:t>
      </w:r>
      <w:r>
        <w:t xml:space="preserve"> </w:t>
      </w:r>
      <w:hyperlink w:anchor="ref-3">
        <w:r>
          <w:rPr>
            <w:rStyle w:val="Hyperlink"/>
          </w:rPr>
          <w:t xml:space="preserve">[3]</w:t>
        </w:r>
      </w:hyperlink>
      <w:r>
        <w:t xml:space="preserve">. Self-supervised on-board fault-detection work treats explainability as a downstream interpretation task on already-emitted telemetry, which presupposes that the telemetry surface is fixed</w:t>
      </w:r>
      <w:r>
        <w:t xml:space="preserve"> </w:t>
      </w:r>
      <w:hyperlink w:anchor="ref-5">
        <w:r>
          <w:rPr>
            <w:rStyle w:val="Hyperlink"/>
          </w:rPr>
          <w:t xml:space="preserve">[5]</w:t>
        </w:r>
      </w:hyperlink>
      <w:r>
        <w:t xml:space="preserve">. That same distributed-systems survey lists trace reconstruction as an open challenge yet prescribes no logging contract under which an agentic decision could be replayed</w:t>
      </w:r>
      <w:r>
        <w:t xml:space="preserve"> </w:t>
      </w:r>
      <w:hyperlink w:anchor="ref-4">
        <w:r>
          <w:rPr>
            <w:rStyle w:val="Hyperlink"/>
          </w:rPr>
          <w:t xml:space="preserve">[4]</w:t>
        </w:r>
      </w:hyperlink>
      <w:r>
        <w:t xml:space="preserve">. The collision-avoidance compendium frames the explainability paradox without offering an implementable trace specification to resolve it</w:t>
      </w:r>
      <w:r>
        <w:t xml:space="preserve"> </w:t>
      </w:r>
      <w:hyperlink w:anchor="ref-8">
        <w:r>
          <w:rPr>
            <w:rStyle w:val="Hyperlink"/>
          </w:rPr>
          <w:t xml:space="preserve">[8]</w:t>
        </w:r>
      </w:hyperlink>
      <w:r>
        <w:t xml:space="preserve">. Sensor-tasking work uses reinforcement-learning agents whose action choices depend on observation histories, but the published artifact sets do not standardize on a per-step decision-trace schema that an external auditor could rely upon [30, 31]. Propulsion control work and the cold-gas thrust-chamber pressure controller work show that the pieces of a reproducible agentic episode can be assembled when authors choose to release controller code and step-response traces, but neither demonstration generalizes those choices into a contract [7, 17]. In short, the first literature says agentic decision systems are here, that they arrive faster each year, and that the audit machinery for them is not yet built.</w:t>
      </w:r>
    </w:p>
    <w:p>
      <w:pPr>
        <w:pStyle w:val="BodyText"/>
        <w:spacing w:line="480" w:lineRule="auto"/>
        <w:ind w:firstLine="720"/>
      </w:pPr>
      <w:r>
        <w:t xml:space="preserve">Standing apart from all of this is a second literature, the econometric and methodological literature on identification and falsifiable testing. It supplies the design vocabulary of paired-rerun experiments, pre-registered thresholds, binary outcomes coded against observable features, and estimators whose standard errors and coefficient signs can be reported under transparent assumptions. Two companion papers accompany this prospectus and apply that vocabulary to a cross section of twenty-eight documented studies and program entries, estimating a logistic model of whether each source reports reproducible behavior conditional on structured-trace logging, seed pinning, tool versioning, and code release, with action-space size as a complexity control. Paper one finds a coefficient on structured-trace logging of 2.63 with a standard error of 1.43, a coefficient on code release of 2.59 with a standard error of 1.65, and a pseudo-R-squared of 0.412 on the twenty-eight-observation sample. Paper two, coding the same retrieved record in parallel, finds a structured-trace coefficient of 3.71 with a standard error of 1.83, a two-sided p-value of 0.042, and a McFadden pseudo-R-squared of 0.42. Both papers place the bulk of the explanatory work in the trace-structured indicator and treat the result as a precondition signal rather than as a causal test.</w:t>
      </w:r>
    </w:p>
    <w:p>
      <w:pPr>
        <w:pStyle w:val="BodyText"/>
        <w:spacing w:line="480" w:lineRule="auto"/>
        <w:ind w:firstLine="720"/>
      </w:pPr>
      <w:r>
        <w:t xml:space="preserve">What divides the two literatures, then, is neither a missing topic nor a missing dataset. It is a missing connection. The domain literature names the open challenge without prescribing an implementable schema</w:t>
      </w:r>
      <w:r>
        <w:t xml:space="preserve"> </w:t>
      </w:r>
      <w:hyperlink w:anchor="ref-4">
        <w:r>
          <w:rPr>
            <w:rStyle w:val="Hyperlink"/>
          </w:rPr>
          <w:t xml:space="preserve">[4]</w:t>
        </w:r>
      </w:hyperlink>
      <w:r>
        <w:t xml:space="preserve">. The econometric literature supplies the tools for an implementable test but, on its own, is not applied to that schema inside an agentic testbed. The cross-sectional papers that accompany this prospectus take one step across the divide by showing that, within the retrieved record, sources already specifying a structured trace are reproducible at a higher rate than sources that do not. They do not close it. The within-subject paired-rerun experiment that the dissertation pre-registers does. This dissertation’s contribution is to pull the methodological vocabulary of paired testing, pre-registered thresholds, and blinded replay into a domain that has not yet adopted it, and to aim that vocabulary at a falsifiable claim about logging-surface design rather than about model choice.</w:t>
      </w:r>
    </w:p>
    <w:bookmarkEnd w:id="63"/>
    <w:bookmarkStart w:id="64" w:name="the-single-falsifiable-contribution"/>
    <w:p>
      <w:pPr>
        <w:pStyle w:val="Heading2"/>
        <w:spacing w:line="480" w:lineRule="auto"/>
      </w:pPr>
      <w:r>
        <w:t xml:space="preserve">1.4 The Single Falsifiable Contribution</w:t>
      </w:r>
    </w:p>
    <w:p>
      <w:pPr>
        <w:pStyle w:val="FirstParagraph"/>
        <w:spacing w:line="480" w:lineRule="auto"/>
      </w:pPr>
      <w:r>
        <w:t xml:space="preserve">The dissertation tests one hypothesis, and its structure lets the test fail. The hypothesis is stated in the prospectus and restated here in the precise form the empirical chapters operationalize. Let an agentic decision episode be an ordered sequence of agent observations, actions, tool invocations, and tool returns terminating in a recorded outcome. Let a paired rerun be a re-execution of an episode by an independent replay harness that accesses only the logged artifacts of the original run and that stays blinded to which logging condition produced which artifact. Behavioral equivalence between an original episode and its rerun is the conjunction of two conditions: a normalized action-sequence edit distance below a pre-registered threshold, and a terminal-output match within a pre-registered tolerance. The structured decision-trace specification is a typed schema recording state, observation, action, tool-call, tool-return, and policy-confidence at each step of the episode. Unstructured logging is free-form textual logging without typed fields.</w:t>
      </w:r>
    </w:p>
    <w:p>
      <w:pPr>
        <w:pStyle w:val="BodyText"/>
        <w:spacing w:line="480" w:lineRule="auto"/>
        <w:ind w:firstLine="720"/>
      </w:pPr>
      <w:r>
        <w:t xml:space="preserve">Under the null hypothesis, reruns of an agentic decision episode logged under the structured decision-trace specification do not exceed reruns under unstructured logging in behavioral-equivalence rate at the 0.05 significance level. Under the alternative, reruns under the structured decision-trace specification exceed unstructured logging in behavioral-equivalence rate by at least fifteen percentage points at the 0.05 significance level. Rejecting the null in favor of the alternative establishes that auditability of an agentic decision system is, at minimum, a function of logging-surface design rather than of model choice alone. Failing to reject the null falsifies the central claim of the dissertation.</w:t>
      </w:r>
    </w:p>
    <w:p>
      <w:pPr>
        <w:pStyle w:val="BodyText"/>
        <w:spacing w:line="480" w:lineRule="auto"/>
        <w:ind w:firstLine="720"/>
      </w:pPr>
      <w:r>
        <w:t xml:space="preserve">So the single contribution here is a falsifiable empirical test of one connection between an implementable design choice and a measurable audit property, run across two retrievable agentic-system testbeds drawn from space situational awareness and distributed mission management [4, 7]. Both testbeds are documented in the open literature, the artifact sets are public, and the pre-registration covers the trace schema, the edit-distance threshold, the terminal-output tolerance, and the analysis script in that order, all before any rerun executes. This is a narrow contribution by design. It advances no normative governance framework, proposes no regulation, and makes no claim to settle the broader explainability paradox that the AI and machine-learning compendium identifies</w:t>
      </w:r>
      <w:r>
        <w:t xml:space="preserve"> </w:t>
      </w:r>
      <w:hyperlink w:anchor="ref-8">
        <w:r>
          <w:rPr>
            <w:rStyle w:val="Hyperlink"/>
          </w:rPr>
          <w:t xml:space="preserve">[8]</w:t>
        </w:r>
      </w:hyperlink>
      <w:r>
        <w:t xml:space="preserve">. It claims one thing, and it stakes its credibility on whether that one thing survives the experiment that follows.</w:t>
      </w:r>
    </w:p>
    <w:bookmarkEnd w:id="64"/>
    <w:bookmarkStart w:id="65" w:name="Xa172c3f2aede1cdea60a7ef0594db59e762140f"/>
    <w:p>
      <w:pPr>
        <w:pStyle w:val="Heading2"/>
        <w:spacing w:line="480" w:lineRule="auto"/>
      </w:pPr>
      <w:r>
        <w:t xml:space="preserve">1.5 Why a Single Falsifiable Claim Rather Than a Framework</w:t>
      </w:r>
    </w:p>
    <w:p>
      <w:pPr>
        <w:pStyle w:val="FirstParagraph"/>
        <w:spacing w:line="480" w:lineRule="auto"/>
      </w:pPr>
      <w:r>
        <w:t xml:space="preserve">Choosing a single falsifiable claim over a multi-part framework is a methodological decision, and the structure of the domain literature justifies it. The agent-based distributed-systems survey is, in form, a framework paper: it organizes the field, names open challenges, and offers a vocabulary for the methodologies in play</w:t>
      </w:r>
      <w:r>
        <w:t xml:space="preserve"> </w:t>
      </w:r>
      <w:hyperlink w:anchor="ref-4">
        <w:r>
          <w:rPr>
            <w:rStyle w:val="Hyperlink"/>
          </w:rPr>
          <w:t xml:space="preserve">[4]</w:t>
        </w:r>
      </w:hyperlink>
      <w:r>
        <w:t xml:space="preserve">. The collision-avoidance maneuver design review is a framework paper for its own subfield, organizing the design space and naming where decisions are made</w:t>
      </w:r>
      <w:r>
        <w:t xml:space="preserve"> </w:t>
      </w:r>
      <w:hyperlink w:anchor="ref-25">
        <w:r>
          <w:rPr>
            <w:rStyle w:val="Hyperlink"/>
          </w:rPr>
          <w:t xml:space="preserve">[25]</w:t>
        </w:r>
      </w:hyperlink>
      <w:r>
        <w:t xml:space="preserve">. Trust-in-human-machine-teaming work for autonomous space sensing frames the trust calibration operators report when paired with autonomous agents</w:t>
      </w:r>
      <w:r>
        <w:t xml:space="preserve"> </w:t>
      </w:r>
      <w:hyperlink w:anchor="ref-29">
        <w:r>
          <w:rPr>
            <w:rStyle w:val="Hyperlink"/>
          </w:rPr>
          <w:t xml:space="preserve">[29]</w:t>
        </w:r>
      </w:hyperlink>
      <w:r>
        <w:t xml:space="preserve">. None of these framework papers makes a single falsifiable empirical claim testable in isolation, and none of them needs to. They do their work as syntheses.</w:t>
      </w:r>
    </w:p>
    <w:p>
      <w:pPr>
        <w:pStyle w:val="BodyText"/>
        <w:spacing w:line="480" w:lineRule="auto"/>
        <w:ind w:firstLine="720"/>
      </w:pPr>
      <w:r>
        <w:t xml:space="preserve">What this dissertation is positioned to do is the work those framework papers can refer to but cannot themselves produce: a paired-rerun experiment whose pre-registered thresholds are stated before the data is collected and whose result is published with the analysis script that produced it. That is the work the econometric and methodological literature equips its practitioners to do. Committing to one claim means accepting the risk that the claim is wrong. That risk is the price of admission for a falsifiable contribution, and it is the price the prospectus has accepted in stating the null and alternative hypotheses in the form given in Section 1.4.</w:t>
      </w:r>
    </w:p>
    <w:bookmarkEnd w:id="65"/>
    <w:bookmarkStart w:id="66" w:name="roadmap-of-the-dissertation"/>
    <w:p>
      <w:pPr>
        <w:pStyle w:val="Heading2"/>
        <w:spacing w:line="480" w:lineRule="auto"/>
      </w:pPr>
      <w:r>
        <w:t xml:space="preserve">1.6 Roadmap of the Dissertation</w:t>
      </w:r>
    </w:p>
    <w:p>
      <w:pPr>
        <w:pStyle w:val="FirstParagraph"/>
        <w:spacing w:line="480" w:lineRule="auto"/>
      </w:pPr>
      <w:r>
        <w:t xml:space="preserve">The chapters that follow build out the test in sequence. Chapter 2 conducts the structured literature review across the domain corpus, drawing on the AMOS conference record from 2011 through 2025 and on the Acta Astronautica record from 2021 through 2025 to characterize the state of the art in agentic and autonomous space-systems decision making and to fix the empirical baseline against which this dissertation’s trace specification is positioned [4, 7, 8, 11, 19, 21, 25, 27, 28, 30, 31]. The review reaches into adjacent literatures on knowledge graphs in space systems</w:t>
      </w:r>
      <w:r>
        <w:t xml:space="preserve"> </w:t>
      </w:r>
      <w:hyperlink w:anchor="ref-37">
        <w:r>
          <w:rPr>
            <w:rStyle w:val="Hyperlink"/>
          </w:rPr>
          <w:t xml:space="preserve">[37]</w:t>
        </w:r>
      </w:hyperlink>
      <w:r>
        <w:t xml:space="preserve">, on intelligent swarms for magnetospheric studies and celestial body exploration [12, 38], and on the legal and governance implications of autonomous decision making in space</w:t>
      </w:r>
      <w:r>
        <w:t xml:space="preserve"> </w:t>
      </w:r>
      <w:hyperlink w:anchor="ref-36">
        <w:r>
          <w:rPr>
            <w:rStyle w:val="Hyperlink"/>
          </w:rPr>
          <w:t xml:space="preserve">[36]</w:t>
        </w:r>
      </w:hyperlink>
      <w:r>
        <w:t xml:space="preserve">, to bound the reach of the contribution rather than to extend it.</w:t>
      </w:r>
    </w:p>
    <w:p>
      <w:pPr>
        <w:pStyle w:val="BodyText"/>
        <w:spacing w:line="480" w:lineRule="auto"/>
        <w:ind w:firstLine="720"/>
      </w:pPr>
      <w:r>
        <w:t xml:space="preserve">Chapter 3 presents the formal definition of the structured decision-trace specification: the typed schema, the pre-registered edit-distance threshold, the pre-registered terminal-output tolerance, and the pre-registered analysis script. It motivates each design choice against the retrieved record and freezes the schema before any episode is logged.</w:t>
      </w:r>
    </w:p>
    <w:p>
      <w:pPr>
        <w:pStyle w:val="BodyText"/>
        <w:spacing w:line="480" w:lineRule="auto"/>
        <w:ind w:firstLine="720"/>
      </w:pPr>
      <w:r>
        <w:t xml:space="preserve">Chapter 4 presents the two testbeds. First is the multi-agent autonomous satellite inspection environment cited within the agent-based distributed space systems survey, for which deep reinforcement learning policies and episode rollouts are available through the proceedings the survey itself references [4, 30, 31]. Second is the reinforcement-learning cold-gas thrust-chamber pressure controller documented experimentally and in simulation in Acta Astronautica, wrapped into an agentic episode by a higher-level policy that selects setpoints and tool-calls the controller [7, 17]. Both testbeds yield episodes whose ground-truth action sequences and terminal outputs are recoverable from the source artifacts.</w:t>
      </w:r>
    </w:p>
    <w:p>
      <w:pPr>
        <w:pStyle w:val="BodyText"/>
        <w:spacing w:line="480" w:lineRule="auto"/>
        <w:ind w:firstLine="720"/>
      </w:pPr>
      <w:r>
        <w:t xml:space="preserve">Chapter 5 reports the paired-rerun experiment. Its within-subject design pairs each episode with itself under the two logging conditions, with the replay harness blinded to which artifact came from which condition. Power calculations target four hundred paired episodes to detect a fifteen-point gap at eighty percent power. The chapter reports the primary estimand, the difference in behavioral-equivalence rates between conditions, with a paired binomial test and a bootstrapped confidence interval, and it reports sensitivity analyses across plausible alternative thresholds.</w:t>
      </w:r>
    </w:p>
    <w:p>
      <w:pPr>
        <w:pStyle w:val="BodyText"/>
        <w:spacing w:line="480" w:lineRule="auto"/>
        <w:ind w:firstLine="720"/>
      </w:pPr>
      <w:r>
        <w:t xml:space="preserve">Chapter 6 places the result, whether the null is rejected or sustained, alongside the two cross-sectional papers that accompany this prospectus. Paper one estimates a logistic regression on twenty-eight documented studies with a structured-trace coefficient of 2.63 and a code-release coefficient of 2.59; paper two estimates a parallel specification with a structured-trace coefficient of 3.71 and a two-sided p-value of 0.042. Reading the within-subject experimental result against these cross-sectional findings closes the loop between the observational signal and the experimental test.</w:t>
      </w:r>
    </w:p>
    <w:p>
      <w:pPr>
        <w:pStyle w:val="BodyText"/>
        <w:spacing w:line="480" w:lineRule="auto"/>
        <w:ind w:firstLine="720"/>
      </w:pPr>
      <w:r>
        <w:t xml:space="preserve">Chapter 7 names the threats to validity that the prospectus has already pre-mitigated, among them leakage between conditions, schema overfitting, environment drift, and construct validity of behavioral equivalence, and it reports the residual uncertainty the design cannot eliminate. It also bounds the reach of the contribution against the legal and governance literature on autonomous decision systems in space, where whether a decision is auditable is logically prior to whether it is permissible</w:t>
      </w:r>
      <w:r>
        <w:t xml:space="preserve"> </w:t>
      </w:r>
      <w:hyperlink w:anchor="ref-36">
        <w:r>
          <w:rPr>
            <w:rStyle w:val="Hyperlink"/>
          </w:rPr>
          <w:t xml:space="preserve">[36]</w:t>
        </w:r>
      </w:hyperlink>
      <w:r>
        <w:t xml:space="preserve">.</w:t>
      </w:r>
    </w:p>
    <w:p>
      <w:pPr>
        <w:pStyle w:val="BodyText"/>
        <w:spacing w:line="480" w:lineRule="auto"/>
        <w:ind w:firstLine="720"/>
      </w:pPr>
      <w:r>
        <w:t xml:space="preserve">Chapter 8 concludes by stating what the test, however it resolves, does and does not establish for NASA, for JPL, and for the institutional reviewers whose work depends on the answer. Reject the null, and the dissertation will have shown that a specific, implementable design choice raises the probability that an agentic decision can be audited, a finding available to the program-assessment apparatus that GAO and its counterparts already operate [13, 14]. Sustain the null, and the dissertation will have shown that logging-surface design alone is not sufficient, and that the audit machinery for agentic systems must rest on a broader set of design choices than the prospectus advances. Either outcome is a contribution, and each is reported in the same form, because the credibility of a falsifiable test rests on the symmetry of its reporting under both possible results.</w:t>
      </w:r>
    </w:p>
    <w:bookmarkEnd w:id="66"/>
    <w:bookmarkEnd w:id="67"/>
    <w:bookmarkStart w:id="76" w:name="chapter-2.-literature-review"/>
    <w:p>
      <w:pPr>
        <w:pStyle w:val="Heading1"/>
        <w:spacing w:line="480" w:lineRule="auto"/>
      </w:pPr>
      <w:r>
        <w:t xml:space="preserve">Chapter 2. Literature Review</w:t>
      </w:r>
    </w:p>
    <w:bookmarkStart w:id="68" w:name="orientation"/>
    <w:p>
      <w:pPr>
        <w:pStyle w:val="Heading2"/>
        <w:spacing w:line="480" w:lineRule="auto"/>
      </w:pPr>
      <w:r>
        <w:t xml:space="preserve">2.1 Orientation</w:t>
      </w:r>
    </w:p>
    <w:p>
      <w:pPr>
        <w:pStyle w:val="FirstParagraph"/>
        <w:spacing w:line="480" w:lineRule="auto"/>
      </w:pPr>
      <w:r>
        <w:t xml:space="preserve">Can an agentic decision system be audited, in the operationally meaningful sense that an independent reviewer, holding only the logs the system emitted, can rerun a decision episode and obtain a behaviorally equivalent result? That is the dissertation’s question, and it sits at the intersection of two literatures that, as of this writing, have not been brought into direct contact. First comes the domain technical literature on autonomous and agentic decision-making in space systems, which documents what those systems do, how they are constructed, and what kinds of artifacts their developers release. Second comes the cliometric and econometric methodology literature on observational audit, treatment effects, and the identification of design properties from cross sections of documented cases, transposed here from its historical-economics home into a study of engineered systems. The first literature holds the substrate of the question. The second holds the inferential machinery by which the question can be answered without recourse to controlled trials on fielded autonomy. Taken in isolation, neither can resolve the auditability question this dissertation poses. This chapter reviews each in enough detail to expose the joint the dissertation proposes to make, and to identify the gap the joining is meant to close.</w:t>
      </w:r>
    </w:p>
    <w:p>
      <w:pPr>
        <w:pStyle w:val="BodyText"/>
        <w:spacing w:line="480" w:lineRule="auto"/>
        <w:ind w:firstLine="720"/>
      </w:pPr>
      <w:r>
        <w:t xml:space="preserve">Three movements organize what follows. The first surveys the domain technical literature along four strands: the early integration of machine learning into space operations, the more recent generation of reinforcement-learning controllers and autonomous guidance systems, the emerging multi-agent and battle-management orchestrations, and the survey and assessment literature that takes the field as a whole as its object. The second turns to the cliometric and econometric methodology literature, attending to logit and probit identification of design properties from coded case archives, to pre-registered behavioral-equivalence thresholds in observational audit work, and to threats-to-validity frameworks imported from econometrics into audit design. The third synthesizes the two and names the gap this dissertation will address. Throughout, citation is restricted to the shared reference pool that supports the prospectus and the two preceding research papers [1 through 41].</w:t>
      </w:r>
    </w:p>
    <w:bookmarkEnd w:id="68"/>
    <w:bookmarkStart w:id="73" w:name="Xbdebc3ac4ef0d044ab749d451650ba5832dfe24"/>
    <w:p>
      <w:pPr>
        <w:pStyle w:val="Heading2"/>
        <w:spacing w:line="480" w:lineRule="auto"/>
      </w:pPr>
      <w:r>
        <w:t xml:space="preserve">2.2 The Domain Technical Literature on Agentic Space Systems</w:t>
      </w:r>
    </w:p>
    <w:bookmarkStart w:id="69" w:name="X466d1aa5a9d603a7f561a385b1014593b188006"/>
    <w:p>
      <w:pPr>
        <w:pStyle w:val="Heading3"/>
        <w:spacing w:line="480" w:lineRule="auto"/>
      </w:pPr>
      <w:r>
        <w:t xml:space="preserve">2.2.1 Early Integration of Machine Learning into Space Operations</w:t>
      </w:r>
    </w:p>
    <w:p>
      <w:pPr>
        <w:pStyle w:val="FirstParagraph"/>
        <w:spacing w:line="480" w:lineRule="auto"/>
      </w:pPr>
      <w:r>
        <w:t xml:space="preserve">An early cluster of work treats machine learning as a new ingredient introduced into an otherwise deterministic space-operations pipeline, and it bears directly on the auditability question. Kelly’s 2017 AMOS paper on the integration of machine learning into space operations is the canonical entry point</w:t>
      </w:r>
      <w:r>
        <w:t xml:space="preserve"> </w:t>
      </w:r>
      <w:hyperlink w:anchor="ref-2">
        <w:r>
          <w:rPr>
            <w:rStyle w:val="Hyperlink"/>
          </w:rPr>
          <w:t xml:space="preserve">[2]</w:t>
        </w:r>
      </w:hyperlink>
      <w:r>
        <w:t xml:space="preserve">. It identifies that machine-learning components introduce inputs whose provenance is hard to reconstruct after the fact unless the surrounding system’s logging discipline is built around the inference step. Its implication, which the paper itself does not pursue, is that auditability is a property not of the model in isolation but of the entire decision surface the model is embedded within. Li’s 2016 paper on creating situational awareness in spacecraft operations through machine learning sounds a similar note from a slightly earlier vintage</w:t>
      </w:r>
      <w:r>
        <w:t xml:space="preserve"> </w:t>
      </w:r>
      <w:hyperlink w:anchor="ref-9">
        <w:r>
          <w:rPr>
            <w:rStyle w:val="Hyperlink"/>
          </w:rPr>
          <w:t xml:space="preserve">[9]</w:t>
        </w:r>
      </w:hyperlink>
      <w:r>
        <w:t xml:space="preserve">. Neither the 2016 nor the 2017 paper yet speaks the vocabulary of agentic systems, but both identify, in plain terms, the central asymmetry that motivates this dissertation: the model is observable while it runs, and its outputs are observable, yet the conditions under which it produced a particular output are recoverable only insofar as the logging surface was designed to record them.</w:t>
      </w:r>
    </w:p>
    <w:p>
      <w:pPr>
        <w:pStyle w:val="BodyText"/>
        <w:spacing w:line="480" w:lineRule="auto"/>
        <w:ind w:firstLine="720"/>
      </w:pPr>
      <w:r>
        <w:t xml:space="preserve">Later contributions in this strand extend the observation to specific operational subdomains. Agathanggelou and colleagues, in a 2022 AMOS paper on machine learning for satellite characterization, treat reproducibility primarily as a training-pipeline property, attending to data versioning, model checkpoints, and the curation of the labeled corpus on which classifiers are trained</w:t>
      </w:r>
      <w:r>
        <w:t xml:space="preserve"> </w:t>
      </w:r>
      <w:hyperlink w:anchor="ref-3">
        <w:r>
          <w:rPr>
            <w:rStyle w:val="Hyperlink"/>
          </w:rPr>
          <w:t xml:space="preserve">[3]</w:t>
        </w:r>
      </w:hyperlink>
      <w:r>
        <w:t xml:space="preserve">. Their framing is informative for the present dissertation precisely because it stops where the dissertation begins. In the satellite-characterization treatment, reproducibility is a property of how the model was built; whether a downstream decision that uses the model’s output can be reproduced from runtime logs is not their concern. Reglero Andres and colleagues, also in 2022, document a virtualized ground-station architecture that reduces decision time for on-orbit operations through machine-learning support</w:t>
      </w:r>
      <w:r>
        <w:t xml:space="preserve"> </w:t>
      </w:r>
      <w:hyperlink w:anchor="ref-10">
        <w:r>
          <w:rPr>
            <w:rStyle w:val="Hyperlink"/>
          </w:rPr>
          <w:t xml:space="preserve">[10]</w:t>
        </w:r>
      </w:hyperlink>
      <w:r>
        <w:t xml:space="preserve">. That paper is candid that its machine-learning component sits inside a larger orchestration whose state is only partially logged, and it sketches what a richer trace surface might look like without committing to a specification. Lucas and colleagues, in 2020, estimate satellite orientation through atmospheric turbulence with deep learning</w:t>
      </w:r>
      <w:r>
        <w:t xml:space="preserve"> </w:t>
      </w:r>
      <w:hyperlink w:anchor="ref-18">
        <w:r>
          <w:rPr>
            <w:rStyle w:val="Hyperlink"/>
          </w:rPr>
          <w:t xml:space="preserve">[18]</w:t>
        </w:r>
      </w:hyperlink>
      <w:r>
        <w:t xml:space="preserve">; Ebeling and colleagues, in 2024, apply machine learning to electro-optical event detection</w:t>
      </w:r>
      <w:r>
        <w:t xml:space="preserve"> </w:t>
      </w:r>
      <w:hyperlink w:anchor="ref-24">
        <w:r>
          <w:rPr>
            <w:rStyle w:val="Hyperlink"/>
          </w:rPr>
          <w:t xml:space="preserve">[24]</w:t>
        </w:r>
      </w:hyperlink>
      <w:r>
        <w:t xml:space="preserve">. Both sit in the same vein, advancing the predictive component without addressing the audit surface that would let a third party rerun a decision the predictor participated in.</w:t>
      </w:r>
    </w:p>
    <w:p>
      <w:pPr>
        <w:pStyle w:val="BodyText"/>
        <w:spacing w:line="480" w:lineRule="auto"/>
        <w:ind w:firstLine="720"/>
      </w:pPr>
      <w:r>
        <w:t xml:space="preserve">The 2025 NASA Conjunction Assessment Risk Analysis compendium for artificial intelligence and machine learning is, to date, the most explicit statement of why the audit surface matters in safety-relevant space operations</w:t>
      </w:r>
      <w:r>
        <w:t xml:space="preserve"> </w:t>
      </w:r>
      <w:hyperlink w:anchor="ref-8">
        <w:r>
          <w:rPr>
            <w:rStyle w:val="Hyperlink"/>
          </w:rPr>
          <w:t xml:space="preserve">[8]</w:t>
        </w:r>
      </w:hyperlink>
      <w:r>
        <w:t xml:space="preserve">. It frames the explainability paradox in many machine-learning approaches as the operational driver of demand for decision-support records that reviewers other than the original team can re-examine. It does not, however, prescribe the shape of those records. The conjunction-assessment domain has named the demand without specifying the supply. De Alba and colleagues’ operational photometry work makes the same move: robust and source-agnostic in its model design, it treats reviewable per-decision artifacts as outside the scope of the contribution</w:t>
      </w:r>
      <w:r>
        <w:t xml:space="preserve"> </w:t>
      </w:r>
      <w:hyperlink w:anchor="ref-22">
        <w:r>
          <w:rPr>
            <w:rStyle w:val="Hyperlink"/>
          </w:rPr>
          <w:t xml:space="preserve">[22]</w:t>
        </w:r>
      </w:hyperlink>
      <w:r>
        <w:t xml:space="preserve">. Constant and colleagues’ thermospheric-density retrieval work likewise advances a technical pipeline whose audit surface is not its primary subject</w:t>
      </w:r>
      <w:r>
        <w:t xml:space="preserve"> </w:t>
      </w:r>
      <w:hyperlink w:anchor="ref-23">
        <w:r>
          <w:rPr>
            <w:rStyle w:val="Hyperlink"/>
          </w:rPr>
          <w:t xml:space="preserve">[23]</w:t>
        </w:r>
      </w:hyperlink>
      <w:r>
        <w:t xml:space="preserve">.</w:t>
      </w:r>
    </w:p>
    <w:bookmarkEnd w:id="69"/>
    <w:bookmarkStart w:id="70" w:name="X15c754ec6d01390ee9ec61eb2c17dd26b432772"/>
    <w:p>
      <w:pPr>
        <w:pStyle w:val="Heading3"/>
        <w:spacing w:line="480" w:lineRule="auto"/>
      </w:pPr>
      <w:r>
        <w:t xml:space="preserve">2.2.2 Reinforcement-Learning Controllers and Autonomous Guidance</w:t>
      </w:r>
    </w:p>
    <w:p>
      <w:pPr>
        <w:pStyle w:val="FirstParagraph"/>
        <w:spacing w:line="480" w:lineRule="auto"/>
      </w:pPr>
      <w:r>
        <w:t xml:space="preserve">A second strand introduces reinforcement-learning controllers and autonomous guidance, navigation, and control systems and reports on their experimental performance. Wilson and Riccardi’s 2022 paper on enabling intelligent onboard guidance, navigation, and control through reinforcement learning on near-term flight hardware exemplifies the strand at the small end of the action space</w:t>
      </w:r>
      <w:r>
        <w:t xml:space="preserve"> </w:t>
      </w:r>
      <w:hyperlink w:anchor="ref-19">
        <w:r>
          <w:rPr>
            <w:rStyle w:val="Hyperlink"/>
          </w:rPr>
          <w:t xml:space="preserve">[19]</w:t>
        </w:r>
      </w:hyperlink>
      <w:r>
        <w:t xml:space="preserve">. Methodologically careful, it version-pins its tooling and reports a per-step trace detailed enough that an external reviewer could in principle reconstruct the controller’s behavior on the published episodes. LaFarge and colleagues’ 2023 paper on adaptive closed-loop maneuver planning for low-thrust spacecraft using reinforcement learning is similarly disciplined</w:t>
      </w:r>
      <w:r>
        <w:t xml:space="preserve"> </w:t>
      </w:r>
      <w:hyperlink w:anchor="ref-11">
        <w:r>
          <w:rPr>
            <w:rStyle w:val="Hyperlink"/>
          </w:rPr>
          <w:t xml:space="preserve">[11]</w:t>
        </w:r>
      </w:hyperlink>
      <w:r>
        <w:t xml:space="preserve">. It releases enough of the policy and the environment specification that the published rollouts function as a small reproducibility benchmark in their own right. Most operationally consequential in the strand is Hörger and colleagues’ 2024 paper on the experimental and simulative evaluation of a reinforcement-learning cold-gas thrust-chamber pressure controller, because it pairs a simulated controller with a hardware-in-the-loop experimental campaign whose step-response traces are released along with the controller code [7, 17]. This dissertation’s empirical design treats that paper as one of its two anchor testbeds precisely because its artifact release supports the construction of paired-rerun audit experiments.</w:t>
      </w:r>
    </w:p>
    <w:p>
      <w:pPr>
        <w:pStyle w:val="BodyText"/>
        <w:spacing w:line="480" w:lineRule="auto"/>
        <w:ind w:firstLine="720"/>
      </w:pPr>
      <w:r>
        <w:t xml:space="preserve">More adversarial and more orchestration-heavy contributions round out the strand. Wang and Aouf’s 2024 paper on efficient adversarial-attacks detection for deep reinforcement-learning autonomous planetary-landing guidance, navigation, and control raises the audit stakes: it demonstrates that a learned policy can be steered off its training distribution by adversarial inputs that a surrounding logging surface, if not designed for the purpose, will not record [10, 20, 39]. Auditability, on this showing, is a matter not only of recording what happened under nominal operation but of recording what would let a reviewer detect that nominal operation had been departed from. Lagona and colleagues’ 2022 paper on autonomous trajectory optimization for intelligent satellite systems and space traffic management carries the concern into multi-actor environments, where one agent’s decision is conditioned on representations of other agents’ states whose provenance must itself be auditable</w:t>
      </w:r>
      <w:r>
        <w:t xml:space="preserve"> </w:t>
      </w:r>
      <w:hyperlink w:anchor="ref-21">
        <w:r>
          <w:rPr>
            <w:rStyle w:val="Hyperlink"/>
          </w:rPr>
          <w:t xml:space="preserve">[21]</w:t>
        </w:r>
      </w:hyperlink>
      <w:r>
        <w:t xml:space="preserve">. Pavanello and colleagues’ 2025 collision avoidance maneuver review consolidates the maneuver-design literature and exposes how heterogeneous the underlying decision processes have become, with consequences for any cross-system audit framework</w:t>
      </w:r>
      <w:r>
        <w:t xml:space="preserve"> </w:t>
      </w:r>
      <w:hyperlink w:anchor="ref-25">
        <w:r>
          <w:rPr>
            <w:rStyle w:val="Hyperlink"/>
          </w:rPr>
          <w:t xml:space="preserve">[25]</w:t>
        </w:r>
      </w:hyperlink>
      <w:r>
        <w:t xml:space="preserve">. Rajan and colleagues’ 2021 paper on intelligent swarms for magnetospheric studies moves into a swarm setting where the action space is itself emergent and per-agent traces must be reconciled at the swarm level to be reviewable</w:t>
      </w:r>
      <w:r>
        <w:t xml:space="preserve"> </w:t>
      </w:r>
      <w:hyperlink w:anchor="ref-12">
        <w:r>
          <w:rPr>
            <w:rStyle w:val="Hyperlink"/>
          </w:rPr>
          <w:t xml:space="preserve">[12]</w:t>
        </w:r>
      </w:hyperlink>
      <w:r>
        <w:t xml:space="preserve">. Cottiga and colleagues’ 2024 paper on proprioceptive swarms for celestial-body exploration similarly raises the question of what the logging surface for a body of agents, rather than a single agent, ought to look like</w:t>
      </w:r>
      <w:r>
        <w:t xml:space="preserve"> </w:t>
      </w:r>
      <w:hyperlink w:anchor="ref-38">
        <w:r>
          <w:rPr>
            <w:rStyle w:val="Hyperlink"/>
          </w:rPr>
          <w:t xml:space="preserve">[38]</w:t>
        </w:r>
      </w:hyperlink>
      <w:r>
        <w:t xml:space="preserve">. Across the strand the methodological gesture is consistent: papers advance the autonomous capability and report enough of the underlying mechanics to convince a reader that the capability is real, but they put forward no specification of the logs that would let a third party rerun a decision.</w:t>
      </w:r>
    </w:p>
    <w:bookmarkEnd w:id="70"/>
    <w:bookmarkStart w:id="71" w:name="X75d616913221fc3ef3f0f65be7cf39ee11fe73f"/>
    <w:p>
      <w:pPr>
        <w:pStyle w:val="Heading3"/>
        <w:spacing w:line="480" w:lineRule="auto"/>
      </w:pPr>
      <w:r>
        <w:t xml:space="preserve">2.2.3 Multi-Agent and Battle-Management Orchestrations</w:t>
      </w:r>
    </w:p>
    <w:p>
      <w:pPr>
        <w:pStyle w:val="FirstParagraph"/>
        <w:spacing w:line="480" w:lineRule="auto"/>
      </w:pPr>
      <w:r>
        <w:t xml:space="preserve">Increasingly visible in the 2024 to 2025 retrievals is a third strand of multi-agent orchestrations and battle-management proposals that aggregate the preceding controllers and predictors into mission-level architectures. Latif and colleagues’ 2025 AMOS paper on an artificial-intelligence-enabled space battle management system on Space Protocol’s quantum-resilient blockchain is the canonical recent entry [1, 27]. It proposes a layered architecture in which independent validators are expected to cross-check subsystem outputs against curated test datasets. The validation idea is operationally serious. The paper is explicit, though, that the trace surface needed for those cross-checks has not been standardized, and the contribution stops at the architectural sketch. Furlich and colleagues’ 2025 paper on utilizing civilian launches as live exercises for a federated protect-and-defend space domain awareness battle-management system extends the same architectural reasoning into the live-exercise regime, where system heterogeneity compounds the audit problem</w:t>
      </w:r>
      <w:r>
        <w:t xml:space="preserve"> </w:t>
      </w:r>
      <w:hyperlink w:anchor="ref-28">
        <w:r>
          <w:rPr>
            <w:rStyle w:val="Hyperlink"/>
          </w:rPr>
          <w:t xml:space="preserve">[28]</w:t>
        </w:r>
      </w:hyperlink>
      <w:r>
        <w:t xml:space="preserve">. De Alba and colleagues’ 2025 paper on the integration of large language models for command and control in space-domain awareness adds another layer, attending to how language-model outputs are bound into decision pipelines whose audit surface, again, is not the paper’s primary subject</w:t>
      </w:r>
      <w:r>
        <w:t xml:space="preserve"> </w:t>
      </w:r>
      <w:hyperlink w:anchor="ref-26">
        <w:r>
          <w:rPr>
            <w:rStyle w:val="Hyperlink"/>
          </w:rPr>
          <w:t xml:space="preserve">[26]</w:t>
        </w:r>
      </w:hyperlink>
      <w:r>
        <w:t xml:space="preserve">. Siew and colleagues document the operational pull for multi-agent orchestrations through cislunar space situational awareness sensor tasking with deep reinforcement learning</w:t>
      </w:r>
      <w:r>
        <w:t xml:space="preserve"> </w:t>
      </w:r>
      <w:hyperlink w:anchor="ref-30">
        <w:r>
          <w:rPr>
            <w:rStyle w:val="Hyperlink"/>
          </w:rPr>
          <w:t xml:space="preserve">[30]</w:t>
        </w:r>
      </w:hyperlink>
      <w:r>
        <w:t xml:space="preserve"> </w:t>
      </w:r>
      <w:r>
        <w:t xml:space="preserve">and through scalable multi-agent sensor tasking</w:t>
      </w:r>
      <w:r>
        <w:t xml:space="preserve"> </w:t>
      </w:r>
      <w:hyperlink w:anchor="ref-31">
        <w:r>
          <w:rPr>
            <w:rStyle w:val="Hyperlink"/>
          </w:rPr>
          <w:t xml:space="preserve">[31]</w:t>
        </w:r>
      </w:hyperlink>
      <w:r>
        <w:t xml:space="preserve">, both in domains where the action space is large and partly observable, which are precisely the conditions under which an unstandardized log is most likely to fail an audit. Fitzgerald and colleagues’ 2024 paper on building trust in human-machine teaming for autonomous space sensing makes the trust-and-audit pairing explicit, observing that operator trust is downstream of the audit surface the system makes available to the operator</w:t>
      </w:r>
      <w:r>
        <w:t xml:space="preserve"> </w:t>
      </w:r>
      <w:hyperlink w:anchor="ref-29">
        <w:r>
          <w:rPr>
            <w:rStyle w:val="Hyperlink"/>
          </w:rPr>
          <w:t xml:space="preserve">[29]</w:t>
        </w:r>
      </w:hyperlink>
      <w:r>
        <w:t xml:space="preserve">. That the multi-agent orchestration ambition is not new is established by earlier work, including Richmond’s 2012 contribution on net-centric sensors and data sources for the ground-based electro-optical deep-space surveillance system</w:t>
      </w:r>
      <w:r>
        <w:t xml:space="preserve"> </w:t>
      </w:r>
      <w:hyperlink w:anchor="ref-32">
        <w:r>
          <w:rPr>
            <w:rStyle w:val="Hyperlink"/>
          </w:rPr>
          <w:t xml:space="preserve">[32]</w:t>
        </w:r>
      </w:hyperlink>
      <w:r>
        <w:t xml:space="preserve"> </w:t>
      </w:r>
      <w:r>
        <w:t xml:space="preserve">and Scally and colleagues’ 2011 paper on learning agents for autonomous space asset management</w:t>
      </w:r>
      <w:r>
        <w:t xml:space="preserve"> </w:t>
      </w:r>
      <w:hyperlink w:anchor="ref-33">
        <w:r>
          <w:rPr>
            <w:rStyle w:val="Hyperlink"/>
          </w:rPr>
          <w:t xml:space="preserve">[33]</w:t>
        </w:r>
      </w:hyperlink>
      <w:r>
        <w:t xml:space="preserve">; what is new is the model machinery now being slotted into the orchestration positions and the consequent rise in the audit demand.</w:t>
      </w:r>
    </w:p>
    <w:p>
      <w:pPr>
        <w:pStyle w:val="BodyText"/>
        <w:spacing w:line="480" w:lineRule="auto"/>
        <w:ind w:firstLine="720"/>
      </w:pPr>
      <w:r>
        <w:t xml:space="preserve">Capping the strand, and the single most important reference for this dissertation, is the 2025 Acta Astronautica survey by Jabbarpour and colleagues on agent-based approaches for distributed space systems and mission management [4, 34]. It catalogues methodologies and current practices across the field and names trace reconstruction and behavioral reproducibility as open research challenges, not as solved engineering problems. That framing, treating these as open challenges rather than merely unfinished engineering work, is what licenses the dissertation’s claim that the audit machinery has not yet caught up with the agentic systems entering deployment. This survey is the principal source for the dissertation’s contention that the gap addressed here is recognized within the field itself rather than imported from outside it.</w:t>
      </w:r>
    </w:p>
    <w:bookmarkEnd w:id="71"/>
    <w:bookmarkStart w:id="72" w:name="X3eeb19d3df55a4df71c2ed51198d7cb3d441829"/>
    <w:p>
      <w:pPr>
        <w:pStyle w:val="Heading3"/>
        <w:spacing w:line="480" w:lineRule="auto"/>
      </w:pPr>
      <w:r>
        <w:t xml:space="preserve">2.2.4 Adjacent Surveys, Assessments, and Program-Level Documentation</w:t>
      </w:r>
    </w:p>
    <w:p>
      <w:pPr>
        <w:pStyle w:val="FirstParagraph"/>
        <w:spacing w:line="480" w:lineRule="auto"/>
      </w:pPr>
      <w:r>
        <w:t xml:space="preserve">A fourth strand supplies the survey and assessment context against which the prior three are read. The 2023 and 2024 NASA Major Project assessments by the Government Accountability Office [13, 14] and the related GAO-23-106021 assessment give a program-level view of how autonomy is being adopted in flagship missions and how cost, schedule, and technical baselines depend on the auditability of the underlying systems. These assessments specify no trace schema, but they make plain that program-level oversight presupposes an audit surface the technical literature has not yet committed to. The Space Economy Papers entries on the role of space in driving sustainability, security, and development [6, 15], the OCEA forecast of the space economy [15, 41], and Weinzierl’s contribution on space as a frontier economic environment</w:t>
      </w:r>
      <w:r>
        <w:t xml:space="preserve"> </w:t>
      </w:r>
      <w:hyperlink w:anchor="ref-16">
        <w:r>
          <w:rPr>
            <w:rStyle w:val="Hyperlink"/>
          </w:rPr>
          <w:t xml:space="preserve">[16]</w:t>
        </w:r>
      </w:hyperlink>
      <w:r>
        <w:t xml:space="preserve"> </w:t>
      </w:r>
      <w:r>
        <w:t xml:space="preserve">add a further layer of demand pressure: an industry whose economic case rests on operational reliability and on regulatable accountability cannot indefinitely tolerate decision systems whose behavior cannot be reconstructed after the fact. From the governance side, the Space Imperative whole-of-nation framing</w:t>
      </w:r>
      <w:r>
        <w:t xml:space="preserve"> </w:t>
      </w:r>
      <w:hyperlink w:anchor="ref-40">
        <w:r>
          <w:rPr>
            <w:rStyle w:val="Hyperlink"/>
          </w:rPr>
          <w:t xml:space="preserve">[40]</w:t>
        </w:r>
      </w:hyperlink>
      <w:r>
        <w:t xml:space="preserve"> </w:t>
      </w:r>
      <w:r>
        <w:t xml:space="preserve">and the legal-implications literature on autonomous weapons systems and the militarization of outer space by Bratu and Freeland</w:t>
      </w:r>
      <w:r>
        <w:t xml:space="preserve"> </w:t>
      </w:r>
      <w:hyperlink w:anchor="ref-36">
        <w:r>
          <w:rPr>
            <w:rStyle w:val="Hyperlink"/>
          </w:rPr>
          <w:t xml:space="preserve">[36]</w:t>
        </w:r>
      </w:hyperlink>
      <w:r>
        <w:t xml:space="preserve"> </w:t>
      </w:r>
      <w:r>
        <w:t xml:space="preserve">amplify the same point: the regulatory expectation that an agentic system can be audited is already operative even as the technical means to satisfy it remain underspecified. Knowledge-graph work for space systems, such as Patrignani and colleagues’ SpaceKG contribution</w:t>
      </w:r>
      <w:r>
        <w:t xml:space="preserve"> </w:t>
      </w:r>
      <w:hyperlink w:anchor="ref-37">
        <w:r>
          <w:rPr>
            <w:rStyle w:val="Hyperlink"/>
          </w:rPr>
          <w:t xml:space="preserve">[37]</w:t>
        </w:r>
      </w:hyperlink>
      <w:r>
        <w:t xml:space="preserve">, gestures toward a richer representational substrate over which audit queries might one day be expressed, yet does not yet bind the substrate to a runtime logging contract. Feasibility studies for commercial space stations</w:t>
      </w:r>
      <w:r>
        <w:t xml:space="preserve"> </w:t>
      </w:r>
      <w:hyperlink w:anchor="ref-35">
        <w:r>
          <w:rPr>
            <w:rStyle w:val="Hyperlink"/>
          </w:rPr>
          <w:t xml:space="preserve">[35]</w:t>
        </w:r>
      </w:hyperlink>
      <w:r>
        <w:t xml:space="preserve"> </w:t>
      </w:r>
      <w:r>
        <w:t xml:space="preserve">and self-supervised on-board fault detection work</w:t>
      </w:r>
      <w:r>
        <w:t xml:space="preserve"> </w:t>
      </w:r>
      <w:hyperlink w:anchor="ref-5">
        <w:r>
          <w:rPr>
            <w:rStyle w:val="Hyperlink"/>
          </w:rPr>
          <w:t xml:space="preserve">[5]</w:t>
        </w:r>
      </w:hyperlink>
      <w:r>
        <w:t xml:space="preserve"> </w:t>
      </w:r>
      <w:r>
        <w:t xml:space="preserve">complete the picture: in each case the literature names the demand for reviewable behavior without committing to the surface that would supply it.</w:t>
      </w:r>
    </w:p>
    <w:p>
      <w:pPr>
        <w:pStyle w:val="BodyText"/>
        <w:spacing w:line="480" w:lineRule="auto"/>
        <w:ind w:firstLine="720"/>
      </w:pPr>
      <w:r>
        <w:t xml:space="preserve">Taken together, the four strands converge on one descriptive finding. Agentic decision systems being deployed in space operations are increasingly capable, increasingly composed of learned and tool-using subsystems, and increasingly embedded in safety-relevant and economically consequential pipelines. The literature names auditability as an open challenge and treats reproducibility as a desideratum. What it does not do, in any of the strands surveyed, is propose and test a falsifiable specification of the logging surface under which a decision episode could be rerun by an independent reviewer. That is the gap on the technical side.</w:t>
      </w:r>
    </w:p>
    <w:bookmarkEnd w:id="72"/>
    <w:bookmarkEnd w:id="73"/>
    <w:bookmarkStart w:id="74" w:name="X07fe73e594277fc276c6392b9242153367417e1"/>
    <w:p>
      <w:pPr>
        <w:pStyle w:val="Heading2"/>
        <w:spacing w:line="480" w:lineRule="auto"/>
      </w:pPr>
      <w:r>
        <w:t xml:space="preserve">2.3 The Cliometric and Econometric Methodology Literature</w:t>
      </w:r>
    </w:p>
    <w:p>
      <w:pPr>
        <w:pStyle w:val="FirstParagraph"/>
        <w:spacing w:line="480" w:lineRule="auto"/>
      </w:pPr>
      <w:r>
        <w:t xml:space="preserve">Not native to the space domain, the second literature reviewed here is the cliometric and econometric methodology literature on observational identification of design properties from coded case archives, on logit and probit specification of binary outcomes whose covariates are themselves engineered features rather than economic primitives, on pre-registration as a defense against threat-to-validity drift, and on paired-rerun and within-subject designs as defenses against confounding by unobserved system heterogeneity. It is transposed into the present dissertation rather than cited in its native form, but the methodological grammar it supplies is the grammar by which the two research papers that precede this chapter [p1, p2] interpret their twenty-eight-observation samples and by which the dissertation’s pre-registered paired-rerun experiment will interpret its four hundred paired episodes.</w:t>
      </w:r>
    </w:p>
    <w:p>
      <w:pPr>
        <w:pStyle w:val="BodyText"/>
        <w:spacing w:line="480" w:lineRule="auto"/>
        <w:ind w:firstLine="720"/>
      </w:pPr>
      <w:r>
        <w:t xml:space="preserve">First among the commitments the literature supplies is the use of binary-outcome models to identify the marginal contribution of an engineered feature, in this case structured-trace logging, to a binary observable outcome, in this case the reported reproducibility of a documented agentic episode. Research paper one’s logit specification [p1] regresses a binary reproducibility outcome on indicators for structured-trace logging, seed pinning, tool versioning, and code release, and on the logarithm of the action-space cardinality. Research paper two’s specification [p2] reduces the regressor set to structured_trace, action_steps, and tool_calls, with the latter two functioning as complexity controls. Choosing a logit rather than a linear probability model is a commitment that the literature on binary outcomes in coded archives has established as a defensible default when the sample is small and the underlying probability is bounded between zero and one. Neither of the two papers interprets its point estimates, 2.63 and 3.71 on the structured-trace indicator respectively, as causal magnitudes in the cliometric sense; they read them as design-property contrasts that license further confirmatory work. Observational identification of this kind cannot substitute for an experiment, the methodological literature is clear, but it can locate the design property whose contribution is large enough to be worth subjecting to an experiment. The two preceding papers function in that locating capacity within the dissertation’s larger argument.</w:t>
      </w:r>
    </w:p>
    <w:p>
      <w:pPr>
        <w:pStyle w:val="BodyText"/>
        <w:spacing w:line="480" w:lineRule="auto"/>
        <w:ind w:firstLine="720"/>
      </w:pPr>
      <w:r>
        <w:t xml:space="preserve">Second among the commitments is pre-registration. The prospectus commits the dissertation to pre-registering the trace schema, the edit-distance threshold, the terminal-output tolerance, and the analysis script before any rerun is executed. That commitment is borrowed directly from the methodological literature on pre-registration as a defense against analytic drift in observational research, and it is transposed here into an audit context in which the analyst is also, in part, the system designer. The transposition is non-trivial. In the conventional pre-registration setting, the analyst commits to a specification before observing the outcome. In the audit setting, the analyst commits to a behavioral-equivalence threshold before observing whether the system’s reruns clear it. What licenses the borrowing is the structural similarity of the two commitments.</w:t>
      </w:r>
    </w:p>
    <w:p>
      <w:pPr>
        <w:pStyle w:val="BodyText"/>
        <w:spacing w:line="480" w:lineRule="auto"/>
        <w:ind w:firstLine="720"/>
      </w:pPr>
      <w:r>
        <w:t xml:space="preserve">Third among the commitments is the paired-rerun within-subject design. The cliometric literature on within-subject experiments, transposed here, supplies the rationale: holding the policy, the model weights, the tool stubs, and the seed material fixed across the two logging conditions lets the design absorb system heterogeneity that would otherwise contaminate a between-subject contrast. Standard inferential machinery for within-subject binary outcomes, the paired binomial test and the bootstrapped confidence interval, is what the prospectus commits to. Choosing n equal to four hundred paired episodes is calibrated to detect a fifteen-percentage-point gap at eighty percent power, again following the methodological literature’s standard sizing rules.</w:t>
      </w:r>
    </w:p>
    <w:p>
      <w:pPr>
        <w:pStyle w:val="BodyText"/>
        <w:spacing w:line="480" w:lineRule="auto"/>
        <w:ind w:firstLine="720"/>
      </w:pPr>
      <w:r>
        <w:t xml:space="preserve">Fourth among the commitments is the explicit enumeration of threats to validity, each threat paired to a pre-specified mitigation. The prospectus enumerates four: leakage between conditions, schema overfitting, environment drift, and construct validity of behavioral equivalence. That enumeration is recognizably econometric in its structure. Each threat is identified, each is bounded by a procedural commitment, and the resulting threat envelope is reported as a bounded rather than as an eliminated risk. Such risks cannot be eliminated, the literature on threats-to-validity frameworks insists, correctly, and the dissertation honors that insistence by reporting the threats as bounded rather than as resolved.</w:t>
      </w:r>
    </w:p>
    <w:p>
      <w:pPr>
        <w:pStyle w:val="BodyText"/>
        <w:spacing w:line="480" w:lineRule="auto"/>
        <w:ind w:firstLine="720"/>
      </w:pPr>
      <w:r>
        <w:t xml:space="preserve">Fifth and last among the commitments is the reporting discipline by which point estimates, standard errors, z statistics, two-sided p values, and confidence intervals are reported together rather than selectively. Both preceding papers honor it. Research paper one reports a coefficient of 2.63 on structured-trace logging with a standard error of 1.43 and a two-sided p value of 0.066, and it reports that the coefficient on code release is 2.59 with a standard error of 1.65 and a p value of 0.116, doing so without selectively presenting the structured-trace coefficient as significant at conventional thresholds. Research paper two reports a coefficient of 3.71 on structured_trace with a standard error of 1.83, a z statistic of 2.03, and a two-sided p value of 0.042, and it reports the odds-ratio interpretation of approximately forty-one with explicit caveats about the width of the underlying confidence interval. This discipline is the precondition of credibility in small-sample observational work, the methodological literature insists, and the dissertation’s two preceding papers honor it.</w:t>
      </w:r>
    </w:p>
    <w:bookmarkEnd w:id="74"/>
    <w:bookmarkStart w:id="75" w:name="synthesis-and-the-gap"/>
    <w:p>
      <w:pPr>
        <w:pStyle w:val="Heading2"/>
        <w:spacing w:line="480" w:lineRule="auto"/>
      </w:pPr>
      <w:r>
        <w:t xml:space="preserve">2.4 Synthesis and the Gap</w:t>
      </w:r>
    </w:p>
    <w:p>
      <w:pPr>
        <w:pStyle w:val="FirstParagraph"/>
        <w:spacing w:line="480" w:lineRule="auto"/>
      </w:pPr>
      <w:r>
        <w:t xml:space="preserve">At the time of writing the two literatures reviewed here are unjoined. The domain technical literature names the audit demand without supplying the audit surface. The cliometric and econometric methodology literature supplies the inferential machinery without applying it to the audit demand. Joining them is the dissertation’s contribution, and the join has three components.</w:t>
      </w:r>
    </w:p>
    <w:p>
      <w:pPr>
        <w:pStyle w:val="BodyText"/>
        <w:spacing w:line="480" w:lineRule="auto"/>
        <w:ind w:firstLine="720"/>
      </w:pPr>
      <w:r>
        <w:t xml:space="preserve">First, the dissertation imports the binary-outcome logit machinery from the methodological literature into the audit setting and uses it to identify, from a coded cross section of agentic-system papers in the space domain, that structured-trace logging is associated with reported reproducibility at a magnitude and significance that licenses confirmatory work. Research papers one and two implement this first component [p1, p2]. Their point estimates are large, the standard errors are wide, and the directional finding is robust across the two specifications, all of which is what the methodological literature would predict for a small observational sample that locates a real but imprecisely estimated design-property contrast.</w:t>
      </w:r>
    </w:p>
    <w:p>
      <w:pPr>
        <w:pStyle w:val="BodyText"/>
        <w:spacing w:line="480" w:lineRule="auto"/>
        <w:ind w:firstLine="720"/>
      </w:pPr>
      <w:r>
        <w:t xml:space="preserve">Second, the dissertation imports the pre-registered paired-rerun within-subject design from the methodological literature into the audit setting and uses it to test, in the two anchor testbeds drawn from the domain literature [4, 7], whether the structured-trace specification produces reruns whose action sequences and terminal outputs match the original within a pre-registered tolerance at a statistically significant rate above unstructured logging. The prospectus commits the dissertation to this second component. Both anchor testbeds are chosen precisely because the domain literature has documented them in enough detail to support a reproducibility audit without recourse to proprietary data. In this respect, the multi-agent autonomous satellite inspection environment cited within the survey</w:t>
      </w:r>
      <w:r>
        <w:t xml:space="preserve"> </w:t>
      </w:r>
      <w:hyperlink w:anchor="ref-4">
        <w:r>
          <w:rPr>
            <w:rStyle w:val="Hyperlink"/>
          </w:rPr>
          <w:t xml:space="preserve">[4]</w:t>
        </w:r>
      </w:hyperlink>
      <w:r>
        <w:t xml:space="preserve"> </w:t>
      </w:r>
      <w:r>
        <w:t xml:space="preserve">and the cold-gas thrust-chamber controller of Hörger and colleagues [7, 17] are the two most audit-ready testbeds available in the present retrieval set.</w:t>
      </w:r>
    </w:p>
    <w:p>
      <w:pPr>
        <w:pStyle w:val="BodyText"/>
        <w:spacing w:line="480" w:lineRule="auto"/>
        <w:ind w:firstLine="720"/>
      </w:pPr>
      <w:r>
        <w:t xml:space="preserve">Third, the dissertation transposes the methodological literature’s threats-to-validity framework into the audit setting and uses it to bound the inferential reach of both the observational cross section and the confirmatory paired-rerun experiment. That transposition is the chapter’s principal methodological innovation, in that it treats the trace specification itself as the design property whose contribution is being identified rather than as a fixed feature of the experimental apparatus.</w:t>
      </w:r>
    </w:p>
    <w:p>
      <w:pPr>
        <w:pStyle w:val="BodyText"/>
        <w:spacing w:line="480" w:lineRule="auto"/>
        <w:ind w:firstLine="720"/>
      </w:pPr>
      <w:r>
        <w:t xml:space="preserve">In summary, the gap is the absence of a falsifiable specification of the logging surface under which an agentic decision episode can be rerun by an independent reviewer, joined to the inferential machinery by which such a specification can be evaluated against a falsifiable alternative. The domain technical literature has named the demand. The methodological literature has supplied the machinery. The dissertation joins them. Its gap-closing contribution is the structured decision-trace specification, frozen before the experiment, evaluated under pre-registered behavioral-equivalence thresholds, and tested under a paired-rerun within-subject design in two anchor testbeds whose published artifacts support the audit.</w:t>
      </w:r>
    </w:p>
    <w:p>
      <w:pPr>
        <w:pStyle w:val="BodyText"/>
        <w:spacing w:line="480" w:lineRule="auto"/>
        <w:ind w:firstLine="720"/>
      </w:pPr>
      <w:r>
        <w:t xml:space="preserve">The remainder of the dissertation operationalizes this synthesis. Chapter three formalizes the decision-trace specification and the behavioral-equivalence thresholds, both pre-registered. Chapter four documents the construction of the paired-rerun harness and the blinding procedure by which the replay is operated. Chapter five reports the four hundred paired episodes and the inferential analysis. Chapter six interprets the result, attending to the threats to validity this chapter has named and to the boundary of generalization beyond the two anchor testbeds. The grammar reviewed here organizes the subsequent chapters. The substantive object to which that grammar is applied is the substantive object reviewed in the first half of this chapter. The dissertation’s claim to a genuine contribution rests on the proposition that no prior contribution within the retrieved literature has joined the two, and the review presented above is offered as evidence for that proposition.</w:t>
      </w:r>
    </w:p>
    <w:bookmarkEnd w:id="75"/>
    <w:bookmarkEnd w:id="76"/>
    <w:bookmarkStart w:id="86" w:name="Xcfcc00a3ded59aed0c781c16bfc121f2a509603"/>
    <w:p>
      <w:pPr>
        <w:pStyle w:val="Heading1"/>
        <w:spacing w:line="480" w:lineRule="auto"/>
      </w:pPr>
      <w:r>
        <w:t xml:space="preserve">Chapter 3. Theoretical Framework and Hypotheses</w:t>
      </w:r>
    </w:p>
    <w:bookmarkStart w:id="77" w:name="purpose-and-position-of-the-chapter"/>
    <w:p>
      <w:pPr>
        <w:pStyle w:val="Heading2"/>
        <w:spacing w:line="480" w:lineRule="auto"/>
      </w:pPr>
      <w:r>
        <w:t xml:space="preserve">3.1 Purpose and Position of the Chapter</w:t>
      </w:r>
    </w:p>
    <w:p>
      <w:pPr>
        <w:pStyle w:val="FirstParagraph"/>
        <w:spacing w:line="480" w:lineRule="auto"/>
      </w:pPr>
      <w:r>
        <w:t xml:space="preserve">Two preceding chapters established the empirical occasion for this study and surveyed the adjacent literatures. Chapter 1 framed the problem of auditing agentic decision systems as a question of whether an independent reviewer, holding only the artifacts that a fielded system emits, can reconstruct what the system did and why. Chapter 2 showed that the bodies of work most often invoked in answer, namely machine learning for satellite characterization, on-board fault detection, agent-based distributed mission management, and the broader space-economy accountability literature, do not yet supply a logging contract under which an agentic decision can be replayed [3, 4, 5, 6]. This chapter performs the work the prospectus reserved to it. It states the theoretical mechanism by which a structured decision-trace specification is hypothesized to produce reproducible reruns of an agentic episode, it articulates the causal logic connecting logging-surface design to behavioral equivalence under replay, and it formalizes the null and alternative hypotheses H0 and H1 that the within-subject paired-rerun experiment in Chapter 4 will test. This is a theoretical chapter, not an empirical one. It does not anticipate the experimental result. It commits the dissertation to a falsifiable claim whose truth is to be decided by data rather than by argument.</w:t>
      </w:r>
    </w:p>
    <w:p>
      <w:pPr>
        <w:pStyle w:val="BodyText"/>
        <w:spacing w:line="480" w:lineRule="auto"/>
        <w:ind w:firstLine="720"/>
      </w:pPr>
      <w:r>
        <w:t xml:space="preserve">Positioned between the two completed research papers that accompany this dissertation and the experimental design that follows, the chapter builds its theoretical case on observational scaffolding. Paper 1 reported a cross-sectional logistic analysis of 28 documented studies, in which the coefficient on structured-trace logging carried a positive sign with marginal significance, and the coefficient on code release moved in the same direction with comparable magnitude. Paper 2 conducted a parallel logit audit on a different cross section of 28 agentic and autonomous space-systems episodes, in which the structured-trace coefficient of 3.71 with a standard error of 1.83 cleared the conventional five percent threshold for two-sided rejection of the null of no association. Those observational findings supply the empirical scaffolding within which Chapter 3 builds the theoretical case. Neither paper substitutes for the within-subject paired-rerun test, and the chapter is explicit that the cross-sectional findings constrain the prior for the experimental hypotheses without prejudging their outcome.</w:t>
      </w:r>
    </w:p>
    <w:bookmarkEnd w:id="77"/>
    <w:bookmarkStart w:id="78" w:name="the-object-of-theorization"/>
    <w:p>
      <w:pPr>
        <w:pStyle w:val="Heading2"/>
        <w:spacing w:line="480" w:lineRule="auto"/>
      </w:pPr>
      <w:r>
        <w:t xml:space="preserve">3.2 The Object of Theorization</w:t>
      </w:r>
    </w:p>
    <w:p>
      <w:pPr>
        <w:pStyle w:val="FirstParagraph"/>
        <w:spacing w:line="480" w:lineRule="auto"/>
      </w:pPr>
      <w:r>
        <w:t xml:space="preserve">What the chapter theorizes is the relationship between a logging surface and the auditability of an agentic decision episode. The terms in that relationship require definition.</w:t>
      </w:r>
    </w:p>
    <w:p>
      <w:pPr>
        <w:pStyle w:val="BodyText"/>
        <w:spacing w:line="480" w:lineRule="auto"/>
        <w:ind w:firstLine="720"/>
      </w:pPr>
      <w:r>
        <w:t xml:space="preserve">An agentic decision system, for the purposes of this dissertation, is a multi-step orchestration in which a learned policy or large model selects an action from a discrete or continuous action set, invokes one or more tools whose outputs return to the policy as observations, and conditions later actions on those returns. This definition deliberately excludes single-shot inference and deterministic control software whose behavior follows from fixed rules. It admits reinforcement-learning controllers that select setpoints over a horizon [7, 11, 19], multi-agent sensor tasking orchestrations of the kind documented in cislunar and scalable tasking testbeds [30, 31], on-orbit guidance and navigation policies that mix learning with classical control [9, 19], and the AI-enabled battle-management orchestrations advanced in the AMOS 2025 record [1, 27, 28].</w:t>
      </w:r>
    </w:p>
    <w:p>
      <w:pPr>
        <w:pStyle w:val="BodyText"/>
        <w:spacing w:line="480" w:lineRule="auto"/>
        <w:ind w:firstLine="720"/>
      </w:pPr>
      <w:r>
        <w:t xml:space="preserve">A logging surface, in the technical sense developed here, is the set of records the system emits during execution and that a reviewer may read after the fact. Two logging surfaces are at issue. First is unstructured logging, by which the chapter means free-form textual narration of what the system did, written by the system itself or by the engineer who instrumented it, without typed fields or schema. Second is the structured decision-trace specification, by which the chapter means a typed record that, for every step of an episode, captures state, observation, action, tool-call, tool-return, and policy-confidence in a pre-registered schema. Verbosity is not the distinction. Both surfaces can be made arbitrarily verbose. What divides them is whether the fields are typed and pre-committed or not.</w:t>
      </w:r>
    </w:p>
    <w:p>
      <w:pPr>
        <w:pStyle w:val="BodyText"/>
        <w:spacing w:line="480" w:lineRule="auto"/>
        <w:ind w:firstLine="720"/>
      </w:pPr>
      <w:r>
        <w:t xml:space="preserve">Auditability, finally, is the property that a third party, given only the recorded logs of an episode and a replay harness blinded to the original execution, can reproduce the action sequence and terminal output of the episode within a pre-registered tolerance. This definition is operational. It does not require that the auditor understand why the policy chose a given action. It requires only that the auditor be able to demonstrate, by rerunning, that the recorded artifact is sufficient to recover what the policy did. That narrower formulation is the one the prospectus’s central claim addresses.</w:t>
      </w:r>
    </w:p>
    <w:bookmarkEnd w:id="78"/>
    <w:bookmarkStart w:id="79" w:name="the-theoretical-mechanism"/>
    <w:p>
      <w:pPr>
        <w:pStyle w:val="Heading2"/>
        <w:spacing w:line="480" w:lineRule="auto"/>
      </w:pPr>
      <w:r>
        <w:t xml:space="preserve">3.3 The Theoretical Mechanism</w:t>
      </w:r>
    </w:p>
    <w:p>
      <w:pPr>
        <w:pStyle w:val="FirstParagraph"/>
        <w:spacing w:line="480" w:lineRule="auto"/>
      </w:pPr>
      <w:r>
        <w:t xml:space="preserve">Four propositions carry the mechanism by which a structured decision-trace specification is hypothesized to produce reproducible reruns, each of which the literature reviewed in Chapter 2 supports in part. The chapter states the propositions, then the inferential chain that links them.</w:t>
      </w:r>
    </w:p>
    <w:p>
      <w:pPr>
        <w:pStyle w:val="BodyText"/>
        <w:spacing w:line="480" w:lineRule="auto"/>
        <w:ind w:firstLine="720"/>
      </w:pPr>
      <w:r>
        <w:t xml:space="preserve">Proposition one. Reproducibility of an agentic decision episode is a property of the logging surface and not solely of the policy. The 2025 Acta Astronautica survey of agent-based approaches for distributed space systems and mission management names trace reconstruction and behavioral reproducibility as open research challenges rather than properties that fielded systems automatically possess</w:t>
      </w:r>
      <w:r>
        <w:t xml:space="preserve"> </w:t>
      </w:r>
      <w:hyperlink w:anchor="ref-4">
        <w:r>
          <w:rPr>
            <w:rStyle w:val="Hyperlink"/>
          </w:rPr>
          <w:t xml:space="preserve">[4]</w:t>
        </w:r>
      </w:hyperlink>
      <w:r>
        <w:t xml:space="preserve">. The CARA compendium for artificial intelligence and machine learning in satellite collision avoidance makes the explainability paradox explicit, arguing that the demand for reviewable decision-support records is driven by the difficulty of reconstructing what a learned component did from observations of its outputs alone</w:t>
      </w:r>
      <w:r>
        <w:t xml:space="preserve"> </w:t>
      </w:r>
      <w:hyperlink w:anchor="ref-8">
        <w:r>
          <w:rPr>
            <w:rStyle w:val="Hyperlink"/>
          </w:rPr>
          <w:t xml:space="preserve">[8]</w:t>
        </w:r>
      </w:hyperlink>
      <w:r>
        <w:t xml:space="preserve">. Both sources locate the obstacle to reproducibility at the interface between the policy and what is recorded about its behavior, not in the policy weights themselves.</w:t>
      </w:r>
    </w:p>
    <w:p>
      <w:pPr>
        <w:pStyle w:val="BodyText"/>
        <w:spacing w:line="480" w:lineRule="auto"/>
        <w:ind w:firstLine="720"/>
      </w:pPr>
      <w:r>
        <w:t xml:space="preserve">Proposition two. The information required to rerun an agentic decision is finite, enumerable, and amenable to schema. The reinforcement-learning cold-gas thrust-chamber pressure controller documented experimentally and in simulation in Acta Astronautica [7, 17] demonstrates that a policy whose step-response traces are released alongside its controller code is reproducible by an independent team. The adaptive closed-loop maneuver-planning work for low-thrust spacecraft</w:t>
      </w:r>
      <w:r>
        <w:t xml:space="preserve"> </w:t>
      </w:r>
      <w:hyperlink w:anchor="ref-11">
        <w:r>
          <w:rPr>
            <w:rStyle w:val="Hyperlink"/>
          </w:rPr>
          <w:t xml:space="preserve">[11]</w:t>
        </w:r>
      </w:hyperlink>
      <w:r>
        <w:t xml:space="preserve"> </w:t>
      </w:r>
      <w:r>
        <w:t xml:space="preserve">and the on-board guidance and control work for near-term flight hardware</w:t>
      </w:r>
      <w:r>
        <w:t xml:space="preserve"> </w:t>
      </w:r>
      <w:hyperlink w:anchor="ref-19">
        <w:r>
          <w:rPr>
            <w:rStyle w:val="Hyperlink"/>
          </w:rPr>
          <w:t xml:space="preserve">[19]</w:t>
        </w:r>
      </w:hyperlink>
      <w:r>
        <w:t xml:space="preserve"> </w:t>
      </w:r>
      <w:r>
        <w:t xml:space="preserve">make the same point in different domains. In each case, the per-step record the source publishes is finite and structured enough to support replay, and the reviewability of the episode tracks the completeness of that record. Nothing about the schema is infinite. It comprises, at minimum, the state observed by the policy, the action it selected, the tool-call it issued, the tool-return it received, and the confidence or value estimate it attached to its decision.</w:t>
      </w:r>
    </w:p>
    <w:p>
      <w:pPr>
        <w:pStyle w:val="BodyText"/>
        <w:spacing w:line="480" w:lineRule="auto"/>
        <w:ind w:firstLine="720"/>
      </w:pPr>
      <w:r>
        <w:t xml:space="preserve">Proposition three. Structured records reduce reconstruction ambiguity where unstructured records leave it intact. Unstructured logging requires the auditor to infer, from narrative text, which fields correspond to state, which to action, and which to tool exchange. That inference is not always recoverable. Two unstructured logs of the same episode can differ in vocabulary, ordering, and granularity, and the auditor has no schema-level guarantee that the same conceptual field is present in both. Structured logging eliminates that ambiguity by construction. A schema names the fields, the types constrain their content, and pre-registration commits the system to recording them before the episode begins. This is the operational mechanism by which the prospectus’s central design choice is hypothesized to bite.</w:t>
      </w:r>
    </w:p>
    <w:p>
      <w:pPr>
        <w:pStyle w:val="BodyText"/>
        <w:spacing w:line="480" w:lineRule="auto"/>
        <w:ind w:firstLine="720"/>
      </w:pPr>
      <w:r>
        <w:t xml:space="preserve">Proposition four. Reduction in reconstruction ambiguity translates into higher behavioral equivalence under replay. Behavioral equivalence, as defined in the prospectus and refined here, comprises a normalized action-sequence edit distance below a pre-registered threshold and a terminal-output match within a pre-registered tolerance. When the auditor’s replay harness can reconstruct the policy’s action at each step from the record, the rerun action sequence will, in expectation, lie closer in edit distance to the original than a rerun reconstructed from a narrative that may omit or misorder fields. The point is not that structured logging guarantees exact replay. It is that structured logging shifts the conditional distribution of edit distance toward zero by removing a class of reconstruction errors that unstructured logging admits.</w:t>
      </w:r>
    </w:p>
    <w:p>
      <w:pPr>
        <w:pStyle w:val="BodyText"/>
        <w:spacing w:line="480" w:lineRule="auto"/>
        <w:ind w:firstLine="720"/>
      </w:pPr>
      <w:r>
        <w:t xml:space="preserve">From these the inferential chain follows. Auditability is a property of the logging surface (proposition one). The information required to support replay is finite and admits schema (proposition two). Structured logging reduces reconstruction ambiguity relative to unstructured logging (proposition three). Reduction in reconstruction ambiguity raises the probability of behavioral equivalence under blinded replay (proposition four). Therefore, episodes logged under a structured decision-trace specification should exhibit a higher behavioral-equivalence rate than otherwise identical episodes logged under unstructured logging. That is the theoretical mechanism the experimental design in Chapter 4 will subject to a within-subject test.</w:t>
      </w:r>
    </w:p>
    <w:bookmarkEnd w:id="79"/>
    <w:bookmarkStart w:id="80" w:name="causal-logic-and-identification-strategy"/>
    <w:p>
      <w:pPr>
        <w:pStyle w:val="Heading2"/>
        <w:spacing w:line="480" w:lineRule="auto"/>
      </w:pPr>
      <w:r>
        <w:t xml:space="preserve">3.4 Causal Logic and Identification Strategy</w:t>
      </w:r>
    </w:p>
    <w:p>
      <w:pPr>
        <w:pStyle w:val="FirstParagraph"/>
        <w:spacing w:line="480" w:lineRule="auto"/>
      </w:pPr>
      <w:r>
        <w:t xml:space="preserve">Causal in form, the mechanism stated in section 3.3 claims that a change in logging surface, holding the policy and the environment fixed, produces a change in the conditional probability that a blinded rerun reaches behavioral equivalence with the original. Three design features license a causal reading of the test.</w:t>
      </w:r>
    </w:p>
    <w:p>
      <w:pPr>
        <w:pStyle w:val="BodyText"/>
        <w:spacing w:line="480" w:lineRule="auto"/>
        <w:ind w:firstLine="720"/>
      </w:pPr>
      <w:r>
        <w:t xml:space="preserve">First, the comparison is within-subject. Each agentic episode is executed twice, once under unstructured logging and once under the structured decision-trace specification, using the same policy, the same model weights, the same tool stubs, and the same seed material. Between-condition differences in policy or environment cannot account for between-condition differences in rerun outcomes, because there are no such between-condition differences in policy or environment by construction.</w:t>
      </w:r>
    </w:p>
    <w:p>
      <w:pPr>
        <w:pStyle w:val="BodyText"/>
        <w:spacing w:line="480" w:lineRule="auto"/>
        <w:ind w:firstLine="720"/>
      </w:pPr>
      <w:r>
        <w:t xml:space="preserve">Second, the replay harness is blinded. It has access only to the recorded logs and is operated by a separate process from the original runner. It does not know which log corresponds to which condition. Differential effort, expectation, or interpretation on the part of the replay harness cannot bias the comparison, because the harness cannot distinguish the conditions at the point of replay.</w:t>
      </w:r>
    </w:p>
    <w:p>
      <w:pPr>
        <w:pStyle w:val="BodyText"/>
        <w:spacing w:line="480" w:lineRule="auto"/>
        <w:ind w:firstLine="720"/>
      </w:pPr>
      <w:r>
        <w:t xml:space="preserve">Third, the schema, the thresholds, and the analysis script are pre-registered. The decision-trace specification is frozen before any episode is logged. The edit-distance threshold and terminal-output tolerance are committed before any rerun is executed. The analysis script that computes the difference in equivalence rates is committed before any data is observed. Together these three commitments rule out the post hoc tuning that would otherwise let a positive result be manufactured.</w:t>
      </w:r>
    </w:p>
    <w:p>
      <w:pPr>
        <w:pStyle w:val="BodyText"/>
        <w:spacing w:line="480" w:lineRule="auto"/>
        <w:ind w:firstLine="720"/>
      </w:pPr>
      <w:r>
        <w:t xml:space="preserve">Within this design, the difference in behavioral-equivalence rates between the structured and unstructured conditions, estimated on the paired-episode sample, is interpretable as the effect of logging-surface design on the auditability of an agentic episode under the operational definition given in section 3.2. This is not the only design that could identify the effect. A between-subject design with random assignment of episodes to logging conditions would also identify it, at the cost of statistical efficiency. Here the within-subject paired-rerun design is preferred because it controls for episode-level heterogeneity in policy behavior, which the cross-sectional evidence in Paper 1 and Paper 2 suggests is large relative to the conjectured treatment effect.</w:t>
      </w:r>
    </w:p>
    <w:bookmarkEnd w:id="80"/>
    <w:bookmarkStart w:id="81" w:name="boundary-conditions-and-scope"/>
    <w:p>
      <w:pPr>
        <w:pStyle w:val="Heading2"/>
        <w:spacing w:line="480" w:lineRule="auto"/>
      </w:pPr>
      <w:r>
        <w:t xml:space="preserve">3.5 Boundary Conditions and Scope</w:t>
      </w:r>
    </w:p>
    <w:p>
      <w:pPr>
        <w:pStyle w:val="FirstParagraph"/>
        <w:spacing w:line="480" w:lineRule="auto"/>
      </w:pPr>
      <w:r>
        <w:t xml:space="preserve">Four boundaries constrain the theoretical mechanism, each recorded here explicitly.</w:t>
      </w:r>
    </w:p>
    <w:p>
      <w:pPr>
        <w:pStyle w:val="BodyText"/>
        <w:spacing w:line="480" w:lineRule="auto"/>
        <w:ind w:firstLine="720"/>
      </w:pPr>
      <w:r>
        <w:t xml:space="preserve">First is the action space. The cross-sectional evidence in Paper 1 returned a coefficient on the natural logarithm of action-space cardinality whose sign matched the trace-structured coefficient but whose standard error did not permit a precise statement of its independent contribution. The chapter therefore treats action-space complexity as a potential moderator. The experimental design will not vary the action space within the study, but the discussion in Chapter 6 will treat the generalization of the finding to larger action spaces as an empirical question the present test does not settle.</w:t>
      </w:r>
    </w:p>
    <w:p>
      <w:pPr>
        <w:pStyle w:val="BodyText"/>
        <w:spacing w:line="480" w:lineRule="auto"/>
        <w:ind w:firstLine="720"/>
      </w:pPr>
      <w:r>
        <w:t xml:space="preserve">Second is the tool environment. Tool stubs are version-pinned for the duration of the study. Episodes in which a tool stub changes between the original run and the rerun are invalidated and excluded. The mechanism is theorized to operate within a fixed tool environment. The chapter does not claim that structured logging preserves behavioral equivalence across tool-environment drift, and the experimental design forecloses that test by construction.</w:t>
      </w:r>
    </w:p>
    <w:p>
      <w:pPr>
        <w:pStyle w:val="BodyText"/>
        <w:spacing w:line="480" w:lineRule="auto"/>
        <w:ind w:firstLine="720"/>
      </w:pPr>
      <w:r>
        <w:t xml:space="preserve">Third is the policy class. The two testbeds named in the prospectus, the multi-agent autonomous satellite-inspection environment cited within the agent-based distributed-space-systems survey</w:t>
      </w:r>
      <w:r>
        <w:t xml:space="preserve"> </w:t>
      </w:r>
      <w:hyperlink w:anchor="ref-4">
        <w:r>
          <w:rPr>
            <w:rStyle w:val="Hyperlink"/>
          </w:rPr>
          <w:t xml:space="preserve">[4]</w:t>
        </w:r>
      </w:hyperlink>
      <w:r>
        <w:t xml:space="preserve"> </w:t>
      </w:r>
      <w:r>
        <w:t xml:space="preserve">and the wrapped reinforcement-learning cold-gas thrust-chamber pressure controller</w:t>
      </w:r>
      <w:r>
        <w:t xml:space="preserve"> </w:t>
      </w:r>
      <w:hyperlink w:anchor="ref-7">
        <w:r>
          <w:rPr>
            <w:rStyle w:val="Hyperlink"/>
          </w:rPr>
          <w:t xml:space="preserve">[7]</w:t>
        </w:r>
      </w:hyperlink>
      <w:r>
        <w:t xml:space="preserve">, cover a learned policy with discrete action selection and a learned controller with continuous setpoint selection. They do not cover large-language-model agents whose action space is generative text, though such agents are increasingly invoked in command-and-control proposals for space-domain awareness [26, 27]. As theorized, the mechanism applies to any policy whose per-step decision can be captured in the schema’s typed fields. Whether large-language-model action sequences satisfy that condition is a question the chapter flags but does not answer.</w:t>
      </w:r>
    </w:p>
    <w:p>
      <w:pPr>
        <w:pStyle w:val="BodyText"/>
        <w:spacing w:line="480" w:lineRule="auto"/>
        <w:ind w:firstLine="720"/>
      </w:pPr>
      <w:r>
        <w:t xml:space="preserve">Fourth is the construct of behavioral equivalence itself. The chapter adopts a normalized action-sequence edit distance and a terminal-output tolerance because both are operational, pre-registrable, and well-defined on the testbeds in use. Alternative constructs, such as value-function equivalence or distributional equivalence over policy outputs, would test a different claim. The chapter does not assert that behavioral equivalence under edit distance and terminal-output tolerance is the right construct for every auditing question. It asserts that it is a sufficient construct for the operational definition of auditability given in section 3.2.</w:t>
      </w:r>
    </w:p>
    <w:bookmarkEnd w:id="81"/>
    <w:bookmarkStart w:id="82" w:name="formal-statement-of-hypotheses"/>
    <w:p>
      <w:pPr>
        <w:pStyle w:val="Heading2"/>
        <w:spacing w:line="480" w:lineRule="auto"/>
      </w:pPr>
      <w:r>
        <w:t xml:space="preserve">3.6 Formal Statement of Hypotheses</w:t>
      </w:r>
    </w:p>
    <w:p>
      <w:pPr>
        <w:pStyle w:val="FirstParagraph"/>
        <w:spacing w:line="480" w:lineRule="auto"/>
      </w:pPr>
      <w:r>
        <w:t xml:space="preserve">Stated here in the form the experimental design will test, the hypotheses make the population, the estimand, and the decision rule explicit.</w:t>
      </w:r>
    </w:p>
    <w:p>
      <w:pPr>
        <w:pStyle w:val="BodyText"/>
        <w:spacing w:line="480" w:lineRule="auto"/>
        <w:ind w:firstLine="720"/>
      </w:pPr>
      <w:r>
        <w:t xml:space="preserve">The unit of analysis is the agentic decision episode. The population is the set of episodes generated by a fixed policy, in a fixed environment, with fixed tool stubs and fixed seed material, drawn from the two testbeds named in section 3.5. Each episode is executed twice, once under unstructured logging and once under the structured decision-trace specification. Each pair of recorded logs is then rerun by a blinded replay harness, which produces a reconstructed action sequence and a reconstructed terminal output for each condition.</w:t>
      </w:r>
    </w:p>
    <w:p>
      <w:pPr>
        <w:pStyle w:val="BodyText"/>
        <w:spacing w:line="480" w:lineRule="auto"/>
        <w:ind w:firstLine="720"/>
      </w:pPr>
      <w:r>
        <w:t xml:space="preserve">The primary estimand is the difference in behavioral-equivalence rates between the structured and unstructured conditions. Let</w:t>
      </w:r>
      <w:r>
        <w:t xml:space="preserve"> </w:t>
      </w:r>
      <m:oMath>
        <m:sSub>
          <m:e>
            <m:r>
              <m:t>p</m:t>
            </m:r>
          </m:e>
          <m:sub>
            <m:r>
              <m:t>S</m:t>
            </m:r>
          </m:sub>
        </m:sSub>
      </m:oMath>
      <w:r>
        <w:t xml:space="preserve"> </w:t>
      </w:r>
      <w:r>
        <w:t xml:space="preserve">denote the probability that a rerun under the structured decision-trace specification reaches behavioral equivalence with the original. Let</w:t>
      </w:r>
      <w:r>
        <w:t xml:space="preserve"> </w:t>
      </w:r>
      <m:oMath>
        <m:sSub>
          <m:e>
            <m:r>
              <m:t>p</m:t>
            </m:r>
          </m:e>
          <m:sub>
            <m:r>
              <m:t>U</m:t>
            </m:r>
          </m:sub>
        </m:sSub>
      </m:oMath>
      <w:r>
        <w:t xml:space="preserve"> </w:t>
      </w:r>
      <w:r>
        <w:t xml:space="preserve">denote the corresponding probability under unstructured logging. The estimand is</w:t>
      </w:r>
      <w:r>
        <w:t xml:space="preserve"> </w:t>
      </w:r>
      <m:oMath>
        <m:r>
          <m:rPr>
            <m:sty m:val="p"/>
          </m:rPr>
          <m:t>Δ</m:t>
        </m:r>
        <m:r>
          <m:rPr>
            <m:sty m:val="p"/>
          </m:rPr>
          <m:t>=</m:t>
        </m:r>
        <m:sSub>
          <m:e>
            <m:r>
              <m:t>p</m:t>
            </m:r>
          </m:e>
          <m:sub>
            <m:r>
              <m:t>S</m:t>
            </m:r>
          </m:sub>
        </m:sSub>
        <m:r>
          <m:rPr>
            <m:sty m:val="p"/>
          </m:rPr>
          <m:t>−</m:t>
        </m:r>
        <m:sSub>
          <m:e>
            <m:r>
              <m:t>p</m:t>
            </m:r>
          </m:e>
          <m:sub>
            <m:r>
              <m:t>U</m:t>
            </m:r>
          </m:sub>
        </m:sSub>
      </m:oMath>
      <w:r>
        <w:t xml:space="preserve">, expressed in percentage points.</w:t>
      </w:r>
    </w:p>
    <w:p>
      <w:pPr>
        <w:pStyle w:val="BodyText"/>
        <w:spacing w:line="480" w:lineRule="auto"/>
        <w:ind w:firstLine="720"/>
      </w:pPr>
      <w:r>
        <w:t xml:space="preserve">H0. Reruns of an agentic decision episode under the structured decision-trace specification do not exceed reruns under unstructured logging in behavioral-equivalence rate at the 0.05 significance level. Formally,</w:t>
      </w:r>
      <w:r>
        <w:t xml:space="preserve"> </w:t>
      </w:r>
      <m:oMath>
        <m:r>
          <m:rPr>
            <m:sty m:val="p"/>
          </m:rPr>
          <m:t>Δ</m:t>
        </m:r>
        <m:r>
          <m:rPr>
            <m:sty m:val="p"/>
          </m:rPr>
          <m:t>≤</m:t>
        </m:r>
        <m:r>
          <m:t>0</m:t>
        </m:r>
      </m:oMath>
      <w:r>
        <w:t xml:space="preserve">.</w:t>
      </w:r>
    </w:p>
    <w:p>
      <w:pPr>
        <w:pStyle w:val="BodyText"/>
        <w:spacing w:line="480" w:lineRule="auto"/>
        <w:ind w:firstLine="720"/>
      </w:pPr>
      <w:r>
        <w:t xml:space="preserve">H1. Reruns under the structured decision-trace specification exceed unstructured logging in behavioral-equivalence rate by at least fifteen percentage points at the 0.05 significance level. Formally,</w:t>
      </w:r>
      <w:r>
        <w:t xml:space="preserve"> </w:t>
      </w:r>
      <m:oMath>
        <m:r>
          <m:rPr>
            <m:sty m:val="p"/>
          </m:rPr>
          <m:t>Δ</m:t>
        </m:r>
        <m:r>
          <m:rPr>
            <m:sty m:val="p"/>
          </m:rPr>
          <m:t>≥</m:t>
        </m:r>
        <m:r>
          <m:t>0.15</m:t>
        </m:r>
      </m:oMath>
      <w:r>
        <w:t xml:space="preserve"> </w:t>
      </w:r>
      <w:r>
        <w:t xml:space="preserve">at</w:t>
      </w:r>
      <w:r>
        <w:t xml:space="preserve"> </w:t>
      </w:r>
      <m:oMath>
        <m:r>
          <m:t>α</m:t>
        </m:r>
        <m:r>
          <m:rPr>
            <m:sty m:val="p"/>
          </m:rPr>
          <m:t>=</m:t>
        </m:r>
        <m:r>
          <m:t>0.05</m:t>
        </m:r>
      </m:oMath>
      <w:r>
        <w:t xml:space="preserve"> </w:t>
      </w:r>
      <w:r>
        <w:t xml:space="preserve">under a paired binomial test.</w:t>
      </w:r>
    </w:p>
    <w:p>
      <w:pPr>
        <w:pStyle w:val="BodyText"/>
        <w:spacing w:line="480" w:lineRule="auto"/>
        <w:ind w:firstLine="720"/>
      </w:pPr>
      <w:r>
        <w:t xml:space="preserve">Two pre-registered conditions compose the behavioral-equivalence criterion, and both must hold for a rerun to be coded as behaviorally equivalent. First, the normalized action-sequence edit distance between the rerun action sequence and the original action sequence lies below a pre-registered threshold. Second, the rerun terminal output matches the original terminal output within a pre-registered tolerance. The thresholds and tolerances are committed before any rerun is executed.</w:t>
      </w:r>
    </w:p>
    <w:p>
      <w:pPr>
        <w:pStyle w:val="BodyText"/>
        <w:spacing w:line="480" w:lineRule="auto"/>
        <w:ind w:firstLine="720"/>
      </w:pPr>
      <w:r>
        <w:t xml:space="preserve">The decision rule runs as follows. When the paired binomial test of</w:t>
      </w:r>
      <w:r>
        <w:t xml:space="preserve"> </w:t>
      </w:r>
      <m:oMath>
        <m:r>
          <m:rPr>
            <m:sty m:val="p"/>
          </m:rPr>
          <m:t>Δ</m:t>
        </m:r>
        <m:r>
          <m:rPr>
            <m:sty m:val="p"/>
          </m:rPr>
          <m:t>=</m:t>
        </m:r>
        <m:r>
          <m:t>0</m:t>
        </m:r>
      </m:oMath>
      <w:r>
        <w:t xml:space="preserve"> </w:t>
      </w:r>
      <w:r>
        <w:t xml:space="preserve">against</w:t>
      </w:r>
      <w:r>
        <w:t xml:space="preserve"> </w:t>
      </w:r>
      <m:oMath>
        <m:r>
          <m:rPr>
            <m:sty m:val="p"/>
          </m:rPr>
          <m:t>Δ</m:t>
        </m:r>
        <m:r>
          <m:rPr>
            <m:sty m:val="p"/>
          </m:rPr>
          <m:t>&gt;</m:t>
        </m:r>
        <m:r>
          <m:t>0</m:t>
        </m:r>
      </m:oMath>
      <w:r>
        <w:t xml:space="preserve"> </w:t>
      </w:r>
      <w:r>
        <w:t xml:space="preserve">rejects at</w:t>
      </w:r>
      <w:r>
        <w:t xml:space="preserve"> </w:t>
      </w:r>
      <m:oMath>
        <m:r>
          <m:t>α</m:t>
        </m:r>
        <m:r>
          <m:rPr>
            <m:sty m:val="p"/>
          </m:rPr>
          <m:t>=</m:t>
        </m:r>
        <m:r>
          <m:t>0.05</m:t>
        </m:r>
      </m:oMath>
      <w:r>
        <w:t xml:space="preserve"> </w:t>
      </w:r>
      <w:r>
        <w:t xml:space="preserve">and the estimated</w:t>
      </w:r>
      <w:r>
        <w:t xml:space="preserve"> </w:t>
      </w:r>
      <m:oMath>
        <m:r>
          <m:rPr>
            <m:sty m:val="p"/>
          </m:rPr>
          <m:t>Δ</m:t>
        </m:r>
      </m:oMath>
      <w:r>
        <w:t xml:space="preserve"> </w:t>
      </w:r>
      <w:r>
        <w:t xml:space="preserve">exceeds 0.15, H0 is rejected in favor of H1. When the test does not reject, or when the estimated</w:t>
      </w:r>
      <w:r>
        <w:t xml:space="preserve"> </w:t>
      </w:r>
      <m:oMath>
        <m:r>
          <m:rPr>
            <m:sty m:val="p"/>
          </m:rPr>
          <m:t>Δ</m:t>
        </m:r>
      </m:oMath>
      <w:r>
        <w:t xml:space="preserve"> </w:t>
      </w:r>
      <w:r>
        <w:t xml:space="preserve">does not exceed 0.15, H0 is not rejected. This asymmetry is deliberate. The prospectus does not claim that any positive difference vindicates the structured decision-trace specification. It claims a difference of at least fifteen percentage points, which is the threshold below which the cost of adopting the schema is not, on the candidate’s judgment, plausibly justified by the audit benefit.</w:t>
      </w:r>
    </w:p>
    <w:bookmarkEnd w:id="82"/>
    <w:bookmarkStart w:id="83" w:name="X684bccdc22fb7fbd9ce114a38c95a6bce1c4895"/>
    <w:p>
      <w:pPr>
        <w:pStyle w:val="Heading2"/>
        <w:spacing w:line="480" w:lineRule="auto"/>
      </w:pPr>
      <w:r>
        <w:t xml:space="preserve">3.7 The Status of the Cross-Sectional Evidence</w:t>
      </w:r>
    </w:p>
    <w:p>
      <w:pPr>
        <w:pStyle w:val="FirstParagraph"/>
        <w:spacing w:line="480" w:lineRule="auto"/>
      </w:pPr>
      <w:r>
        <w:t xml:space="preserve">Observational evidence from the two completed research papers plays a role in the present chapter that requires explicit handling. Paper 1’s logistic estimate placed the coefficient on structured-trace logging at 2.63 with a standard error of 1.43, corresponding to a p-value of 0.066. Paper 2’s logit estimate placed the structured-trace coefficient at 3.71 with a standard error of 1.83, corresponding to a two-sided p-value of 0.042. Both estimates carry positive signs. Neither establishes a causal effect.</w:t>
      </w:r>
    </w:p>
    <w:p>
      <w:pPr>
        <w:pStyle w:val="BodyText"/>
        <w:spacing w:line="480" w:lineRule="auto"/>
        <w:ind w:firstLine="720"/>
      </w:pPr>
      <w:r>
        <w:t xml:space="preserve">Here the chapter treats the cross-sectional evidence as a prior. The direction of the estimated effect is consistent with the mechanism stated in section 3.3. The magnitude of the estimated odds ratio in Paper 2, approximately forty-one with a wide confidence interval, is large enough that a true effect of zero would be surprising under the model, though by no means ruled out. This evidence does not enter the experimental analysis as a covariate, does not adjust the pre-registered thresholds, and does not affect the decision rule. Its sole role is to justify the experiment’s allocation of effort. A field in which the cross-sectional evidence ran the other way would still warrant the test, but allocating resources to a within-subject paired-rerun design rests on the prior that the test is informative, and that prior is what the cross-sectional papers supply.</w:t>
      </w:r>
    </w:p>
    <w:bookmarkEnd w:id="83"/>
    <w:bookmarkStart w:id="84" w:name="threats-to-the-validity-of-the-mechanism"/>
    <w:p>
      <w:pPr>
        <w:pStyle w:val="Heading2"/>
        <w:spacing w:line="480" w:lineRule="auto"/>
      </w:pPr>
      <w:r>
        <w:t xml:space="preserve">3.8 Threats to the Validity of the Mechanism</w:t>
      </w:r>
    </w:p>
    <w:p>
      <w:pPr>
        <w:pStyle w:val="FirstParagraph"/>
        <w:spacing w:line="480" w:lineRule="auto"/>
      </w:pPr>
      <w:r>
        <w:t xml:space="preserve">Three threats to the theoretical mechanism, distinct from the threats to experimental validity catalogued in the prospectus, deserve naming in the chapter that states the mechanism.</w:t>
      </w:r>
    </w:p>
    <w:p>
      <w:pPr>
        <w:pStyle w:val="BodyText"/>
        <w:spacing w:line="480" w:lineRule="auto"/>
        <w:ind w:firstLine="720"/>
      </w:pPr>
      <w:r>
        <w:t xml:space="preserve">First, structured logging may produce behavioral-equivalence gains for reasons other than reduced reconstruction ambiguity. It changes the discipline of the engineering team that implements it. Pre-registering the schema and instrumenting the system to emit typed fields may, in itself, surface bugs and reduce the variance of policy behavior between original run and rerun. As stated, the mechanism is agnostic between the reconstruction-ambiguity channel and the engineering-discipline channel. Both are causal effects of the logging surface on the rerun outcome. The chapter does not distinguish them, and the experimental design as it stands cannot distinguish them. A future study with a structured-logging condition in which the schema is implemented but the engineering team is blinded to its content would, in principle, separate the channels.</w:t>
      </w:r>
    </w:p>
    <w:p>
      <w:pPr>
        <w:pStyle w:val="BodyText"/>
        <w:spacing w:line="480" w:lineRule="auto"/>
        <w:ind w:firstLine="720"/>
      </w:pPr>
      <w:r>
        <w:t xml:space="preserve">Second, the schema may overfit to the testbeds in which it is calibrated. As stated, the mechanism claims that the typed fields of the schema capture the information required to reproduce any agentic decision episode within the scope conditions of section 3.5. That claim is general. The schema, however, will be calibrated on the two testbeds. Should the calibration absorb idiosyncrasies of the testbeds, the experimental result will overstate the mechanism’s reach. Its mitigation is the schema-frozen pre-registration: the schema is committed before episodes are logged and is not revised after rerun results are observed.</w:t>
      </w:r>
    </w:p>
    <w:p>
      <w:pPr>
        <w:pStyle w:val="BodyText"/>
        <w:spacing w:line="480" w:lineRule="auto"/>
        <w:ind w:firstLine="720"/>
      </w:pPr>
      <w:r>
        <w:t xml:space="preserve">Third, the construct of behavioral equivalence may be too permissive or too strict. A threshold that admits any rerun with an edit distance below one would, on a sufficiently long action sequence, code many qualitatively different reruns as equivalent. A threshold of zero would code as inequivalent any rerun that differed by a single permutation in the action ordering, even where the permutation was behaviorally inconsequential. The pre-registered thresholds will be reported with sensitivity analyses across plausible alternatives, so the experimental result does not rest on a single threshold choice. The construct itself is a theoretical commitment, not a tuning parameter, and the choice of edit distance and terminal-output tolerance as the constituents of behavioral equivalence is defended in section 3.5 on operational grounds.</w:t>
      </w:r>
    </w:p>
    <w:bookmarkEnd w:id="84"/>
    <w:bookmarkStart w:id="85" w:name="summary"/>
    <w:p>
      <w:pPr>
        <w:pStyle w:val="Heading2"/>
        <w:spacing w:line="480" w:lineRule="auto"/>
      </w:pPr>
      <w:r>
        <w:t xml:space="preserve">3.9 Summary</w:t>
      </w:r>
    </w:p>
    <w:p>
      <w:pPr>
        <w:pStyle w:val="FirstParagraph"/>
        <w:spacing w:line="480" w:lineRule="auto"/>
      </w:pPr>
      <w:r>
        <w:t xml:space="preserve">This chapter has stated the theoretical mechanism by which a structured decision-trace specification is hypothesized to produce reproducible reruns of an agentic decision episode, articulated the causal logic connecting logging-surface design to behavioral equivalence under blinded replay, and formalized the hypotheses H0 and H1 that the within-subject paired-rerun experiment will test. Four propositions drawn from the retrieved literature on agentic and autonomous space systems carry the mechanism [4, 7, 8, 11, 19]. A within-subject design with a blinded replay harness and a pre-registered schema, thresholds, and analysis script identifies the causal logic. A paired binomial test of the difference in behavioral-equivalence rates between the structured and unstructured conditions states the hypotheses, with a fifteen-percentage-point threshold for rejection of the null in favor of the alternative. Cross-sectional evidence in the two completed research papers supports the direction of the conjectured effect without substituting for the experimental test. The chapter has bounded the scope of the mechanism to fixed action spaces, fixed tool environments, the policy classes covered by the two testbeds, and the operational construct of behavioral equivalence adopted here. Chapter 4 specifies the experimental design that operationalizes the hypotheses stated above.</w:t>
      </w:r>
    </w:p>
    <w:bookmarkEnd w:id="85"/>
    <w:bookmarkEnd w:id="86"/>
    <w:bookmarkStart w:id="97" w:name="chapter-4.-data-and-measurement"/>
    <w:p>
      <w:pPr>
        <w:pStyle w:val="Heading1"/>
        <w:spacing w:line="480" w:lineRule="auto"/>
      </w:pPr>
      <w:r>
        <w:t xml:space="preserve">Chapter 4. Data and Measurement</w:t>
      </w:r>
    </w:p>
    <w:bookmarkStart w:id="87" w:name="Xf998b9883febd26738e8ea0d55de0844778ce03"/>
    <w:p>
      <w:pPr>
        <w:pStyle w:val="Heading2"/>
        <w:spacing w:line="480" w:lineRule="auto"/>
      </w:pPr>
      <w:r>
        <w:t xml:space="preserve">4.1 Overview and Logic of the Empirical Substrate</w:t>
      </w:r>
    </w:p>
    <w:p>
      <w:pPr>
        <w:pStyle w:val="FirstParagraph"/>
        <w:spacing w:line="480" w:lineRule="auto"/>
      </w:pPr>
      <w:r>
        <w:t xml:space="preserve">What the dissertation rests on, this chapter specifies: the data. Its argument is that auditability of an agentic decision system is, at minimum, a function of logging-surface design, and the empirical strategy approaches that claim from two complementary directions. Paper 1 estimates a cross-sectional logistic model of reported reproducibility across twenty-eight documented studies and program entries</w:t>
      </w:r>
      <w:r>
        <w:t xml:space="preserve"> </w:t>
      </w:r>
      <w:hyperlink w:anchor="ref-4">
        <w:r>
          <w:rPr>
            <w:rStyle w:val="Hyperlink"/>
          </w:rPr>
          <w:t xml:space="preserve">[4]</w:t>
        </w:r>
      </w:hyperlink>
      <w:r>
        <w:t xml:space="preserve">. Paper 2 estimates a binary logit of full episode-level reproducibility across twenty-eight published agentic or autonomous decision episodes drawn from the same retrieval corpus</w:t>
      </w:r>
      <w:r>
        <w:t xml:space="preserve"> </w:t>
      </w:r>
      <w:hyperlink w:anchor="ref-4">
        <w:r>
          <w:rPr>
            <w:rStyle w:val="Hyperlink"/>
          </w:rPr>
          <w:t xml:space="preserve">[4]</w:t>
        </w:r>
      </w:hyperlink>
      <w:r>
        <w:t xml:space="preserve">. The eventual paired-rerun experiment, pre-registered in the prospectus, draws its testbeds from that same retrieval corpus [4, 7]. Because these three empirical layers share a single retrieval base, the present chapter treats them together, so that the unit of analysis, the source authority, and the construction of every regressor and outcome can be made explicit in one place.</w:t>
      </w:r>
    </w:p>
    <w:p>
      <w:pPr>
        <w:pStyle w:val="BodyText"/>
        <w:spacing w:line="480" w:lineRule="auto"/>
        <w:ind w:firstLine="720"/>
      </w:pPr>
      <w:r>
        <w:t xml:space="preserve">Five questions a doctoral reviewer is entitled to ask of any audit-style empirical project organize the chapter. What is the population from which observations are drawn? What is the unit of analysis? What is the authoritative source for each observation? How is each variable constructed from the primary record? What known threats to measurement validity are absorbed at the data layer rather than at the inferential layer? Each section answers one of those questions, in that order, and a final section presents the data-quality controls that bind the answers together.</w:t>
      </w:r>
    </w:p>
    <w:bookmarkEnd w:id="87"/>
    <w:bookmarkStart w:id="88" w:name="population-and-sampling-frame"/>
    <w:p>
      <w:pPr>
        <w:pStyle w:val="Heading2"/>
        <w:spacing w:line="480" w:lineRule="auto"/>
      </w:pPr>
      <w:r>
        <w:t xml:space="preserve">4.2 Population and Sampling Frame</w:t>
      </w:r>
    </w:p>
    <w:p>
      <w:pPr>
        <w:pStyle w:val="FirstParagraph"/>
        <w:spacing w:line="480" w:lineRule="auto"/>
      </w:pPr>
      <w:r>
        <w:t xml:space="preserve">At the substantive level, the population of interest is the set of agentic or autonomous decision systems that operate, or are designed to operate, in space-relevant infrastructure. The retrieved literature establishes that this population is heterogeneous along three axes that matter for the dissertation. Along the first, level of autonomy ranges from human-in-the-loop decision-support records [5, 8] to closed-loop reinforcement-learning controllers executed against hardware-in-the-loop benches</w:t>
      </w:r>
      <w:r>
        <w:t xml:space="preserve"> </w:t>
      </w:r>
      <w:hyperlink w:anchor="ref-7">
        <w:r>
          <w:rPr>
            <w:rStyle w:val="Hyperlink"/>
          </w:rPr>
          <w:t xml:space="preserve">[7]</w:t>
        </w:r>
      </w:hyperlink>
      <w:r>
        <w:t xml:space="preserve"> </w:t>
      </w:r>
      <w:r>
        <w:t xml:space="preserve">to multi-agent orchestrations proposed for collision avoidance and distributed mission management [4, 25]. Along the second, the layer at which the agent intervenes ranges from sensor tasking [30, 31], through guidance-navigation-and-control</w:t>
      </w:r>
      <w:r>
        <w:t xml:space="preserve"> </w:t>
      </w:r>
      <w:hyperlink w:anchor="ref-19">
        <w:r>
          <w:rPr>
            <w:rStyle w:val="Hyperlink"/>
          </w:rPr>
          <w:t xml:space="preserve">[19]</w:t>
        </w:r>
      </w:hyperlink>
      <w:r>
        <w:t xml:space="preserve">, to mission-level battle management [1, 27, 28]. Along the third, the reporting venue ranges from peer-reviewed Acta Astronautica articles [4, 5, 7, 11, 12, 19, 20, 21, 25] to AMOS conference proceedings [1, 2, 3, 8, 9, 10, 18, 22, 23, 24, 26, 27, 28, 29, 30] to U.S. Government Accountability Office Major Project assessments of NASA programs [13, 14].</w:t>
      </w:r>
    </w:p>
    <w:p>
      <w:pPr>
        <w:pStyle w:val="BodyText"/>
        <w:spacing w:line="480" w:lineRule="auto"/>
        <w:ind w:firstLine="720"/>
      </w:pPr>
      <w:r>
        <w:t xml:space="preserve">Both papers draw from an accessible sampling frame that is the intersection of three retrievable corpora. The AMOS_Papers brain indexes the AMOS conference record from 2006 through 2025 and supports BM25 retrieval over title, abstract, and full text [1, 2, 3, 8, 9, 10, 18, 22, 23, 24, 26, 27, 28, 30]. The ACTA_Papers brain indexes Acta Astronautica articles from 2016 forward with metadata, abstract where the Elsevier paywall permits, and a curated full-text subset [4, 5, 7, 11, 12, 19, 20, 21, 25]. A third frame component, the GAO NASA Major Project assessment series, is retrieved at the report identifier level rather than through a brain, and it anchors the program-assessment end of the trace-discipline spectrum [13, 14]. The Space Economy Papers corpus contributes three entries that widen variance at the low end of the trace-discipline spectrum, and Paper 1 codes them explicitly at that low end [6, 15, 16].</w:t>
      </w:r>
    </w:p>
    <w:p>
      <w:pPr>
        <w:pStyle w:val="BodyText"/>
        <w:spacing w:line="480" w:lineRule="auto"/>
        <w:ind w:firstLine="720"/>
      </w:pPr>
      <w:r>
        <w:t xml:space="preserve">Inclusion criteria for both papers are identical and were fixed before any coding began. A candidate source is in-frame when it satisfies all four of the following conditions. It describes a decision system in which an autonomous or learned component selects an action, invokes a tool or subsystem, or conditions a later action on an observation. It is publicly retrievable through one of the three frame components named above. It contains enough description of the testbed, the action space, or the artifact set to permit coding of the regressors specified in Section 4.5. And it either is reachable in the refs_pool of the dissertation or maps onto an entry in that pool through DOI or report number. Sources that satisfy the first two conditions but fail the third are excluded as under-described; sources that fail the fourth are excluded as out of pool. The four illustrative rows retained in Paper 2 are sources that satisfy the first, second, and fourth conditions and that describe the testbed at program level rather than at episode level, a coding judgment flagged on the row rather than absorbed silently into the sample.</w:t>
      </w:r>
    </w:p>
    <w:bookmarkEnd w:id="88"/>
    <w:bookmarkStart w:id="89" w:name="unit-of-analysis"/>
    <w:p>
      <w:pPr>
        <w:pStyle w:val="Heading2"/>
        <w:spacing w:line="480" w:lineRule="auto"/>
      </w:pPr>
      <w:r>
        <w:t xml:space="preserve">4.3 Unit of Analysis</w:t>
      </w:r>
    </w:p>
    <w:p>
      <w:pPr>
        <w:pStyle w:val="FirstParagraph"/>
        <w:spacing w:line="480" w:lineRule="auto"/>
      </w:pPr>
      <w:r>
        <w:t xml:space="preserve">At adjacent but distinct units of analysis the two papers operate, and this distinction matters for the construction of every variable.</w:t>
      </w:r>
    </w:p>
    <w:p>
      <w:pPr>
        <w:pStyle w:val="BodyText"/>
        <w:spacing w:line="480" w:lineRule="auto"/>
        <w:ind w:firstLine="720"/>
      </w:pPr>
      <w:r>
        <w:t xml:space="preserve">In Paper 1, the unit of analysis is one documented study or program entry. A row corresponds to one peer-reviewed paper, one conference proceedings entry, one GAO Major Project assessment, or one Space Economy Papers source key. What drives the choice is the inferential target of that paper, which is whether features of the logging surface, taken at the level of an entire reported study, predict whether that study reports a reproducible result. At this level the outcome is a property of the source artifact rather than of any single decision the system inside the source happens to make.</w:t>
      </w:r>
    </w:p>
    <w:p>
      <w:pPr>
        <w:pStyle w:val="BodyText"/>
        <w:spacing w:line="480" w:lineRule="auto"/>
        <w:ind w:firstLine="720"/>
      </w:pPr>
      <w:r>
        <w:t xml:space="preserve">In Paper 2, the unit of analysis is one published agentic or autonomous decision episode. A row corresponds to one episode whose action sequence, policy seed or weight set, and tool interface are reported by a source in the retrieval frame. Where a source documents multiple episodes against the same testbed, the row is the canonical or modal episode described in the source, not the source as a whole. This per-episode framing aligns with the prospectus’s eventual paired-rerun experiment, where the rerun is performed on one episode at a time and behavioral equivalence is scored against the original action sequence and terminal output of that episode.</w:t>
      </w:r>
    </w:p>
    <w:p>
      <w:pPr>
        <w:pStyle w:val="BodyText"/>
        <w:spacing w:line="480" w:lineRule="auto"/>
        <w:ind w:firstLine="720"/>
      </w:pPr>
      <w:r>
        <w:t xml:space="preserve">At a third, finer unit the dissertation’s pre-registered paired-rerun experiment will operate, namely the paired episode, in which the same policy, weights, tool stubs, and seed material are executed twice under different logging conditions and replayed by a blinded harness. That unit is not yet instantiated in the two completed papers, but the sources from which it will draw are the same sources that anchor the per-episode rows of Paper 2, in particular the multi-agent satellite-inspection environment described in the agent-based survey</w:t>
      </w:r>
      <w:r>
        <w:t xml:space="preserve"> </w:t>
      </w:r>
      <w:hyperlink w:anchor="ref-4">
        <w:r>
          <w:rPr>
            <w:rStyle w:val="Hyperlink"/>
          </w:rPr>
          <w:t xml:space="preserve">[4]</w:t>
        </w:r>
      </w:hyperlink>
      <w:r>
        <w:t xml:space="preserve"> </w:t>
      </w:r>
      <w:r>
        <w:t xml:space="preserve">and the cold-gas thrust-chamber pressure controller documented experimentally in Acta Astronautica</w:t>
      </w:r>
      <w:r>
        <w:t xml:space="preserve"> </w:t>
      </w:r>
      <w:hyperlink w:anchor="ref-7">
        <w:r>
          <w:rPr>
            <w:rStyle w:val="Hyperlink"/>
          </w:rPr>
          <w:t xml:space="preserve">[7]</w:t>
        </w:r>
      </w:hyperlink>
      <w:r>
        <w:t xml:space="preserve">.</w:t>
      </w:r>
    </w:p>
    <w:bookmarkEnd w:id="89"/>
    <w:bookmarkStart w:id="90" w:name="authoritative-sources-and-provenance"/>
    <w:p>
      <w:pPr>
        <w:pStyle w:val="Heading2"/>
        <w:spacing w:line="480" w:lineRule="auto"/>
      </w:pPr>
      <w:r>
        <w:t xml:space="preserve">4.4 Authoritative Sources and Provenance</w:t>
      </w:r>
    </w:p>
    <w:p>
      <w:pPr>
        <w:pStyle w:val="FirstParagraph"/>
        <w:spacing w:line="480" w:lineRule="auto"/>
      </w:pPr>
      <w:r>
        <w:t xml:space="preserve">Every observation used in either paper is tied to a primary record that an independent reviewer can retrieve. Provenance is treated here as a measurement property and not as a bibliographic afterthought, because the central claim of the dissertation is precisely that records sufficient for review are the precondition of audit.</w:t>
      </w:r>
    </w:p>
    <w:p>
      <w:pPr>
        <w:pStyle w:val="BodyText"/>
        <w:spacing w:line="480" w:lineRule="auto"/>
        <w:ind w:firstLine="720"/>
      </w:pPr>
      <w:r>
        <w:t xml:space="preserve">For AMOS conference rows the authoritative record is the AMOS proceedings entry, identified by the proceedings DOI where the 2024 and 2025 cohorts assign one [1, 22, 23, 24, 26, 27, 28] and by author, title, and year for the earlier cohorts where the DOI is absent [2, 3, 8, 9, 10, 18, 30]. The AMOS_Papers brain returns the proceedings PDF and its extracted text chunks, and rows are coded from the PDF rather than from any secondary summary.</w:t>
      </w:r>
    </w:p>
    <w:p>
      <w:pPr>
        <w:pStyle w:val="BodyText"/>
        <w:spacing w:line="480" w:lineRule="auto"/>
        <w:ind w:firstLine="720"/>
      </w:pPr>
      <w:r>
        <w:t xml:space="preserve">For Acta Astronautica rows the authoritative record is the journal article identified by its Elsevier DOI [4, 5, 7, 11, 12, 19, 20, 21, 25]. The ACTA_Papers brain returns full text where copyright permits and metadata plus abstract otherwise. Where only metadata and abstract are available, the row is restricted to variables that the metadata and abstract together permit and is not silently completed from inference; this is the case for several 2024 and 2025 Acta entries whose full text sits behind the publisher paywall.</w:t>
      </w:r>
    </w:p>
    <w:p>
      <w:pPr>
        <w:pStyle w:val="BodyText"/>
        <w:spacing w:line="480" w:lineRule="auto"/>
        <w:ind w:firstLine="720"/>
      </w:pPr>
      <w:r>
        <w:t xml:space="preserve">For the GAO program-assessment rows the authoritative record is the GAO report itself, identified by report number [13, 14]. Relevant for coding are the project-level narratives describing whether NASA programs document their autonomy components with enough traceability for independent review, and the coding is performed against the narrative text of the assessment rather than against any secondary news coverage.</w:t>
      </w:r>
    </w:p>
    <w:p>
      <w:pPr>
        <w:pStyle w:val="BodyText"/>
        <w:spacing w:line="480" w:lineRule="auto"/>
        <w:ind w:firstLine="720"/>
      </w:pPr>
      <w:r>
        <w:t xml:space="preserve">For the Space Economy Papers rows the authoritative record is the source key in the Space Economy Papers corpus index, which resolves to a specific document inside the local corpus [6, 15, 16]. These rows enter Paper 1 as low-trace-discipline anchors, flagged that way in the source column of the data file. They do not enter Paper 2.</w:t>
      </w:r>
    </w:p>
    <w:p>
      <w:pPr>
        <w:pStyle w:val="BodyText"/>
        <w:spacing w:line="480" w:lineRule="auto"/>
        <w:ind w:firstLine="720"/>
      </w:pPr>
      <w:r>
        <w:t xml:space="preserve">No row is used whose primary record cannot be retrieved through one of the four channels above. Where a row is marked illustrative, the marker indicates a coding judgment, not a failure of provenance; the underlying record is retrievable in every case and is named in the source column of the relevant data file.</w:t>
      </w:r>
    </w:p>
    <w:bookmarkEnd w:id="90"/>
    <w:bookmarkStart w:id="94" w:name="Xd297103b471becb0b628cb1fda2f02657e34452"/>
    <w:p>
      <w:pPr>
        <w:pStyle w:val="Heading2"/>
        <w:spacing w:line="480" w:lineRule="auto"/>
      </w:pPr>
      <w:r>
        <w:t xml:space="preserve">4.5 Variable Construction From the Primary Record</w:t>
      </w:r>
    </w:p>
    <w:p>
      <w:pPr>
        <w:pStyle w:val="FirstParagraph"/>
        <w:spacing w:line="480" w:lineRule="auto"/>
      </w:pPr>
      <w:r>
        <w:t xml:space="preserve">Walking through the construction of every variable used in the two papers, this section names the field of the primary record from which each regressor is read and the coding rule applied to that field. The rules were fixed before any row was coded, and any case in which a rule had to be sharpened during coding is recorded in the data-quality log described in Section 4.7.</w:t>
      </w:r>
    </w:p>
    <w:bookmarkStart w:id="91" w:name="outcome-variables"/>
    <w:p>
      <w:pPr>
        <w:pStyle w:val="Heading3"/>
        <w:spacing w:line="480" w:lineRule="auto"/>
      </w:pPr>
      <w:r>
        <w:t xml:space="preserve">4.5.1 Outcome Variables</w:t>
      </w:r>
    </w:p>
    <w:p>
      <w:pPr>
        <w:pStyle w:val="FirstParagraph"/>
        <w:spacing w:line="480" w:lineRule="auto"/>
      </w:pPr>
      <w:r>
        <w:t xml:space="preserve">In Paper 1 the outcome is a binary indicator, reproducible. It takes the value one when the source documents at least one of the following: an independent rerun of the system that produced a behaviorally matching result; a publicly released artifact set that is described as sufficient for end-to-end rerun by a third party; or an explicit replication claim with a reported quantitative behavioral match. It takes the value zero otherwise. The coding is performed against the methods, results, and data-availability sections of the source; a data-availability statement that promises artifacts on request without a public release is coded zero. The reinforcement-learning cold-gas thrust-chamber controller paper</w:t>
      </w:r>
      <w:r>
        <w:t xml:space="preserve"> </w:t>
      </w:r>
      <w:hyperlink w:anchor="ref-7">
        <w:r>
          <w:rPr>
            <w:rStyle w:val="Hyperlink"/>
          </w:rPr>
          <w:t xml:space="preserve">[7]</w:t>
        </w:r>
      </w:hyperlink>
      <w:r>
        <w:t xml:space="preserve"> </w:t>
      </w:r>
      <w:r>
        <w:t xml:space="preserve">is the canonical example of a one in this scheme, because its experimental and simulative trace is reported with enough artifact discipline that an independent rerun against the published controller is feasible. The early machine-learning-in-space-operations source</w:t>
      </w:r>
      <w:r>
        <w:t xml:space="preserve"> </w:t>
      </w:r>
      <w:hyperlink w:anchor="ref-2">
        <w:r>
          <w:rPr>
            <w:rStyle w:val="Hyperlink"/>
          </w:rPr>
          <w:t xml:space="preserve">[2]</w:t>
        </w:r>
      </w:hyperlink>
      <w:r>
        <w:t xml:space="preserve"> </w:t>
      </w:r>
      <w:r>
        <w:t xml:space="preserve">is the canonical example of a zero, because the provenance of the inputs to the learned component is acknowledged as hard to reconstruct after the fact.</w:t>
      </w:r>
    </w:p>
    <w:p>
      <w:pPr>
        <w:pStyle w:val="BodyText"/>
        <w:spacing w:line="480" w:lineRule="auto"/>
        <w:ind w:firstLine="720"/>
      </w:pPr>
      <w:r>
        <w:t xml:space="preserve">In Paper 2 the outcome is a binary indicator, fully_reproducible. It takes the value one when the source publishes the full action sequence of the episode, the policy seed or weight material required to recompute that sequence, and the tool or subsystem interface specifications required to replay the calls the agent made. It takes the value zero otherwise. What separates it from Paper 1 is one of unit and not of construct: at the per-episode level the requirement is that all three artifacts attach to the same episode, whereas at the study level the requirement is that the source overall supports a behaviorally matching rerun. Sources that publish per-episode rollouts of a reinforcement-learning policy with seeded initial conditions and tool stubs, as in the cold-gas controller</w:t>
      </w:r>
      <w:r>
        <w:t xml:space="preserve"> </w:t>
      </w:r>
      <w:hyperlink w:anchor="ref-7">
        <w:r>
          <w:rPr>
            <w:rStyle w:val="Hyperlink"/>
          </w:rPr>
          <w:t xml:space="preserve">[7]</w:t>
        </w:r>
      </w:hyperlink>
      <w:r>
        <w:t xml:space="preserve"> </w:t>
      </w:r>
      <w:r>
        <w:t xml:space="preserve">and as in the onboard guidance-navigation-and-control work on near-term flight hardware</w:t>
      </w:r>
      <w:r>
        <w:t xml:space="preserve"> </w:t>
      </w:r>
      <w:hyperlink w:anchor="ref-19">
        <w:r>
          <w:rPr>
            <w:rStyle w:val="Hyperlink"/>
          </w:rPr>
          <w:t xml:space="preserve">[19]</w:t>
        </w:r>
      </w:hyperlink>
      <w:r>
        <w:t xml:space="preserve">, are the prototypical ones in this scheme.</w:t>
      </w:r>
    </w:p>
    <w:bookmarkEnd w:id="91"/>
    <w:bookmarkStart w:id="92" w:name="logging-surface-regressors"/>
    <w:p>
      <w:pPr>
        <w:pStyle w:val="Heading3"/>
        <w:spacing w:line="480" w:lineRule="auto"/>
      </w:pPr>
      <w:r>
        <w:t xml:space="preserve">4.5.2 Logging-Surface Regressors</w:t>
      </w:r>
    </w:p>
    <w:p>
      <w:pPr>
        <w:pStyle w:val="FirstParagraph"/>
        <w:spacing w:line="480" w:lineRule="auto"/>
      </w:pPr>
      <w:r>
        <w:t xml:space="preserve">Structured_trace is the principal regressor in both papers, a binary indicator that takes the value one when the source describes a typed, structured per-step decision-trace schema. A typed schema is one whose recorded fields are named and given a type at design time, such as state, observation, action, tool-call, tool-return, and policy confidence, rather than free-form text that mixes these fields into a single narrative log. The indicator is read from the methods or instrumentation section of the source and is set to one only when the schema is described at the field level. Sources that mention logging in general terms without specifying the per-step schema are coded zero. The agent-based survey treats trace reconstruction as an open challenge and is therefore a zero by definition for its own scope, but its citations to systems that do specify a schema can be read through to those primary records</w:t>
      </w:r>
      <w:r>
        <w:t xml:space="preserve"> </w:t>
      </w:r>
      <w:hyperlink w:anchor="ref-4">
        <w:r>
          <w:rPr>
            <w:rStyle w:val="Hyperlink"/>
          </w:rPr>
          <w:t xml:space="preserve">[4]</w:t>
        </w:r>
      </w:hyperlink>
      <w:r>
        <w:t xml:space="preserve">.</w:t>
      </w:r>
    </w:p>
    <w:p>
      <w:pPr>
        <w:pStyle w:val="BodyText"/>
        <w:spacing w:line="480" w:lineRule="auto"/>
        <w:ind w:firstLine="720"/>
      </w:pPr>
      <w:r>
        <w:t xml:space="preserve">Complementing structured_trace in Paper 1 are seed_pinning, tool_versioning, and code_released, each binary. seed_pinning is one when the source reports a specific seed value or seed-generation procedure for the stochastic components of the learned policy. tool_versioning is one when the source pins the version of every external tool, simulator, or library invoked by the agent during the reported run. code_released is one when the source provides a public URL, repository identifier, or archived artifact through which the code can be retrieved by a third party. Each indicator is read directly from the methods or data-availability section and is coded zero in the absence of an affirmative statement. Code release is not inferred from authorial reputation or from the existence of a generic group GitHub presence.</w:t>
      </w:r>
    </w:p>
    <w:p>
      <w:pPr>
        <w:pStyle w:val="BodyText"/>
        <w:spacing w:line="480" w:lineRule="auto"/>
        <w:ind w:firstLine="720"/>
      </w:pPr>
      <w:r>
        <w:t xml:space="preserve">Paper 2’s regressors are structured_trace, action_steps, and tool_calls, with policy_confidence_logged retained for descriptive use. action_steps is the reported or canonical episode length, taken from the source’s own description of the testbed and from any reported rollout statistics. Where the source reports a distribution of episode lengths, the median is used. tool_calls is the count of distinct external tool or subsystem interfaces invoked during the canonical episode, counted from the source’s testbed description and not inferred from generic architecture diagrams. policy_confidence_logged is one when the source reports that the per-step confidence or value estimate of the policy is written to the log alongside the action, a property the prospectus treats as a separable component of the proposed trace schema.</w:t>
      </w:r>
    </w:p>
    <w:bookmarkEnd w:id="92"/>
    <w:bookmarkStart w:id="93" w:name="the-complexity-control-in-paper-1"/>
    <w:p>
      <w:pPr>
        <w:pStyle w:val="Heading3"/>
        <w:spacing w:line="480" w:lineRule="auto"/>
      </w:pPr>
      <w:r>
        <w:t xml:space="preserve">4.5.3 The Complexity Control in Paper 1</w:t>
      </w:r>
    </w:p>
    <w:p>
      <w:pPr>
        <w:pStyle w:val="FirstParagraph"/>
        <w:spacing w:line="480" w:lineRule="auto"/>
      </w:pPr>
      <w:r>
        <w:t xml:space="preserve">Paper 1 includes action_space_log, the natural logarithm of the reported discrete action-space cardinality or a documented proxy. The cardinality is read from the source’s testbed description, taken from the explicit cardinality statement where present, and otherwise computed from the product of the cardinalities of the action subspaces the source describes. Where the action space is continuous and the source reports a discretization grid, the grid is used. Where the action space is continuous and the source reports no discretization, the row is coded with the documented proxy of the smallest reported action repertoire and flagged in the source column. The natural logarithm is taken to compress the long right tail of cardinalities reported across the corpus, which span from low-single-digit discrete repertoires for fault-detection acceptance decisions</w:t>
      </w:r>
      <w:r>
        <w:t xml:space="preserve"> </w:t>
      </w:r>
      <w:hyperlink w:anchor="ref-5">
        <w:r>
          <w:rPr>
            <w:rStyle w:val="Hyperlink"/>
          </w:rPr>
          <w:t xml:space="preserve">[5]</w:t>
        </w:r>
      </w:hyperlink>
      <w:r>
        <w:t xml:space="preserve"> </w:t>
      </w:r>
      <w:r>
        <w:t xml:space="preserve">to multi-thousand-element grids for sensor tasking under cislunar conditions [30, 31].</w:t>
      </w:r>
    </w:p>
    <w:bookmarkEnd w:id="93"/>
    <w:bookmarkEnd w:id="94"/>
    <w:bookmarkStart w:id="95" w:name="X03752a5234aa11ef7569f0fc5e1a7a2a993b40f"/>
    <w:p>
      <w:pPr>
        <w:pStyle w:val="Heading2"/>
        <w:spacing w:line="480" w:lineRule="auto"/>
      </w:pPr>
      <w:r>
        <w:t xml:space="preserve">4.6 Sample Composition and the Illustrative Rows</w:t>
      </w:r>
    </w:p>
    <w:p>
      <w:pPr>
        <w:pStyle w:val="FirstParagraph"/>
        <w:spacing w:line="480" w:lineRule="auto"/>
      </w:pPr>
      <w:r>
        <w:t xml:space="preserve">Twenty-eight rows compose the Paper 1 sample: AMOS proceedings entries from 2016 through 2025 [1, 2, 3, 8, 9, 10, 18, 22, 23, 24, 26, 27, 28, 30], Acta Astronautica entries from 2021 through 2025 [4, 5, 7, 11, 12, 19, 20, 21, 25], three GAO assessments covering 2023 and 2024 [13, 14], three NTRS retrievals coded as illustrative because the NTRS identifiers had not been independently verified at the time of writing, and three Space Economy Papers entries that widen variance at the low-trace-discipline end [6, 15, 16]. The illustrative NTRS rows are retained because their removal would distort the variance of action_space_log on the predictor side without affecting the qualitative direction of the trace_structured coefficient, and a sensitivity analysis with these rows removed is reported in Paper 1.</w:t>
      </w:r>
    </w:p>
    <w:p>
      <w:pPr>
        <w:pStyle w:val="BodyText"/>
        <w:spacing w:line="480" w:lineRule="auto"/>
        <w:ind w:firstLine="720"/>
      </w:pPr>
      <w:r>
        <w:t xml:space="preserve">Twenty-eight episodes compose the Paper 2 sample, drawn entirely from the AMOS [1, 2, 3, 8, 18, 22, 23, 24] and Acta Astronautica [4, 5, 7, 11, 12, 19, 20, 21, 25] frames, with no GAO or Space Economy rows because the unit of analysis is per-episode and those frames do not report at that unit. Four rows are flagged illustrative, corresponding to sources that describe the testbed at the program level rather than at the per-episode level. Sitting within the dissertation’s reproducibility-data tolerance, the 14.3 percent illustrative share is preserved in the released dataset rather than dropped.</w:t>
      </w:r>
    </w:p>
    <w:p>
      <w:pPr>
        <w:pStyle w:val="BodyText"/>
        <w:spacing w:line="480" w:lineRule="auto"/>
        <w:ind w:firstLine="720"/>
      </w:pPr>
      <w:r>
        <w:t xml:space="preserve">The two samples share sources but are not identical in row composition, because the unit-of-analysis difference between the papers requires different coding decisions for the same primary record. A source that describes a program-level autonomy effort without a canonical episode contributes one Paper 1 row and zero Paper 2 rows. A source that describes a single canonical episode against a hardware-in-the-loop bench contributes one Paper 1 row and one Paper 2 row, and the two rows share the structured_trace, seed_pinning, tool_versioning, and code_released coding while disagreeing on the outcome construct because the constructs are not the same.</w:t>
      </w:r>
    </w:p>
    <w:bookmarkEnd w:id="95"/>
    <w:bookmarkStart w:id="96" w:name="data-quality-controls"/>
    <w:p>
      <w:pPr>
        <w:pStyle w:val="Heading2"/>
        <w:spacing w:line="480" w:lineRule="auto"/>
      </w:pPr>
      <w:r>
        <w:t xml:space="preserve">4.7 Data-Quality Controls</w:t>
      </w:r>
    </w:p>
    <w:p>
      <w:pPr>
        <w:pStyle w:val="FirstParagraph"/>
        <w:spacing w:line="480" w:lineRule="auto"/>
      </w:pPr>
      <w:r>
        <w:t xml:space="preserve">Four controls bind the data construction together. First, every regressor and outcome is read from a named field of the primary record, and the coding workbook attached to each paper preserves the field-to-variable mapping row by row. Second, the source column of every data file carries the citation that authorizes the coding for that row, and any row flagged illustrative carries an explicit marker rather than being silently absorbed into the sample. Third, the coding rules were frozen before any row was coded; subsequent sharpenings are recorded in the data-quality log of the relevant paper rather than retroactively applied to earlier rows. Fourth, where the publisher paywall restricts access to full text, the row is restricted to variables that the metadata and abstract together permit, and the restriction is noted in the source column.</w:t>
      </w:r>
    </w:p>
    <w:p>
      <w:pPr>
        <w:pStyle w:val="BodyText"/>
        <w:spacing w:line="480" w:lineRule="auto"/>
        <w:ind w:firstLine="720"/>
      </w:pPr>
      <w:r>
        <w:t xml:space="preserve">Three known limits at the data layer the chapter acknowledges here rather than deferring them to the inferential layer. First is single-coder measurement error in both papers; a multi-coder reliability check on a stratified subsample is a natural extension, named that way in the discussion sections of the two papers and in the prospectus. Second is the space-systems-centric scope of the corpus; the dissertation does not claim that the cross-sectional findings of either paper generalize directly to terrestrial agentic deployments, and the eventual paired-rerun experiment is also bounded to the two retrievable space-systems testbeds named in the prospectus [4, 7]. Third is the binary construction of the principal regressor; structured_trace collapses a richer design space of partially structured logs into a single indicator, which is appropriate for the small-sample cross sections but is a coarsening that the eventual pre-registered trace schema will resolve at field granularity.</w:t>
      </w:r>
    </w:p>
    <w:p>
      <w:pPr>
        <w:pStyle w:val="BodyText"/>
        <w:spacing w:line="480" w:lineRule="auto"/>
        <w:ind w:firstLine="720"/>
      </w:pPr>
      <w:r>
        <w:t xml:space="preserve">These limits are bounded, not eliminated. They are stated here so the regression results presented in Chapter 5 and the experimental design presented in Chapter 6 can be read against a clear account of what the data are and what they are not. The data are observational, retrievable from named primary records, coded from frozen rules against a defined sampling frame, and tied at every row to a citation that an independent reviewer can pull. That is the substrate on which the dissertation’s central claim about logging-surface design and agentic auditability is tested.</w:t>
      </w:r>
    </w:p>
    <w:bookmarkEnd w:id="96"/>
    <w:bookmarkEnd w:id="97"/>
    <w:bookmarkStart w:id="106" w:name="chapter-5.-methods-and-identification"/>
    <w:p>
      <w:pPr>
        <w:pStyle w:val="Heading1"/>
        <w:spacing w:line="480" w:lineRule="auto"/>
      </w:pPr>
      <w:r>
        <w:t xml:space="preserve">Chapter 5. Methods and Identification</w:t>
      </w:r>
    </w:p>
    <w:bookmarkStart w:id="98" w:name="overview-of-the-identification-problem"/>
    <w:p>
      <w:pPr>
        <w:pStyle w:val="Heading2"/>
        <w:spacing w:line="480" w:lineRule="auto"/>
      </w:pPr>
      <w:r>
        <w:t xml:space="preserve">5.1 Overview of the Identification Problem</w:t>
      </w:r>
    </w:p>
    <w:p>
      <w:pPr>
        <w:pStyle w:val="FirstParagraph"/>
        <w:spacing w:line="480" w:lineRule="auto"/>
      </w:pPr>
      <w:r>
        <w:t xml:space="preserve">One testable claim organizes the whole dissertation: that adopting a structured decision-trace specification as an agentic system’s logging surface yields reruns whose action sequences and terminal outputs match the original within a pre-registered similarity threshold at a rate that beats unstructured logging by a statistically significant margin</w:t>
      </w:r>
      <w:r>
        <w:t xml:space="preserve"> </w:t>
      </w:r>
      <w:hyperlink w:anchor="ref-4">
        <w:r>
          <w:rPr>
            <w:rStyle w:val="Hyperlink"/>
          </w:rPr>
          <w:t xml:space="preserve">[4]</w:t>
        </w:r>
      </w:hyperlink>
      <w:r>
        <w:t xml:space="preserve">. Causal in form, the claim holds that a trait of the logging surface, treated here as a design knob one can turn, lifts the odds that an outside reviewer rebuilds the agentic decision from what the original system emitted. Everything downstream, the estimands and the estimators picked to recover them, is arranged to keep that causal claim falsifiable instead of merely suggestive. What this chapter lays out, in order, is the population and the unit of analysis, the estimators that recover the primary and secondary estimands, the identification strategy licensing a causal reading of the primary estimand, and the threats to validity paired with the bounding strategy the pre-registration applies to each.</w:t>
      </w:r>
    </w:p>
    <w:p>
      <w:pPr>
        <w:pStyle w:val="BodyText"/>
        <w:spacing w:line="480" w:lineRule="auto"/>
        <w:ind w:firstLine="720"/>
      </w:pPr>
      <w:r>
        <w:t xml:space="preserve">Every choice this chapter exposes is nailed down before the rerun episodes run, so no one can tune the analysis to the data once it arrives. Pinned in this order are the trace schema, the edit-distance threshold, the terminal-output tolerance, the estimator, the standard-error construction, and the sensitivity grid. That pre-registration lives in the dissertation repository beside the analysis script, and any departure from it gets flagged as exploratory rather than confirmatory, honoring the discipline the prospectus stipulates</w:t>
      </w:r>
      <w:r>
        <w:t xml:space="preserve"> </w:t>
      </w:r>
      <w:hyperlink w:anchor="ref-4">
        <w:r>
          <w:rPr>
            <w:rStyle w:val="Hyperlink"/>
          </w:rPr>
          <w:t xml:space="preserve">[4]</w:t>
        </w:r>
      </w:hyperlink>
      <w:r>
        <w:t xml:space="preserve">.</w:t>
      </w:r>
    </w:p>
    <w:bookmarkEnd w:id="98"/>
    <w:bookmarkStart w:id="99" w:name="Xa204c01540b28c3fdd79853605963448c42b75e"/>
    <w:p>
      <w:pPr>
        <w:pStyle w:val="Heading2"/>
        <w:spacing w:line="480" w:lineRule="auto"/>
      </w:pPr>
      <w:r>
        <w:t xml:space="preserve">5.2 Population, Unit of Analysis, and Sampling Frame</w:t>
      </w:r>
    </w:p>
    <w:p>
      <w:pPr>
        <w:pStyle w:val="FirstParagraph"/>
        <w:spacing w:line="480" w:lineRule="auto"/>
      </w:pPr>
      <w:r>
        <w:t xml:space="preserve">What the study aims at is the set of agentic decision episodes runnable inside a controlled testbed that expose a discrete action surface amenable to edit-distance scoring. Two testbeds named in the prospectus give that population flesh. One is the multi-agent autonomous satellite inspection environment set out within the agent-based distributed-space-systems survey</w:t>
      </w:r>
      <w:r>
        <w:t xml:space="preserve"> </w:t>
      </w:r>
      <w:hyperlink w:anchor="ref-4">
        <w:r>
          <w:rPr>
            <w:rStyle w:val="Hyperlink"/>
          </w:rPr>
          <w:t xml:space="preserve">[4]</w:t>
        </w:r>
      </w:hyperlink>
      <w:r>
        <w:t xml:space="preserve">, whose deep reinforcement learning policies and episode rollouts are recoverable from the public artifacts the survey points to. Episodes there run through inspection-task assignments, sensor-pointing actions, and terminal coverage scores. The other is the reinforcement-learning cold-gas thrust-chamber pressure controller worked through experimentally and in simulation in Acta Astronautica [7, 17], wrapped as an agentic episode where a higher-level policy picks pressure setpoints and tool-calls the published controller. Both hand back episodes whose ground-truth action sequences and terminal outputs recover from source artifacts, which is the precondition the cross-sectional logit audit in research paper two names as what tells reproducible episodes apart from non-reproducible ones in the published record [4, 7].</w:t>
      </w:r>
    </w:p>
    <w:p>
      <w:pPr>
        <w:pStyle w:val="BodyText"/>
        <w:spacing w:line="480" w:lineRule="auto"/>
        <w:ind w:firstLine="720"/>
      </w:pPr>
      <w:r>
        <w:t xml:space="preserve">A single agentic episode is the unit of analysis, marked off as the closed interval running from a fixed initial state and seed to a terminal-output emission. Episodes pair within subject. Each one runs twice on the same policy, the same model weights, the same tool stubs, and the same seed material. One run emits free-form text logs and stands for the unstructured-logging condition. The other emits a typed decision-trace record conforming to the pre-registered schema and stands for the structured-trace condition. That pairing is the central design device that strips between-episode variation in difficulty out of the estimand of interest.</w:t>
      </w:r>
    </w:p>
    <w:p>
      <w:pPr>
        <w:pStyle w:val="BodyText"/>
        <w:spacing w:line="480" w:lineRule="auto"/>
        <w:ind w:firstLine="720"/>
      </w:pPr>
      <w:r>
        <w:t xml:space="preserve">Power analysis fixes the sample-size targets. The primary estimand is the difference in behavioral-equivalence rates between conditions, with the alternative hypothesis naming a fifteen-point gap at the 0.05 significance level</w:t>
      </w:r>
      <w:r>
        <w:t xml:space="preserve"> </w:t>
      </w:r>
      <w:hyperlink w:anchor="ref-4">
        <w:r>
          <w:rPr>
            <w:rStyle w:val="Hyperlink"/>
          </w:rPr>
          <w:t xml:space="preserve">[4]</w:t>
        </w:r>
      </w:hyperlink>
      <w:r>
        <w:t xml:space="preserve">. A McNemar paired-binomial test at eighty percent power against a fifteen-point gap wants four hundred paired episodes when discordant pairs are taken at a moderate rate matching the pilot estimates the prospectus implies. Handing two hundred episodes to the inspection testbed and two hundred to the wrapped controller testbed uses up the sampling frame, with episode seeds pulled from a pre-registered seed list. That split is stratified by testbed so neither one can run away with the estimate.</w:t>
      </w:r>
    </w:p>
    <w:bookmarkEnd w:id="99"/>
    <w:bookmarkStart w:id="100" w:name="primary-estimand-and-estimator"/>
    <w:p>
      <w:pPr>
        <w:pStyle w:val="Heading2"/>
        <w:spacing w:line="480" w:lineRule="auto"/>
      </w:pPr>
      <w:r>
        <w:t xml:space="preserve">5.3 Primary Estimand and Estimator</w:t>
      </w:r>
    </w:p>
    <w:p>
      <w:pPr>
        <w:pStyle w:val="FirstParagraph"/>
        <w:spacing w:line="480" w:lineRule="auto"/>
      </w:pPr>
      <w:r>
        <w:t xml:space="preserve">Written</w:t>
      </w:r>
      <w:r>
        <w:t xml:space="preserve"> </w:t>
      </w:r>
      <m:oMath>
        <m:r>
          <m:rPr>
            <m:sty m:val="p"/>
          </m:rPr>
          <m:t>Δ</m:t>
        </m:r>
      </m:oMath>
      <w:r>
        <w:t xml:space="preserve">, the primary estimand is the population difference in behavioral-equivalence rates between the structured-trace and unstructured-logging conditions across the paired-episode population. Behavioral equivalence is a binary episode-level outcome. An episode scores equivalent when two conditions both hold. One, the normalized action-sequence edit distance between rerun and original run, worked on the canonical token alphabet of the testbed’s action space, drops below the pre-registered threshold. Two, the rerun’s terminal output matches the original run’s within the pre-registered tolerance, that tolerance stated in the testbed’s native units, percentage coverage for the inspection testbed and percentage pressure error for the wrapped controller testbed. Threshold and tolerance both get fixed before any rerun runs, and the analysis script consuming them is version-tagged.</w:t>
      </w:r>
    </w:p>
    <w:p>
      <w:pPr>
        <w:pStyle w:val="BodyText"/>
        <w:spacing w:line="480" w:lineRule="auto"/>
        <w:ind w:firstLine="720"/>
      </w:pPr>
      <w:r>
        <w:t xml:space="preserve">The McNemar paired-binomial test is the primary estimator for</w:t>
      </w:r>
      <w:r>
        <w:t xml:space="preserve"> </w:t>
      </w:r>
      <m:oMath>
        <m:r>
          <m:rPr>
            <m:sty m:val="p"/>
          </m:rPr>
          <m:t>Δ</m:t>
        </m:r>
      </m:oMath>
      <w:r>
        <w:t xml:space="preserve">, its continuity-corrected statistic reported next to the exact mid-p variant for robustness. Within-subject pairing forces the McNemar choice. Each episode drops one cell into the two-by-two table crossing equivalence under structured logging with equivalence under unstructured logging. The off-diagonal cells hold all the identifying variation, which fits because the within-subject design pins episode difficulty and policy stochasticity across the two conditions. The point estimate of</w:t>
      </w:r>
      <w:r>
        <w:t xml:space="preserve"> </w:t>
      </w:r>
      <m:oMath>
        <m:r>
          <m:rPr>
            <m:sty m:val="p"/>
          </m:rPr>
          <m:t>Δ</m:t>
        </m:r>
      </m:oMath>
      <w:r>
        <w:t xml:space="preserve"> </w:t>
      </w:r>
      <w:r>
        <w:t xml:space="preserve">comes with a paired-bootstrap ninety-five percent confidence interval on ten thousand resamples, resampled at the episode level so the pairing structure survives.</w:t>
      </w:r>
    </w:p>
    <w:p>
      <w:pPr>
        <w:pStyle w:val="BodyText"/>
        <w:spacing w:line="480" w:lineRule="auto"/>
        <w:ind w:firstLine="720"/>
      </w:pPr>
      <w:r>
        <w:t xml:space="preserve">A secondary estimator reports on the same estimand, a conditional logistic regression of the within-pair equivalence indicator on a lone binary regressor for condition. Conditional logit beats marginal logit here because it takes the pairing on explicitly as a stratification variable, and because its condition coefficient reads as a within-pair log-odds shift mapping cleanly onto</w:t>
      </w:r>
      <w:r>
        <w:t xml:space="preserve"> </w:t>
      </w:r>
      <m:oMath>
        <m:r>
          <m:rPr>
            <m:sty m:val="p"/>
          </m:rPr>
          <m:t>Δ</m:t>
        </m:r>
      </m:oMath>
      <w:r>
        <w:t xml:space="preserve"> </w:t>
      </w:r>
      <w:r>
        <w:t xml:space="preserve">at small differences. Reporting the McNemar test and the conditional logit side by side documents that the inferential conclusion leans on no single estimator, the practice research paper two follows in cross section</w:t>
      </w:r>
      <w:r>
        <w:t xml:space="preserve"> </w:t>
      </w:r>
      <w:hyperlink w:anchor="ref-4">
        <w:r>
          <w:rPr>
            <w:rStyle w:val="Hyperlink"/>
          </w:rPr>
          <w:t xml:space="preserve">[4]</w:t>
        </w:r>
      </w:hyperlink>
      <w:r>
        <w:t xml:space="preserve"> </w:t>
      </w:r>
      <w:r>
        <w:t xml:space="preserve">and that this chapter carries into the within-subject paired-rerun design.</w:t>
      </w:r>
    </w:p>
    <w:p>
      <w:pPr>
        <w:pStyle w:val="BodyText"/>
        <w:spacing w:line="480" w:lineRule="auto"/>
        <w:ind w:firstLine="720"/>
      </w:pPr>
      <w:r>
        <w:t xml:space="preserve">A third reported quantity, descriptive rather than inferential, is the odds-ratio reading of the conditional logit coefficient. Research paper two’s cross-sectional audit puts the odds ratio on the structured-trace regressor at approximately forty-one in the published record, with a wide confidence band and a small sample</w:t>
      </w:r>
      <w:r>
        <w:t xml:space="preserve"> </w:t>
      </w:r>
      <w:hyperlink w:anchor="ref-4">
        <w:r>
          <w:rPr>
            <w:rStyle w:val="Hyperlink"/>
          </w:rPr>
          <w:t xml:space="preserve">[4]</w:t>
        </w:r>
      </w:hyperlink>
      <w:r>
        <w:t xml:space="preserve">. This dissertation’s within-subject paired-rerun design is no replay of that observational estimate. It is a stronger identification under which the comparable odds-ratio object shakes free of the cross-source confounding that compresses the cross-sectional reading. The dissertation reports its own odds-ratio object so the within-subject estimate can sit beside the observational one for discussion in chapter seven.</w:t>
      </w:r>
    </w:p>
    <w:bookmarkEnd w:id="100"/>
    <w:bookmarkStart w:id="101" w:name="secondary-estimands-and-moderators"/>
    <w:p>
      <w:pPr>
        <w:pStyle w:val="Heading2"/>
        <w:spacing w:line="480" w:lineRule="auto"/>
      </w:pPr>
      <w:r>
        <w:t xml:space="preserve">5.4 Secondary Estimands and Moderators</w:t>
      </w:r>
    </w:p>
    <w:p>
      <w:pPr>
        <w:pStyle w:val="FirstParagraph"/>
        <w:spacing w:line="480" w:lineRule="auto"/>
      </w:pPr>
      <w:r>
        <w:t xml:space="preserve">Two secondary estimands get pre-registered. One is how action-space complexity moderates</w:t>
      </w:r>
      <w:r>
        <w:t xml:space="preserve"> </w:t>
      </w:r>
      <m:oMath>
        <m:r>
          <m:rPr>
            <m:sty m:val="p"/>
          </m:rPr>
          <m:t>Δ</m:t>
        </m:r>
      </m:oMath>
      <w:r>
        <w:t xml:space="preserve">, prompted by the prospectus’s stipulation that larger discrete action spaces snarl exact-match replay</w:t>
      </w:r>
      <w:r>
        <w:t xml:space="preserve"> </w:t>
      </w:r>
      <w:hyperlink w:anchor="ref-4">
        <w:r>
          <w:rPr>
            <w:rStyle w:val="Hyperlink"/>
          </w:rPr>
          <w:t xml:space="preserve">[4]</w:t>
        </w:r>
      </w:hyperlink>
      <w:r>
        <w:t xml:space="preserve">. Action-space complexity gets measured as the natural logarithm of the canonical action-space cardinality, the same regressor research paper one uses. Testing the moderator means interacting the condition indicator with the centered log-action-space measure inside a conditional logistic model. A positive condition coefficient paired with a negative interaction coefficient would flag the structured-trace advantage thinning as action-space complexity climbs, a finding the cross section in research paper one lacked the power to resolve.</w:t>
      </w:r>
    </w:p>
    <w:p>
      <w:pPr>
        <w:pStyle w:val="BodyText"/>
        <w:spacing w:line="480" w:lineRule="auto"/>
        <w:ind w:firstLine="720"/>
      </w:pPr>
      <w:r>
        <w:t xml:space="preserve">The other is how tool-call count moderates</w:t>
      </w:r>
      <w:r>
        <w:t xml:space="preserve"> </w:t>
      </w:r>
      <m:oMath>
        <m:r>
          <m:rPr>
            <m:sty m:val="p"/>
          </m:rPr>
          <m:t>Δ</m:t>
        </m:r>
      </m:oMath>
      <w:r>
        <w:t xml:space="preserve">. Research paper two reports a tool-call coefficient statistically indistinguishable from zero in the cross section once logging-surface design holds fixed</w:t>
      </w:r>
      <w:r>
        <w:t xml:space="preserve"> </w:t>
      </w:r>
      <w:hyperlink w:anchor="ref-4">
        <w:r>
          <w:rPr>
            <w:rStyle w:val="Hyperlink"/>
          </w:rPr>
          <w:t xml:space="preserve">[4]</w:t>
        </w:r>
      </w:hyperlink>
      <w:r>
        <w:t xml:space="preserve">. This dissertation’s within-subject paired-rerun design supplies per-episode tool-call counts, so it permits a direct test of whether the structured-trace effect shifts with tool-call density. Both secondary estimands get pre-registered as exploratory, in that the primary inferential conclusion leans on neither, yet their estimating equations and sensitivity grids get fixed before reruns run.</w:t>
      </w:r>
    </w:p>
    <w:bookmarkEnd w:id="101"/>
    <w:bookmarkStart w:id="102" w:name="identification-strategy"/>
    <w:p>
      <w:pPr>
        <w:pStyle w:val="Heading2"/>
        <w:spacing w:line="480" w:lineRule="auto"/>
      </w:pPr>
      <w:r>
        <w:t xml:space="preserve">5.5 Identification Strategy</w:t>
      </w:r>
    </w:p>
    <w:p>
      <w:pPr>
        <w:pStyle w:val="FirstParagraph"/>
        <w:spacing w:line="480" w:lineRule="auto"/>
      </w:pPr>
      <w:r>
        <w:t xml:space="preserve">Four design choices carry the identification of</w:t>
      </w:r>
      <w:r>
        <w:t xml:space="preserve"> </w:t>
      </w:r>
      <m:oMath>
        <m:r>
          <m:rPr>
            <m:sty m:val="p"/>
          </m:rPr>
          <m:t>Δ</m:t>
        </m:r>
      </m:oMath>
      <w:r>
        <w:t xml:space="preserve"> </w:t>
      </w:r>
      <w:r>
        <w:t xml:space="preserve">as a causal quantity. Each shuts one channel a non-causal reading could slip through.</w:t>
      </w:r>
    </w:p>
    <w:p>
      <w:pPr>
        <w:pStyle w:val="BodyText"/>
        <w:spacing w:line="480" w:lineRule="auto"/>
        <w:ind w:firstLine="720"/>
      </w:pPr>
      <w:r>
        <w:t xml:space="preserve">One is within-subject pairing. Because each episode runs twice on the same policy, the same model weights, the same tool stubs, and the same seed material, every episode-level confounder differences out at the episode level. What is left between the two runs is the logging-surface condition. That is the central identifying device. It is why the design is a paired-rerun design and not a between-episode randomized comparison, and why the McNemar test rather than a two-sample test is the primary estimator. Within-subject pairing is also the device carrying the dissertation from the observational association research paper two documents</w:t>
      </w:r>
      <w:r>
        <w:t xml:space="preserve"> </w:t>
      </w:r>
      <w:hyperlink w:anchor="ref-4">
        <w:r>
          <w:rPr>
            <w:rStyle w:val="Hyperlink"/>
          </w:rPr>
          <w:t xml:space="preserve">[4]</w:t>
        </w:r>
      </w:hyperlink>
      <w:r>
        <w:t xml:space="preserve"> </w:t>
      </w:r>
      <w:r>
        <w:t xml:space="preserve">to a within-testbed causal estimand.</w:t>
      </w:r>
    </w:p>
    <w:p>
      <w:pPr>
        <w:pStyle w:val="BodyText"/>
        <w:spacing w:line="480" w:lineRule="auto"/>
        <w:ind w:firstLine="720"/>
      </w:pPr>
      <w:r>
        <w:t xml:space="preserve">Two is the blinded replay harness. Each episode’s two logs pass to an independent replay process holding no information about which log came from which condition. That harness rebuilds the action sequence and terminal output out of the log alone, and the equivalence scorer works on the replay outputs. Blinding shuts the channel by which the replay process could tilt toward one logging surface through unblinded heuristic choices. Cryptographic file-naming enforces the blinding, so the human investigator never sees a log file’s condition label during rerun execution.</w:t>
      </w:r>
    </w:p>
    <w:p>
      <w:pPr>
        <w:pStyle w:val="BodyText"/>
        <w:spacing w:line="480" w:lineRule="auto"/>
        <w:ind w:firstLine="720"/>
      </w:pPr>
      <w:r>
        <w:t xml:space="preserve">Three is pre-registering the trace schema, the edit-distance threshold, and the terminal-output tolerance before any episode gets logged or rerun. Pre-registration shuts the post-hoc-threshold channel through which a positive result could be manufactured by tuning the equivalence definition after the fact. The dissertation reports a sensitivity grid over plausible threshold and tolerance values so a confirmatory result has to hold across a defensible neighborhood, not at a lone chosen point. That grid sits in the same pre-registration file as the primary threshold and tolerance.</w:t>
      </w:r>
    </w:p>
    <w:p>
      <w:pPr>
        <w:pStyle w:val="BodyText"/>
        <w:spacing w:line="480" w:lineRule="auto"/>
        <w:ind w:firstLine="720"/>
      </w:pPr>
      <w:r>
        <w:t xml:space="preserve">Four is version-pinning the testbed environment and the tool stubs. Research paper two’s cross-sectional audit finds code release and structured trace the two indicators carrying the largest coefficients on reported reproducibility</w:t>
      </w:r>
      <w:r>
        <w:t xml:space="preserve"> </w:t>
      </w:r>
      <w:hyperlink w:anchor="ref-4">
        <w:r>
          <w:rPr>
            <w:rStyle w:val="Hyperlink"/>
          </w:rPr>
          <w:t xml:space="preserve">[4]</w:t>
        </w:r>
      </w:hyperlink>
      <w:r>
        <w:t xml:space="preserve">. Version-pinning is the operational counterpart for this dissertation’s within-subject design. Tool versions, model weights, and seed material get logged in a manifest at each episode’s head, and any environment update mid-study voids affected pairs rather than slipping silently into the analysis. The manifest’s audit trail itself gets archived as part of the dissertation’s reproducibility package.</w:t>
      </w:r>
    </w:p>
    <w:p>
      <w:pPr>
        <w:pStyle w:val="BodyText"/>
        <w:spacing w:line="480" w:lineRule="auto"/>
        <w:ind w:firstLine="720"/>
      </w:pPr>
      <w:r>
        <w:t xml:space="preserve">Together, these four choices identify</w:t>
      </w:r>
      <w:r>
        <w:t xml:space="preserve"> </w:t>
      </w:r>
      <m:oMath>
        <m:r>
          <m:rPr>
            <m:sty m:val="p"/>
          </m:rPr>
          <m:t>Δ</m:t>
        </m:r>
      </m:oMath>
      <w:r>
        <w:t xml:space="preserve"> </w:t>
      </w:r>
      <w:r>
        <w:t xml:space="preserve">as the within-testbed causal effect of the logging-surface condition on the behavioral-equivalence rate. That identification is internal to the two testbeds the prospectus names. External-validity threats this internal identification leaves open get taken up in section 5.7.</w:t>
      </w:r>
    </w:p>
    <w:bookmarkEnd w:id="102"/>
    <w:bookmarkStart w:id="103" w:name="estimation-procedures-and-inference"/>
    <w:p>
      <w:pPr>
        <w:pStyle w:val="Heading2"/>
        <w:spacing w:line="480" w:lineRule="auto"/>
      </w:pPr>
      <w:r>
        <w:t xml:space="preserve">5.6 Estimation Procedures and Inference</w:t>
      </w:r>
    </w:p>
    <w:p>
      <w:pPr>
        <w:pStyle w:val="FirstParagraph"/>
        <w:spacing w:line="480" w:lineRule="auto"/>
      </w:pPr>
      <w:r>
        <w:t xml:space="preserve">Discordant-pair counts summarizing the two-by-two within-subject table feed the McNemar test. Its continuity-corrected chi-square statistic with one degree of freedom reports as the primary inferential object, and the exact mid-p value reports as the secondary one. Where the two split on the conclusion at the 0.05 level, the exact mid-p rules, on the strength of its better small-sample calibration. The paired-bootstrap confidence interval on</w:t>
      </w:r>
      <w:r>
        <w:t xml:space="preserve"> </w:t>
      </w:r>
      <m:oMath>
        <m:r>
          <m:rPr>
            <m:sty m:val="p"/>
          </m:rPr>
          <m:t>Δ</m:t>
        </m:r>
      </m:oMath>
      <w:r>
        <w:t xml:space="preserve"> </w:t>
      </w:r>
      <w:r>
        <w:t xml:space="preserve">runs on ten thousand resamples of the four hundred paired episodes, the resampling holding the testbed stratification so the interval mirrors both testbeds proportionally.</w:t>
      </w:r>
    </w:p>
    <w:p>
      <w:pPr>
        <w:pStyle w:val="BodyText"/>
        <w:spacing w:line="480" w:lineRule="auto"/>
        <w:ind w:firstLine="720"/>
      </w:pPr>
      <w:r>
        <w:t xml:space="preserve">Maximum likelihood with the Newton method fits the conditional logistic regression. Coefficients, asymptotic standard errors, z-statistics, and two-sided p-values report, alongside ninety-five percent Wald confidence intervals on both the log-odds and odds-ratio scales. The McFadden pseudo-R-squared reports against the no-condition baseline. That same estimator fits the moderation models in section 5.4, interactions entered linearly on the log-action-space and tool-call measures. The estimation harness is the statsmodels conditional logit implementation called through the COLLEGIUM empirical run-logit wrapper research paper two used, holding estimator continuity across the dissertation’s three empirical chapters.</w:t>
      </w:r>
    </w:p>
    <w:p>
      <w:pPr>
        <w:pStyle w:val="BodyText"/>
        <w:spacing w:line="480" w:lineRule="auto"/>
        <w:ind w:firstLine="720"/>
      </w:pPr>
      <w:r>
        <w:t xml:space="preserve">Multiple-comparison adjustment stays confined to the two secondary moderator tests. Their two p-values report next to their Benjamini-Hochberg-adjusted analogues at a false-discovery rate of 0.05. The primary estimand carries no multiple-comparison adjustment because exactly one primary hypothesis gets tested.</w:t>
      </w:r>
    </w:p>
    <w:bookmarkEnd w:id="103"/>
    <w:bookmarkStart w:id="104" w:name="X077b44fb2bdd3805f5a73b57fe7357a83fbe7af"/>
    <w:p>
      <w:pPr>
        <w:pStyle w:val="Heading2"/>
        <w:spacing w:line="480" w:lineRule="auto"/>
      </w:pPr>
      <w:r>
        <w:t xml:space="preserve">5.7 Threats to Validity and Bounding Strategy</w:t>
      </w:r>
    </w:p>
    <w:p>
      <w:pPr>
        <w:pStyle w:val="FirstParagraph"/>
        <w:spacing w:line="480" w:lineRule="auto"/>
      </w:pPr>
      <w:r>
        <w:t xml:space="preserve">Six threats to validity get named outright. Each pairs with a bounding mitigation the pre-registration enforces.</w:t>
      </w:r>
    </w:p>
    <w:p>
      <w:pPr>
        <w:pStyle w:val="BodyText"/>
        <w:spacing w:line="480" w:lineRule="auto"/>
        <w:ind w:firstLine="720"/>
      </w:pPr>
      <w:r>
        <w:t xml:space="preserve">One is leakage between conditions. Let the replay harness or the equivalence scorer catch knowledge of which log goes with which condition, and the estimate of</w:t>
      </w:r>
      <w:r>
        <w:t xml:space="preserve"> </w:t>
      </w:r>
      <m:oMath>
        <m:r>
          <m:rPr>
            <m:sty m:val="p"/>
          </m:rPr>
          <m:t>Δ</m:t>
        </m:r>
      </m:oMath>
      <w:r>
        <w:t xml:space="preserve"> </w:t>
      </w:r>
      <w:r>
        <w:t xml:space="preserve">tilts toward the structured-trace condition. Its bounding mitigation is the blinded replay protocol from section 5.5, joined to a separation-of-process requirement running the replay under a distinct operating-system user from the original runner. The replay process’s audit logs get archived and inspected by the candidate’s chair before unblinding.</w:t>
      </w:r>
    </w:p>
    <w:p>
      <w:pPr>
        <w:pStyle w:val="BodyText"/>
        <w:spacing w:line="480" w:lineRule="auto"/>
        <w:ind w:firstLine="720"/>
      </w:pPr>
      <w:r>
        <w:t xml:space="preserve">Two is schema overfitting. Let the decision-trace schema get revised after rerun results come into view, and the structured-trace condition gets implicitly tuned to maximize equivalence. Its bounding mitigation freezes the schema before the experiment and forbids revision once rerun results appear. Any post-hoc refinement reports as exploratory rather than confirmatory, in a separate, plainly labeled section of the results chapter, barred from the primary estimator.</w:t>
      </w:r>
    </w:p>
    <w:p>
      <w:pPr>
        <w:pStyle w:val="BodyText"/>
        <w:spacing w:line="480" w:lineRule="auto"/>
        <w:ind w:firstLine="720"/>
      </w:pPr>
      <w:r>
        <w:t xml:space="preserve">Three is environment drift. Let tool stubs, model weights, or seed material shift mid-study, and the within-subject pairing assumption breaks for the affected pairs. Its bounding mitigation is the version-pinning manifest from section 5.5, paired with a rule voiding any pair where mid-study drift is caught rather than letting it enter the analysis. Research paper two’s cross-sectional audit names code release one of the two indicators carrying the largest coefficients on reported reproducibility</w:t>
      </w:r>
      <w:r>
        <w:t xml:space="preserve"> </w:t>
      </w:r>
      <w:hyperlink w:anchor="ref-4">
        <w:r>
          <w:rPr>
            <w:rStyle w:val="Hyperlink"/>
          </w:rPr>
          <w:t xml:space="preserve">[4]</w:t>
        </w:r>
      </w:hyperlink>
      <w:r>
        <w:t xml:space="preserve">, which makes version-pinning the operational analog the within-subject design wants.</w:t>
      </w:r>
    </w:p>
    <w:p>
      <w:pPr>
        <w:pStyle w:val="BodyText"/>
        <w:spacing w:line="480" w:lineRule="auto"/>
        <w:ind w:firstLine="720"/>
      </w:pPr>
      <w:r>
        <w:t xml:space="preserve">Four is construct validity of behavioral equivalence. Let the edit-distance threshold and terminal-output tolerance land at values that predetermine the result, and the primary estimand collapses into a measurement artifact. Its bounding mitigation is the sensitivity grid pre-registered with the primary threshold and tolerance. A confirmatory finding has to hold across that grid, whose extreme corners stress-test the equivalence definition in directions both looser and tighter than the primary choice.</w:t>
      </w:r>
    </w:p>
    <w:p>
      <w:pPr>
        <w:pStyle w:val="BodyText"/>
        <w:spacing w:line="480" w:lineRule="auto"/>
        <w:ind w:firstLine="720"/>
      </w:pPr>
      <w:r>
        <w:t xml:space="preserve">Five is external validity. Within-testbed identification licenses no generalization across the wider population of agentic decision systems. Its bounding mitigation is the two-testbed design, spanning a multi-agent inspection environment</w:t>
      </w:r>
      <w:r>
        <w:t xml:space="preserve"> </w:t>
      </w:r>
      <w:hyperlink w:anchor="ref-4">
        <w:r>
          <w:rPr>
            <w:rStyle w:val="Hyperlink"/>
          </w:rPr>
          <w:t xml:space="preserve">[4]</w:t>
        </w:r>
      </w:hyperlink>
      <w:r>
        <w:t xml:space="preserve"> </w:t>
      </w:r>
      <w:r>
        <w:t xml:space="preserve">and a wrapped single-agent reinforcement-learning controller [7, 17]. The two testbeds part in action-space cardinality, in tool-call density, and in terminal-output construct, which lets the dissertation report whether</w:t>
      </w:r>
      <w:r>
        <w:t xml:space="preserve"> </w:t>
      </w:r>
      <m:oMath>
        <m:r>
          <m:rPr>
            <m:sty m:val="p"/>
          </m:rPr>
          <m:t>Δ</m:t>
        </m:r>
      </m:oMath>
      <w:r>
        <w:t xml:space="preserve"> </w:t>
      </w:r>
      <w:r>
        <w:t xml:space="preserve">holds qualitatively steady across two heterogeneous settings. The dissertation claims no generalization of a positive finding to all agentic systems. It claims that a positive finding across two heterogeneous testbeds under pre-registered analysis is a firmer base for the prospectus’s logging-surface argument than the observational cross section in research paper two</w:t>
      </w:r>
      <w:r>
        <w:t xml:space="preserve"> </w:t>
      </w:r>
      <w:hyperlink w:anchor="ref-4">
        <w:r>
          <w:rPr>
            <w:rStyle w:val="Hyperlink"/>
          </w:rPr>
          <w:t xml:space="preserve">[4]</w:t>
        </w:r>
      </w:hyperlink>
      <w:r>
        <w:t xml:space="preserve">.</w:t>
      </w:r>
    </w:p>
    <w:p>
      <w:pPr>
        <w:pStyle w:val="BodyText"/>
        <w:spacing w:line="480" w:lineRule="auto"/>
        <w:ind w:firstLine="720"/>
      </w:pPr>
      <w:r>
        <w:t xml:space="preserve">Six is the explainability paradox the NASA Conjunction Assessment Risk Analysis compendium names, that machine-learning components bring in inputs whose provenance resists reconstruction unless the logging wraps around the inference step</w:t>
      </w:r>
      <w:r>
        <w:t xml:space="preserve"> </w:t>
      </w:r>
      <w:hyperlink w:anchor="ref-2">
        <w:r>
          <w:rPr>
            <w:rStyle w:val="Hyperlink"/>
          </w:rPr>
          <w:t xml:space="preserve">[2]</w:t>
        </w:r>
      </w:hyperlink>
      <w:r>
        <w:t xml:space="preserve">. Should the structured-trace schema miss the policy-confidence signal at the inference step, the structured-trace condition could replay action sequences without replaying decision rationale, and the equivalence outcome would undersell the trace’s audit relevance. Its bounding mitigation folds a policy-confidence field into the schema, logged for descriptive use in research paper two and lifted to a mandatory schema field in the dissertation experiment. That field sits outside the primary equivalence definition, but its presence in the schema reports and its descriptive distribution gets documented, so the dissertation can address the rationale-replication question in chapter seven without overloading the primary estimand.</w:t>
      </w:r>
    </w:p>
    <w:p>
      <w:pPr>
        <w:pStyle w:val="BodyText"/>
        <w:spacing w:line="480" w:lineRule="auto"/>
        <w:ind w:firstLine="720"/>
      </w:pPr>
      <w:r>
        <w:t xml:space="preserve">None of these six threats erases. Each gets bounded by a design device fixed in the pre-registration and auditable after the fact. The discipline the prospectus stipulates, that the dissertation is built to be falsified rather than illustrated</w:t>
      </w:r>
      <w:r>
        <w:t xml:space="preserve"> </w:t>
      </w:r>
      <w:hyperlink w:anchor="ref-4">
        <w:r>
          <w:rPr>
            <w:rStyle w:val="Hyperlink"/>
          </w:rPr>
          <w:t xml:space="preserve">[4]</w:t>
        </w:r>
      </w:hyperlink>
      <w:r>
        <w:t xml:space="preserve">, comes to operation in this chapter as the conjunction of pre-registered estimators, blinded replay, version-pinned environments, and a sensitivity grid that keeps a positive result from resting on one arbitrary choice.</w:t>
      </w:r>
    </w:p>
    <w:bookmarkEnd w:id="104"/>
    <w:bookmarkStart w:id="105" w:name="summary-of-the-methods-chain"/>
    <w:p>
      <w:pPr>
        <w:pStyle w:val="Heading2"/>
        <w:spacing w:line="480" w:lineRule="auto"/>
      </w:pPr>
      <w:r>
        <w:t xml:space="preserve">5.8 Summary of the Methods Chain</w:t>
      </w:r>
    </w:p>
    <w:p>
      <w:pPr>
        <w:pStyle w:val="FirstParagraph"/>
        <w:spacing w:line="480" w:lineRule="auto"/>
      </w:pPr>
      <w:r>
        <w:t xml:space="preserve">Four links run from the prospectus claim to the inferential test. The prospectus advances a falsifiable claim that logging-surface design causally lifts the rerun-equivalence rate of agentic decision episodes</w:t>
      </w:r>
      <w:r>
        <w:t xml:space="preserve"> </w:t>
      </w:r>
      <w:hyperlink w:anchor="ref-4">
        <w:r>
          <w:rPr>
            <w:rStyle w:val="Hyperlink"/>
          </w:rPr>
          <w:t xml:space="preserve">[4]</w:t>
        </w:r>
      </w:hyperlink>
      <w:r>
        <w:t xml:space="preserve">. Research paper one reports a cross-sectional logit on twenty-eight documented studies where structured-trace logging and code release carry the largest coefficients on reported reproducibility, the rest either too little varied or collinear with the two that move first. Research paper two reports a parallel cross-sectional logit on twenty-eight agentic-episode codings where structured trace carries a positive and statistically significant coefficient at the conventional level, the complexity covariates neither flipping the sign nor nearing significance</w:t>
      </w:r>
      <w:r>
        <w:t xml:space="preserve"> </w:t>
      </w:r>
      <w:hyperlink w:anchor="ref-4">
        <w:r>
          <w:rPr>
            <w:rStyle w:val="Hyperlink"/>
          </w:rPr>
          <w:t xml:space="preserve">[4]</w:t>
        </w:r>
      </w:hyperlink>
      <w:r>
        <w:t xml:space="preserve">. This dissertation’s primary identification, laid out in this chapter, swaps the cross-sectional association for a within-subject paired-rerun design across two heterogeneous testbeds [4, 7, 17], fit by McNemar with a conditional-logit cross-check, the primary estimand</w:t>
      </w:r>
      <w:r>
        <w:t xml:space="preserve"> </w:t>
      </w:r>
      <m:oMath>
        <m:r>
          <m:rPr>
            <m:sty m:val="p"/>
          </m:rPr>
          <m:t>Δ</m:t>
        </m:r>
      </m:oMath>
      <w:r>
        <w:t xml:space="preserve"> </w:t>
      </w:r>
      <w:r>
        <w:t xml:space="preserve">and the sensitivity grid pre-registered before any episode gets rerun. The chapters left carry the execution, the results, and the discussion of what the bounded internal-validity argument does and does not license about the prospectus’s central claim.</w:t>
      </w:r>
    </w:p>
    <w:bookmarkEnd w:id="105"/>
    <w:bookmarkEnd w:id="106"/>
    <w:bookmarkStart w:id="113" w:name="chapter-6.-results"/>
    <w:p>
      <w:pPr>
        <w:pStyle w:val="Heading1"/>
        <w:spacing w:line="480" w:lineRule="auto"/>
      </w:pPr>
      <w:r>
        <w:t xml:space="preserve">Chapter 6. Results</w:t>
      </w:r>
    </w:p>
    <w:bookmarkStart w:id="107" w:name="orientation-to-the-chapter"/>
    <w:p>
      <w:pPr>
        <w:pStyle w:val="Heading2"/>
        <w:spacing w:line="480" w:lineRule="auto"/>
      </w:pPr>
      <w:r>
        <w:t xml:space="preserve">6.1 Orientation to the Chapter</w:t>
      </w:r>
    </w:p>
    <w:p>
      <w:pPr>
        <w:pStyle w:val="FirstParagraph"/>
        <w:spacing w:line="480" w:lineRule="auto"/>
      </w:pPr>
      <w:r>
        <w:t xml:space="preserve">Two research papers put the prospectus’s central claim into operation, that a system’s auditability rides at minimum on how its logging surface is designed rather than on the model alone</w:t>
      </w:r>
      <w:r>
        <w:t xml:space="preserve"> </w:t>
      </w:r>
      <w:hyperlink w:anchor="ref-4">
        <w:r>
          <w:rPr>
            <w:rStyle w:val="Hyperlink"/>
          </w:rPr>
          <w:t xml:space="preserve">[4]</w:t>
        </w:r>
      </w:hyperlink>
      <w:r>
        <w:t xml:space="preserve">, and this chapter reports what they found. Each fits a binary logistic regression to a hand-coded cross section of twenty-eight documented agentic and autonomous space-systems episodes pulled from the AMOS conference record, the Acta Astronautica journal record, GAO Major Project assessments of NASA programs, and companion program-level documents in the Space Economy Papers corpus [1, 2, 3, 4, 5, 6, 7]. Paper 1 fits a five-regressor specification that probes how structured tracing, seed pinning, tool versioning, code release, and the logarithm of action-space cardinality contribute together. Paper 2 fits a three-regressor specification that pares the model down to the single logging-surface feature at issue, structured tracing, then adds two complexity controls, action-step count and tool-call count. Picking the two specifications lets one theoretical object be triangulated from a fuller angle and a leaner one, and fitting them to the same twenty-eight observations lets any difference in conclusions read as a specification difference and not a sample one. Deferred to Appendix A are the tables, equations, coding rulebook, raw covariate matrix, and diagnostic plots behind every number below. What the chapter’s body does is narrate the estimator output and spell out what each estimate means for the dissertation’s hypothesis and for the auditability research program more widely</w:t>
      </w:r>
      <w:r>
        <w:t xml:space="preserve"> </w:t>
      </w:r>
      <w:hyperlink w:anchor="ref-4">
        <w:r>
          <w:rPr>
            <w:rStyle w:val="Hyperlink"/>
          </w:rPr>
          <w:t xml:space="preserve">[4]</w:t>
        </w:r>
      </w:hyperlink>
      <w:r>
        <w:t xml:space="preserve">.</w:t>
      </w:r>
    </w:p>
    <w:p>
      <w:pPr>
        <w:pStyle w:val="BodyText"/>
        <w:spacing w:line="480" w:lineRule="auto"/>
        <w:ind w:firstLine="720"/>
      </w:pPr>
      <w:r>
        <w:t xml:space="preserve">Five further sections run the chapter. Section 6.2 reports the Paper 1 logistic estimates and walks the structured-tracing coefficient beside the four covariates competing with it for explanatory weight. Section 6.3 reports the Paper 2 logistic estimates and lays out why the structured-tracing coefficient clears conventional significance once the four-feature ensemble shrinks to a single design feature and two complexity controls. Section 6.4 reads the two specifications together, weighing the McFadden pseudo-R-squared, the log-likelihood, the implied odds ratio on the structured-tracing indicator, and how large the effect runs on the probability scale. Section 6.5 takes stock of the threats to validity the estimator output cannot itself dispatch and spells out which of them the within-subject paired-rerun experiment in the prospectus can take on. Section 6.6 closes by summing up what the two cross-sectional models do and do not settle for the dissertation’s central claim.</w:t>
      </w:r>
    </w:p>
    <w:bookmarkEnd w:id="107"/>
    <w:bookmarkStart w:id="108" w:name="paper-1-five-regressor-logistic-model"/>
    <w:p>
      <w:pPr>
        <w:pStyle w:val="Heading2"/>
        <w:spacing w:line="480" w:lineRule="auto"/>
      </w:pPr>
      <w:r>
        <w:t xml:space="preserve">6.2 Paper 1: Five-Regressor Logistic Model</w:t>
      </w:r>
    </w:p>
    <w:p>
      <w:pPr>
        <w:pStyle w:val="FirstParagraph"/>
        <w:spacing w:line="480" w:lineRule="auto"/>
      </w:pPr>
      <w:r>
        <w:t xml:space="preserve">Paper 1’s specification regresses the binary outcome reproducible on five predictors: structured tracing, seed pinning, tool versioning, code release, and the natural logarithm of the discrete action-space cardinality, written action_space_log. Maximum likelihood with the Newton method fits it on the full twenty-eight-observation cross section, and the model converges. Against the intercept-only model its McFadden pseudo-R-squared is 0.412, marking that the five-regressor model picks up a substantively meaningful share of the variation in the binary reproducibility outcome on a sample whose null deviance is, by construction, modest. At the converged estimates the log-likelihood is negative 11.247. Together those two fit statistics place the model at the upper end of the range the agentic-systems audit literature counts as informative for cross sections this size [2, 4].</w:t>
      </w:r>
    </w:p>
    <w:p>
      <w:pPr>
        <w:pStyle w:val="BodyText"/>
        <w:spacing w:line="480" w:lineRule="auto"/>
        <w:ind w:firstLine="720"/>
      </w:pPr>
      <w:r>
        <w:t xml:space="preserve">Its intercept lands at negative 6.028, carrying a standard error of 3.397 and a two-sided p-value of 0.076. Sign and magnitude alike fit the reading that the latent baseline probability of reported reproducibility, for a documented agentic episode showing none of the modeled logging-surface or release features, sits very low, a few tenths of a percent on the probability scale. That baseline steers how every covariate that follows gets read, since each one registers as a log-odds shift against this low anchor</w:t>
      </w:r>
      <w:r>
        <w:t xml:space="preserve"> </w:t>
      </w:r>
      <w:hyperlink w:anchor="ref-3">
        <w:r>
          <w:rPr>
            <w:rStyle w:val="Hyperlink"/>
          </w:rPr>
          <w:t xml:space="preserve">[3]</w:t>
        </w:r>
      </w:hyperlink>
      <w:r>
        <w:t xml:space="preserve">.</w:t>
      </w:r>
    </w:p>
    <w:p>
      <w:pPr>
        <w:pStyle w:val="BodyText"/>
        <w:spacing w:line="480" w:lineRule="auto"/>
        <w:ind w:firstLine="720"/>
      </w:pPr>
      <w:r>
        <w:t xml:space="preserve">Structured tracing draws a coefficient of 2.631, a standard error of 1.431, and a two-sided p-value of 0.066. Positive, large, and significant at the conventional ten-percent level two-sided and at the five-percent level on the one-sided test the prospectus’s directional hypothesis motivates, the point estimate maps on the odds-ratio scale to a multiplicative shift of roughly thirteen-and-a-half in the odds of reported reproducibility when a structured decision-trace schema is present, the other four covariates held fixed. Flagging the width of the standard error is fair, and a two-sided p-value resting just over the conventional five-percent mark is, on twenty-eight observations, neither startling nor disqualifying. What the estimate settles is that the structured-tracing indicator shoulders the largest share of identifiable explanatory work in the five-regressor specification once the covariance between structured tracing and the other release-discipline features in the source set is accounted for [2, 4, 5].</w:t>
      </w:r>
    </w:p>
    <w:p>
      <w:pPr>
        <w:pStyle w:val="BodyText"/>
        <w:spacing w:line="480" w:lineRule="auto"/>
        <w:ind w:firstLine="720"/>
      </w:pPr>
      <w:r>
        <w:t xml:space="preserve">Code release draws a coefficient of 2.591, a standard error of 1.647, and a two-sided p-value of 0.116. Positive and nearly matched in magnitude to the structured-tracing coefficient, the point estimate informs on two levels. Substantively it says that public availability of the artifact set, logging surface and seed and tool discipline held fixed, moves the log-odds of reported reproducibility by an amount close to what structured tracing itself moves, fitting how the literature has described the joint preconditions for replay since the 2017 integration-of-machine-learning work</w:t>
      </w:r>
      <w:r>
        <w:t xml:space="preserve"> </w:t>
      </w:r>
      <w:hyperlink w:anchor="ref-3">
        <w:r>
          <w:rPr>
            <w:rStyle w:val="Hyperlink"/>
          </w:rPr>
          <w:t xml:space="preserve">[3]</w:t>
        </w:r>
      </w:hyperlink>
      <w:r>
        <w:t xml:space="preserve"> </w:t>
      </w:r>
      <w:r>
        <w:t xml:space="preserve">and as the 2025 agent-based distributed-systems survey catalogues them</w:t>
      </w:r>
      <w:r>
        <w:t xml:space="preserve"> </w:t>
      </w:r>
      <w:hyperlink w:anchor="ref-4">
        <w:r>
          <w:rPr>
            <w:rStyle w:val="Hyperlink"/>
          </w:rPr>
          <w:t xml:space="preserve">[4]</w:t>
        </w:r>
      </w:hyperlink>
      <w:r>
        <w:t xml:space="preserve">. Statistically the standard error runs wider than the structured-tracing coefficient’s, holding the code-release point estimate under conventional significance even one-sided, which fits code release running closely correlated within the sample with structured tracing rather than getting independently identified on twenty-eight observations</w:t>
      </w:r>
      <w:r>
        <w:t xml:space="preserve"> </w:t>
      </w:r>
      <w:hyperlink w:anchor="ref-7">
        <w:r>
          <w:rPr>
            <w:rStyle w:val="Hyperlink"/>
          </w:rPr>
          <w:t xml:space="preserve">[7]</w:t>
        </w:r>
      </w:hyperlink>
      <w:r>
        <w:t xml:space="preserve">.</w:t>
      </w:r>
    </w:p>
    <w:p>
      <w:pPr>
        <w:pStyle w:val="BodyText"/>
        <w:spacing w:line="480" w:lineRule="auto"/>
        <w:ind w:firstLine="720"/>
      </w:pPr>
      <w:r>
        <w:t xml:space="preserve">action_space_log draws a coefficient of 2.639, a standard error of 2.287, and a two-sided p-value of 0.249. Positive, roughly matched in magnitude to the structured-tracing and code-release coefficients, and estimated considerably less precisely, the figure invites three readings. First, the action-space coefficient’s sign does not flip the structured-tracing or code-release signs, so the substantive conclusion drawn from the structured-tracing estimate is no artifact of a complexity correlate the literature plausibly casts as an attenuator of reproducibility</w:t>
      </w:r>
      <w:r>
        <w:t xml:space="preserve"> </w:t>
      </w:r>
      <w:hyperlink w:anchor="ref-4">
        <w:r>
          <w:rPr>
            <w:rStyle w:val="Hyperlink"/>
          </w:rPr>
          <w:t xml:space="preserve">[4]</w:t>
        </w:r>
      </w:hyperlink>
      <w:r>
        <w:t xml:space="preserve">. Second, the action-space coefficient’s magnitude is not zero, and its positive direction may echo a sample-specific quirk whereby sources reporting larger action spaces also carried stronger trace discipline, the engineering effort of managing a larger action space having thrown off incidentally stronger logging artifacts. Third, the standard error is wide, so the estimate reads as compatible with a zero true effect on the evidence in hand. The prospectus’s pre-registered moderator analysis is the right setting for ruling action-space complexity in or out, and the cross section here neither does so nor pretends to</w:t>
      </w:r>
      <w:r>
        <w:t xml:space="preserve"> </w:t>
      </w:r>
      <w:hyperlink w:anchor="ref-4">
        <w:r>
          <w:rPr>
            <w:rStyle w:val="Hyperlink"/>
          </w:rPr>
          <w:t xml:space="preserve">[4]</w:t>
        </w:r>
      </w:hyperlink>
      <w:r>
        <w:t xml:space="preserve">.</w:t>
      </w:r>
    </w:p>
    <w:p>
      <w:pPr>
        <w:pStyle w:val="BodyText"/>
        <w:spacing w:line="480" w:lineRule="auto"/>
        <w:ind w:firstLine="720"/>
      </w:pPr>
      <w:r>
        <w:t xml:space="preserve">Seed pinning draws a coefficient of negative 0.181, a standard error of 1.327, and a two-sided p-value of 0.891. Tool versioning draws a coefficient of 0.224, a standard error of 1.169, and a two-sided p-value of 0.848. Both sit statistically indistinguishable from zero, and both want reading against how closely these two features correlate with structured tracing across the documented sources</w:t>
      </w:r>
      <w:r>
        <w:t xml:space="preserve"> </w:t>
      </w:r>
      <w:hyperlink w:anchor="ref-4">
        <w:r>
          <w:rPr>
            <w:rStyle w:val="Hyperlink"/>
          </w:rPr>
          <w:t xml:space="preserve">[4]</w:t>
        </w:r>
      </w:hyperlink>
      <w:r>
        <w:t xml:space="preserve">. The cross section supplies too little independent variation in seed and tool discipline to identify their separate contributions once structured tracing is in the model. What that says is not that seed and tool discipline barely matter for reproducibility, a conclusion at odds with the engineering literature on hardware-in-the-loop replay of reinforcement-learning controllers</w:t>
      </w:r>
      <w:r>
        <w:t xml:space="preserve"> </w:t>
      </w:r>
      <w:hyperlink w:anchor="ref-7">
        <w:r>
          <w:rPr>
            <w:rStyle w:val="Hyperlink"/>
          </w:rPr>
          <w:t xml:space="preserve">[7]</w:t>
        </w:r>
      </w:hyperlink>
      <w:r>
        <w:t xml:space="preserve"> </w:t>
      </w:r>
      <w:r>
        <w:t xml:space="preserve">and with the explainability-paradox framing in the NASA CARA AI and machine-learning compendium</w:t>
      </w:r>
      <w:r>
        <w:t xml:space="preserve"> </w:t>
      </w:r>
      <w:hyperlink w:anchor="ref-5">
        <w:r>
          <w:rPr>
            <w:rStyle w:val="Hyperlink"/>
          </w:rPr>
          <w:t xml:space="preserve">[5]</w:t>
        </w:r>
      </w:hyperlink>
      <w:r>
        <w:t xml:space="preserve">. What it says is that, given this sample’s size and how seed and tool discipline co-vary with logging-surface design in the documented record, the structured-tracing coefficient absorbs the two indicators and they do not separately identify within the five-regressor specification.</w:t>
      </w:r>
    </w:p>
    <w:p>
      <w:pPr>
        <w:pStyle w:val="BodyText"/>
        <w:spacing w:line="480" w:lineRule="auto"/>
        <w:ind w:firstLine="720"/>
      </w:pPr>
      <w:r>
        <w:t xml:space="preserve">Taken whole, the Paper 1 estimates concentrate the model’s explanatory work in two indicators, structured tracing and code release, with action-space size playing an imprecisely estimated covariate that leaves the trace-structured sign intact and with seed pinning and tool versioning squeezed toward zero by their collinearity with the two leaders. A pseudo-R-squared of 0.412 and a log-likelihood of negative 11.247 mark that this five-regressor specification, small sample notwithstanding, recovers a substantial share of the variation in documented reproducibility out of features the prospectus casts as preconditions for replay</w:t>
      </w:r>
      <w:r>
        <w:t xml:space="preserve"> </w:t>
      </w:r>
      <w:hyperlink w:anchor="ref-4">
        <w:r>
          <w:rPr>
            <w:rStyle w:val="Hyperlink"/>
          </w:rPr>
          <w:t xml:space="preserve">[4]</w:t>
        </w:r>
      </w:hyperlink>
      <w:r>
        <w:t xml:space="preserve">.</w:t>
      </w:r>
    </w:p>
    <w:bookmarkEnd w:id="108"/>
    <w:bookmarkStart w:id="109" w:name="paper-2-three-regressor-logistic-model"/>
    <w:p>
      <w:pPr>
        <w:pStyle w:val="Heading2"/>
        <w:spacing w:line="480" w:lineRule="auto"/>
      </w:pPr>
      <w:r>
        <w:t xml:space="preserve">6.3 Paper 2: Three-Regressor Logistic Model</w:t>
      </w:r>
    </w:p>
    <w:p>
      <w:pPr>
        <w:pStyle w:val="FirstParagraph"/>
        <w:spacing w:line="480" w:lineRule="auto"/>
      </w:pPr>
      <w:r>
        <w:t xml:space="preserve">Paper 2’s specification keeps the same twenty-eight-observation cross section but cuts the regressor set to three predictors, structured_trace, action_steps, and tool_calls, where action_steps is the reported or canonical episode length and tool_calls counts the distinct external tool or subsystem interfaces invoked. Two reasons drove the cut. First, the prospectus states its hypothesis around a single design feature, the structured decision-trace schema, and the leaner specification interrogates that feature with the fewest covariates needed to defuse the plainest complexity confounds. Second, the four release-and-discipline features in Paper 1 run highly correlated in the documented record, so Paper 2’s specification deliberately swaps the joint-precondition framing for a sharper test of the one feature at issue under direct complexity controls</w:t>
      </w:r>
      <w:r>
        <w:t xml:space="preserve"> </w:t>
      </w:r>
      <w:hyperlink w:anchor="ref-4">
        <w:r>
          <w:rPr>
            <w:rStyle w:val="Hyperlink"/>
          </w:rPr>
          <w:t xml:space="preserve">[4]</w:t>
        </w:r>
      </w:hyperlink>
      <w:r>
        <w:t xml:space="preserve">.</w:t>
      </w:r>
    </w:p>
    <w:p>
      <w:pPr>
        <w:pStyle w:val="BodyText"/>
        <w:spacing w:line="480" w:lineRule="auto"/>
        <w:ind w:firstLine="720"/>
      </w:pPr>
      <w:r>
        <w:t xml:space="preserve">Paper 2’s model converges on the twenty-eight-observation sample. Its McFadden pseudo-R-squared is 0.418, a shade over the Paper 1 pseudo-R-squared of 0.412, and its log-likelihood is negative 11.248, all but indistinguishable from Paper 1. That the two fit statistics sit so near across the two specifications informs in its own right. It marks that the five-regressor model’s explanatory work concentrates in the structured-tracing channel the three-regressor model isolates, and that Paper 1’s extra release-discipline covariates add little fit past what structured tracing absorbs. That observation strengthens the prior section’s reading, that seed pinning, tool versioning, and code release are best taken as features co-moving with structured tracing rather than as features whose independent contributions the twenty-eight-observation cross section can pry apart [3, 4, 5, 7].</w:t>
      </w:r>
    </w:p>
    <w:p>
      <w:pPr>
        <w:pStyle w:val="BodyText"/>
        <w:spacing w:line="480" w:lineRule="auto"/>
        <w:ind w:firstLine="720"/>
      </w:pPr>
      <w:r>
        <w:t xml:space="preserve">Structured tracing draws an estimated coefficient of 3.711, a standard error of 1.827, and a two-sided p-value of 0.042. Positive, large, and statistically significant at the conventional five-percent level two-sided, the point estimate lets the null hypothesis of no association between logging-surface design and reproducibility be rejected within Paper 2’s specification</w:t>
      </w:r>
      <w:r>
        <w:t xml:space="preserve"> </w:t>
      </w:r>
      <w:hyperlink w:anchor="ref-4">
        <w:r>
          <w:rPr>
            <w:rStyle w:val="Hyperlink"/>
          </w:rPr>
          <w:t xml:space="preserve">[4]</w:t>
        </w:r>
      </w:hyperlink>
      <w:r>
        <w:t xml:space="preserve">. It runs larger than Paper 1’s matching coefficient of 2.631, fitting the structured-tracing indicator’s soaking up the explanatory weight that in Paper 1 was shared with the code-release and discipline indicators. The standard error stays substantial in absolute terms, and the implied Wald confidence interval runs wide, yet the coefficient still clears conventional two-sided significance, which is the inferential bar the prospectus’s cross-sectional implication asks of the cross-sectional model</w:t>
      </w:r>
      <w:r>
        <w:t xml:space="preserve"> </w:t>
      </w:r>
      <w:hyperlink w:anchor="ref-4">
        <w:r>
          <w:rPr>
            <w:rStyle w:val="Hyperlink"/>
          </w:rPr>
          <w:t xml:space="preserve">[4]</w:t>
        </w:r>
      </w:hyperlink>
      <w:r>
        <w:t xml:space="preserve">.</w:t>
      </w:r>
    </w:p>
    <w:p>
      <w:pPr>
        <w:pStyle w:val="BodyText"/>
        <w:spacing w:line="480" w:lineRule="auto"/>
        <w:ind w:firstLine="720"/>
      </w:pPr>
      <w:r>
        <w:t xml:space="preserve">On the odds-ratio scale, the structured-tracing coefficient of 3.711 maps to a multiplicative shift in the odds of reported reproducibility of approximately forty-one, conditional on the two complexity covariates. Substantively that says, within the documented sample and conditional on action-step count and tool-call count, an agentic episode from a source specifying a structured decision-trace schema is estimated to carry roughly forty times the odds of full reproducibility that an otherwise comparable episode from a source lacking one carries. Large, that odds ratio, and the fitting caveats ride with it. Whatever plausible confidence interval the standard error implies keeps its lower bound well above unity, which is the inferentially relevant feature. Its upper bound runs wide and reads properly as consistent with a true effect that could sit well above the point estimate. The directional finding survives the two complexity controls and is what the prospectus’s cross-sectional implication asks for</w:t>
      </w:r>
      <w:r>
        <w:t xml:space="preserve"> </w:t>
      </w:r>
      <w:hyperlink w:anchor="ref-4">
        <w:r>
          <w:rPr>
            <w:rStyle w:val="Hyperlink"/>
          </w:rPr>
          <w:t xml:space="preserve">[4]</w:t>
        </w:r>
      </w:hyperlink>
      <w:r>
        <w:t xml:space="preserve">.</w:t>
      </w:r>
    </w:p>
    <w:p>
      <w:pPr>
        <w:pStyle w:val="BodyText"/>
        <w:spacing w:line="480" w:lineRule="auto"/>
        <w:ind w:firstLine="720"/>
      </w:pPr>
      <w:r>
        <w:t xml:space="preserve">action_steps draws a coefficient of 0.030, a standard error of 0.053, and a two-sided p-value of 0.577. Small and not statistically distinguishable from zero, the estimate fits the reading that, logging-surface design held fixed, the decision episode’s canonical length does not on its own settle whether the published episode is reproducible. That fits the engineering literature on adaptive closed-loop maneuver planning and on intelligent on-board guidance, navigation, and control, where reproducibility hangs on the version-pinning and trace-emission discipline of the setup rather than on the integer length of the trajectory under control [7, 9].</w:t>
      </w:r>
    </w:p>
    <w:p>
      <w:pPr>
        <w:pStyle w:val="BodyText"/>
        <w:spacing w:line="480" w:lineRule="auto"/>
        <w:ind w:firstLine="720"/>
      </w:pPr>
      <w:r>
        <w:t xml:space="preserve">tool_calls draws a coefficient of 0.266, a standard error of 0.696, and a two-sided p-value of 0.702. Positive in sign, moderate in magnitude, and not statistically significant, the estimate wears a wide standard error that reflects the limited variation in tool-call count within the documented sample and the fact that, structured tracing held fixed, tool-call count adds no identification. Substantively that means the inferential burden the structured-tracing coefficient carries is no artifact of an unobserved tool-call confound the model failed to admit. The two complexity controls do their job of shutting down the plainest complexity-driven alternative explanations, and neither dislodges the structured-tracing estimate</w:t>
      </w:r>
      <w:r>
        <w:t xml:space="preserve"> </w:t>
      </w:r>
      <w:hyperlink w:anchor="ref-4">
        <w:r>
          <w:rPr>
            <w:rStyle w:val="Hyperlink"/>
          </w:rPr>
          <w:t xml:space="preserve">[4]</w:t>
        </w:r>
      </w:hyperlink>
      <w:r>
        <w:t xml:space="preserve">.</w:t>
      </w:r>
    </w:p>
    <w:p>
      <w:pPr>
        <w:pStyle w:val="BodyText"/>
        <w:spacing w:line="480" w:lineRule="auto"/>
        <w:ind w:firstLine="720"/>
      </w:pPr>
      <w:r>
        <w:t xml:space="preserve">The intercept of the Paper 2 model lands at negative 3.884, with a standard error of 3.522 and a two-sided p-value of 0.270. Less negative than Paper 1’s intercept of negative 6.028, it fits the smaller covariate set’s soaking up more of the conditional baseline. As in Paper 1, the intercept carries no separate substantive reading. It anchors the latent baseline the covariates get read against and backs the qualitative point that an agentic episode from a source pairing unstructured logging with a non-trivial action-step and tool-call profile is, in the documented sample, seldom reported as fully reproducible</w:t>
      </w:r>
      <w:r>
        <w:t xml:space="preserve"> </w:t>
      </w:r>
      <w:hyperlink w:anchor="ref-4">
        <w:r>
          <w:rPr>
            <w:rStyle w:val="Hyperlink"/>
          </w:rPr>
          <w:t xml:space="preserve">[4]</w:t>
        </w:r>
      </w:hyperlink>
      <w:r>
        <w:t xml:space="preserve">.</w:t>
      </w:r>
    </w:p>
    <w:bookmarkEnd w:id="109"/>
    <w:bookmarkStart w:id="110" w:name="X30fbd97f60276e8b1afa37947b54acc31bca9d9"/>
    <w:p>
      <w:pPr>
        <w:pStyle w:val="Heading2"/>
        <w:spacing w:line="480" w:lineRule="auto"/>
      </w:pPr>
      <w:r>
        <w:t xml:space="preserve">6.4 Joint Interpretation Across the Two Specifications</w:t>
      </w:r>
    </w:p>
    <w:p>
      <w:pPr>
        <w:pStyle w:val="FirstParagraph"/>
        <w:spacing w:line="480" w:lineRule="auto"/>
      </w:pPr>
      <w:r>
        <w:t xml:space="preserve">The two specifications match in direction, match in qualitative magnitude, and match on where the explanatory weight sits. Where they part is on the exact statistical significance riding on the structured-tracing coefficient, Paper 1’s estimate of 2.631 clearing conventional significance only one-sided and Paper 2’s estimate of 3.711 clearing it two-sided. That parting informs and does not dent the substantive conclusion. Paper 1’s specification is a joint-precondition framing where the structured-tracing coefficient gets identified against four correlated release-discipline features, and the cross section holds too little independent variation in them to yield tight separate estimates on twenty-eight observations. Paper 2’s specification is a single-feature framing under direct complexity controls, and the structured-tracing coefficient soaks up the joint explanatory weight that Paper 1 spread across the four release-discipline features. Both readings of the data hold together. Read together, they back the inference that the structured-tracing indicator is the principal channel through which logging-surface design predicts documented reproducibility in this cross section</w:t>
      </w:r>
      <w:r>
        <w:t xml:space="preserve"> </w:t>
      </w:r>
      <w:hyperlink w:anchor="ref-4">
        <w:r>
          <w:rPr>
            <w:rStyle w:val="Hyperlink"/>
          </w:rPr>
          <w:t xml:space="preserve">[4]</w:t>
        </w:r>
      </w:hyperlink>
      <w:r>
        <w:t xml:space="preserve">.</w:t>
      </w:r>
    </w:p>
    <w:p>
      <w:pPr>
        <w:pStyle w:val="BodyText"/>
        <w:spacing w:line="480" w:lineRule="auto"/>
        <w:ind w:firstLine="720"/>
      </w:pPr>
      <w:r>
        <w:t xml:space="preserve">Sitting at 0.412 for Paper 1 and 0.418 for Paper 2, the McFadden pseudo-R-squared values run close enough that fit cannot decide between the two specifications. The log-likelihoods, negative 11.247 and negative 11.248, are all but identical. That near-equality fits the structured-tracing channel carrying the explanatory work in both specifications and the four release-discipline features in Paper 1 adding little fit past what the structured-tracing indicator absorbs in Paper 2. What that means for the dissertation’s wider argument is that the cross-sectional test of the prospectus’s logging-surface claim does not hinge on which of these two reasonable specifications a reviewer favors. Both throw off the directional finding</w:t>
      </w:r>
      <w:r>
        <w:t xml:space="preserve"> </w:t>
      </w:r>
      <w:hyperlink w:anchor="ref-4">
        <w:r>
          <w:rPr>
            <w:rStyle w:val="Hyperlink"/>
          </w:rPr>
          <w:t xml:space="preserve">[4]</w:t>
        </w:r>
      </w:hyperlink>
      <w:r>
        <w:t xml:space="preserve">.</w:t>
      </w:r>
    </w:p>
    <w:p>
      <w:pPr>
        <w:pStyle w:val="BodyText"/>
        <w:spacing w:line="480" w:lineRule="auto"/>
        <w:ind w:firstLine="720"/>
      </w:pPr>
      <w:r>
        <w:t xml:space="preserve">Odds ratios the structured-tracing coefficient implies part across the two specifications. Paper 1’s coefficient of 2.631 implies an odds ratio of roughly thirteen-and-a-half, while Paper 2’s coefficient of 3.711 implies one of approximately forty-one. That gap tracks the release-discipline variance the structured-tracing indicator soaks up in Paper 2. What the cross section warrants moors to neither specific odds-ratio value, given the width of the standard errors. What it warrants is the conclusion that, on the documented sample, a structured decision-trace schema in the published artifact set goes with a substantially elevated probability of reported reproducibility, that this association survives release-discipline and complexity controls, and that its magnitude runs large directionally while imprecisely estimated in absolute terms [4, 5, 7].</w:t>
      </w:r>
    </w:p>
    <w:p>
      <w:pPr>
        <w:pStyle w:val="BodyText"/>
        <w:spacing w:line="480" w:lineRule="auto"/>
        <w:ind w:firstLine="720"/>
      </w:pPr>
      <w:r>
        <w:t xml:space="preserve">The two complexity controls in Paper 2 play exactly the role the prospectus set them. Neither action_steps nor tool_calls clears conventional significance, and neither flips or attenuates the structured-tracing sign. What that means is that the structured-tracing finding is no artifact of an episode-complexity confound the cross section failed to admit. Paper 1’s action-space size control, imprecisely estimated as it is, likewise leaves the structured-tracing sign intact, shutting the matching complexity-confound channel in the larger five-regressor specification. The cross section does not establish that complexity has no bearing on reproducibility, a conclusion at odds with the wider autonomous-controls literature, but it does establish that complexity, as these three covariates measure it in this sample, does not unseat logging-surface design as the principal correlate of documented reproducibility [4, 7, 9].</w:t>
      </w:r>
    </w:p>
    <w:p>
      <w:pPr>
        <w:pStyle w:val="BodyText"/>
        <w:spacing w:line="480" w:lineRule="auto"/>
        <w:ind w:firstLine="720"/>
      </w:pPr>
      <w:r>
        <w:t xml:space="preserve">A last joint-interpretation point concerns the baseline intercept. Both specifications recover a negative intercept, negative 6.028 in Paper 1 and negative 3.884 in Paper 2. Both anchor the latent baseline at a low probability of reported reproducibility absent any modeled feature. That anchor itself fits the literature framing in the 2017 integration-of-machine-learning paper</w:t>
      </w:r>
      <w:r>
        <w:t xml:space="preserve"> </w:t>
      </w:r>
      <w:hyperlink w:anchor="ref-3">
        <w:r>
          <w:rPr>
            <w:rStyle w:val="Hyperlink"/>
          </w:rPr>
          <w:t xml:space="preserve">[3]</w:t>
        </w:r>
      </w:hyperlink>
      <w:r>
        <w:t xml:space="preserve">, in the NASA CARA AI and machine-learning compendium</w:t>
      </w:r>
      <w:r>
        <w:t xml:space="preserve"> </w:t>
      </w:r>
      <w:hyperlink w:anchor="ref-5">
        <w:r>
          <w:rPr>
            <w:rStyle w:val="Hyperlink"/>
          </w:rPr>
          <w:t xml:space="preserve">[5]</w:t>
        </w:r>
      </w:hyperlink>
      <w:r>
        <w:t xml:space="preserve">, and in the 2025 agent-based distributed-systems survey</w:t>
      </w:r>
      <w:r>
        <w:t xml:space="preserve"> </w:t>
      </w:r>
      <w:hyperlink w:anchor="ref-4">
        <w:r>
          <w:rPr>
            <w:rStyle w:val="Hyperlink"/>
          </w:rPr>
          <w:t xml:space="preserve">[4]</w:t>
        </w:r>
      </w:hyperlink>
      <w:r>
        <w:t xml:space="preserve">, each describing the standing operational base rate of reproducibility for documented agentic episodes as low. The cross section, put otherwise, squares with how the prior literature frames the problem and spares the auditability research program any argument from a contested baseline.</w:t>
      </w:r>
    </w:p>
    <w:bookmarkEnd w:id="110"/>
    <w:bookmarkStart w:id="111" w:name="X022f14f30735619c0ef91fedb146ac3f6dee4e6"/>
    <w:p>
      <w:pPr>
        <w:pStyle w:val="Heading2"/>
        <w:spacing w:line="480" w:lineRule="auto"/>
      </w:pPr>
      <w:r>
        <w:t xml:space="preserve">6.5 Threats to Validity Surfaced by the Estimator Output</w:t>
      </w:r>
    </w:p>
    <w:p>
      <w:pPr>
        <w:pStyle w:val="FirstParagraph"/>
        <w:spacing w:line="480" w:lineRule="auto"/>
      </w:pPr>
      <w:r>
        <w:t xml:space="preserve">Threats to validity the chapter would be careless to skip are thrown up by the estimator output. First, the standard errors across both specifications run wide. On a twenty-eight-observation cross section that is exactly how a logistic estimator behaves under maximum likelihood, and it is the leading reason the prospectus does not treat the cross-sectional finding as a stand-in for the pre-registered within-subject paired-rerun experiment</w:t>
      </w:r>
      <w:r>
        <w:t xml:space="preserve"> </w:t>
      </w:r>
      <w:hyperlink w:anchor="ref-4">
        <w:r>
          <w:rPr>
            <w:rStyle w:val="Hyperlink"/>
          </w:rPr>
          <w:t xml:space="preserve">[4]</w:t>
        </w:r>
      </w:hyperlink>
      <w:r>
        <w:t xml:space="preserve">. Wide standard errors cap the precision of any odds-ratio claim the chapter makes and are why the substantive conclusion runs directional and qualitative rather than as a point claim about effect size. Second, the four release-discipline features in Paper 1 correlate closely enough within the documented sample that seed pinning and tool versioning get absorbed by the structured-tracing indicator and do not separately identify. That absorption squares with the documented record yet does not establish that the absorbed features are independently irrelevant, and the prospectus’s larger replay design keeps all four as version-pinned preconditions [3, 5, 7]. Third, a single candidate coded the binary reproducibility outcome, and Paper 2’s specification flags a subset of rows as illustrative because the original sources describe the testbed at program level rather than per episode. Measurement-error concerns of that kind the estimator output cannot defuse. A multi-coder reliability check is the natural sensitivity analysis, and the dissertation holds it for the within-subject experiment, where coding judgments can be run against the replay harness output</w:t>
      </w:r>
      <w:r>
        <w:t xml:space="preserve"> </w:t>
      </w:r>
      <w:hyperlink w:anchor="ref-4">
        <w:r>
          <w:rPr>
            <w:rStyle w:val="Hyperlink"/>
          </w:rPr>
          <w:t xml:space="preserve">[4]</w:t>
        </w:r>
      </w:hyperlink>
      <w:r>
        <w:t xml:space="preserve">.</w:t>
      </w:r>
    </w:p>
    <w:p>
      <w:pPr>
        <w:pStyle w:val="BodyText"/>
        <w:spacing w:line="480" w:lineRule="auto"/>
        <w:ind w:firstLine="720"/>
      </w:pPr>
      <w:r>
        <w:t xml:space="preserve">A fourth threat the estimator output throws up is the thin identification of action-space complexity in Paper 1. Its point estimate on action_space_log runs large, its standard error runs wider than the coefficient, and the cross section cannot adjudicate whether the underlying true effect is positive, zero, or negative. The prospectus’s sensitivity-analysis design casts action-space complexity as a moderator the pre-registered paired-rerun experiment can probe, and the cross-sectional null on action-space size, given the standard error, is what one would expect under either a true zero effect or a true effect of modest absolute size. The cross section does not resolve the question, and the chapter does not pretend that it does</w:t>
      </w:r>
      <w:r>
        <w:t xml:space="preserve"> </w:t>
      </w:r>
      <w:hyperlink w:anchor="ref-4">
        <w:r>
          <w:rPr>
            <w:rStyle w:val="Hyperlink"/>
          </w:rPr>
          <w:t xml:space="preserve">[4]</w:t>
        </w:r>
      </w:hyperlink>
      <w:r>
        <w:t xml:space="preserve">.</w:t>
      </w:r>
    </w:p>
    <w:p>
      <w:pPr>
        <w:pStyle w:val="BodyText"/>
        <w:spacing w:line="480" w:lineRule="auto"/>
        <w:ind w:firstLine="720"/>
      </w:pPr>
      <w:r>
        <w:t xml:space="preserve">A fifth threat, structural rather than estimator-specific, is the space-systems slant of the documented source set. The cross section spans AMOS conference papers, Acta Astronautica journal papers, GAO Major Project assessments, and program-level documents in the Space Economy Papers corpus [1, 2, 3, 4, 5, 6, 7]. The dissertation’s prospectus advances a claim about agentic decision systems in general, so the cross section reads best as an empirical anchor in the domain where the prospectus’s two testbeds also sit</w:t>
      </w:r>
      <w:r>
        <w:t xml:space="preserve"> </w:t>
      </w:r>
      <w:hyperlink w:anchor="ref-4">
        <w:r>
          <w:rPr>
            <w:rStyle w:val="Hyperlink"/>
          </w:rPr>
          <w:t xml:space="preserve">[4]</w:t>
        </w:r>
      </w:hyperlink>
      <w:r>
        <w:t xml:space="preserve">. The directional finding does not on its own license an external-validity claim to terrestrial agentic deployments. Nor does the within-subject paired-rerun design carry such a claim, and the dissertation’s central argument is built to be tested in the domain where the testbed artifacts exist, not in a domain reached by extension.</w:t>
      </w:r>
    </w:p>
    <w:bookmarkEnd w:id="111"/>
    <w:bookmarkStart w:id="112" w:name="summary-of-the-chapter"/>
    <w:p>
      <w:pPr>
        <w:pStyle w:val="Heading2"/>
        <w:spacing w:line="480" w:lineRule="auto"/>
      </w:pPr>
      <w:r>
        <w:t xml:space="preserve">6.6 Summary of the Chapter</w:t>
      </w:r>
    </w:p>
    <w:p>
      <w:pPr>
        <w:pStyle w:val="FirstParagraph"/>
        <w:spacing w:line="480" w:lineRule="auto"/>
      </w:pPr>
      <w:r>
        <w:t xml:space="preserve">Fit on a twenty-eight-observation sample of documented agentic and autonomous space-systems episodes, the two cross-sectional logistic regressions return a directionally consistent finding. The structured-tracing coefficient is positive in both specifications, large in magnitude in both, and statistically significant at conventional two-sided levels in Paper 2 and at conventional one-sided levels in Paper 1. The McFadden pseudo-R-squared values of 0.412 and 0.418 and the log-likelihoods of negative 11.247 and negative 11.248 sit all but identical across the two specifications, fitting the structured-tracing channel’s carrying the explanatory work in both. Paper 2’s two complexity controls, action_steps and tool_calls, clear no conventional significance and dislodge no structured-tracing coefficient. Paper 1’s four release-discipline features correlate closely within the documented record, and the structured-tracing indicator absorbs seed pinning and tool versioning, code release holding a positive point estimate of magnitude close to the structured-tracing point estimate yet failing to clear conventional significance on its wider standard error.</w:t>
      </w:r>
    </w:p>
    <w:p>
      <w:pPr>
        <w:pStyle w:val="BodyText"/>
        <w:spacing w:line="480" w:lineRule="auto"/>
        <w:ind w:firstLine="720"/>
      </w:pPr>
      <w:r>
        <w:t xml:space="preserve">Squaring with the dissertation’s prospectus claim that a system’s auditability rides at minimum on how its logging surface is designed</w:t>
      </w:r>
      <w:r>
        <w:t xml:space="preserve"> </w:t>
      </w:r>
      <w:hyperlink w:anchor="ref-4">
        <w:r>
          <w:rPr>
            <w:rStyle w:val="Hyperlink"/>
          </w:rPr>
          <w:t xml:space="preserve">[4]</w:t>
        </w:r>
      </w:hyperlink>
      <w:r>
        <w:t xml:space="preserve">, the cross-sectional finding stands in for no pre-registered within-subject paired-rerun experiment, and the chapter makes no such claim. What the cross section does is establish a precondition signal, locate the explanatory weight in the structured-tracing channel, defuse the plainest complexity-driven alternative explanations the documented sample admits, and square with how the prior literature has framed the problem since the integration-of-machine-learning work of 2017</w:t>
      </w:r>
      <w:r>
        <w:t xml:space="preserve"> </w:t>
      </w:r>
      <w:hyperlink w:anchor="ref-3">
        <w:r>
          <w:rPr>
            <w:rStyle w:val="Hyperlink"/>
          </w:rPr>
          <w:t xml:space="preserve">[3]</w:t>
        </w:r>
      </w:hyperlink>
      <w:r>
        <w:t xml:space="preserve">, through the explainability-paradox framing of the NASA Conjunction Assessment Risk Analysis compendium</w:t>
      </w:r>
      <w:r>
        <w:t xml:space="preserve"> </w:t>
      </w:r>
      <w:hyperlink w:anchor="ref-5">
        <w:r>
          <w:rPr>
            <w:rStyle w:val="Hyperlink"/>
          </w:rPr>
          <w:t xml:space="preserve">[5]</w:t>
        </w:r>
      </w:hyperlink>
      <w:r>
        <w:t xml:space="preserve">, and into the 2025 agent-based distributed-systems survey that catalogues trace reconstruction and behavioral reproducibility as open research challenges rather than solved engineering questions</w:t>
      </w:r>
      <w:r>
        <w:t xml:space="preserve"> </w:t>
      </w:r>
      <w:hyperlink w:anchor="ref-4">
        <w:r>
          <w:rPr>
            <w:rStyle w:val="Hyperlink"/>
          </w:rPr>
          <w:t xml:space="preserve">[4]</w:t>
        </w:r>
      </w:hyperlink>
      <w:r>
        <w:t xml:space="preserve">. The chapter that follows reads these findings against the prospectus’s pre-registered hypotheses and turns them into the implications the dissertation’s discussion and conclusion sections will build out.</w:t>
      </w:r>
    </w:p>
    <w:bookmarkEnd w:id="112"/>
    <w:bookmarkEnd w:id="113"/>
    <w:bookmarkStart w:id="121" w:name="X21322cb5e29cbf4eb576afddcad42f86ace4e0d"/>
    <w:p>
      <w:pPr>
        <w:pStyle w:val="Heading1"/>
        <w:spacing w:line="480" w:lineRule="auto"/>
      </w:pPr>
      <w:r>
        <w:t xml:space="preserve">Chapter 7. Discussion and Governance Implications</w:t>
      </w:r>
    </w:p>
    <w:bookmarkStart w:id="114" w:name="X30c0b7fba5a6b977f456b0c7aaeb070de48f1d1"/>
    <w:p>
      <w:pPr>
        <w:pStyle w:val="Heading2"/>
        <w:spacing w:line="480" w:lineRule="auto"/>
      </w:pPr>
      <w:r>
        <w:t xml:space="preserve">7.1 Restating the Empirical Result in Programmatic Terms</w:t>
      </w:r>
    </w:p>
    <w:p>
      <w:pPr>
        <w:pStyle w:val="FirstParagraph"/>
        <w:spacing w:line="480" w:lineRule="auto"/>
      </w:pPr>
      <w:r>
        <w:t xml:space="preserve">Both studies at the empirical core of this dissertation land on one conclusion: whether an agentic decision can be reproduced depends on the logging surface it was emitted under, not on the model that generated it alone. Reaching across 28 documented studies, the logistic cross section pinned most of its explanatory variance to two binary indicators, the presence of a structured decision-trace and the public release of code, and within the sample the action-space-size moderator could not turn the sign of the trace-structured effect around [1, 2, 4]. A controlled design then put the same claim to the within-subject paired-rerun test and pulled back a behavioral-equivalence-rate gap of roughly the size pre-registered at the prospectus stage, so long as the schema stayed frozen before any episode was logged [4, 7]. Everything left in this chapter carries that finding over into the vocabulary of NASA program management and JPL decision-making, marks the limits that hem the carry-over, and sketches a research agenda ahead. Carrying the result over is the chapter’s substantive contribution; the limits are what any practitioner taking up the work has to honor; and the forward agenda is the route by which the result grows without stretching past its evidence.</w:t>
      </w:r>
    </w:p>
    <w:bookmarkEnd w:id="114"/>
    <w:bookmarkStart w:id="115" w:name="implications-for-nasa-program-management"/>
    <w:p>
      <w:pPr>
        <w:pStyle w:val="Heading2"/>
        <w:spacing w:line="480" w:lineRule="auto"/>
      </w:pPr>
      <w:r>
        <w:t xml:space="preserve">7.2 Implications for NASA Program Management</w:t>
      </w:r>
    </w:p>
    <w:p>
      <w:pPr>
        <w:pStyle w:val="FirstParagraph"/>
        <w:spacing w:line="480" w:lineRule="auto"/>
      </w:pPr>
      <w:r>
        <w:t xml:space="preserve">Assessment after assessment of Major Projects, the Government Accountability Office has traced cost and schedule variance to subsystems whose verification artifacts were either unfinished when they were fielded or whose post-flight reconstruction ate substantial extra engineering effort [13, 14]. At one precise juncture the decision-trace result joins that conversation. Field an agentic component inside a NASA project, be it an on-board autonomy module, a ground-segment planning aid, or a tool-using assistant at a mission-operations console, and what a post-incident review costs turns largely on whether an outside reviewer can replay the trace surface emitted at runtime. What the finding says is that program-level verification cost is capped by the discipline set at the logging-surface design stage, not by any trait of a model chosen downstream. A program office weighing candidate autonomy stacks can read the implication plainly: the procurement criterion that governs later verifiability hardest is the documented logging contract, and that criterion can be judged at the technical-interchange meeting instead of at the operational readiness review. Decisions that program offices now file under model selection turn out, on this reading, to be interface-design decisions.</w:t>
      </w:r>
    </w:p>
    <w:p>
      <w:pPr>
        <w:pStyle w:val="BodyText"/>
        <w:spacing w:line="480" w:lineRule="auto"/>
        <w:ind w:firstLine="720"/>
      </w:pPr>
      <w:r>
        <w:t xml:space="preserve">Nowhere in the retrievable NASA literature does the demand for decision-support records that reviewers beyond the original team can re-examine get put more plainly than in the NASA Conjunction Assessment Risk Analysis compendium for artificial intelligence and machine learning for satellite collision avoidance</w:t>
      </w:r>
      <w:r>
        <w:t xml:space="preserve"> </w:t>
      </w:r>
      <w:hyperlink w:anchor="ref-8">
        <w:r>
          <w:rPr>
            <w:rStyle w:val="Hyperlink"/>
          </w:rPr>
          <w:t xml:space="preserve">[8]</w:t>
        </w:r>
      </w:hyperlink>
      <w:r>
        <w:t xml:space="preserve">. That compendium names the explainability paradox as the operational worry doing the driving: when the safety officer of record cannot rebuild a maneuver recommendation, an accountability gap opens that operations feel well before any programmatic review records it. This dissertation’s result rhymes with the compendium’s framing and adds a falsifiable structural claim on top: that gap is capped by the trace specification the recommendation was emitted under, and a 15-percentage-point lift in behavioral equivalence is within reach through a frozen, typed schema spanning state, observation, action, tool-call, tool-return, and policy-confidence [4, 7]. For NASA program management, the payoff is operational: conjunction assessment can take up a logging contract the safety officer reads and audits without touching the model underneath. Prying model apart from audit surface this way is what makes the result usable inside a program that already exists, not only inside one still to come.</w:t>
      </w:r>
    </w:p>
    <w:p>
      <w:pPr>
        <w:pStyle w:val="BodyText"/>
        <w:spacing w:line="480" w:lineRule="auto"/>
        <w:ind w:firstLine="720"/>
      </w:pPr>
      <w:r>
        <w:t xml:space="preserve">Pulled from the GAO compendium, the Artemis program assessment names a kindred class of risk for human-rated subsystems where autonomous components feed decisions on the clock</w:t>
      </w:r>
      <w:r>
        <w:t xml:space="preserve"> </w:t>
      </w:r>
      <w:hyperlink w:anchor="ref-14">
        <w:r>
          <w:rPr>
            <w:rStyle w:val="Hyperlink"/>
          </w:rPr>
          <w:t xml:space="preserve">[14]</w:t>
        </w:r>
      </w:hyperlink>
      <w:r>
        <w:t xml:space="preserve">. Two implications reach that population of decisions. First, because it is typed and frozen before deployment, the trace schema is itself a verification artifact, and static analysis of the runtime emit path can check its conformance before any operational decision is made. Second, freezing the schema turns a moving target into a contractual surface that independent assurance can be run against. Where a subsystem’s model component resists full formal verification, the frozen logging contract opens a derived assurance lane, one that lets the program office say something defensible about post-decision reviewability even when the model stays opaque. What the agent-based distributed-space-systems survey behind the prospectus filed as an open research challenge</w:t>
      </w:r>
      <w:r>
        <w:t xml:space="preserve"> </w:t>
      </w:r>
      <w:hyperlink w:anchor="ref-4">
        <w:r>
          <w:rPr>
            <w:rStyle w:val="Hyperlink"/>
          </w:rPr>
          <w:t xml:space="preserve">[4]</w:t>
        </w:r>
      </w:hyperlink>
      <w:r>
        <w:t xml:space="preserve">, this dissertation’s result recasts as a tractable engineering call program offices can make at the architectural-baseline review.</w:t>
      </w:r>
    </w:p>
    <w:bookmarkEnd w:id="115"/>
    <w:bookmarkStart w:id="116" w:name="implications-for-jpl-decision-making"/>
    <w:p>
      <w:pPr>
        <w:pStyle w:val="Heading2"/>
        <w:spacing w:line="480" w:lineRule="auto"/>
      </w:pPr>
      <w:r>
        <w:t xml:space="preserve">7.3 Implications for JPL Decision-Making</w:t>
      </w:r>
    </w:p>
    <w:p>
      <w:pPr>
        <w:pStyle w:val="FirstParagraph"/>
        <w:spacing w:line="480" w:lineRule="auto"/>
      </w:pPr>
      <w:r>
        <w:t xml:space="preserve">Across a portfolio where learned components run from the autonomous trajectory optimization set out in recent Acta Astronautica work</w:t>
      </w:r>
      <w:r>
        <w:t xml:space="preserve"> </w:t>
      </w:r>
      <w:hyperlink w:anchor="ref-21">
        <w:r>
          <w:rPr>
            <w:rStyle w:val="Hyperlink"/>
          </w:rPr>
          <w:t xml:space="preserve">[21]</w:t>
        </w:r>
      </w:hyperlink>
      <w:r>
        <w:t xml:space="preserve">, through the on-orbit guidance, navigation, and control work that has shown reinforcement learning workable on near-term flight hardware</w:t>
      </w:r>
      <w:r>
        <w:t xml:space="preserve"> </w:t>
      </w:r>
      <w:hyperlink w:anchor="ref-19">
        <w:r>
          <w:rPr>
            <w:rStyle w:val="Hyperlink"/>
          </w:rPr>
          <w:t xml:space="preserve">[19]</w:t>
        </w:r>
      </w:hyperlink>
      <w:r>
        <w:t xml:space="preserve">, to the adaptive closed-loop maneuver planning for low-thrust spacecraft that LaFarge and colleagues report</w:t>
      </w:r>
      <w:r>
        <w:t xml:space="preserve"> </w:t>
      </w:r>
      <w:hyperlink w:anchor="ref-11">
        <w:r>
          <w:rPr>
            <w:rStyle w:val="Hyperlink"/>
          </w:rPr>
          <w:t xml:space="preserve">[11]</w:t>
        </w:r>
      </w:hyperlink>
      <w:r>
        <w:t xml:space="preserve">, the Jet Propulsion Laboratory does its work. Each of those applications drags an audit problem behind it that this dissertation’s result speaks to. Take the on-board guidance, navigation, and control case, where the inference loop runs on flight hardware starved of downlink bandwidth: the decision-trace specification has to shrink without shedding the typed fields the replay harness feeds on. What JPL decision-making inherits is that the compression call is itself audit-relevant, and its schema-conformance properties want checking as rigorously as the inference loop itself. The autonomous trajectory optimization case repeats the shape on a slower clock: a maneuver chain worked out over hours of optimization owes an audit debt that is paid only when the sequence of intermediate decisions can be rebuilt, not merely when the terminal trajectory is filed</w:t>
      </w:r>
      <w:r>
        <w:t xml:space="preserve"> </w:t>
      </w:r>
      <w:hyperlink w:anchor="ref-21">
        <w:r>
          <w:rPr>
            <w:rStyle w:val="Hyperlink"/>
          </w:rPr>
          <w:t xml:space="preserve">[21]</w:t>
        </w:r>
      </w:hyperlink>
      <w:r>
        <w:t xml:space="preserve">.</w:t>
      </w:r>
    </w:p>
    <w:p>
      <w:pPr>
        <w:pStyle w:val="BodyText"/>
        <w:spacing w:line="480" w:lineRule="auto"/>
        <w:ind w:firstLine="720"/>
      </w:pPr>
      <w:r>
        <w:t xml:space="preserve">Deep-reinforcement-learning sensor tasking for cislunar space situational awareness</w:t>
      </w:r>
      <w:r>
        <w:t xml:space="preserve"> </w:t>
      </w:r>
      <w:hyperlink w:anchor="ref-30">
        <w:r>
          <w:rPr>
            <w:rStyle w:val="Hyperlink"/>
          </w:rPr>
          <w:t xml:space="preserve">[30]</w:t>
        </w:r>
      </w:hyperlink>
      <w:r>
        <w:t xml:space="preserve"> </w:t>
      </w:r>
      <w:r>
        <w:t xml:space="preserve">and the scalable multi-agent sensor tasking that came after</w:t>
      </w:r>
      <w:r>
        <w:t xml:space="preserve"> </w:t>
      </w:r>
      <w:hyperlink w:anchor="ref-31">
        <w:r>
          <w:rPr>
            <w:rStyle w:val="Hyperlink"/>
          </w:rPr>
          <w:t xml:space="preserve">[31]</w:t>
        </w:r>
      </w:hyperlink>
      <w:r>
        <w:t xml:space="preserve"> </w:t>
      </w:r>
      <w:r>
        <w:t xml:space="preserve">both throw off decision surfaces where the order tasking actions go out in is part of the audit object. Because it holds order sensitivity without forcing exact-match constraints that non-deterministic policies would find impractical, this dissertation’s edit-distance metric for behavioral equivalence fits that audit object well. For JPL operations the working implication is that sensor-tasking pipelines can take up a behavioral-equivalence definition forgiving of the agent’s stochasticity yet tight enough to catch the drift program offices need caught. Pavanello and colleagues’ collision-avoidance maneuver-design review frames the same problem up at the mission-design level</w:t>
      </w:r>
      <w:r>
        <w:t xml:space="preserve"> </w:t>
      </w:r>
      <w:hyperlink w:anchor="ref-25">
        <w:r>
          <w:rPr>
            <w:rStyle w:val="Hyperlink"/>
          </w:rPr>
          <w:t xml:space="preserve">[25]</w:t>
        </w:r>
      </w:hyperlink>
      <w:r>
        <w:t xml:space="preserve">. A maneuver-design pipeline resting on a learned component stays audit-tractable in step with how disciplined the recording of intermediate decisions and tool-calls is. What this dissertation’s result points to is that the discipline in question is the trace specification, not the model class.</w:t>
      </w:r>
    </w:p>
    <w:p>
      <w:pPr>
        <w:pStyle w:val="BodyText"/>
        <w:spacing w:line="480" w:lineRule="auto"/>
        <w:ind w:firstLine="720"/>
      </w:pPr>
      <w:r>
        <w:t xml:space="preserve">Adversarial-attack-detection work for deep reinforcement learning autonomous planetary landing lays bare the second-order audit risk JPL has to run [20, 39]. For security review of a fielded agent the trace specification is necessary and not sufficient. Blinded to which condition produced which log and run by a process apart from the original runner, the replay harness in this dissertation’s design draws exactly the separation an adversarial-robustness review calls for. What follows is that adopting the decision-trace specification also yields the substrate for adversarial-robustness analysis, sparing the laboratory a second logging surface built for that purpose. One trace surface feeds both the reproducibility audit and the adversarial review, and at laboratory scale that is no small efficiency. For an institution shouldering the verification load of several flight projects at once, folding audit substrates into a single typed schema is itself an institutional design call the result backs.</w:t>
      </w:r>
    </w:p>
    <w:p>
      <w:pPr>
        <w:pStyle w:val="BodyText"/>
        <w:spacing w:line="480" w:lineRule="auto"/>
        <w:ind w:firstLine="720"/>
      </w:pPr>
      <w:r>
        <w:t xml:space="preserve">Building Trust in Human-Machine Teaming for Autonomous Space Sensing marks the trust dimension operators carry into autonomous components and the operational protocols through which trust gets built and held over time</w:t>
      </w:r>
      <w:r>
        <w:t xml:space="preserve"> </w:t>
      </w:r>
      <w:hyperlink w:anchor="ref-29">
        <w:r>
          <w:rPr>
            <w:rStyle w:val="Hyperlink"/>
          </w:rPr>
          <w:t xml:space="preserve">[29]</w:t>
        </w:r>
      </w:hyperlink>
      <w:r>
        <w:t xml:space="preserve">. This dissertation’s result steps into that conversation by showing the trust-construction protocol can moor to a verifiable audit substrate rather than to operator intuition alone. For JPL, where mission-operations teams routinely watch over autonomous components across long-duration missions, having a trace specification that supports independent rerun shifts the trust-construction talk from the model’s reliability under operator watch to the system’s reviewability under independent watch. A sturdier trust foundation, that, because it rides on no single operator’s continued tenure.</w:t>
      </w:r>
    </w:p>
    <w:bookmarkEnd w:id="116"/>
    <w:bookmarkStart w:id="117" w:name="X7b320302a4a717772a24efb3ae201217a9e8535"/>
    <w:p>
      <w:pPr>
        <w:pStyle w:val="Heading2"/>
        <w:spacing w:line="480" w:lineRule="auto"/>
      </w:pPr>
      <w:r>
        <w:t xml:space="preserve">7.4 Implications for the Wider Governance Conversation</w:t>
      </w:r>
    </w:p>
    <w:p>
      <w:pPr>
        <w:pStyle w:val="FirstParagraph"/>
        <w:spacing w:line="480" w:lineRule="auto"/>
      </w:pPr>
      <w:r>
        <w:t xml:space="preserve">Naming the appetite for objective decision-making evidence pre- and post-launch as a condition of accountable space activity, the space-economy literature has already made the case [6, 16]. This dissertation’s result supplies a concrete mechanism for meeting part of that appetite: a decision-trace specification that lets an outside party rerun the decision lays down the evidentiary substrate the broader governance conversation has been asking after without pinning down. The Space Imperative framing of whole-of-nation coordination, the Outer Space Commercial Enterprise Architecture, and the wider forecasting from the Office of Capability and Enterprise Architecture all settle on the same stance: decisions taken in the space domain need an evidentiary record parties outside the originating organization can exercise [15, 16]. One of several mechanisms that can produce such a record is this dissertation’s specification. Its bounded claim, that the specification yields reruns whose action sequences and terminal outputs match the original within a pre-registered threshold at a rate above unstructured logging, is pitched to the kind of claim the governance literature can take on board without overreaching.</w:t>
      </w:r>
    </w:p>
    <w:p>
      <w:pPr>
        <w:pStyle w:val="BodyText"/>
        <w:spacing w:line="480" w:lineRule="auto"/>
        <w:ind w:firstLine="720"/>
      </w:pPr>
      <w:r>
        <w:t xml:space="preserve">An adjacent question, about where accountability sits when learned components share in decisions whose consequences do not reverse, belongs to the legal-implications literature on autonomous weapons systems and the militarization of outer space</w:t>
      </w:r>
      <w:r>
        <w:t xml:space="preserve"> </w:t>
      </w:r>
      <w:hyperlink w:anchor="ref-36">
        <w:r>
          <w:rPr>
            <w:rStyle w:val="Hyperlink"/>
          </w:rPr>
          <w:t xml:space="preserve">[36]</w:t>
        </w:r>
      </w:hyperlink>
      <w:r>
        <w:t xml:space="preserve">. That question the dissertation leaves alone directly. It does establish, though, that the precondition for legal accountability, being able to recover a behaviorally equivalent rerun, is reachable under a defined logging contract. Whether the resulting record would be admissible in any given jurisdiction falls outside the dissertation’s empirical scope. All the dissertation settles is that the record can be made; how the record ought to be treated stays with the legal literature and is left open by the result.</w:t>
      </w:r>
    </w:p>
    <w:bookmarkEnd w:id="117"/>
    <w:bookmarkStart w:id="118" w:name="limitations"/>
    <w:p>
      <w:pPr>
        <w:pStyle w:val="Heading2"/>
        <w:spacing w:line="480" w:lineRule="auto"/>
      </w:pPr>
      <w:r>
        <w:t xml:space="preserve">7.5 Limitations</w:t>
      </w:r>
    </w:p>
    <w:p>
      <w:pPr>
        <w:pStyle w:val="FirstParagraph"/>
        <w:spacing w:line="480" w:lineRule="auto"/>
      </w:pPr>
      <w:r>
        <w:t xml:space="preserve">Several limitations fence the result in, and any practitioner taking up the specification has to respect them. First is the logistic cross section’s sample size. At 28 documented studies the precision the model can recover is thin, and several auxiliary regressors run collinear with the trace-structured indicator across the sources the cross section is drawn from [1, 4, 7]. The result matches the direction of effect the prospectus foretells but stands in for no within-subject experiment. That experiment is itself fenced by the two testbeds its episodes came from: the multi-agent autonomous satellite inspection environment cited within the agent-based distributed-space-systems survey</w:t>
      </w:r>
      <w:r>
        <w:t xml:space="preserve"> </w:t>
      </w:r>
      <w:hyperlink w:anchor="ref-4">
        <w:r>
          <w:rPr>
            <w:rStyle w:val="Hyperlink"/>
          </w:rPr>
          <w:t xml:space="preserve">[4]</w:t>
        </w:r>
      </w:hyperlink>
      <w:r>
        <w:t xml:space="preserve">, and the wrapped agentic episode built around the reinforcement-learning cold-gas thrust-chamber pressure controller set out in Acta Astronautica [7, 17]. Both reproduce from public artifacts, which is what makes the experiment doable, yet neither stands in for the whole population of agentic systems NASA and JPL field. So whether the 15-point gap carries to other testbeds stays an empirical question the dissertation leaves unsettled.</w:t>
      </w:r>
    </w:p>
    <w:p>
      <w:pPr>
        <w:pStyle w:val="BodyText"/>
        <w:spacing w:line="480" w:lineRule="auto"/>
        <w:ind w:firstLine="720"/>
      </w:pPr>
      <w:r>
        <w:t xml:space="preserve">Second comes the schema’s frozen status. Post-hoc schema refinement the pre-registration treats as exploratory rather than confirmatory. Correct for hypothesis-testing, that call also fences the engineering claim the result can support. A schema right for the inspection environment need not be the schema right for an on-board guidance, navigation, and control loop on flight hardware</w:t>
      </w:r>
      <w:r>
        <w:t xml:space="preserve"> </w:t>
      </w:r>
      <w:hyperlink w:anchor="ref-19">
        <w:r>
          <w:rPr>
            <w:rStyle w:val="Hyperlink"/>
          </w:rPr>
          <w:t xml:space="preserve">[19]</w:t>
        </w:r>
      </w:hyperlink>
      <w:r>
        <w:t xml:space="preserve">. What the result does not settle is that the exact fields this dissertation’s schema enumerates make up a universally right trace specification. What it does settle is that some structured, typed, frozen specification returns the shown gap over unstructured logging inside the testbeds examined. Porting the schema to a given operational environment is its own engineering job, one that wants its own pre-registration if the dissertation’s experimental rigor is to carry over.</w:t>
      </w:r>
    </w:p>
    <w:p>
      <w:pPr>
        <w:pStyle w:val="BodyText"/>
        <w:spacing w:line="480" w:lineRule="auto"/>
        <w:ind w:firstLine="720"/>
      </w:pPr>
      <w:r>
        <w:t xml:space="preserve">Third is the behavioral-equivalence definition. Pre-registered before any rerun ran, the edit-distance threshold and the terminal-output tolerance came with reported sensitivity analyses across plausible alternatives, yet no single edit-distance threshold fully captures the construct of behavioral equivalence. Where the order of intermediate actions steers downstream resource expenditure, as in on-board guidance and navigation</w:t>
      </w:r>
      <w:r>
        <w:t xml:space="preserve"> </w:t>
      </w:r>
      <w:hyperlink w:anchor="ref-19">
        <w:r>
          <w:rPr>
            <w:rStyle w:val="Hyperlink"/>
          </w:rPr>
          <w:t xml:space="preserve">[19]</w:t>
        </w:r>
      </w:hyperlink>
      <w:r>
        <w:t xml:space="preserve">, the edit-distance metric can understate how far apart two reruns really are. Where the terminal output rules, as in the cold-gas thrust-chamber controller</w:t>
      </w:r>
      <w:r>
        <w:t xml:space="preserve"> </w:t>
      </w:r>
      <w:hyperlink w:anchor="ref-7">
        <w:r>
          <w:rPr>
            <w:rStyle w:val="Hyperlink"/>
          </w:rPr>
          <w:t xml:space="preserve">[7]</w:t>
        </w:r>
      </w:hyperlink>
      <w:r>
        <w:t xml:space="preserve">, the same metric can overstate the distance. Fit for the dissertation’s hypothesis-testing job, the construct is no substitute for the application-specific equivalence definitions program offices and laboratories will have to work up for their own audit purposes.</w:t>
      </w:r>
    </w:p>
    <w:p>
      <w:pPr>
        <w:pStyle w:val="BodyText"/>
        <w:spacing w:line="480" w:lineRule="auto"/>
        <w:ind w:firstLine="720"/>
      </w:pPr>
      <w:r>
        <w:t xml:space="preserve">Fourth concerns environment drift and the version-pinning regime the experiment ran under. Tool stubs and seed material were version-pinned at the experimental harness, and any environment update mid-study voided the affected pairs. Out in a fielded environment, pinning that strict may be out of reach, especially where the agentic component talks to external services whose versioning the originating organization does not control. What the result settles is that the specification returns the gap under a version-pinned regime; what it does not settle is that the gap holds under a regime where version drift is allowed. Porting the result to environments with partial version control is future work, and the dissertation makes no claim the gap comes through intact there.</w:t>
      </w:r>
    </w:p>
    <w:p>
      <w:pPr>
        <w:pStyle w:val="BodyText"/>
        <w:spacing w:line="480" w:lineRule="auto"/>
        <w:ind w:firstLine="720"/>
      </w:pPr>
      <w:r>
        <w:t xml:space="preserve">Fifth is the missing representation of large-language-model-mediated command and control among the experimental testbeds. The recent folding of large language models into command and control for space domain awareness that De Alba and colleagues report</w:t>
      </w:r>
      <w:r>
        <w:t xml:space="preserve"> </w:t>
      </w:r>
      <w:hyperlink w:anchor="ref-26">
        <w:r>
          <w:rPr>
            <w:rStyle w:val="Hyperlink"/>
          </w:rPr>
          <w:t xml:space="preserve">[26]</w:t>
        </w:r>
      </w:hyperlink>
      <w:r>
        <w:t xml:space="preserve"> </w:t>
      </w:r>
      <w:r>
        <w:t xml:space="preserve">brings in a class of agentic system whose action space runs open-ended and whose tool-call surface is assembled at inference time. This dissertation’s decision-trace specification supposes a closed-tool catalog, and its edit-distance metric supposes a finite action vocabulary. Whether the specification reaches large-language-model-mediated agents the dissertation does not take up. The federated battle-management system context in the AMOS literature [27, 28] is a like case, where action space and tool catalog get assembled at runtime through orchestration across mixed services. A useful starting point for those cases, this dissertation’s specification is no finished specification for them.</w:t>
      </w:r>
    </w:p>
    <w:p>
      <w:pPr>
        <w:pStyle w:val="BodyText"/>
        <w:spacing w:line="480" w:lineRule="auto"/>
        <w:ind w:firstLine="720"/>
      </w:pPr>
      <w:r>
        <w:t xml:space="preserve">A sixth limitation touches the operator-in-the-loop dimension. Its experimental design treats the agent as the unit of audit. In operational settings where a human operator supervises, vetoes, or amends agent actions, the audit object becomes the joint trace of operator and agent, not the agent trace alone</w:t>
      </w:r>
      <w:r>
        <w:t xml:space="preserve"> </w:t>
      </w:r>
      <w:hyperlink w:anchor="ref-29">
        <w:r>
          <w:rPr>
            <w:rStyle w:val="Hyperlink"/>
          </w:rPr>
          <w:t xml:space="preserve">[29]</w:t>
        </w:r>
      </w:hyperlink>
      <w:r>
        <w:t xml:space="preserve">. This dissertation’s specification can stretch to catch the joint trace, but the experimental result came off agent-only episodes. Stretching it to joint operator-agent traces is a non-trivial schema-design job that wants its own pre-registration before any claim gets advanced about behavioral equivalence in the joint setting.</w:t>
      </w:r>
    </w:p>
    <w:bookmarkEnd w:id="118"/>
    <w:bookmarkStart w:id="119" w:name="future-research"/>
    <w:p>
      <w:pPr>
        <w:pStyle w:val="Heading2"/>
        <w:spacing w:line="480" w:lineRule="auto"/>
      </w:pPr>
      <w:r>
        <w:t xml:space="preserve">7.6 Future Research</w:t>
      </w:r>
    </w:p>
    <w:p>
      <w:pPr>
        <w:pStyle w:val="FirstParagraph"/>
        <w:spacing w:line="480" w:lineRule="auto"/>
      </w:pPr>
      <w:r>
        <w:t xml:space="preserve">From the limitations above, five directions for future research follow. First is a larger logistic cross section pulled through a systematic protocol across AMOS, Acta Astronautica, NTRS, and program-assessment retrievals, with the four now-collinear regressors pried apart by adding sources where one feature varies while the rest hold still [1, 4, 7, 13, 14]. That same protocol would let the action-space-size moderator be tested at a precision the present sample cannot reach.</w:t>
      </w:r>
    </w:p>
    <w:p>
      <w:pPr>
        <w:pStyle w:val="BodyText"/>
        <w:spacing w:line="480" w:lineRule="auto"/>
        <w:ind w:firstLine="720"/>
      </w:pPr>
      <w:r>
        <w:t xml:space="preserve">Second is stretching the within-subject design onto a third and fourth testbed drawn from the on-board guidance, navigation, and control literature [11, 19] and from the sensor-tasking literature [30, 31]. Doing so would settle whether the 15-point gap comes through in testbeds whose action spaces and tool catalogs part ways substantively from the two the present result rests on. The trace specification would ride forward frozen, and any schema changes the new testbeds forced would be reported as exploratory.</w:t>
      </w:r>
    </w:p>
    <w:p>
      <w:pPr>
        <w:pStyle w:val="BodyText"/>
        <w:spacing w:line="480" w:lineRule="auto"/>
        <w:ind w:firstLine="720"/>
      </w:pPr>
      <w:r>
        <w:t xml:space="preserve">Third is building a schema-translation methodology for application-specific operational environments. It would spell out the steps by which the frozen specification used here maps onto a given flight project’s logging surface, with the mapping’s conformance-checking properties settled at the architectural-baseline review. Its worth would be judged by whether it holds the dissertation’s behavioral-equivalence gap under the mapping, each new application carrying its own pre-registration.</w:t>
      </w:r>
    </w:p>
    <w:p>
      <w:pPr>
        <w:pStyle w:val="BodyText"/>
        <w:spacing w:line="480" w:lineRule="auto"/>
        <w:ind w:firstLine="720"/>
      </w:pPr>
      <w:r>
        <w:t xml:space="preserve">Fourth is stretching the specification to large-language-model-mediated agents and to federated battle-management systems where action space and tool catalog get assembled at runtime [26, 27, 28]. That stretch would swap the action vocabulary for a typed representation of natural-language tool-call invocations, and it would generalize the edit-distance metric to run over the new vocabulary. Whether the resulting specification keeps the dissertation’s gap is an empirical question the dissertation does not pre-answer.</w:t>
      </w:r>
    </w:p>
    <w:p>
      <w:pPr>
        <w:pStyle w:val="BodyText"/>
        <w:spacing w:line="480" w:lineRule="auto"/>
        <w:ind w:firstLine="720"/>
      </w:pPr>
      <w:r>
        <w:t xml:space="preserve">Fifth is folding operator-in-the-loop trace capture into the specification, with the joint trace treated as the unit of audit. That fold would have the schema catch operator interventions, when they happened, and the authority they were taken under. The behavioral-equivalence definition would generalize to joint trajectories rather than agent-only ones. Building Trust in Human-Machine Teaming for Autonomous Space Sensing lays out the conceptual frame such a stretch would be judged within</w:t>
      </w:r>
      <w:r>
        <w:t xml:space="preserve"> </w:t>
      </w:r>
      <w:hyperlink w:anchor="ref-29">
        <w:r>
          <w:rPr>
            <w:rStyle w:val="Hyperlink"/>
          </w:rPr>
          <w:t xml:space="preserve">[29]</w:t>
        </w:r>
      </w:hyperlink>
      <w:r>
        <w:t xml:space="preserve">. Its empirical evaluation would run on a testbed where operator interventions are logged at enough resolution to support replay, itself a non-trivial selection criterion.</w:t>
      </w:r>
    </w:p>
    <w:p>
      <w:pPr>
        <w:pStyle w:val="BodyText"/>
        <w:spacing w:line="480" w:lineRule="auto"/>
        <w:ind w:firstLine="720"/>
      </w:pPr>
      <w:r>
        <w:t xml:space="preserve">A sixth and more programmatic direction takes the result into the procurement and assurance practices of NASA program offices and the verification practices of laboratories like JPL. The result lays down a precondition for independent verifiability. Whether procurement officers and assurance reviewers find that precondition useful in their real decision-making is an empirical question that needs fielded engagement with those communities. Such engagement would not test the dissertation’s hypothesis but would test the strength of the bridge running from the dissertation’s result to the practitioner community whose decisions the result means to inform. That bridge the space-economy literature has called to be built [6, 15, 16], a call the dissertation can meet only partway. The rest wants institutional engagement past the scope of a doctoral study, though a doctoral study calibrated to support it.</w:t>
      </w:r>
    </w:p>
    <w:bookmarkEnd w:id="119"/>
    <w:bookmarkStart w:id="120" w:name="synthesis"/>
    <w:p>
      <w:pPr>
        <w:pStyle w:val="Heading2"/>
        <w:spacing w:line="480" w:lineRule="auto"/>
      </w:pPr>
      <w:r>
        <w:t xml:space="preserve">7.7 Synthesis</w:t>
      </w:r>
    </w:p>
    <w:p>
      <w:pPr>
        <w:pStyle w:val="FirstParagraph"/>
        <w:spacing w:line="480" w:lineRule="auto"/>
      </w:pPr>
      <w:r>
        <w:t xml:space="preserve">This chapter has carried a narrow empirical result over into implications for NASA program management and JPL decision-making, fenced the carry-over with six limitations, and marked six directions for future research. The empirical result is small, in that it concerns the design of a logging surface and not the design of a model. The result is also consequential, in that the design of the logging surface is the design decision capping the cost of independent verification at the program level. What the result does not settle is that agentic decision systems are auditable in general. What it settles is that one precondition for auditability, being able to recover a behaviorally equivalent rerun, is reachable through a defined logging contract at a rate statistically separable from the rate reachable under unstructured logging. For NASA and JPL, the payoff is operational: the procurement and assurance criteria that govern later verifiability are interface-design criteria, judgeable early in the project lifecycle and held steady thereafter. Built to be falsified rather than illustrated, the dissertation, and this chapter built to carry the falsification result into a form the program and laboratory communities can act on without overreaching the evidence the carry-over rests on [1, 2, 4, 7, 8, 13, 14, 21, 25, 29].</w:t>
      </w:r>
    </w:p>
    <w:bookmarkEnd w:id="120"/>
    <w:bookmarkEnd w:id="121"/>
    <w:bookmarkStart w:id="191" w:name="chapter-8.-conclusion"/>
    <w:p>
      <w:pPr>
        <w:pStyle w:val="Heading1"/>
        <w:spacing w:line="480" w:lineRule="auto"/>
      </w:pPr>
      <w:r>
        <w:t xml:space="preserve">Chapter 8. Conclusion</w:t>
      </w:r>
    </w:p>
    <w:bookmarkStart w:id="122" w:name="recapitulation-of-the-argument"/>
    <w:p>
      <w:pPr>
        <w:pStyle w:val="Heading2"/>
        <w:spacing w:line="480" w:lineRule="auto"/>
      </w:pPr>
      <w:r>
        <w:t xml:space="preserve">8.1 Recapitulation of the Argument</w:t>
      </w:r>
    </w:p>
    <w:p>
      <w:pPr>
        <w:pStyle w:val="FirstParagraph"/>
        <w:spacing w:line="480" w:lineRule="auto"/>
      </w:pPr>
      <w:r>
        <w:t xml:space="preserve">A lone testable question set this dissertation in motion: can anyone audit an agentic decision system in the strong sense, so that an outside party, armed with nothing but the recorded logs, replays an episode and lands on a behaviorally equivalent result. Earlier chapters answered yes, though the qualifications matter every bit as much as the yes. As construed here, auditability springs neither from the model a team picks, nor from how clean the upstream training data was, nor from the post hoc explainability tools that now crowd the conversation about trustworthy autonomy. It springs from the logging surface. Shape that surface as a typed decision-trace, one that treats state, observation, action, tool-call, tool-return, and policy-confidence as first-class records, and reruns of an agentic episode fall back onto the original at rates that clearly beat what unstructured logging returns. Leave the surface unstructured, and the identical policy running on identical seed material spits out reruns whose action sequences and terminal outputs wander off in directions no interpretability tool applied afterward can recover.</w:t>
      </w:r>
    </w:p>
    <w:p>
      <w:pPr>
        <w:pStyle w:val="BodyText"/>
        <w:spacing w:line="480" w:lineRule="auto"/>
        <w:ind w:firstLine="720"/>
      </w:pPr>
      <w:r>
        <w:t xml:space="preserve">That argument moved through three stages. Chapter 2 planted the problem in an empirical gap, not a definitional one. Researchers studying machine learning in space operations conceded long ago that folding it in brings in inputs whose provenance resists reconstruction once the moment has passed</w:t>
      </w:r>
      <w:r>
        <w:t xml:space="preserve"> </w:t>
      </w:r>
      <w:hyperlink w:anchor="ref-2">
        <w:r>
          <w:rPr>
            <w:rStyle w:val="Hyperlink"/>
          </w:rPr>
          <w:t xml:space="preserve">[2]</w:t>
        </w:r>
      </w:hyperlink>
      <w:r>
        <w:t xml:space="preserve">, and those working on satellite characterisation have handled reproducibility mostly as something the training pipeline owns rather than something the runtime trace owns</w:t>
      </w:r>
      <w:r>
        <w:t xml:space="preserve"> </w:t>
      </w:r>
      <w:hyperlink w:anchor="ref-3">
        <w:r>
          <w:rPr>
            <w:rStyle w:val="Hyperlink"/>
          </w:rPr>
          <w:t xml:space="preserve">[3]</w:t>
        </w:r>
      </w:hyperlink>
      <w:r>
        <w:t xml:space="preserve">. When the 2025 survey of agent-based approaches for distributed space systems flagged trace reconstruction and behavioral reproducibility as unsolved [4, 34], and self-supervised fault detection kept framing explainability as an interpretation chore performed on telemetry already emitted</w:t>
      </w:r>
      <w:r>
        <w:t xml:space="preserve"> </w:t>
      </w:r>
      <w:hyperlink w:anchor="ref-5">
        <w:r>
          <w:rPr>
            <w:rStyle w:val="Hyperlink"/>
          </w:rPr>
          <w:t xml:space="preserve">[5]</w:t>
        </w:r>
      </w:hyperlink>
      <w:r>
        <w:t xml:space="preserve">, the pattern held. Voices in the space-economy literature calling for sustainability and accountability had named the appetite for objective decision-making evidence yet stopped short of prescribing the instruments that would yield it [6, 15, 16, 40, 41]. Nothing conceptual was missing. What was missing was a logging contract anyone had tested.</w:t>
      </w:r>
    </w:p>
    <w:p>
      <w:pPr>
        <w:pStyle w:val="BodyText"/>
        <w:spacing w:line="480" w:lineRule="auto"/>
        <w:ind w:firstLine="720"/>
      </w:pPr>
      <w:r>
        <w:t xml:space="preserve">Chapters 3 and 4 wrote that contract down. Chapter 5 put it to work across two testbeds: the multi-agent satellite inspection environment the distributed-systems survey singled out as canonical [4, 34], and the reinforcement-learning cold-gas thrust-chamber pressure controller worked through experimentally in Acta Astronautica [7, 17]. Chapter 6 laid out the paired-rerun results, and Chapter 7 walked the threats to validity the design had headed off in advance. Here at the close, the argument gathers what has been shown, what has not, and what the showing means for the audit machinery that agentic systems will demand as they move into safety-relevant infrastructure.</w:t>
      </w:r>
    </w:p>
    <w:bookmarkEnd w:id="122"/>
    <w:bookmarkStart w:id="123" w:name="the-empirical-finding-in-context"/>
    <w:p>
      <w:pPr>
        <w:pStyle w:val="Heading2"/>
        <w:spacing w:line="480" w:lineRule="auto"/>
      </w:pPr>
      <w:r>
        <w:t xml:space="preserve">8.2 The Empirical Finding in Context</w:t>
      </w:r>
    </w:p>
    <w:p>
      <w:pPr>
        <w:pStyle w:val="FirstParagraph"/>
        <w:spacing w:line="480" w:lineRule="auto"/>
      </w:pPr>
      <w:r>
        <w:t xml:space="preserve">Leading the dissertation’s findings is this one. Under the structured decision-trace specification, the behavioral-equivalence rate ran past the unstructured baseline by more than the pre-registered fifteen-percentage-point threshold, and the paired binomial test threw out the null hypothesis at the 0.05 significance level over the pre-registered sample of four hundred paired episodes. Every sensitivity choice weighed in Chapter 6, alternative edit-distance thresholds and alternative terminal-output tolerances alike, left the bootstrapped confidence interval clear of the null margin. Origin of the testbed changed nothing: both the inspection environment and the wrapped pressure-controller environment threw off significant within-testbed effects. Not one threat-to-validity adjustment turned the sign around or wiped out the significance.</w:t>
      </w:r>
    </w:p>
    <w:p>
      <w:pPr>
        <w:pStyle w:val="BodyText"/>
        <w:spacing w:line="480" w:lineRule="auto"/>
        <w:ind w:firstLine="720"/>
      </w:pPr>
      <w:r>
        <w:t xml:space="preserve">Set that finding beside the surrounding body of work on autonomous space systems. Reinforcement learning has come along fast over the span of this study, and adaptive closed-loop maneuver planning for low-thrust spacecraft</w:t>
      </w:r>
      <w:r>
        <w:t xml:space="preserve"> </w:t>
      </w:r>
      <w:hyperlink w:anchor="ref-11">
        <w:r>
          <w:rPr>
            <w:rStyle w:val="Hyperlink"/>
          </w:rPr>
          <w:t xml:space="preserve">[11]</w:t>
        </w:r>
      </w:hyperlink>
      <w:r>
        <w:t xml:space="preserve">, onboard guidance and control on near-term flight hardware</w:t>
      </w:r>
      <w:r>
        <w:t xml:space="preserve"> </w:t>
      </w:r>
      <w:hyperlink w:anchor="ref-19">
        <w:r>
          <w:rPr>
            <w:rStyle w:val="Hyperlink"/>
          </w:rPr>
          <w:t xml:space="preserve">[19]</w:t>
        </w:r>
      </w:hyperlink>
      <w:r>
        <w:t xml:space="preserve">, and trajectory optimisation for intelligent satellite systems</w:t>
      </w:r>
      <w:r>
        <w:t xml:space="preserve"> </w:t>
      </w:r>
      <w:hyperlink w:anchor="ref-21">
        <w:r>
          <w:rPr>
            <w:rStyle w:val="Hyperlink"/>
          </w:rPr>
          <w:t xml:space="preserve">[21]</w:t>
        </w:r>
      </w:hyperlink>
      <w:r>
        <w:t xml:space="preserve"> </w:t>
      </w:r>
      <w:r>
        <w:t xml:space="preserve">each show that learned policies can bear on flight. Conjunction assessment has pinned down the place of machine learning in collision avoidance through the NASA Conjunction Assessment Risk Analysis compendium</w:t>
      </w:r>
      <w:r>
        <w:t xml:space="preserve"> </w:t>
      </w:r>
      <w:hyperlink w:anchor="ref-8">
        <w:r>
          <w:rPr>
            <w:rStyle w:val="Hyperlink"/>
          </w:rPr>
          <w:t xml:space="preserve">[8]</w:t>
        </w:r>
      </w:hyperlink>
      <w:r>
        <w:t xml:space="preserve"> </w:t>
      </w:r>
      <w:r>
        <w:t xml:space="preserve">and through systematic reviews of collision-avoidance manoeuvre design methods</w:t>
      </w:r>
      <w:r>
        <w:t xml:space="preserve"> </w:t>
      </w:r>
      <w:hyperlink w:anchor="ref-25">
        <w:r>
          <w:rPr>
            <w:rStyle w:val="Hyperlink"/>
          </w:rPr>
          <w:t xml:space="preserve">[25]</w:t>
        </w:r>
      </w:hyperlink>
      <w:r>
        <w:t xml:space="preserve">. Sensor tasking driven by deep reinforcement learning has grown from single-agent cislunar problems</w:t>
      </w:r>
      <w:r>
        <w:t xml:space="preserve"> </w:t>
      </w:r>
      <w:hyperlink w:anchor="ref-30">
        <w:r>
          <w:rPr>
            <w:rStyle w:val="Hyperlink"/>
          </w:rPr>
          <w:t xml:space="preserve">[30]</w:t>
        </w:r>
      </w:hyperlink>
      <w:r>
        <w:t xml:space="preserve"> </w:t>
      </w:r>
      <w:r>
        <w:t xml:space="preserve">into multi-agent formulations</w:t>
      </w:r>
      <w:r>
        <w:t xml:space="preserve"> </w:t>
      </w:r>
      <w:hyperlink w:anchor="ref-31">
        <w:r>
          <w:rPr>
            <w:rStyle w:val="Hyperlink"/>
          </w:rPr>
          <w:t xml:space="preserve">[31]</w:t>
        </w:r>
      </w:hyperlink>
      <w:r>
        <w:t xml:space="preserve">. Photometric and event-detection pipelines for space domain awareness now fold in learned components and stake explicit operational claims [22, 24]. Large language models have started turning up in command-and-control workflows for space domain awareness</w:t>
      </w:r>
      <w:r>
        <w:t xml:space="preserve"> </w:t>
      </w:r>
      <w:hyperlink w:anchor="ref-26">
        <w:r>
          <w:rPr>
            <w:rStyle w:val="Hyperlink"/>
          </w:rPr>
          <w:t xml:space="preserve">[26]</w:t>
        </w:r>
      </w:hyperlink>
      <w:r>
        <w:t xml:space="preserve">. Right across this ground the policies have grown abler, the deployment surfaces have spread wider, and the trust-building literature has started to spell out human-machine teaming requirements</w:t>
      </w:r>
      <w:r>
        <w:t xml:space="preserve"> </w:t>
      </w:r>
      <w:hyperlink w:anchor="ref-29">
        <w:r>
          <w:rPr>
            <w:rStyle w:val="Hyperlink"/>
          </w:rPr>
          <w:t xml:space="preserve">[29]</w:t>
        </w:r>
      </w:hyperlink>
      <w:r>
        <w:t xml:space="preserve">.</w:t>
      </w:r>
    </w:p>
    <w:p>
      <w:pPr>
        <w:pStyle w:val="BodyText"/>
        <w:spacing w:line="480" w:lineRule="auto"/>
        <w:ind w:firstLine="720"/>
      </w:pPr>
      <w:r>
        <w:t xml:space="preserve">None of that progress makes the audit problem go away. Capability alone does not render a policy more auditable. A flight-qualified controller</w:t>
      </w:r>
      <w:r>
        <w:t xml:space="preserve"> </w:t>
      </w:r>
      <w:hyperlink w:anchor="ref-19">
        <w:r>
          <w:rPr>
            <w:rStyle w:val="Hyperlink"/>
          </w:rPr>
          <w:t xml:space="preserve">[19]</w:t>
        </w:r>
      </w:hyperlink>
      <w:r>
        <w:t xml:space="preserve"> </w:t>
      </w:r>
      <w:r>
        <w:t xml:space="preserve">throws off as much replayable-trace demand as a laboratory simulator, and arguably more. Federated protect-and-defend battle-management exercises that now lean on civilian launches as live evaluations</w:t>
      </w:r>
      <w:r>
        <w:t xml:space="preserve"> </w:t>
      </w:r>
      <w:hyperlink w:anchor="ref-28">
        <w:r>
          <w:rPr>
            <w:rStyle w:val="Hyperlink"/>
          </w:rPr>
          <w:t xml:space="preserve">[28]</w:t>
        </w:r>
      </w:hyperlink>
      <w:r>
        <w:t xml:space="preserve"> </w:t>
      </w:r>
      <w:r>
        <w:t xml:space="preserve">draw their evidentiary worth from whether decisions taken in the loop can be reconstructed. When the Space Battle Management System architecture that seeded this prospectus [1, 27] openly plans for independent validators to cross-check subsystem outputs against curated test datasets, the work here hands over one piece of the contract that lets such cross-checking run. Agent-based mission management, leaning ever harder on distributed coordination [4, 34] and on knowledge-graph-mediated reasoning</w:t>
      </w:r>
      <w:r>
        <w:t xml:space="preserve"> </w:t>
      </w:r>
      <w:hyperlink w:anchor="ref-37">
        <w:r>
          <w:rPr>
            <w:rStyle w:val="Hyperlink"/>
          </w:rPr>
          <w:t xml:space="preserve">[37]</w:t>
        </w:r>
      </w:hyperlink>
      <w:r>
        <w:t xml:space="preserve">, widens rather than narrows the ground over which traces have to stay reconstructable.</w:t>
      </w:r>
    </w:p>
    <w:p>
      <w:pPr>
        <w:pStyle w:val="BodyText"/>
        <w:spacing w:line="480" w:lineRule="auto"/>
        <w:ind w:firstLine="720"/>
      </w:pPr>
      <w:r>
        <w:t xml:space="preserve">So the decision-trace specification put forward here does not rival the substantive research programs in autonomy. It rounds them out. It takes for granted that the policies will be learned, that action spaces will run discrete-with-continuous-parameters, that the tool stack will be mixed, and that the operating environment will carry the noise already charted across the orientation-estimation</w:t>
      </w:r>
      <w:r>
        <w:t xml:space="preserve"> </w:t>
      </w:r>
      <w:hyperlink w:anchor="ref-18">
        <w:r>
          <w:rPr>
            <w:rStyle w:val="Hyperlink"/>
          </w:rPr>
          <w:t xml:space="preserve">[18]</w:t>
        </w:r>
      </w:hyperlink>
      <w:r>
        <w:t xml:space="preserve">, thermospheric-density</w:t>
      </w:r>
      <w:r>
        <w:t xml:space="preserve"> </w:t>
      </w:r>
      <w:hyperlink w:anchor="ref-23">
        <w:r>
          <w:rPr>
            <w:rStyle w:val="Hyperlink"/>
          </w:rPr>
          <w:t xml:space="preserve">[23]</w:t>
        </w:r>
      </w:hyperlink>
      <w:r>
        <w:t xml:space="preserve">, and adversarial-perturbation [20, 39] work. Inside those assumptions the specification hands back a logging surface that reruns converge against. That, and no claim about the policies underneath, is what this dissertation adds.</w:t>
      </w:r>
    </w:p>
    <w:bookmarkEnd w:id="123"/>
    <w:bookmarkStart w:id="124" w:name="contribution-to-knowledge"/>
    <w:p>
      <w:pPr>
        <w:pStyle w:val="Heading2"/>
        <w:spacing w:line="480" w:lineRule="auto"/>
      </w:pPr>
      <w:r>
        <w:t xml:space="preserve">8.3 Contribution to Knowledge</w:t>
      </w:r>
    </w:p>
    <w:p>
      <w:pPr>
        <w:pStyle w:val="FirstParagraph"/>
        <w:spacing w:line="480" w:lineRule="auto"/>
      </w:pPr>
      <w:r>
        <w:t xml:space="preserve">Four registers hold what this dissertation adds.</w:t>
      </w:r>
    </w:p>
    <w:p>
      <w:pPr>
        <w:pStyle w:val="BodyText"/>
        <w:spacing w:line="480" w:lineRule="auto"/>
        <w:ind w:firstLine="720"/>
      </w:pPr>
      <w:r>
        <w:t xml:space="preserve">Register one is methodological. Built across Chapters 4 and 5, the paired-rerun design, with its pre-registered schema, its blinded replay harness, and its pre-registered behavioral-equivalence thresholds, hands over a template for studying audit claims that leans on no goodwill from the system under test. Prior studies of explainability and reproducibility in machine-learned satellite systems mostly leaned on one-off demonstrations [3, 5]. This design travels across testbeds, carries over policy classes, and stays falsifiable in the strict Popperian sense: a negative result would have shut the research programme down rather than waved it toward more illustration.</w:t>
      </w:r>
    </w:p>
    <w:p>
      <w:pPr>
        <w:pStyle w:val="BodyText"/>
        <w:spacing w:line="480" w:lineRule="auto"/>
        <w:ind w:firstLine="720"/>
      </w:pPr>
      <w:r>
        <w:t xml:space="preserve">Register two is conceptual. Showing that the logging surface drives audit success at first order, the dissertation resets a debate that has swung between two dead ends. At one end, auditability is treated as the model’s property, retrievable through explainability tooling bolted on afterward. At the other, it is treated as the operating organisation’s property, retrievable through process controls and governance. What the finding says is that neither end suffices alone. Audit success rides on the artefacts a system emits while it runs, and those artefacts can be designed. That reset lines up with the trust-building literature coming out of human-machine teaming research</w:t>
      </w:r>
      <w:r>
        <w:t xml:space="preserve"> </w:t>
      </w:r>
      <w:hyperlink w:anchor="ref-29">
        <w:r>
          <w:rPr>
            <w:rStyle w:val="Hyperlink"/>
          </w:rPr>
          <w:t xml:space="preserve">[29]</w:t>
        </w:r>
      </w:hyperlink>
      <w:r>
        <w:t xml:space="preserve"> </w:t>
      </w:r>
      <w:r>
        <w:t xml:space="preserve">and with the architectural commitments baked into proposed battle-management systems [1, 27, 28], but it earns its place on evidence rather than on rhetoric.</w:t>
      </w:r>
    </w:p>
    <w:p>
      <w:pPr>
        <w:pStyle w:val="BodyText"/>
        <w:spacing w:line="480" w:lineRule="auto"/>
        <w:ind w:firstLine="720"/>
      </w:pPr>
      <w:r>
        <w:t xml:space="preserve">Register three is instrumental. Frozen ahead of the experiment and untouched after, the decision-trace specification is an artefact practitioners can pick up as is. It sits comfortably with the agent-based methodologies the distributed-systems literature surveys [4, 34], with the swarm coordination patterns worked out for magnetospheric studies</w:t>
      </w:r>
      <w:r>
        <w:t xml:space="preserve"> </w:t>
      </w:r>
      <w:hyperlink w:anchor="ref-12">
        <w:r>
          <w:rPr>
            <w:rStyle w:val="Hyperlink"/>
          </w:rPr>
          <w:t xml:space="preserve">[12]</w:t>
        </w:r>
      </w:hyperlink>
      <w:r>
        <w:t xml:space="preserve"> </w:t>
      </w:r>
      <w:r>
        <w:t xml:space="preserve">and celestial-body exploration</w:t>
      </w:r>
      <w:r>
        <w:t xml:space="preserve"> </w:t>
      </w:r>
      <w:hyperlink w:anchor="ref-38">
        <w:r>
          <w:rPr>
            <w:rStyle w:val="Hyperlink"/>
          </w:rPr>
          <w:t xml:space="preserve">[38]</w:t>
        </w:r>
      </w:hyperlink>
      <w:r>
        <w:t xml:space="preserve">, and with the virtualised ground-station architectures that have trimmed decision time for on-orbit operations</w:t>
      </w:r>
      <w:r>
        <w:t xml:space="preserve"> </w:t>
      </w:r>
      <w:hyperlink w:anchor="ref-10">
        <w:r>
          <w:rPr>
            <w:rStyle w:val="Hyperlink"/>
          </w:rPr>
          <w:t xml:space="preserve">[10]</w:t>
        </w:r>
      </w:hyperlink>
      <w:r>
        <w:t xml:space="preserve">. No particular policy-learning algorithm holds it up, no particular tool-invocation framework, no particular flight-software stack. That leaves it portable even to legacy ground-based systems such as the Net-Centric Sensors and Data Sources work that foresaw, more than a decade back, the pull toward federated sensor-and-data interoperability</w:t>
      </w:r>
      <w:r>
        <w:t xml:space="preserve"> </w:t>
      </w:r>
      <w:hyperlink w:anchor="ref-32">
        <w:r>
          <w:rPr>
            <w:rStyle w:val="Hyperlink"/>
          </w:rPr>
          <w:t xml:space="preserve">[32]</w:t>
        </w:r>
      </w:hyperlink>
      <w:r>
        <w:t xml:space="preserve"> </w:t>
      </w:r>
      <w:r>
        <w:t xml:space="preserve">and the Learning Agents for Autonomous Space Asset Management programme that rehearsed the agentic vocabulary now everywhere in use</w:t>
      </w:r>
      <w:r>
        <w:t xml:space="preserve"> </w:t>
      </w:r>
      <w:hyperlink w:anchor="ref-33">
        <w:r>
          <w:rPr>
            <w:rStyle w:val="Hyperlink"/>
          </w:rPr>
          <w:t xml:space="preserve">[33]</w:t>
        </w:r>
      </w:hyperlink>
      <w:r>
        <w:t xml:space="preserve">.</w:t>
      </w:r>
    </w:p>
    <w:p>
      <w:pPr>
        <w:pStyle w:val="BodyText"/>
        <w:spacing w:line="480" w:lineRule="auto"/>
        <w:ind w:firstLine="720"/>
      </w:pPr>
      <w:r>
        <w:t xml:space="preserve">Register four is governance-adjacent. Again and again, the Government Accountability Office’s assessments of major NASA projects</w:t>
      </w:r>
      <w:r>
        <w:t xml:space="preserve"> </w:t>
      </w:r>
      <w:hyperlink w:anchor="ref-13">
        <w:r>
          <w:rPr>
            <w:rStyle w:val="Hyperlink"/>
          </w:rPr>
          <w:t xml:space="preserve">[13]</w:t>
        </w:r>
      </w:hyperlink>
      <w:r>
        <w:t xml:space="preserve"> </w:t>
      </w:r>
      <w:r>
        <w:t xml:space="preserve">and of the Artemis programme in particular</w:t>
      </w:r>
      <w:r>
        <w:t xml:space="preserve"> </w:t>
      </w:r>
      <w:hyperlink w:anchor="ref-14">
        <w:r>
          <w:rPr>
            <w:rStyle w:val="Hyperlink"/>
          </w:rPr>
          <w:t xml:space="preserve">[14]</w:t>
        </w:r>
      </w:hyperlink>
      <w:r>
        <w:t xml:space="preserve"> </w:t>
      </w:r>
      <w:r>
        <w:t xml:space="preserve">have tied verification and validation of complex software-intensive systems to recurring cost and schedule risk. Standing as a partial reply to that finding is the decision-trace specification put forward here. It does not dissolve the whole verification problem. What it does hand over is an empirically grounded answer to the narrower question of what a logging surface has to hold before an outside party can reconstruct an agentic decision. As legal and policy regimes start wrestling with autonomous systems in outer space, the militarisation worries voiced in recent Acta Astronautica analyses among them</w:t>
      </w:r>
      <w:r>
        <w:t xml:space="preserve"> </w:t>
      </w:r>
      <w:hyperlink w:anchor="ref-36">
        <w:r>
          <w:rPr>
            <w:rStyle w:val="Hyperlink"/>
          </w:rPr>
          <w:t xml:space="preserve">[36]</w:t>
        </w:r>
      </w:hyperlink>
      <w:r>
        <w:t xml:space="preserve">, a tested audit substrate turns from an optional extra into a precondition for any credible regulatory architecture.</w:t>
      </w:r>
    </w:p>
    <w:bookmarkEnd w:id="124"/>
    <w:bookmarkStart w:id="125" w:name="Xb90922ca5bd65db45f8cb63bd108c12d1b3fa89"/>
    <w:p>
      <w:pPr>
        <w:pStyle w:val="Heading2"/>
        <w:spacing w:line="480" w:lineRule="auto"/>
      </w:pPr>
      <w:r>
        <w:t xml:space="preserve">8.4 Limitations and the Research Programme That Follows</w:t>
      </w:r>
    </w:p>
    <w:p>
      <w:pPr>
        <w:pStyle w:val="FirstParagraph"/>
        <w:spacing w:line="480" w:lineRule="auto"/>
      </w:pPr>
      <w:r>
        <w:t xml:space="preserve">No lone dissertation shuts a research programme, and this one does not either. Three limitations fence in the present finding and shape the work that ought to follow.</w:t>
      </w:r>
    </w:p>
    <w:p>
      <w:pPr>
        <w:pStyle w:val="BodyText"/>
        <w:spacing w:line="480" w:lineRule="auto"/>
        <w:ind w:firstLine="720"/>
      </w:pPr>
      <w:r>
        <w:t xml:space="preserve">Limitation one bounds the testbed scope. Two testbeds made up the empirical substrate, one from multi-agent satellite inspection and one from a wrapped pressure-controller environment. Both earned their place because ground-truth action sequences and terminal outputs could be recovered from public artefacts [4, 7, 17, 34]. Reaching from there to deployed flight systems, to large-language-model-mediated command and control</w:t>
      </w:r>
      <w:r>
        <w:t xml:space="preserve"> </w:t>
      </w:r>
      <w:hyperlink w:anchor="ref-26">
        <w:r>
          <w:rPr>
            <w:rStyle w:val="Hyperlink"/>
          </w:rPr>
          <w:t xml:space="preserve">[26]</w:t>
        </w:r>
      </w:hyperlink>
      <w:r>
        <w:t xml:space="preserve">, and to federated multi-organisational battle-management exercises</w:t>
      </w:r>
      <w:r>
        <w:t xml:space="preserve"> </w:t>
      </w:r>
      <w:hyperlink w:anchor="ref-28">
        <w:r>
          <w:rPr>
            <w:rStyle w:val="Hyperlink"/>
          </w:rPr>
          <w:t xml:space="preserve">[28]</w:t>
        </w:r>
      </w:hyperlink>
      <w:r>
        <w:t xml:space="preserve"> </w:t>
      </w:r>
      <w:r>
        <w:t xml:space="preserve">is plausible but unproven. What the next phase should do is carry the paired-rerun design onto at least one operational or near-operational system, working with an organisation willing to instrument and to share traces under fitting controls.</w:t>
      </w:r>
    </w:p>
    <w:p>
      <w:pPr>
        <w:pStyle w:val="BodyText"/>
        <w:spacing w:line="480" w:lineRule="auto"/>
        <w:ind w:firstLine="720"/>
      </w:pPr>
      <w:r>
        <w:t xml:space="preserve">Limitation two bounds threshold sensitivity. Resting on a normalised action-sequence edit distance and a terminal-output tolerance, both pre-registered, the behavioural-equivalence definition holds up across a plausible band of threshold choices, as the Chapter 6 sensitivity analyses show. Even so, picking an edit-distance metric over rival sequence-similarity measures is itself a substantive commitment. What future work should probe is whether the finding survives under semantically richer similarity measures, among them those drawing on knowledge-graph representations of the action space</w:t>
      </w:r>
      <w:r>
        <w:t xml:space="preserve"> </w:t>
      </w:r>
      <w:hyperlink w:anchor="ref-37">
        <w:r>
          <w:rPr>
            <w:rStyle w:val="Hyperlink"/>
          </w:rPr>
          <w:t xml:space="preserve">[37]</w:t>
        </w:r>
      </w:hyperlink>
      <w:r>
        <w:t xml:space="preserve">.</w:t>
      </w:r>
    </w:p>
    <w:p>
      <w:pPr>
        <w:pStyle w:val="BodyText"/>
        <w:spacing w:line="480" w:lineRule="auto"/>
        <w:ind w:firstLine="720"/>
      </w:pPr>
      <w:r>
        <w:t xml:space="preserve">Limitation three bounds adversarial robustness. The present design supposes the system under audit plays fair, logging honestly and never fabricating traces that mimic behaviour it never showed. Work on adversarial attacks against deep-reinforcement-learned planetary landing controllers [20, 39] hints that the supposition will not last. What a later programme should test is whether the decision-trace specification can carry cryptographic commitments or attestation mechanisms that fit the quantum-resilient blockchain substrate proposed for space battle management [1, 27], turning trace authenticity into something verified rather than assumed.</w:t>
      </w:r>
    </w:p>
    <w:p>
      <w:pPr>
        <w:pStyle w:val="BodyText"/>
        <w:spacing w:line="480" w:lineRule="auto"/>
        <w:ind w:firstLine="720"/>
      </w:pPr>
      <w:r>
        <w:t xml:space="preserve">Past those three fenced limitations, the work opens onto a wider agenda. Economists studying the space sector have named accountability and objective decision-evidence as preconditions for orbital markets and the broader space economy to mature [6, 15, 16, 40, 41]. Folding agentic autonomy into commercial space-station operations</w:t>
      </w:r>
      <w:r>
        <w:t xml:space="preserve"> </w:t>
      </w:r>
      <w:hyperlink w:anchor="ref-35">
        <w:r>
          <w:rPr>
            <w:rStyle w:val="Hyperlink"/>
          </w:rPr>
          <w:t xml:space="preserve">[35]</w:t>
        </w:r>
      </w:hyperlink>
      <w:r>
        <w:t xml:space="preserve"> </w:t>
      </w:r>
      <w:r>
        <w:t xml:space="preserve">and into the federated sensor-and-data architectures now going up across the space domain awareness community [22, 24, 28] will swell the audit demand by orders of magnitude across the coming decade. What is reported here is one piece of the answer. It will have to be joined by companion work on storing traces at scale, on exchanging traces across organisations, and on winning legal and regulatory recognition of trace-based audit as evidence.</w:t>
      </w:r>
    </w:p>
    <w:bookmarkEnd w:id="125"/>
    <w:bookmarkStart w:id="126" w:name="closing-statement"/>
    <w:p>
      <w:pPr>
        <w:pStyle w:val="Heading2"/>
        <w:spacing w:line="480" w:lineRule="auto"/>
      </w:pPr>
      <w:r>
        <w:t xml:space="preserve">8.5 Closing Statement</w:t>
      </w:r>
    </w:p>
    <w:p>
      <w:pPr>
        <w:pStyle w:val="FirstParagraph"/>
        <w:spacing w:line="480" w:lineRule="auto"/>
      </w:pPr>
      <w:r>
        <w:t xml:space="preserve">Narrow on purpose was the question this dissertation opened with. Can an agentic decision system be audited. Just as narrow, and just as firm, is the finding. Yes, though only beneath a logging surface built for the job, and not beneath the unstructured logging that has ridden along as the default ever since machine learning first entered space operations under formal scrutiny [2, 9]. One such logging surface is the decision-trace specification. It is not the only one that could serve, and the dissertation claims no optimality for it. What it does claim, and what the paired-rerun evidence bears out, is that audit is an empirically tractable question and that its answer turns on design choices practitioners can reach today.</w:t>
      </w:r>
    </w:p>
    <w:p>
      <w:pPr>
        <w:pStyle w:val="BodyText"/>
        <w:spacing w:line="480" w:lineRule="auto"/>
        <w:ind w:firstLine="720"/>
      </w:pPr>
      <w:r>
        <w:t xml:space="preserve">That matters because the alternative is no world where agentic systems stay unaudited and the fallout gets absorbed somewhere out of view. The alternative is a world where audit claims get made for rhetorical effect, where the validators meant to check decisions cannot actually rebuild them, and where the costs of that shortfall pile up in the shapes prior accountability shortfalls always took: schedule slippage, cost growth, and eroded public trust in the institutions running the systems [13, 14]. The work set out here shows the gap can be closed. It does not close the gap by itself. It offers one part of the apparatus, tested against a falsifiable hypothesis, for the wider community to adopt, dispute, and sharpen.</w:t>
      </w:r>
    </w:p>
    <w:p>
      <w:pPr>
        <w:pStyle w:val="BodyText"/>
        <w:spacing w:line="480" w:lineRule="auto"/>
        <w:ind w:firstLine="720"/>
      </w:pPr>
      <w:r>
        <w:t xml:space="preserve">Underneath all of it runs a deeper claim: agentic autonomy and audit are not the opposing terms they are sometimes made out to be. A system beyond audit cannot be trusted with weighty decisions, and a system trusted with weighty decisions yet beyond audit is a class of institutional risk no operator should knowingly take on. Building trustworthy autonomy in space, and in the safety-relevant domains that will trail space into agentic infrastructure, will take the patient assembly of logging surfaces, replay harnesses, behavioural-equivalence definitions, and pre-registration disciplines of the kind built here. Unglamorous work, all of it. Indispensable too. Should this dissertation add a single part to that assembly, and should later investigators find the paired-rerun design worth extending, falsifying, or replacing, then the research programme it sets going will have done its job.</w:t>
      </w:r>
    </w:p>
    <w:bookmarkEnd w:id="126"/>
    <w:bookmarkStart w:id="190" w:name="references"/>
    <w:p>
      <w:pPr>
        <w:pStyle w:val="Heading2"/>
        <w:spacing w:line="480" w:lineRule="auto"/>
      </w:pPr>
      <w:r>
        <w:t xml:space="preserve">References</w:t>
      </w:r>
    </w:p>
    <w:p>
      <w:pPr>
        <w:pStyle w:val="FirstParagraph"/>
        <w:spacing w:line="480" w:lineRule="auto"/>
      </w:pPr>
      <w:bookmarkStart w:id="127" w:name="ref-1"/>
      <w:bookmarkEnd w:id="127"/>
      <w:r>
        <w:t xml:space="preserve">1. Y. Latif, S. Bagchi, L. M. Pratti, H. Reed, R. Stilwell, and G. Furlich,</w:t>
      </w:r>
      <w:r>
        <w:t xml:space="preserve"> </w:t>
      </w:r>
      <w:r>
        <w:t xml:space="preserve">“Towards an AI-enabled Space Battle Management System on Space Protocol’s Quantum Resilient Blockchain,”</w:t>
      </w:r>
      <w:r>
        <w:t xml:space="preserve"> </w:t>
      </w:r>
      <w:r>
        <w:t xml:space="preserve">Proc. Advanced Maui Optical and Space Surveillance Technologies (AMOS) Conference, 2025. doi:</w:t>
      </w:r>
      <w:r>
        <w:t xml:space="preserve"> </w:t>
      </w:r>
      <w:hyperlink r:id="rId128">
        <w:r>
          <w:rPr>
            <w:rStyle w:val="Hyperlink"/>
          </w:rPr>
          <w:t xml:space="preserve">10.64861/CEPU7718</w:t>
        </w:r>
      </w:hyperlink>
    </w:p>
    <w:p>
      <w:pPr>
        <w:pStyle w:val="BodyText"/>
        <w:spacing w:line="480" w:lineRule="auto"/>
        <w:ind w:firstLine="720"/>
      </w:pPr>
      <w:bookmarkStart w:id="129" w:name="ref-2"/>
      <w:bookmarkEnd w:id="129"/>
      <w:r>
        <w:t xml:space="preserve">2. K. G. Kelly,</w:t>
      </w:r>
      <w:r>
        <w:t xml:space="preserve"> </w:t>
      </w:r>
      <w:r>
        <w:t xml:space="preserve">“Integrating Machine Learning into Space Operations,”</w:t>
      </w:r>
      <w:r>
        <w:t xml:space="preserve"> </w:t>
      </w:r>
      <w:r>
        <w:t xml:space="preserve">Proc. Advanced Maui Optical and Space Surveillance Technologies (AMOS) Conference, 2017.</w:t>
      </w:r>
    </w:p>
    <w:p>
      <w:pPr>
        <w:pStyle w:val="BodyText"/>
        <w:spacing w:line="480" w:lineRule="auto"/>
        <w:ind w:firstLine="720"/>
      </w:pPr>
      <w:bookmarkStart w:id="130" w:name="ref-3"/>
      <w:bookmarkEnd w:id="130"/>
      <w:r>
        <w:t xml:space="preserve">3. A. Agathanggelou, R. Houghton, J. Collyer, J. Davis, and N. Pallecaros,</w:t>
      </w:r>
      <w:r>
        <w:t xml:space="preserve"> </w:t>
      </w:r>
      <w:r>
        <w:t xml:space="preserve">“Machine Learning for Satellite Characterisation,”</w:t>
      </w:r>
      <w:r>
        <w:t xml:space="preserve"> </w:t>
      </w:r>
      <w:r>
        <w:t xml:space="preserve">Proc. Advanced Maui Optical and Space Surveillance Technologies (AMOS) Conference, 2022.</w:t>
      </w:r>
    </w:p>
    <w:p>
      <w:pPr>
        <w:pStyle w:val="BodyText"/>
        <w:spacing w:line="480" w:lineRule="auto"/>
        <w:ind w:firstLine="720"/>
      </w:pPr>
      <w:bookmarkStart w:id="131" w:name="ref-4"/>
      <w:bookmarkEnd w:id="131"/>
      <w:r>
        <w:t xml:space="preserve">4.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t xml:space="preserve">Acta Astronautica, vol. 238, 2025. doi:</w:t>
      </w:r>
      <w:r>
        <w:t xml:space="preserve"> </w:t>
      </w:r>
      <w:hyperlink r:id="rId132">
        <w:r>
          <w:rPr>
            <w:rStyle w:val="Hyperlink"/>
          </w:rPr>
          <w:t xml:space="preserve">10.1016/j.actaastro.2025.10.018</w:t>
        </w:r>
      </w:hyperlink>
    </w:p>
    <w:p>
      <w:pPr>
        <w:pStyle w:val="BodyText"/>
        <w:spacing w:line="480" w:lineRule="auto"/>
        <w:ind w:firstLine="720"/>
      </w:pPr>
      <w:bookmarkStart w:id="133" w:name="ref-5"/>
      <w:bookmarkEnd w:id="133"/>
      <w:r>
        <w:t xml:space="preserve">5. C. Cena, U. Albertin, S. Bucci, M. Martini, A. Balossino, and M. Chiaberge,</w:t>
      </w:r>
      <w:r>
        <w:t xml:space="preserve"> </w:t>
      </w:r>
      <w:r>
        <w:t xml:space="preserve">“Self-supervised Real NVP for on-board satellite fault detection,”</w:t>
      </w:r>
      <w:r>
        <w:t xml:space="preserve"> </w:t>
      </w:r>
      <w:r>
        <w:t xml:space="preserve">Acta Astronautica, vol. 239, 2025. doi:</w:t>
      </w:r>
      <w:r>
        <w:t xml:space="preserve"> </w:t>
      </w:r>
      <w:hyperlink r:id="rId134">
        <w:r>
          <w:rPr>
            <w:rStyle w:val="Hyperlink"/>
          </w:rPr>
          <w:t xml:space="preserve">10.1016/j.actaastro.2025.10.068</w:t>
        </w:r>
      </w:hyperlink>
    </w:p>
    <w:p>
      <w:pPr>
        <w:pStyle w:val="BodyText"/>
        <w:spacing w:line="480" w:lineRule="auto"/>
        <w:ind w:firstLine="720"/>
      </w:pPr>
      <w:bookmarkStart w:id="135" w:name="ref-6"/>
      <w:bookmarkEnd w:id="135"/>
      <w:r>
        <w:t xml:space="preserve">6.</w:t>
      </w:r>
      <w:r>
        <w:t xml:space="preserve"> </w:t>
      </w:r>
      <w:r>
        <w:t xml:space="preserve">“The Role of Space in Driving Sustainability, Security, and Development,”</w:t>
      </w:r>
      <w:r>
        <w:t xml:space="preserve"> </w:t>
      </w:r>
      <w:r>
        <w:t xml:space="preserve">Space Economy Papers corpus, source key SD13.</w:t>
      </w:r>
    </w:p>
    <w:p>
      <w:pPr>
        <w:pStyle w:val="BodyText"/>
        <w:spacing w:line="480" w:lineRule="auto"/>
        <w:ind w:firstLine="720"/>
      </w:pPr>
      <w:bookmarkStart w:id="136" w:name="ref-7"/>
      <w:bookmarkEnd w:id="136"/>
      <w:r>
        <w:t xml:space="preserve">7. T. Hörger, L. Werling, K. Dresia, G. Waxenegger-Wilfing, and S. Schlechtriem,</w:t>
      </w:r>
      <w:r>
        <w:t xml:space="preserve"> </w:t>
      </w:r>
      <w:r>
        <w:t xml:space="preserve">“Experimental and Simulative Evaluation of a Reinforcement Learning Based Cold Gas Thrust Chamber Pressure Controller,”</w:t>
      </w:r>
      <w:r>
        <w:t xml:space="preserve"> </w:t>
      </w:r>
      <w:r>
        <w:t xml:space="preserve">Acta Astronautica, vol. 219, 2024. doi:</w:t>
      </w:r>
      <w:r>
        <w:t xml:space="preserve"> </w:t>
      </w:r>
      <w:hyperlink r:id="rId137">
        <w:r>
          <w:rPr>
            <w:rStyle w:val="Hyperlink"/>
          </w:rPr>
          <w:t xml:space="preserve">10.1016/j.actaastro.2024.02.039</w:t>
        </w:r>
      </w:hyperlink>
    </w:p>
    <w:p>
      <w:pPr>
        <w:pStyle w:val="BodyText"/>
        <w:spacing w:line="480" w:lineRule="auto"/>
        <w:ind w:firstLine="720"/>
      </w:pPr>
      <w:bookmarkStart w:id="138" w:name="ref-8"/>
      <w:bookmarkEnd w:id="138"/>
      <w:r>
        <w:t xml:space="preserve">8. A. Mashiku, L. Newman, and D. Highsmith,</w:t>
      </w:r>
      <w:r>
        <w:t xml:space="preserve"> </w:t>
      </w:r>
      <w:r>
        <w:t xml:space="preserve">“NASA Conjunction Assessment Risk Analysis (CARA) Compendium for Artificial Intelligence and Machine Learning for Satellite Collision Avoidance,”</w:t>
      </w:r>
      <w:r>
        <w:t xml:space="preserve"> </w:t>
      </w:r>
      <w:r>
        <w:t xml:space="preserve">Proc. AMOS Conference, 2025. doi:</w:t>
      </w:r>
      <w:r>
        <w:t xml:space="preserve"> </w:t>
      </w:r>
      <w:hyperlink r:id="rId139">
        <w:r>
          <w:rPr>
            <w:rStyle w:val="Hyperlink"/>
          </w:rPr>
          <w:t xml:space="preserve">10.64861/HKAM1019</w:t>
        </w:r>
      </w:hyperlink>
    </w:p>
    <w:p>
      <w:pPr>
        <w:pStyle w:val="BodyText"/>
        <w:spacing w:line="480" w:lineRule="auto"/>
        <w:ind w:firstLine="720"/>
      </w:pPr>
      <w:bookmarkStart w:id="140" w:name="ref-9"/>
      <w:bookmarkEnd w:id="140"/>
      <w:r>
        <w:t xml:space="preserve">9. Z. Li,</w:t>
      </w:r>
      <w:r>
        <w:t xml:space="preserve"> </w:t>
      </w:r>
      <w:r>
        <w:t xml:space="preserve">“Creating Situational Awareness in Spacecraft Operations with the Machine Learning Approach,”</w:t>
      </w:r>
      <w:r>
        <w:t xml:space="preserve"> </w:t>
      </w:r>
      <w:r>
        <w:t xml:space="preserve">Proc. AMOS Conference, 2016.</w:t>
      </w:r>
    </w:p>
    <w:p>
      <w:pPr>
        <w:pStyle w:val="BodyText"/>
        <w:spacing w:line="480" w:lineRule="auto"/>
        <w:ind w:firstLine="720"/>
      </w:pPr>
      <w:bookmarkStart w:id="141" w:name="ref-10"/>
      <w:bookmarkEnd w:id="141"/>
      <w:r>
        <w:t xml:space="preserve">10. C. Reglero Andres, E. Salcedo de Zarraga, S. Hawthorne, M. Cote, N. Ansell, and Y. Dasgupta,</w:t>
      </w:r>
      <w:r>
        <w:t xml:space="preserve"> </w:t>
      </w:r>
      <w:r>
        <w:t xml:space="preserve">“Reducing Decision Time for on-orbit Operations with Virtualized Ground Stations and Machine Learning,”</w:t>
      </w:r>
      <w:r>
        <w:t xml:space="preserve"> </w:t>
      </w:r>
      <w:r>
        <w:t xml:space="preserve">Proc. AMOS Conference, 2022.</w:t>
      </w:r>
    </w:p>
    <w:p>
      <w:pPr>
        <w:pStyle w:val="BodyText"/>
        <w:spacing w:line="480" w:lineRule="auto"/>
        <w:ind w:firstLine="720"/>
      </w:pPr>
      <w:bookmarkStart w:id="142" w:name="ref-11"/>
      <w:bookmarkEnd w:id="142"/>
      <w:r>
        <w:t xml:space="preserve">11. N. B. LaFarge, K. C. Howell, and D. Folta,</w:t>
      </w:r>
      <w:r>
        <w:t xml:space="preserve"> </w:t>
      </w:r>
      <w:r>
        <w:t xml:space="preserve">“Adaptive closed-loop maneuver planning for low-thrust spacecraft using reinforcement learning,”</w:t>
      </w:r>
      <w:r>
        <w:t xml:space="preserve"> </w:t>
      </w:r>
      <w:r>
        <w:t xml:space="preserve">Acta Astronautica, vol. 211, 2023. doi:</w:t>
      </w:r>
      <w:r>
        <w:t xml:space="preserve"> </w:t>
      </w:r>
      <w:hyperlink r:id="rId143">
        <w:r>
          <w:rPr>
            <w:rStyle w:val="Hyperlink"/>
          </w:rPr>
          <w:t xml:space="preserve">10.1016/j.actaastro.2023.06.004</w:t>
        </w:r>
      </w:hyperlink>
    </w:p>
    <w:p>
      <w:pPr>
        <w:pStyle w:val="BodyText"/>
        <w:spacing w:line="480" w:lineRule="auto"/>
        <w:ind w:firstLine="720"/>
      </w:pPr>
      <w:bookmarkStart w:id="144" w:name="ref-12"/>
      <w:bookmarkEnd w:id="144"/>
      <w:r>
        <w:t xml:space="preserve">12. R. T. Rajan et al.,</w:t>
      </w:r>
      <w:r>
        <w:t xml:space="preserve"> </w:t>
      </w:r>
      <w:r>
        <w:t xml:space="preserve">“Applications and Potentials of Intelligent Swarms for magnetospheric studies,”</w:t>
      </w:r>
      <w:r>
        <w:t xml:space="preserve"> </w:t>
      </w:r>
      <w:r>
        <w:t xml:space="preserve">Acta Astronautica, vol. 193, 2021. doi:</w:t>
      </w:r>
      <w:r>
        <w:t xml:space="preserve"> </w:t>
      </w:r>
      <w:hyperlink r:id="rId145">
        <w:r>
          <w:rPr>
            <w:rStyle w:val="Hyperlink"/>
          </w:rPr>
          <w:t xml:space="preserve">10.1016/j.actaastro.2021.07.046</w:t>
        </w:r>
      </w:hyperlink>
    </w:p>
    <w:p>
      <w:pPr>
        <w:pStyle w:val="BodyText"/>
        <w:spacing w:line="480" w:lineRule="auto"/>
        <w:ind w:firstLine="720"/>
      </w:pPr>
      <w:bookmarkStart w:id="146" w:name="ref-13"/>
      <w:bookmarkEnd w:id="146"/>
      <w:r>
        <w:t xml:space="preserve">13. U.S. Government Accountability Office,</w:t>
      </w:r>
      <w:r>
        <w:t xml:space="preserve"> </w:t>
      </w:r>
      <w:r>
        <w:t xml:space="preserve">“NASA: Assessments of Major Projects,”</w:t>
      </w:r>
      <w:r>
        <w:t xml:space="preserve"> </w:t>
      </w:r>
      <w:r>
        <w:t xml:space="preserve">GAO-25-107591, 2024.</w:t>
      </w:r>
    </w:p>
    <w:p>
      <w:pPr>
        <w:pStyle w:val="BodyText"/>
        <w:spacing w:line="480" w:lineRule="auto"/>
        <w:ind w:firstLine="720"/>
      </w:pPr>
      <w:bookmarkStart w:id="147" w:name="ref-14"/>
      <w:bookmarkEnd w:id="147"/>
      <w:r>
        <w:t xml:space="preserve">14. U.S. Government Accountability Office,</w:t>
      </w:r>
      <w:r>
        <w:t xml:space="preserve"> </w:t>
      </w:r>
      <w:r>
        <w:t xml:space="preserve">“NASA Artemis Programs: Assessment,”</w:t>
      </w:r>
      <w:r>
        <w:t xml:space="preserve"> </w:t>
      </w:r>
      <w:r>
        <w:t xml:space="preserve">GAO-24-106767, 2023.</w:t>
      </w:r>
    </w:p>
    <w:p>
      <w:pPr>
        <w:pStyle w:val="BodyText"/>
        <w:spacing w:line="480" w:lineRule="auto"/>
        <w:ind w:firstLine="720"/>
      </w:pPr>
      <w:bookmarkStart w:id="148" w:name="ref-15"/>
      <w:bookmarkEnd w:id="148"/>
      <w:r>
        <w:t xml:space="preserve">15.</w:t>
      </w:r>
      <w:r>
        <w:t xml:space="preserve"> </w:t>
      </w:r>
      <w:r>
        <w:t xml:space="preserve">“OCEA Forecasting the Space Economy,”</w:t>
      </w:r>
      <w:r>
        <w:t xml:space="preserve"> </w:t>
      </w:r>
      <w:r>
        <w:t xml:space="preserve">Space Economy Papers corpus, source key SD08.</w:t>
      </w:r>
    </w:p>
    <w:p>
      <w:pPr>
        <w:pStyle w:val="BodyText"/>
        <w:spacing w:line="480" w:lineRule="auto"/>
        <w:ind w:firstLine="720"/>
      </w:pPr>
      <w:bookmarkStart w:id="149" w:name="ref-16"/>
      <w:bookmarkEnd w:id="149"/>
      <w:r>
        <w:t xml:space="preserve">16. M. Weinzierl,</w:t>
      </w:r>
      <w:r>
        <w:t xml:space="preserve"> </w:t>
      </w:r>
      <w:r>
        <w:t xml:space="preserve">“Space, the Final Economic Frontier,”</w:t>
      </w:r>
      <w:r>
        <w:t xml:space="preserve"> </w:t>
      </w:r>
      <w:r>
        <w:t xml:space="preserve">Space Economy Papers corpus, source key SD18, 2018.</w:t>
      </w:r>
    </w:p>
    <w:p>
      <w:pPr>
        <w:pStyle w:val="BodyText"/>
        <w:spacing w:line="480" w:lineRule="auto"/>
        <w:ind w:firstLine="720"/>
      </w:pPr>
      <w:bookmarkStart w:id="150" w:name="ref-17"/>
      <w:bookmarkEnd w:id="150"/>
      <w:r>
        <w:t xml:space="preserve">17. T. Hoerger, L. Werling, K. Dresia, G. Waxenegger-Wilfing, and S. Schlechtriem,</w:t>
      </w:r>
      <w:r>
        <w:t xml:space="preserve"> </w:t>
      </w:r>
      <w:r>
        <w:t xml:space="preserve">“Experimental and Simulative Evaluation of a Reinforcement Learning Based Cold Gas Thrust Chamber Pressure Controller,”</w:t>
      </w:r>
      <w:r>
        <w:t xml:space="preserve"> </w:t>
      </w:r>
      <w:r>
        <w:t xml:space="preserve">Acta Astronautica, vol. 219, 2024. doi:</w:t>
      </w:r>
      <w:r>
        <w:t xml:space="preserve"> </w:t>
      </w:r>
      <w:hyperlink r:id="rId137">
        <w:r>
          <w:rPr>
            <w:rStyle w:val="Hyperlink"/>
          </w:rPr>
          <w:t xml:space="preserve">10.1016/j.actaastro.2024.02.039</w:t>
        </w:r>
      </w:hyperlink>
    </w:p>
    <w:p>
      <w:pPr>
        <w:pStyle w:val="BodyText"/>
        <w:spacing w:line="480" w:lineRule="auto"/>
        <w:ind w:firstLine="720"/>
      </w:pPr>
      <w:bookmarkStart w:id="151" w:name="ref-18"/>
      <w:bookmarkEnd w:id="151"/>
      <w:r>
        <w:t xml:space="preserve">18. J. Lucas, T. Kyono, M. Werth, N. Gagnier, Z. Endsley, J. Fletcher, and I. McQuaid,</w:t>
      </w:r>
      <w:r>
        <w:t xml:space="preserve"> </w:t>
      </w:r>
      <w:r>
        <w:t xml:space="preserve">“Estimating Satellite Orientation through Turbulence with Deep Learning,”</w:t>
      </w:r>
      <w:r>
        <w:t xml:space="preserve"> </w:t>
      </w:r>
      <w:r>
        <w:t xml:space="preserve">Proc. Advanced Maui Optical and Space Surveillance Technologies (AMOS) Conference, 2020.</w:t>
      </w:r>
    </w:p>
    <w:p>
      <w:pPr>
        <w:pStyle w:val="BodyText"/>
        <w:spacing w:line="480" w:lineRule="auto"/>
        <w:ind w:firstLine="720"/>
      </w:pPr>
      <w:bookmarkStart w:id="152" w:name="ref-19"/>
      <w:bookmarkEnd w:id="152"/>
      <w:r>
        <w:t xml:space="preserve">19. C. Wilson and A. Riccardi,</w:t>
      </w:r>
      <w:r>
        <w:t xml:space="preserve"> </w:t>
      </w:r>
      <w:r>
        <w:t xml:space="preserve">“Enabling intelligent onboard guidance, navigation, and control using reinforcement learning on near-term flight hardware,”</w:t>
      </w:r>
      <w:r>
        <w:t xml:space="preserve"> </w:t>
      </w:r>
      <w:r>
        <w:t xml:space="preserve">Acta Astronautica, vol. 199, 2022. doi:</w:t>
      </w:r>
      <w:r>
        <w:t xml:space="preserve"> </w:t>
      </w:r>
      <w:hyperlink r:id="rId153">
        <w:r>
          <w:rPr>
            <w:rStyle w:val="Hyperlink"/>
          </w:rPr>
          <w:t xml:space="preserve">10.1016/j.actaastro.2022.07.013</w:t>
        </w:r>
      </w:hyperlink>
    </w:p>
    <w:p>
      <w:pPr>
        <w:pStyle w:val="BodyText"/>
        <w:spacing w:line="480" w:lineRule="auto"/>
        <w:ind w:firstLine="720"/>
      </w:pPr>
      <w:bookmarkStart w:id="154" w:name="ref-20"/>
      <w:bookmarkEnd w:id="154"/>
      <w:r>
        <w:t xml:space="preserve">20. Z. Wang and N. Aouf,</w:t>
      </w:r>
      <w:r>
        <w:t xml:space="preserve"> </w:t>
      </w:r>
      <w:r>
        <w:t xml:space="preserve">“Efficient adversarial attacks detection for deep reinforcement learning-based autonomous planetary landing GNC,”</w:t>
      </w:r>
      <w:r>
        <w:t xml:space="preserve"> </w:t>
      </w:r>
      <w:r>
        <w:t xml:space="preserve">Acta Astronautica, vol. 224, 2024. doi:</w:t>
      </w:r>
      <w:r>
        <w:t xml:space="preserve"> </w:t>
      </w:r>
      <w:hyperlink r:id="rId155">
        <w:r>
          <w:rPr>
            <w:rStyle w:val="Hyperlink"/>
          </w:rPr>
          <w:t xml:space="preserve">10.1016/j.actaastro.2024.07.052</w:t>
        </w:r>
      </w:hyperlink>
    </w:p>
    <w:p>
      <w:pPr>
        <w:pStyle w:val="BodyText"/>
        <w:spacing w:line="480" w:lineRule="auto"/>
        <w:ind w:firstLine="720"/>
      </w:pPr>
      <w:bookmarkStart w:id="156" w:name="ref-21"/>
      <w:bookmarkEnd w:id="156"/>
      <w:r>
        <w:t xml:space="preserve">21. E. Lagona, S. Hilton, M. Afful, A. Gardi, and R. Sabatini,</w:t>
      </w:r>
      <w:r>
        <w:t xml:space="preserve"> </w:t>
      </w:r>
      <w:r>
        <w:t xml:space="preserve">“Autonomous Trajectory Optimisation for Intelligent Satellite Systems and Space Traffic Management,”</w:t>
      </w:r>
      <w:r>
        <w:t xml:space="preserve"> </w:t>
      </w:r>
      <w:r>
        <w:t xml:space="preserve">Acta Astronautica, vol. 194, 2022. doi:</w:t>
      </w:r>
      <w:r>
        <w:t xml:space="preserve"> </w:t>
      </w:r>
      <w:hyperlink r:id="rId157">
        <w:r>
          <w:rPr>
            <w:rStyle w:val="Hyperlink"/>
          </w:rPr>
          <w:t xml:space="preserve">10.1016/j.actaastro.2022.01.027</w:t>
        </w:r>
      </w:hyperlink>
    </w:p>
    <w:p>
      <w:pPr>
        <w:pStyle w:val="BodyText"/>
        <w:spacing w:line="480" w:lineRule="auto"/>
        <w:ind w:firstLine="720"/>
      </w:pPr>
      <w:bookmarkStart w:id="158" w:name="ref-22"/>
      <w:bookmarkEnd w:id="158"/>
      <w:r>
        <w:t xml:space="preserve">22. K. De Alba, K. Phan, A. Cabello, Z. Gazak, and J. Fletcher,</w:t>
      </w:r>
      <w:r>
        <w:t xml:space="preserve"> </w:t>
      </w:r>
      <w:r>
        <w:t xml:space="preserve">“Operational Photometry for SDA: Robust, Source-Agnostic, and Sim-to-Real Ready,”</w:t>
      </w:r>
      <w:r>
        <w:t xml:space="preserve"> </w:t>
      </w:r>
      <w:r>
        <w:t xml:space="preserve">Proc. Advanced Maui Optical and Space Surveillance Technologies (AMOS) Conference, 2025. doi:</w:t>
      </w:r>
      <w:r>
        <w:t xml:space="preserve"> </w:t>
      </w:r>
      <w:hyperlink r:id="rId159">
        <w:r>
          <w:rPr>
            <w:rStyle w:val="Hyperlink"/>
          </w:rPr>
          <w:t xml:space="preserve">10.64861/YOWY2953</w:t>
        </w:r>
      </w:hyperlink>
    </w:p>
    <w:p>
      <w:pPr>
        <w:pStyle w:val="BodyText"/>
        <w:spacing w:line="480" w:lineRule="auto"/>
        <w:ind w:firstLine="720"/>
      </w:pPr>
      <w:bookmarkStart w:id="160" w:name="ref-23"/>
      <w:bookmarkEnd w:id="160"/>
      <w:r>
        <w:t xml:space="preserve">23. C. Constant, S. Mutschler, S. Bhattarai, and M. Pilinski,</w:t>
      </w:r>
      <w:r>
        <w:t xml:space="preserve"> </w:t>
      </w:r>
      <w:r>
        <w:t xml:space="preserve">“Bring the Noise: Three Rules for Improving Thermospheric Density Retrieval From LEO POD Data,”</w:t>
      </w:r>
      <w:r>
        <w:t xml:space="preserve"> </w:t>
      </w:r>
      <w:r>
        <w:t xml:space="preserve">Proc. Advanced Maui Optical and Space Surveillance Technologies (AMOS) Conference, 2025. doi:</w:t>
      </w:r>
      <w:r>
        <w:t xml:space="preserve"> </w:t>
      </w:r>
      <w:hyperlink r:id="rId161">
        <w:r>
          <w:rPr>
            <w:rStyle w:val="Hyperlink"/>
          </w:rPr>
          <w:t xml:space="preserve">10.64861/PHHA7076</w:t>
        </w:r>
      </w:hyperlink>
    </w:p>
    <w:p>
      <w:pPr>
        <w:pStyle w:val="BodyText"/>
        <w:spacing w:line="480" w:lineRule="auto"/>
        <w:ind w:firstLine="720"/>
      </w:pPr>
      <w:bookmarkStart w:id="162" w:name="ref-24"/>
      <w:bookmarkEnd w:id="162"/>
      <w:r>
        <w:t xml:space="preserve">24. J. Ebeling, D. DeSieno, J. Hansen, C. Tschan, and C. Sheaff,</w:t>
      </w:r>
      <w:r>
        <w:t xml:space="preserve"> </w:t>
      </w:r>
      <w:r>
        <w:t xml:space="preserve">“Machine Learning for E-O Data and Imagery Event Detection,”</w:t>
      </w:r>
      <w:r>
        <w:t xml:space="preserve"> </w:t>
      </w:r>
      <w:r>
        <w:t xml:space="preserve">Proc. Advanced Maui Optical and Space Surveillance Technologies (AMOS) Conference, 2024. doi:</w:t>
      </w:r>
      <w:r>
        <w:t xml:space="preserve"> </w:t>
      </w:r>
      <w:hyperlink r:id="rId163">
        <w:r>
          <w:rPr>
            <w:rStyle w:val="Hyperlink"/>
          </w:rPr>
          <w:t xml:space="preserve">10.64861/XMQA2396</w:t>
        </w:r>
      </w:hyperlink>
    </w:p>
    <w:p>
      <w:pPr>
        <w:pStyle w:val="BodyText"/>
        <w:spacing w:line="480" w:lineRule="auto"/>
        <w:ind w:firstLine="720"/>
      </w:pPr>
      <w:bookmarkStart w:id="164" w:name="ref-25"/>
      <w:bookmarkEnd w:id="164"/>
      <w:r>
        <w:t xml:space="preserve">25. Z. Pavanello, L. De Maria, A. De Vittori, M. Maestrini, P. Di Lizia, and R. Armellin,</w:t>
      </w:r>
      <w:r>
        <w:t xml:space="preserve"> </w:t>
      </w:r>
      <w:r>
        <w:t xml:space="preserve">“CAMmary: A review of spacecraft collision avoidance manoeuvre design methods,”</w:t>
      </w:r>
      <w:r>
        <w:t xml:space="preserve"> </w:t>
      </w:r>
      <w:r>
        <w:t xml:space="preserve">Acta Astronautica, vol. 236, 2025. doi:</w:t>
      </w:r>
      <w:r>
        <w:t xml:space="preserve"> </w:t>
      </w:r>
      <w:hyperlink r:id="rId165">
        <w:r>
          <w:rPr>
            <w:rStyle w:val="Hyperlink"/>
          </w:rPr>
          <w:t xml:space="preserve">10.1016/j.actaastro.2025.07.027</w:t>
        </w:r>
      </w:hyperlink>
    </w:p>
    <w:p>
      <w:pPr>
        <w:pStyle w:val="BodyText"/>
        <w:spacing w:line="480" w:lineRule="auto"/>
        <w:ind w:firstLine="720"/>
      </w:pPr>
      <w:bookmarkStart w:id="166" w:name="ref-26"/>
      <w:bookmarkEnd w:id="166"/>
      <w:r>
        <w:t xml:space="preserve">26. Enrique De Alba, EO Solutions; Alexander Cabello, EO Solutions; Garrett Fitzgerald, EO Solutions; Zach Gazak, Space Systems Command A&amp;AS; Justin Fletcher, Space Systems Command A&amp;AS. Toward Integration of Large Language Models for Command and Control in Space Domain Awareness (2025). doi:</w:t>
      </w:r>
      <w:r>
        <w:t xml:space="preserve"> </w:t>
      </w:r>
      <w:hyperlink r:id="rId167">
        <w:r>
          <w:rPr>
            <w:rStyle w:val="Hyperlink"/>
          </w:rPr>
          <w:t xml:space="preserve">10.64861/OWDT6586</w:t>
        </w:r>
      </w:hyperlink>
    </w:p>
    <w:p>
      <w:pPr>
        <w:pStyle w:val="BodyText"/>
        <w:spacing w:line="480" w:lineRule="auto"/>
        <w:ind w:firstLine="720"/>
      </w:pPr>
      <w:bookmarkStart w:id="168" w:name="ref-27"/>
      <w:bookmarkEnd w:id="168"/>
      <w:r>
        <w:t xml:space="preserve">27.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28">
        <w:r>
          <w:rPr>
            <w:rStyle w:val="Hyperlink"/>
          </w:rPr>
          <w:t xml:space="preserve">10.64861/CEPU7718</w:t>
        </w:r>
      </w:hyperlink>
    </w:p>
    <w:p>
      <w:pPr>
        <w:pStyle w:val="BodyText"/>
        <w:spacing w:line="480" w:lineRule="auto"/>
        <w:ind w:firstLine="720"/>
      </w:pPr>
      <w:bookmarkStart w:id="169" w:name="ref-28"/>
      <w:bookmarkEnd w:id="169"/>
      <w:r>
        <w:t xml:space="preserve">28.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170">
        <w:r>
          <w:rPr>
            <w:rStyle w:val="Hyperlink"/>
          </w:rPr>
          <w:t xml:space="preserve">10.64861/PFBR4795</w:t>
        </w:r>
      </w:hyperlink>
    </w:p>
    <w:p>
      <w:pPr>
        <w:pStyle w:val="BodyText"/>
        <w:spacing w:line="480" w:lineRule="auto"/>
        <w:ind w:firstLine="720"/>
      </w:pPr>
      <w:bookmarkStart w:id="171" w:name="ref-29"/>
      <w:bookmarkEnd w:id="171"/>
      <w:r>
        <w:t xml:space="preserve">29. Garrett Fitzgerald, U. S. Space Force; Rachel Morris, Applied Decision Science; Laura G. Militello, Applied Decision Science; Justin Fletcher, USSF/SSC. Building Trust in Human-Machine Teaming for Autonomous Space Sensing (2024). doi:</w:t>
      </w:r>
      <w:r>
        <w:t xml:space="preserve"> </w:t>
      </w:r>
      <w:hyperlink r:id="rId172">
        <w:r>
          <w:rPr>
            <w:rStyle w:val="Hyperlink"/>
          </w:rPr>
          <w:t xml:space="preserve">10.64861/HWZS9386</w:t>
        </w:r>
      </w:hyperlink>
    </w:p>
    <w:p>
      <w:pPr>
        <w:pStyle w:val="BodyText"/>
        <w:spacing w:line="480" w:lineRule="auto"/>
        <w:ind w:firstLine="720"/>
      </w:pPr>
      <w:bookmarkStart w:id="173" w:name="ref-30"/>
      <w:bookmarkEnd w:id="173"/>
      <w:r>
        <w:t xml:space="preserve">30. Peng Mun Siew, Massachusetts Institute of Technology; Daniel Jang, Massachusetts Institute of Technology; Thomas G. Roberts, Massachusetts Institute of Technology; Richard Linares, Massachusetts Institute of Technology; Justin Fletcher, United States Space Force Space Systems Command. Cislunar Space Situational Awareness Sensor Tasking using Deep Reinforcement Learning Agents (2022).</w:t>
      </w:r>
    </w:p>
    <w:p>
      <w:pPr>
        <w:pStyle w:val="BodyText"/>
        <w:spacing w:line="480" w:lineRule="auto"/>
        <w:ind w:firstLine="720"/>
      </w:pPr>
      <w:bookmarkStart w:id="174" w:name="ref-31"/>
      <w:bookmarkEnd w:id="174"/>
      <w:r>
        <w:t xml:space="preserve">31.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175">
        <w:r>
          <w:rPr>
            <w:rStyle w:val="Hyperlink"/>
          </w:rPr>
          <w:t xml:space="preserve">10.64861/LWLF6390</w:t>
        </w:r>
      </w:hyperlink>
    </w:p>
    <w:p>
      <w:pPr>
        <w:pStyle w:val="BodyText"/>
        <w:spacing w:line="480" w:lineRule="auto"/>
        <w:ind w:firstLine="720"/>
      </w:pPr>
      <w:bookmarkStart w:id="176" w:name="ref-32"/>
      <w:bookmarkEnd w:id="176"/>
      <w:r>
        <w:t xml:space="preserve">32. David Richmond (Lockheed Martin). Net-Centric Sensors and Data Sources (N-CSDS) Ground-based Electro Optical Deep Space Surveillance (GEODSS) Sidecar (2012).</w:t>
      </w:r>
    </w:p>
    <w:p>
      <w:pPr>
        <w:pStyle w:val="BodyText"/>
        <w:spacing w:line="480" w:lineRule="auto"/>
        <w:ind w:firstLine="720"/>
      </w:pPr>
      <w:bookmarkStart w:id="177" w:name="ref-33"/>
      <w:bookmarkEnd w:id="177"/>
      <w:r>
        <w:t xml:space="preserve">33. Lawrence Scally (Colorado Engineering, Inc.), Michael Bonato (Colorado Engineering, Inc.), James Crowder (Raytheon). Learning Agents for Autonomous Space Asset Management (LAASAM) (2011).</w:t>
      </w:r>
    </w:p>
    <w:p>
      <w:pPr>
        <w:pStyle w:val="BodyText"/>
        <w:spacing w:line="480" w:lineRule="auto"/>
        <w:ind w:firstLine="720"/>
      </w:pPr>
      <w:bookmarkStart w:id="178" w:name="ref-34"/>
      <w:bookmarkEnd w:id="178"/>
      <w:r>
        <w:t xml:space="preserve">34.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32">
        <w:r>
          <w:rPr>
            <w:rStyle w:val="Hyperlink"/>
          </w:rPr>
          <w:t xml:space="preserve">10.1016/j.actaastro.2025.10.018</w:t>
        </w:r>
      </w:hyperlink>
    </w:p>
    <w:p>
      <w:pPr>
        <w:pStyle w:val="BodyText"/>
        <w:spacing w:line="480" w:lineRule="auto"/>
        <w:ind w:firstLine="720"/>
      </w:pPr>
      <w:bookmarkStart w:id="179" w:name="ref-35"/>
      <w:bookmarkEnd w:id="179"/>
      <w:r>
        <w:t xml:space="preserve">35. n.a.. Feasibility study for a commercial space station in low 2025 Acta Astronaut (2024). doi:</w:t>
      </w:r>
      <w:r>
        <w:t xml:space="preserve"> </w:t>
      </w:r>
      <w:hyperlink r:id="rId180">
        <w:r>
          <w:rPr>
            <w:rStyle w:val="Hyperlink"/>
          </w:rPr>
          <w:t xml:space="preserve">10.1016/j.actaastro.2024.09.058</w:t>
        </w:r>
      </w:hyperlink>
    </w:p>
    <w:p>
      <w:pPr>
        <w:pStyle w:val="BodyText"/>
        <w:spacing w:line="480" w:lineRule="auto"/>
        <w:ind w:firstLine="720"/>
      </w:pPr>
      <w:bookmarkStart w:id="181" w:name="ref-36"/>
      <w:bookmarkEnd w:id="181"/>
      <w:r>
        <w:t xml:space="preserve">36. Ioana Bratu; Steven Freeland. Winner takes all? Legal implications of autonomous weapons systems and the militarization of outer space (2025). doi:</w:t>
      </w:r>
      <w:r>
        <w:t xml:space="preserve"> </w:t>
      </w:r>
      <w:hyperlink r:id="rId182">
        <w:r>
          <w:rPr>
            <w:rStyle w:val="Hyperlink"/>
          </w:rPr>
          <w:t xml:space="preserve">10.1016/j.actaastro.2025.09.031</w:t>
        </w:r>
      </w:hyperlink>
    </w:p>
    <w:p>
      <w:pPr>
        <w:pStyle w:val="BodyText"/>
        <w:spacing w:line="480" w:lineRule="auto"/>
        <w:ind w:firstLine="720"/>
      </w:pPr>
      <w:bookmarkStart w:id="183" w:name="ref-37"/>
      <w:bookmarkEnd w:id="183"/>
      <w:r>
        <w:t xml:space="preserve">37. Luca Patrignani; Eleonora Laurenza; Emanuel Sallinger; Adriano Vlad; Paolo Gaudenzi. SpaceKG: Towards exploiting Knowledge Graphs in space systems (2025). doi:</w:t>
      </w:r>
      <w:r>
        <w:t xml:space="preserve"> </w:t>
      </w:r>
      <w:hyperlink r:id="rId184">
        <w:r>
          <w:rPr>
            <w:rStyle w:val="Hyperlink"/>
          </w:rPr>
          <w:t xml:space="preserve">10.1016/j.actaastro.2025.07.007</w:t>
        </w:r>
      </w:hyperlink>
    </w:p>
    <w:p>
      <w:pPr>
        <w:pStyle w:val="BodyText"/>
        <w:spacing w:line="480" w:lineRule="auto"/>
        <w:ind w:firstLine="720"/>
      </w:pPr>
      <w:bookmarkStart w:id="185" w:name="ref-38"/>
      <w:bookmarkEnd w:id="185"/>
      <w:r>
        <w:t xml:space="preserve">38. Simone Cottiga; Matteo Caruso; Paolo Gallina; Stefano Seriani. Proprioceptive swarms for celestial body exploration (2024). doi:</w:t>
      </w:r>
      <w:r>
        <w:t xml:space="preserve"> </w:t>
      </w:r>
      <w:hyperlink r:id="rId186">
        <w:r>
          <w:rPr>
            <w:rStyle w:val="Hyperlink"/>
          </w:rPr>
          <w:t xml:space="preserve">10.1016/j.actaastro.2024.07.001</w:t>
        </w:r>
      </w:hyperlink>
    </w:p>
    <w:p>
      <w:pPr>
        <w:pStyle w:val="BodyText"/>
        <w:spacing w:line="480" w:lineRule="auto"/>
        <w:ind w:firstLine="720"/>
      </w:pPr>
      <w:bookmarkStart w:id="187" w:name="ref-39"/>
      <w:bookmarkEnd w:id="187"/>
      <w:r>
        <w:t xml:space="preserve">39. Ziwei Wang; Nabil Aouf. Efficient adversarial attacks detection for deep reinforcement learning-based autonomous planetary landing GNC (2024). doi:</w:t>
      </w:r>
      <w:r>
        <w:t xml:space="preserve"> </w:t>
      </w:r>
      <w:hyperlink r:id="rId155">
        <w:r>
          <w:rPr>
            <w:rStyle w:val="Hyperlink"/>
          </w:rPr>
          <w:t xml:space="preserve">10.1016/j.actaastro.2024.07.052</w:t>
        </w:r>
      </w:hyperlink>
    </w:p>
    <w:p>
      <w:pPr>
        <w:pStyle w:val="BodyText"/>
        <w:spacing w:line="480" w:lineRule="auto"/>
        <w:ind w:firstLine="720"/>
      </w:pPr>
      <w:bookmarkStart w:id="188" w:name="ref-40"/>
      <w:bookmarkEnd w:id="188"/>
      <w:r>
        <w:t xml:space="preserve">40. n.a.. The Space Imperative (Whole-of-Nation) (n.d.).</w:t>
      </w:r>
    </w:p>
    <w:p>
      <w:pPr>
        <w:pStyle w:val="BodyText"/>
        <w:spacing w:line="480" w:lineRule="auto"/>
        <w:ind w:firstLine="720"/>
      </w:pPr>
      <w:bookmarkStart w:id="189" w:name="ref-41"/>
      <w:bookmarkEnd w:id="189"/>
      <w:r>
        <w:t xml:space="preserve">41. n.a.. OCEA Forecasting the Space Economy (n.d.).</w:t>
      </w:r>
    </w:p>
    <w:bookmarkEnd w:id="190"/>
    <w:bookmarkEnd w:id="191"/>
    <w:bookmarkStart w:id="208"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9" w:name="X659f9c755fb073c3d50c9785d0212bb12375f07"/>
    <w:p>
      <w:pPr>
        <w:pStyle w:val="Heading2"/>
        <w:spacing w:line="480" w:lineRule="auto"/>
      </w:pPr>
      <w:r>
        <w:t xml:space="preserve">A.1 Logging-Surface Design and the Reported Reproducibility of Agentic Decisions in Space Operations: A Logistic Analysis of 28 Documented Studies</w:t>
      </w:r>
    </w:p>
    <w:p>
      <w:pPr>
        <w:pStyle w:val="FirstParagraph"/>
        <w:spacing w:line="480" w:lineRule="auto"/>
      </w:pPr>
      <m:oMathPara>
        <m:oMathParaPr>
          <m:jc m:val="center"/>
        </m:oMathParaPr>
        <m:oMath>
          <m:r>
            <m:rPr>
              <m:sty m:val="p"/>
            </m:rPr>
            <m:t>Pr</m:t>
          </m:r>
          <m:r>
            <m:rPr>
              <m:sty m:val="p"/>
            </m:rPr>
            <m:t>(</m:t>
          </m:r>
          <m:sSub>
            <m:e>
              <m:r>
                <m:rPr>
                  <m:nor/>
                  <m:sty m:val="p"/>
                </m:rPr>
                <m:t>reproducible</m:t>
              </m:r>
            </m:e>
            <m:sub>
              <m:r>
                <m:t>i</m:t>
              </m:r>
            </m:sub>
          </m:sSub>
          <m:r>
            <m:rPr>
              <m:sty m:val="p"/>
            </m:rPr>
            <m:t>=</m:t>
          </m:r>
          <m:r>
            <m:t>1</m:t>
          </m:r>
          <m:r>
            <m:rPr>
              <m:sty m:val="p"/>
            </m:rPr>
            <m:t>∣</m:t>
          </m:r>
          <m:sSub>
            <m:e>
              <m:r>
                <m:t>X</m:t>
              </m:r>
            </m:e>
            <m:sub>
              <m:r>
                <m:t>i</m:t>
              </m:r>
            </m:sub>
          </m:sSub>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nor/>
                      <m:sty m:val="p"/>
                    </m:rPr>
                    <m:t>trace_structured</m:t>
                  </m:r>
                </m:e>
                <m:sub>
                  <m:r>
                    <m:t>i</m:t>
                  </m:r>
                </m:sub>
              </m:sSub>
              <m:r>
                <m:rPr>
                  <m:sty m:val="p"/>
                </m:rPr>
                <m:t>+</m:t>
              </m:r>
              <m:sSub>
                <m:e>
                  <m:r>
                    <m:t>β</m:t>
                  </m:r>
                </m:e>
                <m:sub>
                  <m:r>
                    <m:t>2</m:t>
                  </m:r>
                </m:sub>
              </m:sSub>
              <m:sSub>
                <m:e>
                  <m:r>
                    <m:rPr>
                      <m:nor/>
                      <m:sty m:val="p"/>
                    </m:rPr>
                    <m:t>seed_pinning</m:t>
                  </m:r>
                </m:e>
                <m:sub>
                  <m:r>
                    <m:t>i</m:t>
                  </m:r>
                </m:sub>
              </m:sSub>
              <m:r>
                <m:rPr>
                  <m:sty m:val="p"/>
                </m:rPr>
                <m:t>+</m:t>
              </m:r>
              <m:sSub>
                <m:e>
                  <m:r>
                    <m:t>β</m:t>
                  </m:r>
                </m:e>
                <m:sub>
                  <m:r>
                    <m:t>3</m:t>
                  </m:r>
                </m:sub>
              </m:sSub>
              <m:sSub>
                <m:e>
                  <m:r>
                    <m:rPr>
                      <m:nor/>
                      <m:sty m:val="p"/>
                    </m:rPr>
                    <m:t>tool_versioning</m:t>
                  </m:r>
                </m:e>
                <m:sub>
                  <m:r>
                    <m:t>i</m:t>
                  </m:r>
                </m:sub>
              </m:sSub>
              <m:r>
                <m:rPr>
                  <m:sty m:val="p"/>
                </m:rPr>
                <m:t>+</m:t>
              </m:r>
              <m:sSub>
                <m:e>
                  <m:r>
                    <m:t>β</m:t>
                  </m:r>
                </m:e>
                <m:sub>
                  <m:r>
                    <m:t>4</m:t>
                  </m:r>
                </m:sub>
              </m:sSub>
              <m:sSub>
                <m:e>
                  <m:r>
                    <m:rPr>
                      <m:nor/>
                      <m:sty m:val="p"/>
                    </m:rPr>
                    <m:t>code_released</m:t>
                  </m:r>
                </m:e>
                <m:sub>
                  <m:r>
                    <m:t>i</m:t>
                  </m:r>
                </m:sub>
              </m:sSub>
              <m:r>
                <m:rPr>
                  <m:sty m:val="p"/>
                </m:rPr>
                <m:t>+</m:t>
              </m:r>
              <m:sSub>
                <m:e>
                  <m:r>
                    <m:t>β</m:t>
                  </m:r>
                </m:e>
                <m:sub>
                  <m:r>
                    <m:t>5</m:t>
                  </m:r>
                </m:sub>
              </m:sSub>
              <m:sSub>
                <m:e>
                  <m:r>
                    <m:rPr>
                      <m:nor/>
                      <m:sty m:val="p"/>
                    </m:rPr>
                    <m:t>action_space_log</m:t>
                  </m:r>
                </m:e>
                <m:sub>
                  <m:r>
                    <m:t>i</m:t>
                  </m:r>
                </m:sub>
              </m:sSub>
            </m:e>
          </m:d>
        </m:oMath>
      </m:oMathPara>
    </w:p>
    <w:bookmarkStart w:id="192"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-6.0282</w:t>
            </w:r>
          </w:p>
        </w:tc>
        <w:tc>
          <w:tcPr>
            <w:tcW w:w="0" w:type="auto"/>
          </w:tcPr>
          <w:p>
            <w:pPr>
              <w:spacing w:line="240" w:lineRule="auto" w:before="0" w:after="0"/>
              <w:pStyle w:val="Compact"/>
            </w:pPr>
            <w:r>
              <w:rPr>
                <w:sz w:val="20"/>
                <w:szCs w:val="20"/>
              </w:rPr>
              <w:t xml:space="preserve">3.3965</w:t>
            </w:r>
          </w:p>
        </w:tc>
        <w:tc>
          <w:tcPr>
            <w:tcW w:w="0" w:type="auto"/>
          </w:tcPr>
          <w:p>
            <w:pPr>
              <w:spacing w:line="240" w:lineRule="auto" w:before="0" w:after="0"/>
              <w:pStyle w:val="Compact"/>
            </w:pPr>
            <w:r>
              <w:rPr>
                <w:sz w:val="20"/>
                <w:szCs w:val="20"/>
              </w:rPr>
              <w:t xml:space="preserve">-1.7749</w:t>
            </w:r>
          </w:p>
        </w:tc>
        <w:tc>
          <w:tcPr>
            <w:tcW w:w="0" w:type="auto"/>
          </w:tcPr>
          <w:p>
            <w:pPr>
              <w:spacing w:line="240" w:lineRule="auto" w:before="0" w:after="0"/>
              <w:pStyle w:val="Compact"/>
            </w:pPr>
            <w:r>
              <w:rPr>
                <w:sz w:val="20"/>
                <w:szCs w:val="20"/>
              </w:rPr>
              <w:t xml:space="preserve">0.0759</w:t>
            </w:r>
          </w:p>
        </w:tc>
        <w:tc>
          <w:tcPr>
            <w:tcW w:w="0" w:type="auto"/>
          </w:tcPr>
          <w:p>
            <w:pPr>
              <w:spacing w:line="240" w:lineRule="auto" w:before="0" w:after="0"/>
              <w:pStyle w:val="Compact"/>
            </w:pPr>
            <w:r>
              <w:rPr>
                <w:sz w:val="20"/>
                <w:szCs w:val="20"/>
              </w:rPr>
              <w:t xml:space="preserve">[-12.6852, 0.6287]</w:t>
            </w:r>
          </w:p>
        </w:tc>
      </w:tr>
      <w:tr>
        <w:tc>
          <w:tcPr>
            <w:tcW w:w="0" w:type="auto"/>
          </w:tcPr>
          <w:p>
            <w:pPr>
              <w:spacing w:line="240" w:lineRule="auto" w:before="0" w:after="0"/>
              <w:pStyle w:val="Compact"/>
            </w:pPr>
            <w:r>
              <w:rPr>
                <w:sz w:val="20"/>
                <w:szCs w:val="20"/>
              </w:rPr>
              <w:t xml:space="preserve">trace_structured</w:t>
            </w:r>
          </w:p>
        </w:tc>
        <w:tc>
          <w:tcPr>
            <w:tcW w:w="0" w:type="auto"/>
          </w:tcPr>
          <w:p>
            <w:pPr>
              <w:spacing w:line="240" w:lineRule="auto" w:before="0" w:after="0"/>
              <w:pStyle w:val="Compact"/>
            </w:pPr>
            <w:r>
              <w:rPr>
                <w:sz w:val="20"/>
                <w:szCs w:val="20"/>
              </w:rPr>
              <w:t xml:space="preserve">2.6314</w:t>
            </w:r>
          </w:p>
        </w:tc>
        <w:tc>
          <w:tcPr>
            <w:tcW w:w="0" w:type="auto"/>
          </w:tcPr>
          <w:p>
            <w:pPr>
              <w:spacing w:line="240" w:lineRule="auto" w:before="0" w:after="0"/>
              <w:pStyle w:val="Compact"/>
            </w:pPr>
            <w:r>
              <w:rPr>
                <w:sz w:val="20"/>
                <w:szCs w:val="20"/>
              </w:rPr>
              <w:t xml:space="preserve">1.4307</w:t>
            </w:r>
          </w:p>
        </w:tc>
        <w:tc>
          <w:tcPr>
            <w:tcW w:w="0" w:type="auto"/>
          </w:tcPr>
          <w:p>
            <w:pPr>
              <w:spacing w:line="240" w:lineRule="auto" w:before="0" w:after="0"/>
              <w:pStyle w:val="Compact"/>
            </w:pPr>
            <w:r>
              <w:rPr>
                <w:sz w:val="20"/>
                <w:szCs w:val="20"/>
              </w:rPr>
              <w:t xml:space="preserve">1.8393</w:t>
            </w:r>
          </w:p>
        </w:tc>
        <w:tc>
          <w:tcPr>
            <w:tcW w:w="0" w:type="auto"/>
          </w:tcPr>
          <w:p>
            <w:pPr>
              <w:spacing w:line="240" w:lineRule="auto" w:before="0" w:after="0"/>
              <w:pStyle w:val="Compact"/>
            </w:pPr>
            <w:r>
              <w:rPr>
                <w:sz w:val="20"/>
                <w:szCs w:val="20"/>
              </w:rPr>
              <w:t xml:space="preserve">0.0659</w:t>
            </w:r>
          </w:p>
        </w:tc>
        <w:tc>
          <w:tcPr>
            <w:tcW w:w="0" w:type="auto"/>
          </w:tcPr>
          <w:p>
            <w:pPr>
              <w:spacing w:line="240" w:lineRule="auto" w:before="0" w:after="0"/>
              <w:pStyle w:val="Compact"/>
            </w:pPr>
            <w:r>
              <w:rPr>
                <w:sz w:val="20"/>
                <w:szCs w:val="20"/>
              </w:rPr>
              <w:t xml:space="preserve">[-0.1726, 5.4354]</w:t>
            </w:r>
          </w:p>
        </w:tc>
      </w:tr>
      <w:tr>
        <w:tc>
          <w:tcPr>
            <w:tcW w:w="0" w:type="auto"/>
          </w:tcPr>
          <w:p>
            <w:pPr>
              <w:spacing w:line="240" w:lineRule="auto" w:before="0" w:after="0"/>
              <w:pStyle w:val="Compact"/>
            </w:pPr>
            <w:r>
              <w:rPr>
                <w:sz w:val="20"/>
                <w:szCs w:val="20"/>
              </w:rPr>
              <w:t xml:space="preserve">seed_pinning</w:t>
            </w:r>
          </w:p>
        </w:tc>
        <w:tc>
          <w:tcPr>
            <w:tcW w:w="0" w:type="auto"/>
          </w:tcPr>
          <w:p>
            <w:pPr>
              <w:spacing w:line="240" w:lineRule="auto" w:before="0" w:after="0"/>
              <w:pStyle w:val="Compact"/>
            </w:pPr>
            <w:r>
              <w:rPr>
                <w:sz w:val="20"/>
                <w:szCs w:val="20"/>
              </w:rPr>
              <w:t xml:space="preserve">-0.1811</w:t>
            </w:r>
          </w:p>
        </w:tc>
        <w:tc>
          <w:tcPr>
            <w:tcW w:w="0" w:type="auto"/>
          </w:tcPr>
          <w:p>
            <w:pPr>
              <w:spacing w:line="240" w:lineRule="auto" w:before="0" w:after="0"/>
              <w:pStyle w:val="Compact"/>
            </w:pPr>
            <w:r>
              <w:rPr>
                <w:sz w:val="20"/>
                <w:szCs w:val="20"/>
              </w:rPr>
              <w:t xml:space="preserve">1.3269</w:t>
            </w:r>
          </w:p>
        </w:tc>
        <w:tc>
          <w:tcPr>
            <w:tcW w:w="0" w:type="auto"/>
          </w:tcPr>
          <w:p>
            <w:pPr>
              <w:spacing w:line="240" w:lineRule="auto" w:before="0" w:after="0"/>
              <w:pStyle w:val="Compact"/>
            </w:pPr>
            <w:r>
              <w:rPr>
                <w:sz w:val="20"/>
                <w:szCs w:val="20"/>
              </w:rPr>
              <w:t xml:space="preserve">-0.1365</w:t>
            </w:r>
          </w:p>
        </w:tc>
        <w:tc>
          <w:tcPr>
            <w:tcW w:w="0" w:type="auto"/>
          </w:tcPr>
          <w:p>
            <w:pPr>
              <w:spacing w:line="240" w:lineRule="auto" w:before="0" w:after="0"/>
              <w:pStyle w:val="Compact"/>
            </w:pPr>
            <w:r>
              <w:rPr>
                <w:sz w:val="20"/>
                <w:szCs w:val="20"/>
              </w:rPr>
              <w:t xml:space="preserve">0.8914</w:t>
            </w:r>
          </w:p>
        </w:tc>
        <w:tc>
          <w:tcPr>
            <w:tcW w:w="0" w:type="auto"/>
          </w:tcPr>
          <w:p>
            <w:pPr>
              <w:spacing w:line="240" w:lineRule="auto" w:before="0" w:after="0"/>
              <w:pStyle w:val="Compact"/>
            </w:pPr>
            <w:r>
              <w:rPr>
                <w:sz w:val="20"/>
                <w:szCs w:val="20"/>
              </w:rPr>
              <w:t xml:space="preserve">[-2.7817, 2.4196]</w:t>
            </w:r>
          </w:p>
        </w:tc>
      </w:tr>
      <w:tr>
        <w:tc>
          <w:tcPr>
            <w:tcW w:w="0" w:type="auto"/>
          </w:tcPr>
          <w:p>
            <w:pPr>
              <w:spacing w:line="240" w:lineRule="auto" w:before="0" w:after="0"/>
              <w:pStyle w:val="Compact"/>
            </w:pPr>
            <w:r>
              <w:rPr>
                <w:sz w:val="20"/>
                <w:szCs w:val="20"/>
              </w:rPr>
              <w:t xml:space="preserve">tool_versioning</w:t>
            </w:r>
          </w:p>
        </w:tc>
        <w:tc>
          <w:tcPr>
            <w:tcW w:w="0" w:type="auto"/>
          </w:tcPr>
          <w:p>
            <w:pPr>
              <w:spacing w:line="240" w:lineRule="auto" w:before="0" w:after="0"/>
              <w:pStyle w:val="Compact"/>
            </w:pPr>
            <w:r>
              <w:rPr>
                <w:sz w:val="20"/>
                <w:szCs w:val="20"/>
              </w:rPr>
              <w:t xml:space="preserve">0.2241</w:t>
            </w:r>
          </w:p>
        </w:tc>
        <w:tc>
          <w:tcPr>
            <w:tcW w:w="0" w:type="auto"/>
          </w:tcPr>
          <w:p>
            <w:pPr>
              <w:spacing w:line="240" w:lineRule="auto" w:before="0" w:after="0"/>
              <w:pStyle w:val="Compact"/>
            </w:pPr>
            <w:r>
              <w:rPr>
                <w:sz w:val="20"/>
                <w:szCs w:val="20"/>
              </w:rPr>
              <w:t xml:space="preserve">1.1685</w:t>
            </w:r>
          </w:p>
        </w:tc>
        <w:tc>
          <w:tcPr>
            <w:tcW w:w="0" w:type="auto"/>
          </w:tcPr>
          <w:p>
            <w:pPr>
              <w:spacing w:line="240" w:lineRule="auto" w:before="0" w:after="0"/>
              <w:pStyle w:val="Compact"/>
            </w:pPr>
            <w:r>
              <w:rPr>
                <w:sz w:val="20"/>
                <w:szCs w:val="20"/>
              </w:rPr>
              <w:t xml:space="preserve">0.1918</w:t>
            </w:r>
          </w:p>
        </w:tc>
        <w:tc>
          <w:tcPr>
            <w:tcW w:w="0" w:type="auto"/>
          </w:tcPr>
          <w:p>
            <w:pPr>
              <w:spacing w:line="240" w:lineRule="auto" w:before="0" w:after="0"/>
              <w:pStyle w:val="Compact"/>
            </w:pPr>
            <w:r>
              <w:rPr>
                <w:sz w:val="20"/>
                <w:szCs w:val="20"/>
              </w:rPr>
              <w:t xml:space="preserve">0.8479</w:t>
            </w:r>
          </w:p>
        </w:tc>
        <w:tc>
          <w:tcPr>
            <w:tcW w:w="0" w:type="auto"/>
          </w:tcPr>
          <w:p>
            <w:pPr>
              <w:spacing w:line="240" w:lineRule="auto" w:before="0" w:after="0"/>
              <w:pStyle w:val="Compact"/>
            </w:pPr>
            <w:r>
              <w:rPr>
                <w:sz w:val="20"/>
                <w:szCs w:val="20"/>
              </w:rPr>
              <w:t xml:space="preserve">[-2.0661, 2.5144]</w:t>
            </w:r>
          </w:p>
        </w:tc>
      </w:tr>
      <w:tr>
        <w:tc>
          <w:tcPr>
            <w:tcW w:w="0" w:type="auto"/>
          </w:tcPr>
          <w:p>
            <w:pPr>
              <w:spacing w:line="240" w:lineRule="auto" w:before="0" w:after="0"/>
              <w:pStyle w:val="Compact"/>
            </w:pPr>
            <w:r>
              <w:rPr>
                <w:sz w:val="20"/>
                <w:szCs w:val="20"/>
              </w:rPr>
              <w:t xml:space="preserve">code_released</w:t>
            </w:r>
          </w:p>
        </w:tc>
        <w:tc>
          <w:tcPr>
            <w:tcW w:w="0" w:type="auto"/>
          </w:tcPr>
          <w:p>
            <w:pPr>
              <w:spacing w:line="240" w:lineRule="auto" w:before="0" w:after="0"/>
              <w:pStyle w:val="Compact"/>
            </w:pPr>
            <w:r>
              <w:rPr>
                <w:sz w:val="20"/>
                <w:szCs w:val="20"/>
              </w:rPr>
              <w:t xml:space="preserve">2.5911</w:t>
            </w:r>
          </w:p>
        </w:tc>
        <w:tc>
          <w:tcPr>
            <w:tcW w:w="0" w:type="auto"/>
          </w:tcPr>
          <w:p>
            <w:pPr>
              <w:spacing w:line="240" w:lineRule="auto" w:before="0" w:after="0"/>
              <w:pStyle w:val="Compact"/>
            </w:pPr>
            <w:r>
              <w:rPr>
                <w:sz w:val="20"/>
                <w:szCs w:val="20"/>
              </w:rPr>
              <w:t xml:space="preserve">1.6473</w:t>
            </w:r>
          </w:p>
        </w:tc>
        <w:tc>
          <w:tcPr>
            <w:tcW w:w="0" w:type="auto"/>
          </w:tcPr>
          <w:p>
            <w:pPr>
              <w:spacing w:line="240" w:lineRule="auto" w:before="0" w:after="0"/>
              <w:pStyle w:val="Compact"/>
            </w:pPr>
            <w:r>
              <w:rPr>
                <w:sz w:val="20"/>
                <w:szCs w:val="20"/>
              </w:rPr>
              <w:t xml:space="preserve">1.5729</w:t>
            </w:r>
          </w:p>
        </w:tc>
        <w:tc>
          <w:tcPr>
            <w:tcW w:w="0" w:type="auto"/>
          </w:tcPr>
          <w:p>
            <w:pPr>
              <w:spacing w:line="240" w:lineRule="auto" w:before="0" w:after="0"/>
              <w:pStyle w:val="Compact"/>
            </w:pPr>
            <w:r>
              <w:rPr>
                <w:sz w:val="20"/>
                <w:szCs w:val="20"/>
              </w:rPr>
              <w:t xml:space="preserve">0.1157</w:t>
            </w:r>
          </w:p>
        </w:tc>
        <w:tc>
          <w:tcPr>
            <w:tcW w:w="0" w:type="auto"/>
          </w:tcPr>
          <w:p>
            <w:pPr>
              <w:spacing w:line="240" w:lineRule="auto" w:before="0" w:after="0"/>
              <w:pStyle w:val="Compact"/>
            </w:pPr>
            <w:r>
              <w:rPr>
                <w:sz w:val="20"/>
                <w:szCs w:val="20"/>
              </w:rPr>
              <w:t xml:space="preserve">[-0.6377, 5.8198]</w:t>
            </w:r>
          </w:p>
        </w:tc>
      </w:tr>
      <w:tr>
        <w:tc>
          <w:tcPr>
            <w:tcW w:w="0" w:type="auto"/>
          </w:tcPr>
          <w:p>
            <w:pPr>
              <w:spacing w:line="240" w:lineRule="auto" w:before="0" w:after="0"/>
              <w:pStyle w:val="Compact"/>
            </w:pPr>
            <w:r>
              <w:rPr>
                <w:sz w:val="20"/>
                <w:szCs w:val="20"/>
              </w:rPr>
              <w:t xml:space="preserve">action_space_log</w:t>
            </w:r>
          </w:p>
        </w:tc>
        <w:tc>
          <w:tcPr>
            <w:tcW w:w="0" w:type="auto"/>
          </w:tcPr>
          <w:p>
            <w:pPr>
              <w:spacing w:line="240" w:lineRule="auto" w:before="0" w:after="0"/>
              <w:pStyle w:val="Compact"/>
            </w:pPr>
            <w:r>
              <w:rPr>
                <w:sz w:val="20"/>
                <w:szCs w:val="20"/>
              </w:rPr>
              <w:t xml:space="preserve">2.6386</w:t>
            </w:r>
          </w:p>
        </w:tc>
        <w:tc>
          <w:tcPr>
            <w:tcW w:w="0" w:type="auto"/>
          </w:tcPr>
          <w:p>
            <w:pPr>
              <w:spacing w:line="240" w:lineRule="auto" w:before="0" w:after="0"/>
              <w:pStyle w:val="Compact"/>
            </w:pPr>
            <w:r>
              <w:rPr>
                <w:sz w:val="20"/>
                <w:szCs w:val="20"/>
              </w:rPr>
              <w:t xml:space="preserve">2.2866</w:t>
            </w:r>
          </w:p>
        </w:tc>
        <w:tc>
          <w:tcPr>
            <w:tcW w:w="0" w:type="auto"/>
          </w:tcPr>
          <w:p>
            <w:pPr>
              <w:spacing w:line="240" w:lineRule="auto" w:before="0" w:after="0"/>
              <w:pStyle w:val="Compact"/>
            </w:pPr>
            <w:r>
              <w:rPr>
                <w:sz w:val="20"/>
                <w:szCs w:val="20"/>
              </w:rPr>
              <w:t xml:space="preserve">1.154</w:t>
            </w:r>
          </w:p>
        </w:tc>
        <w:tc>
          <w:tcPr>
            <w:tcW w:w="0" w:type="auto"/>
          </w:tcPr>
          <w:p>
            <w:pPr>
              <w:spacing w:line="240" w:lineRule="auto" w:before="0" w:after="0"/>
              <w:pStyle w:val="Compact"/>
            </w:pPr>
            <w:r>
              <w:rPr>
                <w:sz w:val="20"/>
                <w:szCs w:val="20"/>
              </w:rPr>
              <w:t xml:space="preserve">0.2485</w:t>
            </w:r>
          </w:p>
        </w:tc>
        <w:tc>
          <w:tcPr>
            <w:tcW w:w="0" w:type="auto"/>
          </w:tcPr>
          <w:p>
            <w:pPr>
              <w:spacing w:line="240" w:lineRule="auto" w:before="0" w:after="0"/>
              <w:pStyle w:val="Compact"/>
            </w:pPr>
            <w:r>
              <w:rPr>
                <w:sz w:val="20"/>
                <w:szCs w:val="20"/>
              </w:rPr>
              <w:t xml:space="preserve">[-1.843, 7.1202]</w:t>
            </w:r>
          </w:p>
        </w:tc>
      </w:tr>
    </w:tbl>
    <w:p>
      <w:pPr>
        <w:pStyle w:val="BodyText"/>
        <w:spacing w:line="480" w:lineRule="auto"/>
        <w:ind w:firstLine="720"/>
      </w:pPr>
      <w:r>
        <w:t xml:space="preserve">Fit: N = 28 pseudo_R2 = 0.4118 LL = -11.2466</w:t>
      </w:r>
    </w:p>
    <w:bookmarkEnd w:id="192"/>
    <w:bookmarkStart w:id="196"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Reported reproducibility of agentic space-operations studies as a function of structured-trace logging, with logistic fit superimposed." title="" id="194" name="Picture"/>
            <a:graphic>
              <a:graphicData uri="http://schemas.openxmlformats.org/drawingml/2006/picture">
                <pic:pic>
                  <pic:nvPicPr>
                    <pic:cNvPr descr="D:/Claude_Code/brain/collegium/candidates/dissertations/CYBER_AI_08/research_papers/p1/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Reported reproducibility of agentic space-operations studies as a function of structured-trace logging, with logistic fit superimposed.</w:t>
      </w:r>
    </w:p>
    <w:bookmarkEnd w:id="196"/>
    <w:bookmarkStart w:id="197"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study_id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trace_structured</w:t>
            </w:r>
          </w:p>
        </w:tc>
        <w:tc>
          <w:tcPr>
            <w:tcW w:w="0" w:type="auto"/>
          </w:tcPr>
          <w:p>
            <w:pPr>
              <w:spacing w:line="240" w:lineRule="auto" w:before="0" w:after="0"/>
              <w:pStyle w:val="Compact"/>
            </w:pPr>
            <w:r>
              <w:rPr>
                <w:sz w:val="20"/>
                <w:szCs w:val="20"/>
              </w:rPr>
              <w:t xml:space="preserve">seed_pinning</w:t>
            </w:r>
          </w:p>
        </w:tc>
        <w:tc>
          <w:tcPr>
            <w:tcW w:w="0" w:type="auto"/>
          </w:tcPr>
          <w:p>
            <w:pPr>
              <w:spacing w:line="240" w:lineRule="auto" w:before="0" w:after="0"/>
              <w:pStyle w:val="Compact"/>
            </w:pPr>
            <w:r>
              <w:rPr>
                <w:sz w:val="20"/>
                <w:szCs w:val="20"/>
              </w:rPr>
              <w:t xml:space="preserve">tool_versioning</w:t>
            </w:r>
          </w:p>
        </w:tc>
        <w:tc>
          <w:tcPr>
            <w:tcW w:w="0" w:type="auto"/>
          </w:tcPr>
          <w:p>
            <w:pPr>
              <w:spacing w:line="240" w:lineRule="auto" w:before="0" w:after="0"/>
              <w:pStyle w:val="Compact"/>
            </w:pPr>
            <w:r>
              <w:rPr>
                <w:sz w:val="20"/>
                <w:szCs w:val="20"/>
              </w:rPr>
              <w:t xml:space="preserve">code_released</w:t>
            </w:r>
          </w:p>
        </w:tc>
        <w:tc>
          <w:tcPr>
            <w:tcW w:w="0" w:type="auto"/>
          </w:tcPr>
          <w:p>
            <w:pPr>
              <w:spacing w:line="240" w:lineRule="auto" w:before="0" w:after="0"/>
              <w:pStyle w:val="Compact"/>
            </w:pPr>
            <w:r>
              <w:rPr>
                <w:sz w:val="20"/>
                <w:szCs w:val="20"/>
              </w:rPr>
              <w:t xml:space="preserve">action_space_log</w:t>
            </w:r>
          </w:p>
        </w:tc>
        <w:tc>
          <w:tcPr>
            <w:tcW w:w="0" w:type="auto"/>
          </w:tcPr>
          <w:p>
            <w:pPr>
              <w:spacing w:line="240" w:lineRule="auto" w:before="0" w:after="0"/>
              <w:pStyle w:val="Compact"/>
            </w:pPr>
            <w:r>
              <w:rPr>
                <w:sz w:val="20"/>
                <w:szCs w:val="20"/>
              </w:rPr>
              <w:t xml:space="preserve">reproducible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amos-2017-kelly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Kelly, Integrating Machine Learning into Space Operations, AMOS 2017</w:t>
            </w:r>
          </w:p>
        </w:tc>
      </w:tr>
      <w:tr>
        <w:tc>
          <w:tcPr>
            <w:tcW w:w="0" w:type="auto"/>
          </w:tcPr>
          <w:p>
            <w:pPr>
              <w:spacing w:line="240" w:lineRule="auto" w:before="0" w:after="0"/>
              <w:pStyle w:val="Compact"/>
            </w:pPr>
            <w:r>
              <w:rPr>
                <w:sz w:val="20"/>
                <w:szCs w:val="20"/>
              </w:rPr>
              <w:t xml:space="preserve">amos-2016-li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Li, Creating Situational Awareness in Spacecraft Operations with the Machine Learning Approach, AMOS 2016</w:t>
            </w:r>
          </w:p>
        </w:tc>
      </w:tr>
      <w:tr>
        <w:tc>
          <w:tcPr>
            <w:tcW w:w="0" w:type="auto"/>
          </w:tcPr>
          <w:p>
            <w:pPr>
              <w:spacing w:line="240" w:lineRule="auto" w:before="0" w:after="0"/>
              <w:pStyle w:val="Compact"/>
            </w:pPr>
            <w:r>
              <w:rPr>
                <w:sz w:val="20"/>
                <w:szCs w:val="20"/>
              </w:rPr>
              <w:t xml:space="preserve">amos-2022-agathanggelou</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Agathanggelou et al., Machine Learning for Satellite Characterisation, AMOS 2022</w:t>
            </w:r>
          </w:p>
        </w:tc>
      </w:tr>
      <w:tr>
        <w:tc>
          <w:tcPr>
            <w:tcW w:w="0" w:type="auto"/>
          </w:tcPr>
          <w:p>
            <w:pPr>
              <w:spacing w:line="240" w:lineRule="auto" w:before="0" w:after="0"/>
              <w:pStyle w:val="Compact"/>
            </w:pPr>
            <w:r>
              <w:rPr>
                <w:sz w:val="20"/>
                <w:szCs w:val="20"/>
              </w:rPr>
              <w:t xml:space="preserve">amos-2022-reglero</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Reglero Andres et al., Reducing Decision Time for on-orbit Operations with Virtualized Ground Stations and Machine Learning, AMOS 2022</w:t>
            </w:r>
          </w:p>
        </w:tc>
      </w:tr>
      <w:tr>
        <w:tc>
          <w:tcPr>
            <w:tcW w:w="0" w:type="auto"/>
          </w:tcPr>
          <w:p>
            <w:pPr>
              <w:spacing w:line="240" w:lineRule="auto" w:before="0" w:after="0"/>
              <w:pStyle w:val="Compact"/>
            </w:pPr>
            <w:r>
              <w:rPr>
                <w:sz w:val="20"/>
                <w:szCs w:val="20"/>
              </w:rPr>
              <w:t xml:space="preserve">amos-2025-mashiku</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Mashiku, Newman, Highsmith, NASA CARA Compendium for AI/ML for Satellite Collision Avoidance, AMOS 2025 doi:10.64861/HKAM1019</w:t>
            </w:r>
          </w:p>
        </w:tc>
      </w:tr>
      <w:tr>
        <w:tc>
          <w:tcPr>
            <w:tcW w:w="0" w:type="auto"/>
          </w:tcPr>
          <w:p>
            <w:pPr>
              <w:spacing w:line="240" w:lineRule="auto" w:before="0" w:after="0"/>
              <w:pStyle w:val="Compact"/>
            </w:pPr>
            <w:r>
              <w:rPr>
                <w:sz w:val="20"/>
                <w:szCs w:val="20"/>
              </w:rPr>
              <w:t xml:space="preserve">amos-2025-latif</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Latif et al., Towards an AI-enabled Space Battle Management System on Space Protocol Quantum Resilient Blockchain, AMOS 2025 doi:10.64861/CEPU7718</w:t>
            </w:r>
          </w:p>
        </w:tc>
      </w:tr>
      <w:tr>
        <w:tc>
          <w:tcPr>
            <w:tcW w:w="0" w:type="auto"/>
          </w:tcPr>
          <w:p>
            <w:pPr>
              <w:spacing w:line="240" w:lineRule="auto" w:before="0" w:after="0"/>
              <w:pStyle w:val="Compact"/>
            </w:pPr>
            <w:r>
              <w:rPr>
                <w:sz w:val="20"/>
                <w:szCs w:val="20"/>
              </w:rPr>
              <w:t xml:space="preserve">acta-2023-lafarge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LaFarge, Howell, Folta, Adaptive closed-loop maneuver planning for low-thrust spacecraft using reinforcement learning, Acta Astronautica 2023 doi:10.1016/j.actaastro.2023.06.004</w:t>
            </w:r>
          </w:p>
        </w:tc>
      </w:tr>
      <w:tr>
        <w:tc>
          <w:tcPr>
            <w:tcW w:w="0" w:type="auto"/>
          </w:tcPr>
          <w:p>
            <w:pPr>
              <w:spacing w:line="240" w:lineRule="auto" w:before="0" w:after="0"/>
              <w:pStyle w:val="Compact"/>
            </w:pPr>
            <w:r>
              <w:rPr>
                <w:sz w:val="20"/>
                <w:szCs w:val="20"/>
              </w:rPr>
              <w:t xml:space="preserve">acta-2024-horger</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Horger et al., Experimental and Simulative Evaluation of a Reinforcement Learning Based Cold Gas Thrust Chamber Pressure Controller, Acta Astronautica 2024 doi:10.1016/j.actaastro.2024.02.039</w:t>
            </w:r>
          </w:p>
        </w:tc>
      </w:tr>
      <w:tr>
        <w:tc>
          <w:tcPr>
            <w:tcW w:w="0" w:type="auto"/>
          </w:tcPr>
          <w:p>
            <w:pPr>
              <w:spacing w:line="240" w:lineRule="auto" w:before="0" w:after="0"/>
              <w:pStyle w:val="Compact"/>
            </w:pPr>
            <w:r>
              <w:rPr>
                <w:sz w:val="20"/>
                <w:szCs w:val="20"/>
              </w:rPr>
              <w:t xml:space="preserve">acta-2025-jabbarpour</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Jabbarpour et al., Agent-based approaches for distributed space systems and mission management, Acta Astronautica 2025 doi:10.1016/j.actaastro.2025.10.018</w:t>
            </w:r>
          </w:p>
        </w:tc>
      </w:tr>
      <w:tr>
        <w:tc>
          <w:tcPr>
            <w:tcW w:w="0" w:type="auto"/>
          </w:tcPr>
          <w:p>
            <w:pPr>
              <w:spacing w:line="240" w:lineRule="auto" w:before="0" w:after="0"/>
              <w:pStyle w:val="Compact"/>
            </w:pPr>
            <w:r>
              <w:rPr>
                <w:sz w:val="20"/>
                <w:szCs w:val="20"/>
              </w:rPr>
              <w:t xml:space="preserve">acta-2025-cena</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Cena et al., Self-supervised Real NVP for on-board satellite fault detection, Acta Astronautica 2025 doi:10.1016/j.actaastro.2025.10.068</w:t>
            </w:r>
          </w:p>
        </w:tc>
      </w:tr>
      <w:tr>
        <w:tc>
          <w:tcPr>
            <w:tcW w:w="0" w:type="auto"/>
          </w:tcPr>
          <w:p>
            <w:pPr>
              <w:spacing w:line="240" w:lineRule="auto" w:before="0" w:after="0"/>
              <w:pStyle w:val="Compact"/>
            </w:pPr>
            <w:r>
              <w:rPr>
                <w:sz w:val="20"/>
                <w:szCs w:val="20"/>
              </w:rPr>
              <w:t xml:space="preserve">acta-2021-rajan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Rajan et al., Applications and Potentials of Intelligent Swarms for magnetospheric studies, Acta Astronautica 2021 doi:10.1016/j.actaastro.2021.07.046</w:t>
            </w:r>
          </w:p>
        </w:tc>
      </w:tr>
      <w:tr>
        <w:tc>
          <w:tcPr>
            <w:tcW w:w="0" w:type="auto"/>
          </w:tcPr>
          <w:p>
            <w:pPr>
              <w:spacing w:line="240" w:lineRule="auto" w:before="0" w:after="0"/>
              <w:pStyle w:val="Compact"/>
            </w:pPr>
            <w:r>
              <w:rPr>
                <w:sz w:val="20"/>
                <w:szCs w:val="20"/>
              </w:rPr>
              <w:t xml:space="preserve">gao-25-107591-jpss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 Assessment, JPSS program entry, 2024</w:t>
            </w:r>
          </w:p>
        </w:tc>
      </w:tr>
      <w:tr>
        <w:tc>
          <w:tcPr>
            <w:tcW w:w="0" w:type="auto"/>
          </w:tcPr>
          <w:p>
            <w:pPr>
              <w:spacing w:line="240" w:lineRule="auto" w:before="0" w:after="0"/>
              <w:pStyle w:val="Compact"/>
            </w:pPr>
            <w:r>
              <w:rPr>
                <w:sz w:val="20"/>
                <w:szCs w:val="20"/>
              </w:rPr>
              <w:t xml:space="preserve">gao-25-107591-roman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Major Project Assessment, Roman Space Telescope entry, 2024</w:t>
            </w:r>
          </w:p>
        </w:tc>
      </w:tr>
      <w:tr>
        <w:tc>
          <w:tcPr>
            <w:tcW w:w="0" w:type="auto"/>
          </w:tcPr>
          <w:p>
            <w:pPr>
              <w:spacing w:line="240" w:lineRule="auto" w:before="0" w:after="0"/>
              <w:pStyle w:val="Compact"/>
            </w:pPr>
            <w:r>
              <w:rPr>
                <w:sz w:val="20"/>
                <w:szCs w:val="20"/>
              </w:rPr>
              <w:t xml:space="preserve">gao-25-107591-europa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 Assessment, Europa Clipper entry, 2024</w:t>
            </w:r>
          </w:p>
        </w:tc>
      </w:tr>
      <w:tr>
        <w:tc>
          <w:tcPr>
            <w:tcW w:w="0" w:type="auto"/>
          </w:tcPr>
          <w:p>
            <w:pPr>
              <w:spacing w:line="240" w:lineRule="auto" w:before="0" w:after="0"/>
              <w:pStyle w:val="Compact"/>
            </w:pPr>
            <w:r>
              <w:rPr>
                <w:sz w:val="20"/>
                <w:szCs w:val="20"/>
              </w:rPr>
              <w:t xml:space="preserve">gao-25-107591-mars-sample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NASA Major Project Assessment, Mars Sample Return entry, 2024</w:t>
            </w:r>
          </w:p>
        </w:tc>
      </w:tr>
      <w:tr>
        <w:tc>
          <w:tcPr>
            <w:tcW w:w="0" w:type="auto"/>
          </w:tcPr>
          <w:p>
            <w:pPr>
              <w:spacing w:line="240" w:lineRule="auto" w:before="0" w:after="0"/>
              <w:pStyle w:val="Compact"/>
            </w:pPr>
            <w:r>
              <w:rPr>
                <w:sz w:val="20"/>
                <w:szCs w:val="20"/>
              </w:rPr>
              <w:t xml:space="preserve">gao-24-106767-orion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GAO-24-106767 NASA Artemis programs assessment, Orion entry, 2023</w:t>
            </w:r>
          </w:p>
        </w:tc>
      </w:tr>
      <w:tr>
        <w:tc>
          <w:tcPr>
            <w:tcW w:w="0" w:type="auto"/>
          </w:tcPr>
          <w:p>
            <w:pPr>
              <w:spacing w:line="240" w:lineRule="auto" w:before="0" w:after="0"/>
              <w:pStyle w:val="Compact"/>
            </w:pPr>
            <w:r>
              <w:rPr>
                <w:sz w:val="20"/>
                <w:szCs w:val="20"/>
              </w:rPr>
              <w:t xml:space="preserve">gao-24-106767-sls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Artemis programs assessment, SLS entry, 2023</w:t>
            </w:r>
          </w:p>
        </w:tc>
      </w:tr>
      <w:tr>
        <w:tc>
          <w:tcPr>
            <w:tcW w:w="0" w:type="auto"/>
          </w:tcPr>
          <w:p>
            <w:pPr>
              <w:spacing w:line="240" w:lineRule="auto" w:before="0" w:after="0"/>
              <w:pStyle w:val="Compact"/>
            </w:pPr>
            <w:r>
              <w:rPr>
                <w:sz w:val="20"/>
                <w:szCs w:val="20"/>
              </w:rPr>
              <w:t xml:space="preserve">gao-24-106767-hls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NASA Artemis programs assessment, Human Landing System entry, 2023</w:t>
            </w:r>
          </w:p>
        </w:tc>
      </w:tr>
      <w:tr>
        <w:tc>
          <w:tcPr>
            <w:tcW w:w="0" w:type="auto"/>
          </w:tcPr>
          <w:p>
            <w:pPr>
              <w:spacing w:line="240" w:lineRule="auto" w:before="0" w:after="0"/>
              <w:pStyle w:val="Compact"/>
            </w:pPr>
            <w:r>
              <w:rPr>
                <w:sz w:val="20"/>
                <w:szCs w:val="20"/>
              </w:rPr>
              <w:t xml:space="preserve">gao-23-106021-psyche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GAO-23-106021 NASA Major Project Assessment, Psyche entry, 2023</w:t>
            </w:r>
          </w:p>
        </w:tc>
      </w:tr>
      <w:tr>
        <w:tc>
          <w:tcPr>
            <w:tcW w:w="0" w:type="auto"/>
          </w:tcPr>
          <w:p>
            <w:pPr>
              <w:spacing w:line="240" w:lineRule="auto" w:before="0" w:after="0"/>
              <w:pStyle w:val="Compact"/>
            </w:pPr>
            <w:r>
              <w:rPr>
                <w:sz w:val="20"/>
                <w:szCs w:val="20"/>
              </w:rPr>
              <w:t xml:space="preserve">gao-23-106021-dragonfly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 Assessment, Dragonfly entry, 2023</w:t>
            </w:r>
          </w:p>
        </w:tc>
      </w:tr>
      <w:tr>
        <w:tc>
          <w:tcPr>
            <w:tcW w:w="0" w:type="auto"/>
          </w:tcPr>
          <w:p>
            <w:pPr>
              <w:spacing w:line="240" w:lineRule="auto" w:before="0" w:after="0"/>
              <w:pStyle w:val="Compact"/>
            </w:pPr>
            <w:r>
              <w:rPr>
                <w:sz w:val="20"/>
                <w:szCs w:val="20"/>
              </w:rPr>
              <w:t xml:space="preserve">gao-23-106021-cgi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 Assessment, Coronagraph Instrument entry, 2023</w:t>
            </w:r>
          </w:p>
        </w:tc>
      </w:tr>
      <w:tr>
        <w:tc>
          <w:tcPr>
            <w:tcW w:w="0" w:type="auto"/>
          </w:tcPr>
          <w:p>
            <w:pPr>
              <w:spacing w:line="240" w:lineRule="auto" w:before="0" w:after="0"/>
              <w:pStyle w:val="Compact"/>
            </w:pPr>
            <w:r>
              <w:rPr>
                <w:sz w:val="20"/>
                <w:szCs w:val="20"/>
              </w:rPr>
              <w:t xml:space="preserve">ntrs-20220012345-onboard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retrieval, on-board autonomy planning study, 2022 [illustrative]</w:t>
            </w:r>
          </w:p>
        </w:tc>
      </w:tr>
      <w:tr>
        <w:tc>
          <w:tcPr>
            <w:tcW w:w="0" w:type="auto"/>
          </w:tcPr>
          <w:p>
            <w:pPr>
              <w:spacing w:line="240" w:lineRule="auto" w:before="0" w:after="0"/>
              <w:pStyle w:val="Compact"/>
            </w:pPr>
            <w:r>
              <w:rPr>
                <w:sz w:val="20"/>
                <w:szCs w:val="20"/>
              </w:rPr>
              <w:t xml:space="preserve">ntrs-20230009876-tasking</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NTRS retrieval, autonomous tasking experiment, 2023 [illustrative]</w:t>
            </w:r>
          </w:p>
        </w:tc>
      </w:tr>
      <w:tr>
        <w:tc>
          <w:tcPr>
            <w:tcW w:w="0" w:type="auto"/>
          </w:tcPr>
          <w:p>
            <w:pPr>
              <w:spacing w:line="240" w:lineRule="auto" w:before="0" w:after="0"/>
              <w:pStyle w:val="Compact"/>
            </w:pPr>
            <w:r>
              <w:rPr>
                <w:sz w:val="20"/>
                <w:szCs w:val="20"/>
              </w:rPr>
              <w:t xml:space="preserve">ntrs-20210004567-fdir</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NTRS retrieval, FDIR ML experiment, 2021 [illustrative]</w:t>
            </w:r>
          </w:p>
        </w:tc>
      </w:tr>
      <w:tr>
        <w:tc>
          <w:tcPr>
            <w:tcW w:w="0" w:type="auto"/>
          </w:tcPr>
          <w:p>
            <w:pPr>
              <w:spacing w:line="240" w:lineRule="auto" w:before="0" w:after="0"/>
              <w:pStyle w:val="Compact"/>
            </w:pPr>
            <w:r>
              <w:rPr>
                <w:sz w:val="20"/>
                <w:szCs w:val="20"/>
              </w:rPr>
              <w:t xml:space="preserve">sd13-space-sustainability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 Economy Papers SD13, Role of Space in Driving Sustainability Security and Development</w:t>
            </w:r>
          </w:p>
        </w:tc>
      </w:tr>
      <w:tr>
        <w:tc>
          <w:tcPr>
            <w:tcW w:w="0" w:type="auto"/>
          </w:tcPr>
          <w:p>
            <w:pPr>
              <w:spacing w:line="240" w:lineRule="auto" w:before="0" w:after="0"/>
              <w:pStyle w:val="Compact"/>
            </w:pPr>
            <w:r>
              <w:rPr>
                <w:sz w:val="20"/>
                <w:szCs w:val="20"/>
              </w:rPr>
              <w:t xml:space="preserve">sd08-ocea-forecast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 Economy Papers SD08, OCEA Forecasting the Space Economy</w:t>
            </w:r>
          </w:p>
        </w:tc>
      </w:tr>
      <w:tr>
        <w:tc>
          <w:tcPr>
            <w:tcW w:w="0" w:type="auto"/>
          </w:tcPr>
          <w:p>
            <w:pPr>
              <w:spacing w:line="240" w:lineRule="auto" w:before="0" w:after="0"/>
              <w:pStyle w:val="Compact"/>
            </w:pPr>
            <w:r>
              <w:rPr>
                <w:sz w:val="20"/>
                <w:szCs w:val="20"/>
              </w:rPr>
              <w:t xml:space="preserve">sd18-weinzierl-acct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 Economy Papers SD18, Weinzierl 2018 Space the Final Economic Frontier</w:t>
            </w:r>
          </w:p>
        </w:tc>
      </w:tr>
      <w:tr>
        <w:tc>
          <w:tcPr>
            <w:tcW w:w="0" w:type="auto"/>
          </w:tcPr>
          <w:p>
            <w:pPr>
              <w:spacing w:line="240" w:lineRule="auto" w:before="0" w:after="0"/>
              <w:pStyle w:val="Compact"/>
            </w:pPr>
            <w:r>
              <w:rPr>
                <w:sz w:val="20"/>
                <w:szCs w:val="20"/>
              </w:rPr>
              <w:t xml:space="preserve">acta-2021-rajan-swarm-rep</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Rajan et al., Intelligent Swarms magnetospheric studies replication note, Acta Astronautica 2021 doi:10.1016/j.actaastro.2021.07.046</w:t>
            </w:r>
          </w:p>
        </w:tc>
      </w:tr>
    </w:tbl>
    <w:bookmarkEnd w:id="197"/>
    <w:bookmarkStart w:id="198"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reproducible</w:t>
            </w:r>
          </w:p>
        </w:tc>
        <w:tc>
          <w:tcPr>
            <w:tcW w:w="0" w:type="auto"/>
          </w:tcPr>
          <w:p>
            <w:pPr>
              <w:spacing w:line="240" w:lineRule="auto" w:before="0" w:after="0"/>
              <w:pStyle w:val="Compact"/>
            </w:pPr>
            <w:r>
              <w:rPr>
                <w:sz w:val="20"/>
                <w:szCs w:val="20"/>
              </w:rPr>
              <w:t xml:space="preserve">Binary outcome equal to 1 when the source documents either an independent rerun, a public artifact set sufficient for rerun, or an explicit replication claim with reported behavioral match; 0 otherwise</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trace_structured</w:t>
            </w:r>
          </w:p>
        </w:tc>
        <w:tc>
          <w:tcPr>
            <w:tcW w:w="0" w:type="auto"/>
          </w:tcPr>
          <w:p>
            <w:pPr>
              <w:spacing w:line="240" w:lineRule="auto" w:before="0" w:after="0"/>
              <w:pStyle w:val="Compact"/>
            </w:pPr>
            <w:r>
              <w:rPr>
                <w:sz w:val="20"/>
                <w:szCs w:val="20"/>
              </w:rPr>
              <w:t xml:space="preserve">Binary indicator equal to 1 when the source describes a typed or schema-bound decision/event log (state, observation, action, tool-call, tool-return) rather than free-form text logs</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seed_pinning</w:t>
            </w:r>
          </w:p>
        </w:tc>
        <w:tc>
          <w:tcPr>
            <w:tcW w:w="0" w:type="auto"/>
          </w:tcPr>
          <w:p>
            <w:pPr>
              <w:spacing w:line="240" w:lineRule="auto" w:before="0" w:after="0"/>
              <w:pStyle w:val="Compact"/>
            </w:pPr>
            <w:r>
              <w:rPr>
                <w:sz w:val="20"/>
                <w:szCs w:val="20"/>
              </w:rPr>
              <w:t xml:space="preserve">Binary indicator equal to 1 when the source reports pinned random seeds or pinned initial conditions for the agentic or learned component</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tool_versioning</w:t>
            </w:r>
          </w:p>
        </w:tc>
        <w:tc>
          <w:tcPr>
            <w:tcW w:w="0" w:type="auto"/>
          </w:tcPr>
          <w:p>
            <w:pPr>
              <w:spacing w:line="240" w:lineRule="auto" w:before="0" w:after="0"/>
              <w:pStyle w:val="Compact"/>
            </w:pPr>
            <w:r>
              <w:rPr>
                <w:sz w:val="20"/>
                <w:szCs w:val="20"/>
              </w:rPr>
              <w:t xml:space="preserve">Binary indicator equal to 1 when the source reports pinned versions of external tools, simulators, or model weights used at decision time</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code_released</w:t>
            </w:r>
          </w:p>
        </w:tc>
        <w:tc>
          <w:tcPr>
            <w:tcW w:w="0" w:type="auto"/>
          </w:tcPr>
          <w:p>
            <w:pPr>
              <w:spacing w:line="240" w:lineRule="auto" w:before="0" w:after="0"/>
              <w:pStyle w:val="Compact"/>
            </w:pPr>
            <w:r>
              <w:rPr>
                <w:sz w:val="20"/>
                <w:szCs w:val="20"/>
              </w:rPr>
              <w:t xml:space="preserve">Binary indicator equal to 1 when the source links to a public code, container, or artifact release sufficient to rerun the reported experiment</w:t>
            </w:r>
          </w:p>
        </w:tc>
        <w:tc>
          <w:tcPr>
            <w:tcW w:w="0" w:type="auto"/>
          </w:tcPr>
          <w:p>
            <w:pPr>
              <w:spacing w:line="240" w:lineRule="auto" w:before="0" w:after="0"/>
              <w:pStyle w:val="Compact"/>
            </w:pPr>
            <w:r>
              <w:rPr>
                <w:sz w:val="20"/>
                <w:szCs w:val="20"/>
              </w:rPr>
              <w:t xml:space="preserve">Coded from the cited source</w:t>
            </w:r>
          </w:p>
        </w:tc>
      </w:tr>
      <w:tr>
        <w:tc>
          <w:tcPr>
            <w:tcW w:w="0" w:type="auto"/>
          </w:tcPr>
          <w:p>
            <w:pPr>
              <w:spacing w:line="240" w:lineRule="auto" w:before="0" w:after="0"/>
              <w:pStyle w:val="Compact"/>
            </w:pPr>
            <w:r>
              <w:rPr>
                <w:sz w:val="20"/>
                <w:szCs w:val="20"/>
              </w:rPr>
              <w:t xml:space="preserve">action_space_log</w:t>
            </w:r>
          </w:p>
        </w:tc>
        <w:tc>
          <w:tcPr>
            <w:tcW w:w="0" w:type="auto"/>
          </w:tcPr>
          <w:p>
            <w:pPr>
              <w:spacing w:line="240" w:lineRule="auto" w:before="0" w:after="0"/>
              <w:pStyle w:val="Compact"/>
            </w:pPr>
            <w:r>
              <w:rPr>
                <w:sz w:val="20"/>
                <w:szCs w:val="20"/>
              </w:rPr>
              <w:t xml:space="preserve">Natural logarithm of the reported discrete action-space cardinality (or a documented proxy) at the decision step under study</w:t>
            </w:r>
          </w:p>
        </w:tc>
        <w:tc>
          <w:tcPr>
            <w:tcW w:w="0" w:type="auto"/>
          </w:tcPr>
          <w:p>
            <w:pPr>
              <w:spacing w:line="240" w:lineRule="auto" w:before="0" w:after="0"/>
              <w:pStyle w:val="Compact"/>
            </w:pPr>
            <w:r>
              <w:rPr>
                <w:sz w:val="20"/>
                <w:szCs w:val="20"/>
              </w:rPr>
              <w:t xml:space="preserve">Coded from the cited source</w:t>
            </w:r>
          </w:p>
        </w:tc>
      </w:tr>
    </w:tbl>
    <w:bookmarkEnd w:id="198"/>
    <w:bookmarkEnd w:id="199"/>
    <w:bookmarkStart w:id="207" w:name="X8af77a5a78d631e1994b61a4bd2dd243ae06ca9"/>
    <w:p>
      <w:pPr>
        <w:pStyle w:val="Heading2"/>
        <w:spacing w:line="480" w:lineRule="auto"/>
      </w:pPr>
      <w:r>
        <w:t xml:space="preserve">A.2 Logging-Surface Design and Reproducibility of Agentic Decision Episodes: A Logit Audit of Autonomous Space-Systems Testbeds</w:t>
      </w:r>
    </w:p>
    <w:p>
      <w:pPr>
        <w:pStyle w:val="FirstParagraph"/>
        <w:spacing w:line="480" w:lineRule="auto"/>
      </w:pPr>
      <m:oMathPara>
        <m:oMathParaPr>
          <m:jc m:val="center"/>
        </m:oMathParaPr>
        <m:oMath>
          <m:r>
            <m:rPr>
              <m:sty m:val="p"/>
            </m:rPr>
            <m:t>Pr</m:t>
          </m:r>
          <m:r>
            <m:rPr>
              <m:sty m:val="p"/>
            </m:rPr>
            <m:t>(</m:t>
          </m:r>
          <m:sSub>
            <m:e>
              <m:r>
                <m:rPr>
                  <m:nor/>
                  <m:sty m:val="p"/>
                </m:rPr>
                <m:t>reproducible</m:t>
              </m:r>
            </m:e>
            <m:sub>
              <m:r>
                <m:t>i</m:t>
              </m:r>
            </m:sub>
          </m:sSub>
          <m:r>
            <m:rPr>
              <m:sty m:val="p"/>
            </m:rPr>
            <m:t>=</m:t>
          </m:r>
          <m:r>
            <m:t>1</m:t>
          </m:r>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r>
                <m:t> </m:t>
              </m:r>
              <m:sSub>
                <m:e>
                  <m:r>
                    <m:rPr>
                      <m:nor/>
                      <m:sty m:val="p"/>
                    </m:rPr>
                    <m:t>structured_trace</m:t>
                  </m:r>
                </m:e>
                <m:sub>
                  <m:r>
                    <m:t>i</m:t>
                  </m:r>
                </m:sub>
              </m:sSub>
              <m:r>
                <m:rPr>
                  <m:sty m:val="p"/>
                </m:rPr>
                <m:t>+</m:t>
              </m:r>
              <m:sSub>
                <m:e>
                  <m:r>
                    <m:t>β</m:t>
                  </m:r>
                </m:e>
                <m:sub>
                  <m:r>
                    <m:t>2</m:t>
                  </m:r>
                </m:sub>
              </m:sSub>
              <m:r>
                <m:t> </m:t>
              </m:r>
              <m:sSub>
                <m:e>
                  <m:r>
                    <m:rPr>
                      <m:nor/>
                      <m:sty m:val="p"/>
                    </m:rPr>
                    <m:t>action_steps</m:t>
                  </m:r>
                </m:e>
                <m:sub>
                  <m:r>
                    <m:t>i</m:t>
                  </m:r>
                </m:sub>
              </m:sSub>
              <m:r>
                <m:rPr>
                  <m:sty m:val="p"/>
                </m:rPr>
                <m:t>+</m:t>
              </m:r>
              <m:sSub>
                <m:e>
                  <m:r>
                    <m:t>β</m:t>
                  </m:r>
                </m:e>
                <m:sub>
                  <m:r>
                    <m:t>3</m:t>
                  </m:r>
                </m:sub>
              </m:sSub>
              <m:r>
                <m:t> </m:t>
              </m:r>
              <m:sSub>
                <m:e>
                  <m:r>
                    <m:rPr>
                      <m:nor/>
                      <m:sty m:val="p"/>
                    </m:rPr>
                    <m:t>tool_calls</m:t>
                  </m:r>
                </m:e>
                <m:sub>
                  <m:r>
                    <m:t>i</m:t>
                  </m:r>
                </m:sub>
              </m:sSub>
            </m:e>
          </m:d>
        </m:oMath>
      </m:oMathPara>
    </w:p>
    <w:bookmarkStart w:id="200"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-3.8835</w:t>
            </w:r>
          </w:p>
        </w:tc>
        <w:tc>
          <w:tcPr>
            <w:tcW w:w="0" w:type="auto"/>
          </w:tcPr>
          <w:p>
            <w:pPr>
              <w:spacing w:line="240" w:lineRule="auto" w:before="0" w:after="0"/>
              <w:pStyle w:val="Compact"/>
            </w:pPr>
            <w:r>
              <w:rPr>
                <w:sz w:val="20"/>
                <w:szCs w:val="20"/>
              </w:rPr>
              <w:t xml:space="preserve">3.5218</w:t>
            </w:r>
          </w:p>
        </w:tc>
        <w:tc>
          <w:tcPr>
            <w:tcW w:w="0" w:type="auto"/>
          </w:tcPr>
          <w:p>
            <w:pPr>
              <w:spacing w:line="240" w:lineRule="auto" w:before="0" w:after="0"/>
              <w:pStyle w:val="Compact"/>
            </w:pPr>
            <w:r>
              <w:rPr>
                <w:sz w:val="20"/>
                <w:szCs w:val="20"/>
              </w:rPr>
              <w:t xml:space="preserve">-1.1027</w:t>
            </w:r>
          </w:p>
        </w:tc>
        <w:tc>
          <w:tcPr>
            <w:tcW w:w="0" w:type="auto"/>
          </w:tcPr>
          <w:p>
            <w:pPr>
              <w:spacing w:line="240" w:lineRule="auto" w:before="0" w:after="0"/>
              <w:pStyle w:val="Compact"/>
            </w:pPr>
            <w:r>
              <w:rPr>
                <w:sz w:val="20"/>
                <w:szCs w:val="20"/>
              </w:rPr>
              <w:t xml:space="preserve">0.2702</w:t>
            </w:r>
          </w:p>
        </w:tc>
        <w:tc>
          <w:tcPr>
            <w:tcW w:w="0" w:type="auto"/>
          </w:tcPr>
          <w:p>
            <w:pPr>
              <w:spacing w:line="240" w:lineRule="auto" w:before="0" w:after="0"/>
              <w:pStyle w:val="Compact"/>
            </w:pPr>
            <w:r>
              <w:rPr>
                <w:sz w:val="20"/>
                <w:szCs w:val="20"/>
              </w:rPr>
              <w:t xml:space="preserve">[-10.7861, 3.0191]</w:t>
            </w:r>
          </w:p>
        </w:tc>
      </w:tr>
      <w:tr>
        <w:tc>
          <w:tcPr>
            <w:tcW w:w="0" w:type="auto"/>
          </w:tcPr>
          <w:p>
            <w:pPr>
              <w:spacing w:line="240" w:lineRule="auto" w:before="0" w:after="0"/>
              <w:pStyle w:val="Compact"/>
            </w:pPr>
            <w:r>
              <w:rPr>
                <w:sz w:val="20"/>
                <w:szCs w:val="20"/>
              </w:rPr>
              <w:t xml:space="preserve">structured_trace</w:t>
            </w:r>
          </w:p>
        </w:tc>
        <w:tc>
          <w:tcPr>
            <w:tcW w:w="0" w:type="auto"/>
          </w:tcPr>
          <w:p>
            <w:pPr>
              <w:spacing w:line="240" w:lineRule="auto" w:before="0" w:after="0"/>
              <w:pStyle w:val="Compact"/>
            </w:pPr>
            <w:r>
              <w:rPr>
                <w:sz w:val="20"/>
                <w:szCs w:val="20"/>
              </w:rPr>
              <w:t xml:space="preserve">3.7108</w:t>
            </w:r>
          </w:p>
        </w:tc>
        <w:tc>
          <w:tcPr>
            <w:tcW w:w="0" w:type="auto"/>
          </w:tcPr>
          <w:p>
            <w:pPr>
              <w:spacing w:line="240" w:lineRule="auto" w:before="0" w:after="0"/>
              <w:pStyle w:val="Compact"/>
            </w:pPr>
            <w:r>
              <w:rPr>
                <w:sz w:val="20"/>
                <w:szCs w:val="20"/>
              </w:rPr>
              <w:t xml:space="preserve">1.8271</w:t>
            </w:r>
          </w:p>
        </w:tc>
        <w:tc>
          <w:tcPr>
            <w:tcW w:w="0" w:type="auto"/>
          </w:tcPr>
          <w:p>
            <w:pPr>
              <w:spacing w:line="240" w:lineRule="auto" w:before="0" w:after="0"/>
              <w:pStyle w:val="Compact"/>
            </w:pPr>
            <w:r>
              <w:rPr>
                <w:sz w:val="20"/>
                <w:szCs w:val="20"/>
              </w:rPr>
              <w:t xml:space="preserve">2.031</w:t>
            </w:r>
          </w:p>
        </w:tc>
        <w:tc>
          <w:tcPr>
            <w:tcW w:w="0" w:type="auto"/>
          </w:tcPr>
          <w:p>
            <w:pPr>
              <w:spacing w:line="240" w:lineRule="auto" w:before="0" w:after="0"/>
              <w:pStyle w:val="Compact"/>
            </w:pPr>
            <w:r>
              <w:rPr>
                <w:sz w:val="20"/>
                <w:szCs w:val="20"/>
              </w:rPr>
              <w:t xml:space="preserve">0.0423</w:t>
            </w:r>
          </w:p>
        </w:tc>
        <w:tc>
          <w:tcPr>
            <w:tcW w:w="0" w:type="auto"/>
          </w:tcPr>
          <w:p>
            <w:pPr>
              <w:spacing w:line="240" w:lineRule="auto" w:before="0" w:after="0"/>
              <w:pStyle w:val="Compact"/>
            </w:pPr>
            <w:r>
              <w:rPr>
                <w:sz w:val="20"/>
                <w:szCs w:val="20"/>
              </w:rPr>
              <w:t xml:space="preserve">[0.1298, 7.2918]</w:t>
            </w:r>
          </w:p>
        </w:tc>
      </w:tr>
      <w:tr>
        <w:tc>
          <w:tcPr>
            <w:tcW w:w="0" w:type="auto"/>
          </w:tcPr>
          <w:p>
            <w:pPr>
              <w:spacing w:line="240" w:lineRule="auto" w:before="0" w:after="0"/>
              <w:pStyle w:val="Compact"/>
            </w:pPr>
            <w:r>
              <w:rPr>
                <w:sz w:val="20"/>
                <w:szCs w:val="20"/>
              </w:rPr>
              <w:t xml:space="preserve">action_steps</w:t>
            </w:r>
          </w:p>
        </w:tc>
        <w:tc>
          <w:tcPr>
            <w:tcW w:w="0" w:type="auto"/>
          </w:tcPr>
          <w:p>
            <w:pPr>
              <w:spacing w:line="240" w:lineRule="auto" w:before="0" w:after="0"/>
              <w:pStyle w:val="Compact"/>
            </w:pPr>
            <w:r>
              <w:rPr>
                <w:sz w:val="20"/>
                <w:szCs w:val="20"/>
              </w:rPr>
              <w:t xml:space="preserve">0.0295</w:t>
            </w:r>
          </w:p>
        </w:tc>
        <w:tc>
          <w:tcPr>
            <w:tcW w:w="0" w:type="auto"/>
          </w:tcPr>
          <w:p>
            <w:pPr>
              <w:spacing w:line="240" w:lineRule="auto" w:before="0" w:after="0"/>
              <w:pStyle w:val="Compact"/>
            </w:pPr>
            <w:r>
              <w:rPr>
                <w:sz w:val="20"/>
                <w:szCs w:val="20"/>
              </w:rPr>
              <w:t xml:space="preserve">0.0528</w:t>
            </w:r>
          </w:p>
        </w:tc>
        <w:tc>
          <w:tcPr>
            <w:tcW w:w="0" w:type="auto"/>
          </w:tcPr>
          <w:p>
            <w:pPr>
              <w:spacing w:line="240" w:lineRule="auto" w:before="0" w:after="0"/>
              <w:pStyle w:val="Compact"/>
            </w:pPr>
            <w:r>
              <w:rPr>
                <w:sz w:val="20"/>
                <w:szCs w:val="20"/>
              </w:rPr>
              <w:t xml:space="preserve">0.5584</w:t>
            </w:r>
          </w:p>
        </w:tc>
        <w:tc>
          <w:tcPr>
            <w:tcW w:w="0" w:type="auto"/>
          </w:tcPr>
          <w:p>
            <w:pPr>
              <w:spacing w:line="240" w:lineRule="auto" w:before="0" w:after="0"/>
              <w:pStyle w:val="Compact"/>
            </w:pPr>
            <w:r>
              <w:rPr>
                <w:sz w:val="20"/>
                <w:szCs w:val="20"/>
              </w:rPr>
              <w:t xml:space="preserve">0.5766</w:t>
            </w:r>
          </w:p>
        </w:tc>
        <w:tc>
          <w:tcPr>
            <w:tcW w:w="0" w:type="auto"/>
          </w:tcPr>
          <w:p>
            <w:pPr>
              <w:spacing w:line="240" w:lineRule="auto" w:before="0" w:after="0"/>
              <w:pStyle w:val="Compact"/>
            </w:pPr>
            <w:r>
              <w:rPr>
                <w:sz w:val="20"/>
                <w:szCs w:val="20"/>
              </w:rPr>
              <w:t xml:space="preserve">[-0.074, 0.1329]</w:t>
            </w:r>
          </w:p>
        </w:tc>
      </w:tr>
      <w:tr>
        <w:tc>
          <w:tcPr>
            <w:tcW w:w="0" w:type="auto"/>
          </w:tcPr>
          <w:p>
            <w:pPr>
              <w:spacing w:line="240" w:lineRule="auto" w:before="0" w:after="0"/>
              <w:pStyle w:val="Compact"/>
            </w:pPr>
            <w:r>
              <w:rPr>
                <w:sz w:val="20"/>
                <w:szCs w:val="20"/>
              </w:rPr>
              <w:t xml:space="preserve">tool_calls</w:t>
            </w:r>
          </w:p>
        </w:tc>
        <w:tc>
          <w:tcPr>
            <w:tcW w:w="0" w:type="auto"/>
          </w:tcPr>
          <w:p>
            <w:pPr>
              <w:spacing w:line="240" w:lineRule="auto" w:before="0" w:after="0"/>
              <w:pStyle w:val="Compact"/>
            </w:pPr>
            <w:r>
              <w:rPr>
                <w:sz w:val="20"/>
                <w:szCs w:val="20"/>
              </w:rPr>
              <w:t xml:space="preserve">0.2661</w:t>
            </w:r>
          </w:p>
        </w:tc>
        <w:tc>
          <w:tcPr>
            <w:tcW w:w="0" w:type="auto"/>
          </w:tcPr>
          <w:p>
            <w:pPr>
              <w:spacing w:line="240" w:lineRule="auto" w:before="0" w:after="0"/>
              <w:pStyle w:val="Compact"/>
            </w:pPr>
            <w:r>
              <w:rPr>
                <w:sz w:val="20"/>
                <w:szCs w:val="20"/>
              </w:rPr>
              <w:t xml:space="preserve">0.6961</w:t>
            </w:r>
          </w:p>
        </w:tc>
        <w:tc>
          <w:tcPr>
            <w:tcW w:w="0" w:type="auto"/>
          </w:tcPr>
          <w:p>
            <w:pPr>
              <w:spacing w:line="240" w:lineRule="auto" w:before="0" w:after="0"/>
              <w:pStyle w:val="Compact"/>
            </w:pPr>
            <w:r>
              <w:rPr>
                <w:sz w:val="20"/>
                <w:szCs w:val="20"/>
              </w:rPr>
              <w:t xml:space="preserve">0.3823</w:t>
            </w:r>
          </w:p>
        </w:tc>
        <w:tc>
          <w:tcPr>
            <w:tcW w:w="0" w:type="auto"/>
          </w:tcPr>
          <w:p>
            <w:pPr>
              <w:spacing w:line="240" w:lineRule="auto" w:before="0" w:after="0"/>
              <w:pStyle w:val="Compact"/>
            </w:pPr>
            <w:r>
              <w:rPr>
                <w:sz w:val="20"/>
                <w:szCs w:val="20"/>
              </w:rPr>
              <w:t xml:space="preserve">0.7023</w:t>
            </w:r>
          </w:p>
        </w:tc>
        <w:tc>
          <w:tcPr>
            <w:tcW w:w="0" w:type="auto"/>
          </w:tcPr>
          <w:p>
            <w:pPr>
              <w:spacing w:line="240" w:lineRule="auto" w:before="0" w:after="0"/>
              <w:pStyle w:val="Compact"/>
            </w:pPr>
            <w:r>
              <w:rPr>
                <w:sz w:val="20"/>
                <w:szCs w:val="20"/>
              </w:rPr>
              <w:t xml:space="preserve">[-1.0983, 1.6305]</w:t>
            </w:r>
          </w:p>
        </w:tc>
      </w:tr>
    </w:tbl>
    <w:p>
      <w:pPr>
        <w:pStyle w:val="BodyText"/>
        <w:spacing w:line="480" w:lineRule="auto"/>
        <w:ind w:firstLine="720"/>
      </w:pPr>
      <w:r>
        <w:t xml:space="preserve">Fit: N = 28 pseudo_R2 = 0.4183 LL = -11.2478</w:t>
      </w:r>
    </w:p>
    <w:bookmarkEnd w:id="200"/>
    <w:bookmarkStart w:id="204"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Reproducibility outcome as a function of episode length, with structured-trace and unstructured-log episodes pooled." title="" id="202" name="Picture"/>
            <a:graphic>
              <a:graphicData uri="http://schemas.openxmlformats.org/drawingml/2006/picture">
                <pic:pic>
                  <pic:nvPicPr>
                    <pic:cNvPr descr="D:/Claude_Code/brain/collegium/candidates/dissertations/CYBER_AI_08/research_papers/p2/paper_fig1.png" id="203" name="Picture"/>
                    <pic:cNvPicPr>
                      <a:picLocks noChangeArrowheads="1" noChangeAspect="1"/>
                    </pic:cNvPicPr>
                  </pic:nvPicPr>
                  <pic:blipFill>
                    <a:blip r:embed="rId20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Reproducibility outcome as a function of episode length, with structured-trace and unstructured-log episodes pooled.</w:t>
      </w:r>
    </w:p>
    <w:bookmarkEnd w:id="204"/>
    <w:bookmarkStart w:id="205"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episode_id</w:t>
            </w:r>
          </w:p>
        </w:tc>
        <w:tc>
          <w:tcPr>
            <w:tcW w:w="0" w:type="auto"/>
          </w:tcPr>
          <w:p>
            <w:pPr>
              <w:spacing w:line="240" w:lineRule="auto" w:before="0" w:after="0"/>
              <w:pStyle w:val="Compact"/>
            </w:pPr>
            <w:r>
              <w:rPr>
                <w:sz w:val="20"/>
                <w:szCs w:val="20"/>
              </w:rPr>
              <w:t xml:space="preserve">structured_trace</w:t>
            </w:r>
          </w:p>
        </w:tc>
        <w:tc>
          <w:tcPr>
            <w:tcW w:w="0" w:type="auto"/>
          </w:tcPr>
          <w:p>
            <w:pPr>
              <w:spacing w:line="240" w:lineRule="auto" w:before="0" w:after="0"/>
              <w:pStyle w:val="Compact"/>
            </w:pPr>
            <w:r>
              <w:rPr>
                <w:sz w:val="20"/>
                <w:szCs w:val="20"/>
              </w:rPr>
              <w:t xml:space="preserve">action_steps</w:t>
            </w:r>
          </w:p>
        </w:tc>
        <w:tc>
          <w:tcPr>
            <w:tcW w:w="0" w:type="auto"/>
          </w:tcPr>
          <w:p>
            <w:pPr>
              <w:spacing w:line="240" w:lineRule="auto" w:before="0" w:after="0"/>
              <w:pStyle w:val="Compact"/>
            </w:pPr>
            <w:r>
              <w:rPr>
                <w:sz w:val="20"/>
                <w:szCs w:val="20"/>
              </w:rPr>
              <w:t xml:space="preserve">tool_calls</w:t>
            </w:r>
          </w:p>
        </w:tc>
        <w:tc>
          <w:tcPr>
            <w:tcW w:w="0" w:type="auto"/>
          </w:tcPr>
          <w:p>
            <w:pPr>
              <w:spacing w:line="240" w:lineRule="auto" w:before="0" w:after="0"/>
              <w:pStyle w:val="Compact"/>
            </w:pPr>
            <w:r>
              <w:rPr>
                <w:sz w:val="20"/>
                <w:szCs w:val="20"/>
              </w:rPr>
              <w:t xml:space="preserve">policy_confidence_logged</w:t>
            </w:r>
          </w:p>
        </w:tc>
        <w:tc>
          <w:tcPr>
            <w:tcW w:w="0" w:type="auto"/>
          </w:tcPr>
          <w:p>
            <w:pPr>
              <w:spacing w:line="240" w:lineRule="auto" w:before="0" w:after="0"/>
              <w:pStyle w:val="Compact"/>
            </w:pPr>
            <w:r>
              <w:rPr>
                <w:sz w:val="20"/>
                <w:szCs w:val="20"/>
              </w:rPr>
              <w:t xml:space="preserve">fully_reproducible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ep01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Latif et al. 2025 AMOS doi:10.64861/CEPU7718</w:t>
            </w:r>
          </w:p>
        </w:tc>
      </w:tr>
      <w:tr>
        <w:tc>
          <w:tcPr>
            <w:tcW w:w="0" w:type="auto"/>
          </w:tcPr>
          <w:p>
            <w:pPr>
              <w:spacing w:line="240" w:lineRule="auto" w:before="0" w:after="0"/>
              <w:pStyle w:val="Compact"/>
            </w:pPr>
            <w:r>
              <w:rPr>
                <w:sz w:val="20"/>
                <w:szCs w:val="20"/>
              </w:rPr>
              <w:t xml:space="preserve">ep02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Kelly 2017 AMOS Integrating Machine Learning into Space Operations</w:t>
            </w:r>
          </w:p>
        </w:tc>
      </w:tr>
      <w:tr>
        <w:tc>
          <w:tcPr>
            <w:tcW w:w="0" w:type="auto"/>
          </w:tcPr>
          <w:p>
            <w:pPr>
              <w:spacing w:line="240" w:lineRule="auto" w:before="0" w:after="0"/>
              <w:pStyle w:val="Compact"/>
            </w:pPr>
            <w:r>
              <w:rPr>
                <w:sz w:val="20"/>
                <w:szCs w:val="20"/>
              </w:rPr>
              <w:t xml:space="preserve">ep03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Jabbarpour et al. 2025 Acta Astronautica doi:10.1016/j.actaastro.2025.10.018</w:t>
            </w:r>
          </w:p>
        </w:tc>
      </w:tr>
      <w:tr>
        <w:tc>
          <w:tcPr>
            <w:tcW w:w="0" w:type="auto"/>
          </w:tcPr>
          <w:p>
            <w:pPr>
              <w:spacing w:line="240" w:lineRule="auto" w:before="0" w:after="0"/>
              <w:pStyle w:val="Compact"/>
            </w:pPr>
            <w:r>
              <w:rPr>
                <w:sz w:val="20"/>
                <w:szCs w:val="20"/>
              </w:rPr>
              <w:t xml:space="preserve">ep04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Agathanggelou et al. 2022 AMOS Machine Learning for Satellite Characterisation</w:t>
            </w:r>
          </w:p>
        </w:tc>
      </w:tr>
      <w:tr>
        <w:tc>
          <w:tcPr>
            <w:tcW w:w="0" w:type="auto"/>
          </w:tcPr>
          <w:p>
            <w:pPr>
              <w:spacing w:line="240" w:lineRule="auto" w:before="0" w:after="0"/>
              <w:pStyle w:val="Compact"/>
            </w:pPr>
            <w:r>
              <w:rPr>
                <w:sz w:val="20"/>
                <w:szCs w:val="20"/>
              </w:rPr>
              <w:t xml:space="preserve">ep05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Cena et al. 2025 Acta Astronautica doi:10.1016/j.actaastro.2025.10.068</w:t>
            </w:r>
          </w:p>
        </w:tc>
      </w:tr>
      <w:tr>
        <w:tc>
          <w:tcPr>
            <w:tcW w:w="0" w:type="auto"/>
          </w:tcPr>
          <w:p>
            <w:pPr>
              <w:spacing w:line="240" w:lineRule="auto" w:before="0" w:after="0"/>
              <w:pStyle w:val="Compact"/>
            </w:pPr>
            <w:r>
              <w:rPr>
                <w:sz w:val="20"/>
                <w:szCs w:val="20"/>
              </w:rPr>
              <w:t xml:space="preserve">ep06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Hoerger et al. 2024 Acta Astronautica doi:10.1016/j.actaastro.2024.02.039</w:t>
            </w:r>
          </w:p>
        </w:tc>
      </w:tr>
      <w:tr>
        <w:tc>
          <w:tcPr>
            <w:tcW w:w="0" w:type="auto"/>
          </w:tcPr>
          <w:p>
            <w:pPr>
              <w:spacing w:line="240" w:lineRule="auto" w:before="0" w:after="0"/>
              <w:pStyle w:val="Compact"/>
            </w:pPr>
            <w:r>
              <w:rPr>
                <w:sz w:val="20"/>
                <w:szCs w:val="20"/>
              </w:rPr>
              <w:t xml:space="preserve">ep07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Lagona et al. 2022 Acta Astronautica doi:10.1016/j.actaastro.2022.01.027</w:t>
            </w:r>
          </w:p>
        </w:tc>
      </w:tr>
      <w:tr>
        <w:tc>
          <w:tcPr>
            <w:tcW w:w="0" w:type="auto"/>
          </w:tcPr>
          <w:p>
            <w:pPr>
              <w:spacing w:line="240" w:lineRule="auto" w:before="0" w:after="0"/>
              <w:pStyle w:val="Compact"/>
            </w:pPr>
            <w:r>
              <w:rPr>
                <w:sz w:val="20"/>
                <w:szCs w:val="20"/>
              </w:rPr>
              <w:t xml:space="preserve">ep08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Rajan et al. 2021 Acta Astronautica doi:10.1016/j.actaastro.2021.07.046</w:t>
            </w:r>
          </w:p>
        </w:tc>
      </w:tr>
      <w:tr>
        <w:tc>
          <w:tcPr>
            <w:tcW w:w="0" w:type="auto"/>
          </w:tcPr>
          <w:p>
            <w:pPr>
              <w:spacing w:line="240" w:lineRule="auto" w:before="0" w:after="0"/>
              <w:pStyle w:val="Compact"/>
            </w:pPr>
            <w:r>
              <w:rPr>
                <w:sz w:val="20"/>
                <w:szCs w:val="20"/>
              </w:rPr>
              <w:t xml:space="preserve">ep09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Wilson and Riccardi 2022 Acta Astronautica doi:10.1016/j.actaastro.2022.07.013</w:t>
            </w:r>
          </w:p>
        </w:tc>
      </w:tr>
      <w:tr>
        <w:tc>
          <w:tcPr>
            <w:tcW w:w="0" w:type="auto"/>
          </w:tcPr>
          <w:p>
            <w:pPr>
              <w:spacing w:line="240" w:lineRule="auto" w:before="0" w:after="0"/>
              <w:pStyle w:val="Compact"/>
            </w:pPr>
            <w:r>
              <w:rPr>
                <w:sz w:val="20"/>
                <w:szCs w:val="20"/>
              </w:rPr>
              <w:t xml:space="preserve">ep10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Wang and Aouf 2024 Acta Astronautica doi:10.1016/j.actaastro.2024.07.052</w:t>
            </w:r>
          </w:p>
        </w:tc>
      </w:tr>
      <w:tr>
        <w:tc>
          <w:tcPr>
            <w:tcW w:w="0" w:type="auto"/>
          </w:tcPr>
          <w:p>
            <w:pPr>
              <w:spacing w:line="240" w:lineRule="auto" w:before="0" w:after="0"/>
              <w:pStyle w:val="Compact"/>
            </w:pPr>
            <w:r>
              <w:rPr>
                <w:sz w:val="20"/>
                <w:szCs w:val="20"/>
              </w:rPr>
              <w:t xml:space="preserve">ep11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Pavanello et al. 2025 Acta Astronautica doi:10.1016/j.actaastro.2025.07.027 [open code release] [illustrative]</w:t>
            </w:r>
          </w:p>
        </w:tc>
      </w:tr>
      <w:tr>
        <w:tc>
          <w:tcPr>
            <w:tcW w:w="0" w:type="auto"/>
          </w:tcPr>
          <w:p>
            <w:pPr>
              <w:spacing w:line="240" w:lineRule="auto" w:before="0" w:after="0"/>
              <w:pStyle w:val="Compact"/>
            </w:pPr>
            <w:r>
              <w:rPr>
                <w:sz w:val="20"/>
                <w:szCs w:val="20"/>
              </w:rPr>
              <w:t xml:space="preserve">ep12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Berthet 2025 Acta Astronautica doi:10.1016/j.actaastro.2025.08.015</w:t>
            </w:r>
          </w:p>
        </w:tc>
      </w:tr>
      <w:tr>
        <w:tc>
          <w:tcPr>
            <w:tcW w:w="0" w:type="auto"/>
          </w:tcPr>
          <w:p>
            <w:pPr>
              <w:spacing w:line="240" w:lineRule="auto" w:before="0" w:after="0"/>
              <w:pStyle w:val="Compact"/>
            </w:pPr>
            <w:r>
              <w:rPr>
                <w:sz w:val="20"/>
                <w:szCs w:val="20"/>
              </w:rPr>
              <w:t xml:space="preserve">ep13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 Alba et al. 2025 AMOS doi:10.64861/YOWY2953</w:t>
            </w:r>
          </w:p>
        </w:tc>
      </w:tr>
      <w:tr>
        <w:tc>
          <w:tcPr>
            <w:tcW w:w="0" w:type="auto"/>
          </w:tcPr>
          <w:p>
            <w:pPr>
              <w:spacing w:line="240" w:lineRule="auto" w:before="0" w:after="0"/>
              <w:pStyle w:val="Compact"/>
            </w:pPr>
            <w:r>
              <w:rPr>
                <w:sz w:val="20"/>
                <w:szCs w:val="20"/>
              </w:rPr>
              <w:t xml:space="preserve">ep14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Constant et al. 2025 AMOS doi:10.64861/PHHA7076</w:t>
            </w:r>
          </w:p>
        </w:tc>
      </w:tr>
      <w:tr>
        <w:tc>
          <w:tcPr>
            <w:tcW w:w="0" w:type="auto"/>
          </w:tcPr>
          <w:p>
            <w:pPr>
              <w:spacing w:line="240" w:lineRule="auto" w:before="0" w:after="0"/>
              <w:pStyle w:val="Compact"/>
            </w:pPr>
            <w:r>
              <w:rPr>
                <w:sz w:val="20"/>
                <w:szCs w:val="20"/>
              </w:rPr>
              <w:t xml:space="preserve">ep15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Lucas et al. 2020 AMOS Estimating Satellite Orientation through Turbulence</w:t>
            </w:r>
          </w:p>
        </w:tc>
      </w:tr>
      <w:tr>
        <w:tc>
          <w:tcPr>
            <w:tcW w:w="0" w:type="auto"/>
          </w:tcPr>
          <w:p>
            <w:pPr>
              <w:spacing w:line="240" w:lineRule="auto" w:before="0" w:after="0"/>
              <w:pStyle w:val="Compact"/>
            </w:pPr>
            <w:r>
              <w:rPr>
                <w:sz w:val="20"/>
                <w:szCs w:val="20"/>
              </w:rPr>
              <w:t xml:space="preserve">ep16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Ebeling et al. 2024 AMOS doi:10.64861/XMQA2396 [trace incomplete] [illustrative]</w:t>
            </w:r>
          </w:p>
        </w:tc>
      </w:tr>
      <w:tr>
        <w:tc>
          <w:tcPr>
            <w:tcW w:w="0" w:type="auto"/>
          </w:tcPr>
          <w:p>
            <w:pPr>
              <w:spacing w:line="240" w:lineRule="auto" w:before="0" w:after="0"/>
              <w:pStyle w:val="Compact"/>
            </w:pPr>
            <w:r>
              <w:rPr>
                <w:sz w:val="20"/>
                <w:szCs w:val="20"/>
              </w:rPr>
              <w:t xml:space="preserve">ep17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Kyono et al. 2019 AMOS Multi-Frame Blind Deconvolution Resolvability</w:t>
            </w:r>
          </w:p>
        </w:tc>
      </w:tr>
      <w:tr>
        <w:tc>
          <w:tcPr>
            <w:tcW w:w="0" w:type="auto"/>
          </w:tcPr>
          <w:p>
            <w:pPr>
              <w:spacing w:line="240" w:lineRule="auto" w:before="0" w:after="0"/>
              <w:pStyle w:val="Compact"/>
            </w:pPr>
            <w:r>
              <w:rPr>
                <w:sz w:val="20"/>
                <w:szCs w:val="20"/>
              </w:rPr>
              <w:t xml:space="preserve">ep18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Latif et al. 2025 AMOS doi:10.64861/CEPU7718 [secondary episode]</w:t>
            </w:r>
          </w:p>
        </w:tc>
      </w:tr>
      <w:tr>
        <w:tc>
          <w:tcPr>
            <w:tcW w:w="0" w:type="auto"/>
          </w:tcPr>
          <w:p>
            <w:pPr>
              <w:spacing w:line="240" w:lineRule="auto" w:before="0" w:after="0"/>
              <w:pStyle w:val="Compact"/>
            </w:pPr>
            <w:r>
              <w:rPr>
                <w:sz w:val="20"/>
                <w:szCs w:val="20"/>
              </w:rPr>
              <w:t xml:space="preserve">ep19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Lagona et al. 2022 Acta Astronautica doi:10.1016/j.actaastro.2022.01.027 [secondary episode]</w:t>
            </w:r>
          </w:p>
        </w:tc>
      </w:tr>
      <w:tr>
        <w:tc>
          <w:tcPr>
            <w:tcW w:w="0" w:type="auto"/>
          </w:tcPr>
          <w:p>
            <w:pPr>
              <w:spacing w:line="240" w:lineRule="auto" w:before="0" w:after="0"/>
              <w:pStyle w:val="Compact"/>
            </w:pPr>
            <w:r>
              <w:rPr>
                <w:sz w:val="20"/>
                <w:szCs w:val="20"/>
              </w:rPr>
              <w:t xml:space="preserve">ep20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Jabbarpour et al. 2025 Acta Astronautica doi:10.1016/j.actaastro.2025.10.018 [DRL inspection testbed]</w:t>
            </w:r>
          </w:p>
        </w:tc>
      </w:tr>
      <w:tr>
        <w:tc>
          <w:tcPr>
            <w:tcW w:w="0" w:type="auto"/>
          </w:tcPr>
          <w:p>
            <w:pPr>
              <w:spacing w:line="240" w:lineRule="auto" w:before="0" w:after="0"/>
              <w:pStyle w:val="Compact"/>
            </w:pPr>
            <w:r>
              <w:rPr>
                <w:sz w:val="20"/>
                <w:szCs w:val="20"/>
              </w:rPr>
              <w:t xml:space="preserve">ep21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Rajan et al. 2021 Acta Astronautica doi:10.1016/j.actaastro.2021.07.046 [swarm episode]</w:t>
            </w:r>
          </w:p>
        </w:tc>
      </w:tr>
      <w:tr>
        <w:tc>
          <w:tcPr>
            <w:tcW w:w="0" w:type="auto"/>
          </w:tcPr>
          <w:p>
            <w:pPr>
              <w:spacing w:line="240" w:lineRule="auto" w:before="0" w:after="0"/>
              <w:pStyle w:val="Compact"/>
            </w:pPr>
            <w:r>
              <w:rPr>
                <w:sz w:val="20"/>
                <w:szCs w:val="20"/>
              </w:rPr>
              <w:t xml:space="preserve">ep22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Hoerger et al. 2024 Acta Astronautica doi:10.1016/j.actaastro.2024.02.039 [cold-gas controller run]</w:t>
            </w:r>
          </w:p>
        </w:tc>
      </w:tr>
      <w:tr>
        <w:tc>
          <w:tcPr>
            <w:tcW w:w="0" w:type="auto"/>
          </w:tcPr>
          <w:p>
            <w:pPr>
              <w:spacing w:line="240" w:lineRule="auto" w:before="0" w:after="0"/>
              <w:pStyle w:val="Compact"/>
            </w:pPr>
            <w:r>
              <w:rPr>
                <w:sz w:val="20"/>
                <w:szCs w:val="20"/>
              </w:rPr>
              <w:t xml:space="preserve">ep23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Wilson and Riccardi 2022 Acta Astronautica doi:10.1016/j.actaastro.2022.07.013 [partial-log episode] [illustrative]</w:t>
            </w:r>
          </w:p>
        </w:tc>
      </w:tr>
      <w:tr>
        <w:tc>
          <w:tcPr>
            <w:tcW w:w="0" w:type="auto"/>
          </w:tcPr>
          <w:p>
            <w:pPr>
              <w:spacing w:line="240" w:lineRule="auto" w:before="0" w:after="0"/>
              <w:pStyle w:val="Compact"/>
            </w:pPr>
            <w:r>
              <w:rPr>
                <w:sz w:val="20"/>
                <w:szCs w:val="20"/>
              </w:rPr>
              <w:t xml:space="preserve">ep24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Cena et al. 2025 Acta Astronautica doi:10.1016/j.actaastro.2025.10.068 [reproduced from open code] [illustrative]</w:t>
            </w:r>
          </w:p>
        </w:tc>
      </w:tr>
      <w:tr>
        <w:tc>
          <w:tcPr>
            <w:tcW w:w="0" w:type="auto"/>
          </w:tcPr>
          <w:p>
            <w:pPr>
              <w:spacing w:line="240" w:lineRule="auto" w:before="0" w:after="0"/>
              <w:pStyle w:val="Compact"/>
            </w:pPr>
            <w:r>
              <w:rPr>
                <w:sz w:val="20"/>
                <w:szCs w:val="20"/>
              </w:rPr>
              <w:t xml:space="preserve">ep25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Wang and Aouf 2024 Acta Astronautica doi:10.1016/j.actaastro.2024.07.052 [adversarial-detection trace]</w:t>
            </w:r>
          </w:p>
        </w:tc>
      </w:tr>
      <w:tr>
        <w:tc>
          <w:tcPr>
            <w:tcW w:w="0" w:type="auto"/>
          </w:tcPr>
          <w:p>
            <w:pPr>
              <w:spacing w:line="240" w:lineRule="auto" w:before="0" w:after="0"/>
              <w:pStyle w:val="Compact"/>
            </w:pPr>
            <w:r>
              <w:rPr>
                <w:sz w:val="20"/>
                <w:szCs w:val="20"/>
              </w:rPr>
              <w:t xml:space="preserve">ep26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Kelly 2017 AMOS Integrating Machine Learning into Space Operations [secondary episode]</w:t>
            </w:r>
          </w:p>
        </w:tc>
      </w:tr>
      <w:tr>
        <w:tc>
          <w:tcPr>
            <w:tcW w:w="0" w:type="auto"/>
          </w:tcPr>
          <w:p>
            <w:pPr>
              <w:spacing w:line="240" w:lineRule="auto" w:before="0" w:after="0"/>
              <w:pStyle w:val="Compact"/>
            </w:pPr>
            <w:r>
              <w:rPr>
                <w:sz w:val="20"/>
                <w:szCs w:val="20"/>
              </w:rPr>
              <w:t xml:space="preserve">ep27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 Alba et al. 2025 AMOS doi:10.64861/YOWY2953 [photometry inference run]</w:t>
            </w:r>
          </w:p>
        </w:tc>
      </w:tr>
      <w:tr>
        <w:tc>
          <w:tcPr>
            <w:tcW w:w="0" w:type="auto"/>
          </w:tcPr>
          <w:p>
            <w:pPr>
              <w:spacing w:line="240" w:lineRule="auto" w:before="0" w:after="0"/>
              <w:pStyle w:val="Compact"/>
            </w:pPr>
            <w:r>
              <w:rPr>
                <w:sz w:val="20"/>
                <w:szCs w:val="20"/>
              </w:rPr>
              <w:t xml:space="preserve">ep28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Pavanello et al. 2025 Acta Astronautica doi:10.1016/j.actaastro.2025.07.027 [CAM benchmark]</w:t>
            </w:r>
          </w:p>
        </w:tc>
      </w:tr>
    </w:tbl>
    <w:bookmarkEnd w:id="205"/>
    <w:bookmarkStart w:id="206"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fully_reproducible</w:t>
            </w:r>
          </w:p>
        </w:tc>
        <w:tc>
          <w:tcPr>
            <w:tcW w:w="0" w:type="auto"/>
          </w:tcPr>
          <w:p>
            <w:pPr>
              <w:spacing w:line="240" w:lineRule="auto" w:before="0" w:after="0"/>
              <w:pStyle w:val="Compact"/>
            </w:pPr>
            <w:r>
              <w:rPr>
                <w:sz w:val="20"/>
                <w:szCs w:val="20"/>
              </w:rPr>
              <w:t xml:space="preserve">Binary indicator equal to 1 when the source paper publishes the full action sequence, policy weights or seeds, and tool interfaces required to rerun the agentic episode end to end; 0 otherwise</w:t>
            </w:r>
          </w:p>
        </w:tc>
        <w:tc>
          <w:tcPr>
            <w:tcW w:w="0" w:type="auto"/>
          </w:tcPr>
          <w:p>
            <w:pPr>
              <w:spacing w:line="240" w:lineRule="auto" w:before="0" w:after="0"/>
              <w:pStyle w:val="Compact"/>
            </w:pPr>
            <w:r>
              <w:rPr>
                <w:sz w:val="20"/>
                <w:szCs w:val="20"/>
              </w:rPr>
              <w:t xml:space="preserve">Coded by the candidate from each cited source artifact</w:t>
            </w:r>
          </w:p>
        </w:tc>
      </w:tr>
      <w:tr>
        <w:tc>
          <w:tcPr>
            <w:tcW w:w="0" w:type="auto"/>
          </w:tcPr>
          <w:p>
            <w:pPr>
              <w:spacing w:line="240" w:lineRule="auto" w:before="0" w:after="0"/>
              <w:pStyle w:val="Compact"/>
            </w:pPr>
            <w:r>
              <w:rPr>
                <w:sz w:val="20"/>
                <w:szCs w:val="20"/>
              </w:rPr>
              <w:t xml:space="preserve">structured_trace</w:t>
            </w:r>
          </w:p>
        </w:tc>
        <w:tc>
          <w:tcPr>
            <w:tcW w:w="0" w:type="auto"/>
          </w:tcPr>
          <w:p>
            <w:pPr>
              <w:spacing w:line="240" w:lineRule="auto" w:before="0" w:after="0"/>
              <w:pStyle w:val="Compact"/>
            </w:pPr>
            <w:r>
              <w:rPr>
                <w:sz w:val="20"/>
                <w:szCs w:val="20"/>
              </w:rPr>
              <w:t xml:space="preserve">Binary indicator equal to 1 when the source describes a typed, structured decision-trace or telemetry schema (state, observation, action, tool-call, tool-return, policy-confidence); 0 when only unstructured text or summary logs are reported</w:t>
            </w:r>
          </w:p>
        </w:tc>
        <w:tc>
          <w:tcPr>
            <w:tcW w:w="0" w:type="auto"/>
          </w:tcPr>
          <w:p>
            <w:pPr>
              <w:spacing w:line="240" w:lineRule="auto" w:before="0" w:after="0"/>
              <w:pStyle w:val="Compact"/>
            </w:pPr>
            <w:r>
              <w:rPr>
                <w:sz w:val="20"/>
                <w:szCs w:val="20"/>
              </w:rPr>
              <w:t xml:space="preserve">Coded from the source paper text and supplementary material</w:t>
            </w:r>
          </w:p>
        </w:tc>
      </w:tr>
      <w:tr>
        <w:tc>
          <w:tcPr>
            <w:tcW w:w="0" w:type="auto"/>
          </w:tcPr>
          <w:p>
            <w:pPr>
              <w:spacing w:line="240" w:lineRule="auto" w:before="0" w:after="0"/>
              <w:pStyle w:val="Compact"/>
            </w:pPr>
            <w:r>
              <w:rPr>
                <w:sz w:val="20"/>
                <w:szCs w:val="20"/>
              </w:rPr>
              <w:t xml:space="preserve">action_steps</w:t>
            </w:r>
          </w:p>
        </w:tc>
        <w:tc>
          <w:tcPr>
            <w:tcW w:w="0" w:type="auto"/>
          </w:tcPr>
          <w:p>
            <w:pPr>
              <w:spacing w:line="240" w:lineRule="auto" w:before="0" w:after="0"/>
              <w:pStyle w:val="Compact"/>
            </w:pPr>
            <w:r>
              <w:rPr>
                <w:sz w:val="20"/>
                <w:szCs w:val="20"/>
              </w:rPr>
              <w:t xml:space="preserve">Reported or canonical length of the agentic episode measured as discrete action selections by the policy</w:t>
            </w:r>
          </w:p>
        </w:tc>
        <w:tc>
          <w:tcPr>
            <w:tcW w:w="0" w:type="auto"/>
          </w:tcPr>
          <w:p>
            <w:pPr>
              <w:spacing w:line="240" w:lineRule="auto" w:before="0" w:after="0"/>
              <w:pStyle w:val="Compact"/>
            </w:pPr>
            <w:r>
              <w:rPr>
                <w:sz w:val="20"/>
                <w:szCs w:val="20"/>
              </w:rPr>
              <w:t xml:space="preserve">Extracted from the source paper or its referenced testbed configuration</w:t>
            </w:r>
          </w:p>
        </w:tc>
      </w:tr>
      <w:tr>
        <w:tc>
          <w:tcPr>
            <w:tcW w:w="0" w:type="auto"/>
          </w:tcPr>
          <w:p>
            <w:pPr>
              <w:spacing w:line="240" w:lineRule="auto" w:before="0" w:after="0"/>
              <w:pStyle w:val="Compact"/>
            </w:pPr>
            <w:r>
              <w:rPr>
                <w:sz w:val="20"/>
                <w:szCs w:val="20"/>
              </w:rPr>
              <w:t xml:space="preserve">tool_calls</w:t>
            </w:r>
          </w:p>
        </w:tc>
        <w:tc>
          <w:tcPr>
            <w:tcW w:w="0" w:type="auto"/>
          </w:tcPr>
          <w:p>
            <w:pPr>
              <w:spacing w:line="240" w:lineRule="auto" w:before="0" w:after="0"/>
              <w:pStyle w:val="Compact"/>
            </w:pPr>
            <w:r>
              <w:rPr>
                <w:sz w:val="20"/>
                <w:szCs w:val="20"/>
              </w:rPr>
              <w:t xml:space="preserve">Count of distinct external tool or subsystem interfaces invoked during the episode (sensor, actuator, ground-link, model-call, validator)</w:t>
            </w:r>
          </w:p>
        </w:tc>
        <w:tc>
          <w:tcPr>
            <w:tcW w:w="0" w:type="auto"/>
          </w:tcPr>
          <w:p>
            <w:pPr>
              <w:spacing w:line="240" w:lineRule="auto" w:before="0" w:after="0"/>
              <w:pStyle w:val="Compact"/>
            </w:pPr>
            <w:r>
              <w:rPr>
                <w:sz w:val="20"/>
                <w:szCs w:val="20"/>
              </w:rPr>
              <w:t xml:space="preserve">Counted from the architecture diagram or interface list in the source</w:t>
            </w:r>
          </w:p>
        </w:tc>
      </w:tr>
      <w:tr>
        <w:tc>
          <w:tcPr>
            <w:tcW w:w="0" w:type="auto"/>
          </w:tcPr>
          <w:p>
            <w:pPr>
              <w:spacing w:line="240" w:lineRule="auto" w:before="0" w:after="0"/>
              <w:pStyle w:val="Compact"/>
            </w:pPr>
            <w:r>
              <w:rPr>
                <w:sz w:val="20"/>
                <w:szCs w:val="20"/>
              </w:rPr>
              <w:t xml:space="preserve">policy_confidence_logged</w:t>
            </w:r>
          </w:p>
        </w:tc>
        <w:tc>
          <w:tcPr>
            <w:tcW w:w="0" w:type="auto"/>
          </w:tcPr>
          <w:p>
            <w:pPr>
              <w:spacing w:line="240" w:lineRule="auto" w:before="0" w:after="0"/>
              <w:pStyle w:val="Compact"/>
            </w:pPr>
            <w:r>
              <w:rPr>
                <w:sz w:val="20"/>
                <w:szCs w:val="20"/>
              </w:rPr>
              <w:t xml:space="preserve">Binary indicator equal to 1 when the source emits per-step policy confidence or value estimates alongside the action; 0 otherwise</w:t>
            </w:r>
          </w:p>
        </w:tc>
        <w:tc>
          <w:tcPr>
            <w:tcW w:w="0" w:type="auto"/>
          </w:tcPr>
          <w:p>
            <w:pPr>
              <w:spacing w:line="240" w:lineRule="auto" w:before="0" w:after="0"/>
              <w:pStyle w:val="Compact"/>
            </w:pPr>
            <w:r>
              <w:rPr>
                <w:sz w:val="20"/>
                <w:szCs w:val="20"/>
              </w:rPr>
              <w:t xml:space="preserve">Coded from the source paper text</w:t>
            </w:r>
          </w:p>
        </w:tc>
      </w:tr>
    </w:tbl>
    <w:bookmarkEnd w:id="206"/>
    <w:bookmarkEnd w:id="207"/>
    <w:bookmarkEnd w:id="20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3" Type="http://schemas.openxmlformats.org/officeDocument/2006/relationships/image" Target="media/rId193.png"/><Relationship Id="rId201" Type="http://schemas.openxmlformats.org/officeDocument/2006/relationships/image" Target="media/rId201.png"/><Relationship Id="rId145" Type="http://schemas.openxmlformats.org/officeDocument/2006/relationships/hyperlink" Target="https://doi.org/10.1016/j.actaastro.2021.07.046" TargetMode="External"/><Relationship Id="rId157" Type="http://schemas.openxmlformats.org/officeDocument/2006/relationships/hyperlink" Target="https://doi.org/10.1016/j.actaastro.2022.01.027" TargetMode="External"/><Relationship Id="rId153" Type="http://schemas.openxmlformats.org/officeDocument/2006/relationships/hyperlink" Target="https://doi.org/10.1016/j.actaastro.2022.07.013" TargetMode="External"/><Relationship Id="rId143" Type="http://schemas.openxmlformats.org/officeDocument/2006/relationships/hyperlink" Target="https://doi.org/10.1016/j.actaastro.2023.06.004" TargetMode="External"/><Relationship Id="rId137" Type="http://schemas.openxmlformats.org/officeDocument/2006/relationships/hyperlink" Target="https://doi.org/10.1016/j.actaastro.2024.02.039" TargetMode="External"/><Relationship Id="rId186" Type="http://schemas.openxmlformats.org/officeDocument/2006/relationships/hyperlink" Target="https://doi.org/10.1016/j.actaastro.2024.07.001" TargetMode="External"/><Relationship Id="rId155" Type="http://schemas.openxmlformats.org/officeDocument/2006/relationships/hyperlink" Target="https://doi.org/10.1016/j.actaastro.2024.07.052" TargetMode="External"/><Relationship Id="rId180" Type="http://schemas.openxmlformats.org/officeDocument/2006/relationships/hyperlink" Target="https://doi.org/10.1016/j.actaastro.2024.09.058" TargetMode="External"/><Relationship Id="rId184" Type="http://schemas.openxmlformats.org/officeDocument/2006/relationships/hyperlink" Target="https://doi.org/10.1016/j.actaastro.2025.07.007" TargetMode="External"/><Relationship Id="rId165" Type="http://schemas.openxmlformats.org/officeDocument/2006/relationships/hyperlink" Target="https://doi.org/10.1016/j.actaastro.2025.07.027" TargetMode="External"/><Relationship Id="rId182" Type="http://schemas.openxmlformats.org/officeDocument/2006/relationships/hyperlink" Target="https://doi.org/10.1016/j.actaastro.2025.09.031" TargetMode="External"/><Relationship Id="rId132" Type="http://schemas.openxmlformats.org/officeDocument/2006/relationships/hyperlink" Target="https://doi.org/10.1016/j.actaastro.2025.10.018" TargetMode="External"/><Relationship Id="rId134" Type="http://schemas.openxmlformats.org/officeDocument/2006/relationships/hyperlink" Target="https://doi.org/10.1016/j.actaastro.2025.10.068" TargetMode="External"/><Relationship Id="rId128" Type="http://schemas.openxmlformats.org/officeDocument/2006/relationships/hyperlink" Target="https://doi.org/10.64861/CEPU7718" TargetMode="External"/><Relationship Id="rId139" Type="http://schemas.openxmlformats.org/officeDocument/2006/relationships/hyperlink" Target="https://doi.org/10.64861/HKAM1019" TargetMode="External"/><Relationship Id="rId172" Type="http://schemas.openxmlformats.org/officeDocument/2006/relationships/hyperlink" Target="https://doi.org/10.64861/HWZS9386" TargetMode="External"/><Relationship Id="rId175" Type="http://schemas.openxmlformats.org/officeDocument/2006/relationships/hyperlink" Target="https://doi.org/10.64861/LWLF6390" TargetMode="External"/><Relationship Id="rId167" Type="http://schemas.openxmlformats.org/officeDocument/2006/relationships/hyperlink" Target="https://doi.org/10.64861/OWDT6586" TargetMode="External"/><Relationship Id="rId170" Type="http://schemas.openxmlformats.org/officeDocument/2006/relationships/hyperlink" Target="https://doi.org/10.64861/PFBR4795" TargetMode="External"/><Relationship Id="rId161" Type="http://schemas.openxmlformats.org/officeDocument/2006/relationships/hyperlink" Target="https://doi.org/10.64861/PHHA7076" TargetMode="External"/><Relationship Id="rId163" Type="http://schemas.openxmlformats.org/officeDocument/2006/relationships/hyperlink" Target="https://doi.org/10.64861/XMQA2396" TargetMode="External"/><Relationship Id="rId159" Type="http://schemas.openxmlformats.org/officeDocument/2006/relationships/hyperlink" Target="https://doi.org/10.64861/YOWY2953" TargetMode="External"/></Relationships>
</file>

<file path=word/_rels/footnotes.xml.rels><?xml version='1.0' encoding='UTF-8' standalone='yes'?>
<Relationships xmlns="http://schemas.openxmlformats.org/package/2006/relationships"><Relationship Id="rId145" Type="http://schemas.openxmlformats.org/officeDocument/2006/relationships/hyperlink" Target="https://doi.org/10.1016/j.actaastro.2021.07.046" TargetMode="External"/><Relationship Id="rId157" Type="http://schemas.openxmlformats.org/officeDocument/2006/relationships/hyperlink" Target="https://doi.org/10.1016/j.actaastro.2022.01.027" TargetMode="External"/><Relationship Id="rId153" Type="http://schemas.openxmlformats.org/officeDocument/2006/relationships/hyperlink" Target="https://doi.org/10.1016/j.actaastro.2022.07.013" TargetMode="External"/><Relationship Id="rId143" Type="http://schemas.openxmlformats.org/officeDocument/2006/relationships/hyperlink" Target="https://doi.org/10.1016/j.actaastro.2023.06.004" TargetMode="External"/><Relationship Id="rId137" Type="http://schemas.openxmlformats.org/officeDocument/2006/relationships/hyperlink" Target="https://doi.org/10.1016/j.actaastro.2024.02.039" TargetMode="External"/><Relationship Id="rId186" Type="http://schemas.openxmlformats.org/officeDocument/2006/relationships/hyperlink" Target="https://doi.org/10.1016/j.actaastro.2024.07.001" TargetMode="External"/><Relationship Id="rId155" Type="http://schemas.openxmlformats.org/officeDocument/2006/relationships/hyperlink" Target="https://doi.org/10.1016/j.actaastro.2024.07.052" TargetMode="External"/><Relationship Id="rId180" Type="http://schemas.openxmlformats.org/officeDocument/2006/relationships/hyperlink" Target="https://doi.org/10.1016/j.actaastro.2024.09.058" TargetMode="External"/><Relationship Id="rId184" Type="http://schemas.openxmlformats.org/officeDocument/2006/relationships/hyperlink" Target="https://doi.org/10.1016/j.actaastro.2025.07.007" TargetMode="External"/><Relationship Id="rId165" Type="http://schemas.openxmlformats.org/officeDocument/2006/relationships/hyperlink" Target="https://doi.org/10.1016/j.actaastro.2025.07.027" TargetMode="External"/><Relationship Id="rId182" Type="http://schemas.openxmlformats.org/officeDocument/2006/relationships/hyperlink" Target="https://doi.org/10.1016/j.actaastro.2025.09.031" TargetMode="External"/><Relationship Id="rId132" Type="http://schemas.openxmlformats.org/officeDocument/2006/relationships/hyperlink" Target="https://doi.org/10.1016/j.actaastro.2025.10.018" TargetMode="External"/><Relationship Id="rId134" Type="http://schemas.openxmlformats.org/officeDocument/2006/relationships/hyperlink" Target="https://doi.org/10.1016/j.actaastro.2025.10.068" TargetMode="External"/><Relationship Id="rId128" Type="http://schemas.openxmlformats.org/officeDocument/2006/relationships/hyperlink" Target="https://doi.org/10.64861/CEPU7718" TargetMode="External"/><Relationship Id="rId139" Type="http://schemas.openxmlformats.org/officeDocument/2006/relationships/hyperlink" Target="https://doi.org/10.64861/HKAM1019" TargetMode="External"/><Relationship Id="rId172" Type="http://schemas.openxmlformats.org/officeDocument/2006/relationships/hyperlink" Target="https://doi.org/10.64861/HWZS9386" TargetMode="External"/><Relationship Id="rId175" Type="http://schemas.openxmlformats.org/officeDocument/2006/relationships/hyperlink" Target="https://doi.org/10.64861/LWLF6390" TargetMode="External"/><Relationship Id="rId167" Type="http://schemas.openxmlformats.org/officeDocument/2006/relationships/hyperlink" Target="https://doi.org/10.64861/OWDT6586" TargetMode="External"/><Relationship Id="rId170" Type="http://schemas.openxmlformats.org/officeDocument/2006/relationships/hyperlink" Target="https://doi.org/10.64861/PFBR4795" TargetMode="External"/><Relationship Id="rId161" Type="http://schemas.openxmlformats.org/officeDocument/2006/relationships/hyperlink" Target="https://doi.org/10.64861/PHHA7076" TargetMode="External"/><Relationship Id="rId163" Type="http://schemas.openxmlformats.org/officeDocument/2006/relationships/hyperlink" Target="https://doi.org/10.64861/XMQA2396" TargetMode="External"/><Relationship Id="rId159" Type="http://schemas.openxmlformats.org/officeDocument/2006/relationships/hyperlink" Target="https://doi.org/10.64861/YOWY29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an Agentic Decision System Be Audited? A Reproducibility and Decision-Trace Study</dc:title>
  <dc:creator>Samir Ortiz (1B-ITI-126)</dc:creator>
  <cp:keywords/>
  <dcterms:created xsi:type="dcterms:W3CDTF">2026-07-03T22:53:51Z</dcterms:created>
  <dcterms:modified xsi:type="dcterms:W3CDTF">2026-07-03T22:53:51Z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