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SUPPLY-CHAIN PROVENANCE OF SPACE SOFTWARE: MAPPING THE HIDDEN DEPENDENCY TREE AND ESTIMATING ITS COMPROMISE SURFACE</w:t>
      </w:r>
    </w:p>
    <w:p>
      <w:pPr>
        <w:jc w:val="center"/>
      </w:pPr>
    </w:p>
    <w:p>
      <w:pPr>
        <w:jc w:val="center"/>
      </w:pPr>
      <w:r>
        <w:rPr>
          <w:rFonts w:ascii="Times New Roman" w:hAnsi="Times New Roman"/>
          <w:sz w:val="24"/>
        </w:rPr>
        <w:t>by</w:t>
      </w:r>
    </w:p>
    <w:p>
      <w:pPr>
        <w:jc w:val="center"/>
      </w:pPr>
      <w:r>
        <w:rPr>
          <w:rFonts w:ascii="Times New Roman" w:hAnsi="Times New Roman"/>
          <w:b/>
          <w:sz w:val="28"/>
        </w:rPr>
        <w:t>Leila Dubois</w:t>
      </w:r>
    </w:p>
    <w:p>
      <w:pPr>
        <w:jc w:val="center"/>
      </w:pPr>
      <w:r>
        <w:rPr>
          <w:rFonts w:ascii="Times New Roman" w:hAnsi="Times New Roman"/>
          <w:sz w:val="24"/>
        </w:rPr>
        <w:t>1B-ITI-132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Gone are the days when a civil space mission ran on hand-built code that no outside party had ever touched. Today’s missions are assembled, not written from scratch: they pull third-party packages down from public registries, they clone community git histories, and they swallow whole chains of downstream dependencies that nobody at the integrating shop ever picked or vetted. Look at what actually ships. NASA’s core Flight System (cFS) arrives with a submodule tree that, at build time, resolves dozens of applications and libraries maintained by strangers. OpenC3 COSMOS, born as Ball Aerospace COSMOS and now a ground tool of the Ruby-on-Rails family, carries a Gemfile that drags a Rails-sized chain of downstream packages behind it. Yamcs, the mission control framework the European Space Agency backs, is Java code whose pom.xml unspools a Maven tree. Basilisk, poliastro, and the wider scientific Python layer beneath them both (Astropy, SciPy, NumPy) swallow the full Python Package Index graph with every cut release</w:t>
      </w:r>
      <w:r>
        <w:t xml:space="preserve"> </w:t>
      </w:r>
      <w:hyperlink w:anchor="ref-10">
        <w:r>
          <w:rPr>
            <w:rStyle w:val="Hyperlink"/>
          </w:rPr>
          <w:t xml:space="preserve">[10]</w:t>
        </w:r>
      </w:hyperlink>
      <w:r>
        <w:t xml:space="preserve">[11]. Any of those import edges, along with whatever those edges quietly drag in behind them, can serve as an entry point for the attack family that federal cybersecurity reporting has come to label software supply-chain compromise</w:t>
      </w:r>
      <w:r>
        <w:t xml:space="preserve"> </w:t>
      </w:r>
      <w:hyperlink w:anchor="ref-16">
        <w:r>
          <w:rPr>
            <w:rStyle w:val="Hyperlink"/>
          </w:rPr>
          <w:t xml:space="preserve">[16]</w:t>
        </w:r>
      </w:hyperlink>
      <w:r>
        <w:t xml:space="preserve">.</w:t>
      </w:r>
    </w:p>
    <w:p>
      <w:pPr>
        <w:pStyle w:val="BodyText"/>
        <w:spacing w:line="480" w:lineRule="auto"/>
        <w:ind w:firstLine="720"/>
      </w:pPr>
      <w:r>
        <w:t xml:space="preserve">A single tight question animates this dissertation. Take the dependency closure of mission software that actually flies and lives in the open, and set it beside the dependency closure of the ordinary scientific software ecosystem around it: can the two be told apart, empirically, once you measure per line of code? Deliberately tight. What hangs on the answer, for NASA, for the Jet Propulsion Laboratory (JPL), and for the wider civil-space industrial base, needs no grand theoretical apparatus to read.</w:t>
      </w:r>
    </w:p>
    <w:p>
      <w:pPr>
        <w:pStyle w:val="BodyText"/>
        <w:spacing w:line="480" w:lineRule="auto"/>
        <w:ind w:firstLine="720"/>
      </w:pPr>
      <w:r>
        <w:t xml:space="preserve">Say the measurement comes back showing that mission code carries a visibly leaner per-line downstream footprint than comparable science code of similar size. Then the old mission-assurance habit of picturing space software as a hand-picked, low-branching world holds up under evidence. Software Bill of Materials (SBOM) obligations can stop at the manifest a project declares outright, tight change-control practice earns credit as a genuine security control, and the added price of registry-wide provenance tooling can be judged against a documented floor of hand-picked exposure.</w:t>
      </w:r>
    </w:p>
    <w:p>
      <w:pPr>
        <w:pStyle w:val="BodyText"/>
        <w:spacing w:line="480" w:lineRule="auto"/>
        <w:ind w:firstLine="720"/>
      </w:pPr>
      <w:r>
        <w:t xml:space="preserve">Say instead the measurement comes back flat, or worse: the per-line footprint of mission code looks no different from, or heavier than, the science ecosystem beside it once you hold size fixed. Then the hand-picked-world picture collapses under evidence. Mission assurance now has to shoulder the same registry-wide provenance load the wider open-source world has started shouldering under federal direction</w:t>
      </w:r>
      <w:r>
        <w:t xml:space="preserve"> </w:t>
      </w:r>
      <w:hyperlink w:anchor="ref-16">
        <w:r>
          <w:rPr>
            <w:rStyle w:val="Hyperlink"/>
          </w:rPr>
          <w:t xml:space="preserve">[16]</w:t>
        </w:r>
      </w:hyperlink>
      <w:r>
        <w:t xml:space="preserve">, and the danger moves off the manifest the integrating shop chose and onto the downstream ring it was never able to watch.</w:t>
      </w:r>
    </w:p>
    <w:p>
      <w:pPr>
        <w:pStyle w:val="BodyText"/>
        <w:spacing w:line="480" w:lineRule="auto"/>
        <w:ind w:firstLine="720"/>
      </w:pPr>
      <w:r>
        <w:t xml:space="preserve">For NASA and JPL none of this is theoretical. NASA has pushed cFS hard as a reuse asset from mission to mission</w:t>
      </w:r>
      <w:r>
        <w:t xml:space="preserve"> </w:t>
      </w:r>
      <w:hyperlink w:anchor="ref-10">
        <w:r>
          <w:rPr>
            <w:rStyle w:val="Hyperlink"/>
          </w:rPr>
          <w:t xml:space="preserve">[10]</w:t>
        </w:r>
      </w:hyperlink>
      <w:r>
        <w:t xml:space="preserve">. Yamcs flies operationally across European, and lately American, mission control setups.</w:t>
      </w:r>
    </w:p>
    <w:p>
      <w:pPr>
        <w:pStyle w:val="BodyText"/>
        <w:spacing w:line="480" w:lineRule="auto"/>
        <w:ind w:firstLine="720"/>
      </w:pPr>
      <w:r>
        <w:t xml:space="preserve">In the small-satellite operator world, no open ground-segment tool is planted more widely than COSMOS. Basilisk serves as the open analytic spine for a swelling crowd of university and commercial astrodynamics shops, a fair number of which pipe their analytic products straight into civil-space mission planning. Across the current JPL recompete, software supply-chain assurance has climbed from a line in a procurement clause to a posture question at the portfolio level, since whoever wins the JPL Federally Funded Research and Development Center role takes on the substrate underneath a sizeable slice of NASA science software. So a defensible empirical floor for the dependency closure of that substrate is no idle academic exercise. It is an input a live institutional decision is currently missing.</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Two bodies of scholarship talk past each other, and the puzzle this dissertation takes on lives precisely where they miss. One body is the space domain writing, by which I mean the conference and journal record the civil-space world leans on as the last word on how these systems are built and how they break. Where the worry is an intruder in a ground station, a spoofed command uplink, or corrupted sensor telemetry, the AMOS proceedings on space cybersecurity have worked the ground over well</w:t>
      </w:r>
      <w:r>
        <w:t xml:space="preserve"> </w:t>
      </w:r>
      <w:hyperlink w:anchor="ref-1">
        <w:r>
          <w:rPr>
            <w:rStyle w:val="Hyperlink"/>
          </w:rPr>
          <w:t xml:space="preserve">[1]</w:t>
        </w:r>
      </w:hyperlink>
      <w:r>
        <w:t xml:space="preserve">[2][7][24]. Newer AMOS papers have started pressing on the structural soundness of Space Domain Awareness pipelines, folding in scattered sensor tasking</w:t>
      </w:r>
      <w:r>
        <w:t xml:space="preserve"> </w:t>
      </w:r>
      <w:hyperlink w:anchor="ref-19">
        <w:r>
          <w:rPr>
            <w:rStyle w:val="Hyperlink"/>
          </w:rPr>
          <w:t xml:space="preserve">[19]</w:t>
        </w:r>
      </w:hyperlink>
      <w:r>
        <w:t xml:space="preserve">[22], battle-management schemes hardened with blockchain</w:t>
      </w:r>
      <w:r>
        <w:t xml:space="preserve"> </w:t>
      </w:r>
      <w:hyperlink w:anchor="ref-20">
        <w:r>
          <w:rPr>
            <w:rStyle w:val="Hyperlink"/>
          </w:rPr>
          <w:t xml:space="preserve">[20]</w:t>
        </w:r>
      </w:hyperlink>
      <w:r>
        <w:t xml:space="preserve">, and shared protect-and-defend scoring frameworks</w:t>
      </w:r>
      <w:r>
        <w:t xml:space="preserve"> </w:t>
      </w:r>
      <w:hyperlink w:anchor="ref-25">
        <w:r>
          <w:rPr>
            <w:rStyle w:val="Hyperlink"/>
          </w:rPr>
          <w:t xml:space="preserve">[25]</w:t>
        </w:r>
      </w:hyperlink>
      <w:r>
        <w:t xml:space="preserve">. Not one of them goes down to where the software running those stations actually came from, package by package. Over in Acta Astronautica the picture is different: flight code and cubesat avionics get treated as one indivisible lump whose danger is measured chiefly by how much testing it took to sign off, with side glances at narrow functional puzzles, fusing a Kalman filter with a neural net to estimate a satellite’s attitude</w:t>
      </w:r>
      <w:r>
        <w:t xml:space="preserve"> </w:t>
      </w:r>
      <w:hyperlink w:anchor="ref-31">
        <w:r>
          <w:rPr>
            <w:rStyle w:val="Hyperlink"/>
          </w:rPr>
          <w:t xml:space="preserve">[31]</w:t>
        </w:r>
      </w:hyperlink>
      <w:r>
        <w:t xml:space="preserve">, drawing pictures of reinforcement-learning control surfaces</w:t>
      </w:r>
      <w:r>
        <w:t xml:space="preserve"> </w:t>
      </w:r>
      <w:hyperlink w:anchor="ref-32">
        <w:r>
          <w:rPr>
            <w:rStyle w:val="Hyperlink"/>
          </w:rPr>
          <w:t xml:space="preserve">[32]</w:t>
        </w:r>
      </w:hyperlink>
      <w:r>
        <w:t xml:space="preserve">, teaching a supervised learner to keep an orbit trimmed on its own</w:t>
      </w:r>
      <w:r>
        <w:t xml:space="preserve"> </w:t>
      </w:r>
      <w:hyperlink w:anchor="ref-33">
        <w:r>
          <w:rPr>
            <w:rStyle w:val="Hyperlink"/>
          </w:rPr>
          <w:t xml:space="preserve">[33]</w:t>
        </w:r>
      </w:hyperlink>
      <w:r>
        <w:t xml:space="preserve">, and stitching together close-proximity imagery</w:t>
      </w:r>
      <w:r>
        <w:t xml:space="preserve"> </w:t>
      </w:r>
      <w:hyperlink w:anchor="ref-8">
        <w:r>
          <w:rPr>
            <w:rStyle w:val="Hyperlink"/>
          </w:rPr>
          <w:t xml:space="preserve">[8]</w:t>
        </w:r>
      </w:hyperlink>
      <w:r>
        <w:t xml:space="preserve">. The space-economy and industrial-base strand, for all that it has cast software dependency as a sourcing problem borrowed from how you buy parts</w:t>
      </w:r>
      <w:r>
        <w:t xml:space="preserve"> </w:t>
      </w:r>
      <w:hyperlink w:anchor="ref-3">
        <w:r>
          <w:rPr>
            <w:rStyle w:val="Hyperlink"/>
          </w:rPr>
          <w:t xml:space="preserve">[3]</w:t>
        </w:r>
      </w:hyperlink>
      <w:r>
        <w:t xml:space="preserve">[4][9][26][27][28][30], and clocked additive manufacturing as the same shift playing out in physical hardware</w:t>
      </w:r>
      <w:r>
        <w:t xml:space="preserve"> </w:t>
      </w:r>
      <w:hyperlink w:anchor="ref-29">
        <w:r>
          <w:rPr>
            <w:rStyle w:val="Hyperlink"/>
          </w:rPr>
          <w:t xml:space="preserve">[29]</w:t>
        </w:r>
      </w:hyperlink>
      <w:r>
        <w:t xml:space="preserve">, never gets past talking about the dependency graph to actually counting it. Right across this domain writing, the dependency closure of mission software is either ruled off-topic or waved through as background nobody supposedly has to measure.</w:t>
      </w:r>
    </w:p>
    <w:p>
      <w:pPr>
        <w:pStyle w:val="BodyText"/>
        <w:spacing w:line="480" w:lineRule="auto"/>
        <w:ind w:firstLine="720"/>
      </w:pPr>
      <w:r>
        <w:t xml:space="preserve">Facing it is a second body one could call the econometric method writing: the toolkit of quantitative technique the wider software-engineering and cybersecurity crowd has built up to pin down open-source supply chains.</w:t>
      </w:r>
    </w:p>
    <w:p>
      <w:pPr>
        <w:pStyle w:val="BodyText"/>
        <w:spacing w:line="480" w:lineRule="auto"/>
        <w:ind w:firstLine="720"/>
      </w:pPr>
      <w:r>
        <w:t xml:space="preserve">To estimate how long something takes to happen when some cases never do, the Cox proportional-hazards model is the workhorse</w:t>
      </w:r>
      <w:r>
        <w:t xml:space="preserve"> </w:t>
      </w:r>
      <w:hyperlink w:anchor="ref-12">
        <w:r>
          <w:rPr>
            <w:rStyle w:val="Hyperlink"/>
          </w:rPr>
          <w:t xml:space="preserve">[12]</w:t>
        </w:r>
      </w:hyperlink>
      <w:r>
        <w:t xml:space="preserve">[13][17]. To read the conditional tie between some flag you care about and a continuous outcome, having netted out size and selectivity, ordinary least squares with heteroskedasticity-consistent standard errors is the default. When a count spreads wider than its own average would predict, negative binomial regression with an offset is the default. Events for first-disclosure work come out of the National Vulnerability Database</w:t>
      </w:r>
      <w:r>
        <w:t xml:space="preserve"> </w:t>
      </w:r>
      <w:hyperlink w:anchor="ref-14">
        <w:r>
          <w:rPr>
            <w:rStyle w:val="Hyperlink"/>
          </w:rPr>
          <w:t xml:space="preserve">[14]</w:t>
        </w:r>
      </w:hyperlink>
      <w:r>
        <w:t xml:space="preserve">, and popularity-weighted hazard estimation borrows its exposure stand-in from the Python Package Index download log</w:t>
      </w:r>
      <w:r>
        <w:t xml:space="preserve"> </w:t>
      </w:r>
      <w:hyperlink w:anchor="ref-15">
        <w:r>
          <w:rPr>
            <w:rStyle w:val="Hyperlink"/>
          </w:rPr>
          <w:t xml:space="preserve">[15]</w:t>
        </w:r>
      </w:hyperlink>
      <w:r>
        <w:t xml:space="preserve">. None of that machinery has yet been turned on the space mission-software world at the scale, or with the locked-in-advance identification design, a policy claim would demand.</w:t>
      </w:r>
    </w:p>
    <w:p>
      <w:pPr>
        <w:pStyle w:val="BodyText"/>
        <w:spacing w:line="480" w:lineRule="auto"/>
        <w:ind w:firstLine="720"/>
      </w:pPr>
      <w:r>
        <w:t xml:space="preserve">The gap, then, is not one of ideas. It is a measurement gap, and one of a sharply defined and workable kind. In words, the domain writing points at the problem. The method writing hands over the instruments. Nobody has published the two together. What this dissertation does is bolt them together: it takes the dependency closure of a named set of openly hosted mission repositories as the thing to measure, runs the standard econometric instruments across it, and locks in a single falsifiable wager on what comes out.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A single locked-in, falsifiable wager threads the entire dissertation. It puts to the test one conditional claim: that once you correct for how big the codebase is and for how choosy the project was in what it declared outright, operational open mission software carries a strictly slimmer per-line downstream footprint than the general-purpose science software it is matched against. Everything narrows to one directional bet on one number.</w:t>
      </w:r>
    </w:p>
    <w:p>
      <w:pPr>
        <w:pStyle w:val="BodyText"/>
        <w:spacing w:line="480" w:lineRule="auto"/>
        <w:ind w:firstLine="720"/>
      </w:pPr>
      <w:r>
        <w:t xml:space="preserve">H0. After conditioning on codebase size in source lines per thousand and on the directly declared dependency count, the coefficient on the mission-software indicator in a per-kSLOC transitive dependency regression is zero.</w:t>
      </w:r>
    </w:p>
    <w:p>
      <w:pPr>
        <w:pStyle w:val="BodyText"/>
        <w:spacing w:line="480" w:lineRule="auto"/>
        <w:ind w:firstLine="720"/>
      </w:pPr>
      <w:r>
        <w:t xml:space="preserve">H1. Under the same conditioning, the coefficient on the mission-software indicator is strictly negative.</w:t>
      </w:r>
    </w:p>
    <w:p>
      <w:pPr>
        <w:pStyle w:val="BodyText"/>
        <w:spacing w:line="480" w:lineRule="auto"/>
        <w:ind w:firstLine="720"/>
      </w:pPr>
      <w:r>
        <w:t xml:space="preserve">Knock down H0 toward H1 and the hand-picked-stack reading of mission software earns evidence behind it. NASA and JPL would then hold a defensible grip for pinning SBOM coverage to the manifest a project declares outright, and the registry-wide provenance load mission assurance shops have to carry would be fenced in. Leave H0 standing, or push it away from H1’s direction, and the story inverts: openly hosted mission software takes on the same per-line exposure shape as the science ecosystem beside it, and mission-assurance policy turns into a registry-wide problem instead of a manifest-wide one.</w:t>
      </w:r>
    </w:p>
    <w:p>
      <w:pPr>
        <w:pStyle w:val="BodyText"/>
        <w:spacing w:line="480" w:lineRule="auto"/>
        <w:ind w:firstLine="720"/>
      </w:pPr>
      <w:r>
        <w:t xml:space="preserve">Two earlier papers lay the analytic footing under the chapter-length test. First came an ordinary least squares fit on a batch of thirty-two repository-releases pulled from cFS, OpenC3 COSMOS, Yamcs, Basilisk, poliastro, Astropy, SciPy, and NumPy; it hands back a mission-software coefficient of negative 0.2097 at a p-value of 0.566, a codebase-size coefficient of negative 0.0013 at a p-value of 0.0163, and a direct-dependency coefficient of 0.0104 at a p-value of 0.1092, sitting on an R-squared of 0.327 and a joint F of 17.22. Its point estimate leans the way H1 says it should, yet it falls short of the usual significance bar in so slim a first cut. Then came a Cox proportional-hazards fit on thirty-two open-source packages drawn from that same downstream closure; it hands back a direct-in-mission coefficient of 1.1276 with a hazard ratio of 3.088 at a p-value of 0.2194, a log-downloads coefficient of 0.1786 with a hazard ratio of 1.196, and a mission stack depth coefficient of negative 0.1258 with a hazard ratio that fits a depth-driven censoring story. Each coefficient leans the way the theory beneath it says it should. None clears the usual significance bar at thirty-two observations and twenty-one events.</w:t>
      </w:r>
    </w:p>
    <w:p>
      <w:pPr>
        <w:pStyle w:val="BodyText"/>
        <w:spacing w:line="480" w:lineRule="auto"/>
        <w:ind w:firstLine="720"/>
      </w:pPr>
      <w:r>
        <w:t xml:space="preserve">So the doctoral payoff is not the headline number from those two earlier papers read on their own. It is the conditional result that surfaces once the OLS test is rerun on the larger batch the chapter-length analysis pulls together, once the matched comparison is evened out across primary language, and once a negative binomial robustness fit carrying language fixed effects is bolted on as a second test. Falsifiable in the hard Popperian sense, the payoff rides one coefficient, one direction, conditioned on a short and openly stated covariate set. Hand back a mission-software coefficient whose interval straddles zero, or whose point estimate leans the wrong way, and the payoff dies. Hand back a strictly negative one whose interval clears zero at the usual one-sided five percent bar, and the payoff lands and the hand-picked-stack reading stands.</w:t>
      </w:r>
    </w:p>
    <w:p>
      <w:pPr>
        <w:pStyle w:val="BodyText"/>
        <w:spacing w:line="480" w:lineRule="auto"/>
        <w:ind w:firstLine="720"/>
      </w:pPr>
      <w:r>
        <w:t xml:space="preserve">Three more fences hold the claim in throughout. It stops, for one, at openly hosted mission software. What the dependency closure of closed flight code written for cost-plus work looks like cannot be seen, so the claim never reaches it; any reach beyond stays a matter of discussion. It stops, for another, at the registries the open population actually pulls from, PyPI, RubyGems, Maven Central, and submodule-resolved GitHub. Whatever internal mirrors or proprietary registries do inside certain primes stays off the observable record. And it stops at the snapshot dates the historical resolver was run against, since package metadata can be rewritten after the fact through yanks and renames; the snapshot date is put on the record and the robustness fit fences in how much it could sway things.</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rest of the dissertation is organized as follows.</w:t>
      </w:r>
    </w:p>
    <w:p>
      <w:pPr>
        <w:pStyle w:val="BodyText"/>
        <w:spacing w:line="480" w:lineRule="auto"/>
        <w:ind w:firstLine="720"/>
      </w:pPr>
      <w:r>
        <w:t xml:space="preserve">Chapter 2 reviews the literature in three layers. It surveys the AMOS conference record on space cybersecurity and SDA architectural integrity, the Acta Astronautica record on flight and ground software, and the space-economy literature on the space industrial base</w:t>
      </w:r>
      <w:r>
        <w:t xml:space="preserve"> </w:t>
      </w:r>
      <w:hyperlink w:anchor="ref-1">
        <w:r>
          <w:rPr>
            <w:rStyle w:val="Hyperlink"/>
          </w:rPr>
          <w:t xml:space="preserve">[1]</w:t>
        </w:r>
      </w:hyperlink>
      <w:r>
        <w:t xml:space="preserve">[2][3][4][7][8][19][20][22][24][25][26][27][28][29][30][31][32][33], then turns to the econometric method record on survival analysis and overdispersed count regression</w:t>
      </w:r>
      <w:r>
        <w:t xml:space="preserve"> </w:t>
      </w:r>
      <w:hyperlink w:anchor="ref-12">
        <w:r>
          <w:rPr>
            <w:rStyle w:val="Hyperlink"/>
          </w:rPr>
          <w:t xml:space="preserve">[12]</w:t>
        </w:r>
      </w:hyperlink>
      <w:r>
        <w:t xml:space="preserve">[13][14][15][17], and closes by locating the measurement gap that this dissertation closes.</w:t>
      </w:r>
    </w:p>
    <w:p>
      <w:pPr>
        <w:pStyle w:val="BodyText"/>
        <w:spacing w:line="480" w:lineRule="auto"/>
        <w:ind w:firstLine="720"/>
      </w:pPr>
      <w:r>
        <w:t xml:space="preserve">Chapter 3 develops the conceptual model that connects the curation and inheritance views to the testable coefficient on the mission-software indicator. It states the structural assumptions under which the conditional OLS coefficient identifies the curation effect, and it states the assumptions under which the Cox proportional-hazards coefficient on the direct-in-mission indicator identifies the attention-driven hazard differential.</w:t>
      </w:r>
    </w:p>
    <w:p>
      <w:pPr>
        <w:pStyle w:val="BodyText"/>
        <w:spacing w:line="480" w:lineRule="auto"/>
        <w:ind w:firstLine="720"/>
      </w:pPr>
      <w:r>
        <w:t xml:space="preserve">Chapter 4 describes the data. It defines the unit of analysis as the repository-release, names the mission-software population (cFS, OpenC3 COSMOS, Yamcs, Basilisk, poliastro), names the matched scientific-software population (Astropy, SciPy, NumPy, plus the JOSS-indexed scientific software registry restricted to matched language and kSLOC bands), and documents the provenance of every variable in the panel against the GitHub Releases API and the relevant registry JSON endpoints</w:t>
      </w:r>
      <w:r>
        <w:t xml:space="preserve"> </w:t>
      </w:r>
      <w:hyperlink w:anchor="ref-10">
        <w:r>
          <w:rPr>
            <w:rStyle w:val="Hyperlink"/>
          </w:rPr>
          <w:t xml:space="preserve">[10]</w:t>
        </w:r>
      </w:hyperlink>
      <w:r>
        <w:t xml:space="preserve">[11][14][15]. Internal MITRE materials and sponsor-internal records are explicitly excluded from the citable record in accordance with the COLLEGIUM data-provenance gate.</w:t>
      </w:r>
    </w:p>
    <w:p>
      <w:pPr>
        <w:pStyle w:val="BodyText"/>
        <w:spacing w:line="480" w:lineRule="auto"/>
        <w:ind w:firstLine="720"/>
      </w:pPr>
      <w:r>
        <w:t xml:space="preserve">Chapter 5 develops the empirical method. It states the OLS specification with heteroskedasticity-consistent standard errors that delivers the primary test, the matched-pairs design that gives the test its identification, and the negative-binomial robustness specification with language fixed effects that addresses the language confounding documented in the first prior paper. It states the Cox proportional-hazards specification that delivers the secondary test and identifies the attention-driven hazard differential through the direct-in-mission indicator under right-censoring at the National Vulnerability Database query cutoff.</w:t>
      </w:r>
    </w:p>
    <w:p>
      <w:pPr>
        <w:pStyle w:val="BodyText"/>
        <w:spacing w:line="480" w:lineRule="auto"/>
        <w:ind w:firstLine="720"/>
      </w:pPr>
      <w:r>
        <w:t xml:space="preserve">Chapter 6 presents the primary findings. It reports the expanded-sample OLS coefficient on the mission-software indicator with its confidence interval, the negative-binomial robustness coefficient with its language fixed effects, and the matched-pairs sensitivity. It locates the result against the small-sample point estimates reported in the two prior papers.</w:t>
      </w:r>
    </w:p>
    <w:p>
      <w:pPr>
        <w:pStyle w:val="BodyText"/>
        <w:spacing w:line="480" w:lineRule="auto"/>
        <w:ind w:firstLine="720"/>
      </w:pPr>
      <w:r>
        <w:t xml:space="preserve">Chapter 7 presents the secondary findings. It reports the expanded-sample Cox proportional-hazards coefficients and hazard ratios, locates them against the small-sample point estimates of the prior paper, and addresses the censoring story that depth-driven absence-of-observation imposes on the deep transitive ring.</w:t>
      </w:r>
    </w:p>
    <w:p>
      <w:pPr>
        <w:pStyle w:val="BodyText"/>
        <w:spacing w:line="480" w:lineRule="auto"/>
        <w:ind w:firstLine="720"/>
      </w:pPr>
      <w:r>
        <w:t xml:space="preserve">Chapter 8 discusses the implications for NASA and JPL mission assurance policy. It distinguishes the policy reading of a rejection of H0 in the direction of H1 from the policy reading of a failure to reject, addresses the within-mission heterogeneity that the first prior paper documented across cFS, COSMOS, Yamcs, Basilisk, and poliastro, and develops the project-registry pair as the actionable unit of policy rather than the population label.</w:t>
      </w:r>
    </w:p>
    <w:p>
      <w:pPr>
        <w:pStyle w:val="BodyText"/>
        <w:spacing w:line="480" w:lineRule="auto"/>
        <w:ind w:firstLine="720"/>
      </w:pPr>
      <w:r>
        <w:t xml:space="preserve">Chapter 9 addresses threats to validity in detail. It treats manifest under-declaration through inline vendoring, selection on observability across the open mission-software population, registry drift between release date and resolution date, and the language confounding between C-class and Python-class mission projects. Each threat is paired with the robustness analysis that bounds it.</w:t>
      </w:r>
    </w:p>
    <w:p>
      <w:pPr>
        <w:pStyle w:val="BodyText"/>
        <w:spacing w:line="480" w:lineRule="auto"/>
        <w:ind w:firstLine="720"/>
      </w:pPr>
      <w:r>
        <w:t xml:space="preserve">Chapter 10 concludes. It restates the single falsifiable contribution, summarizes the empirical evidence for or against it, identifies the boundary conditions of the claim, and lays out the further work that an expanded population of openly hosted mission software and an enriched event source beyond the National Vulnerability Database would enable.</w:t>
      </w:r>
    </w:p>
    <w:p>
      <w:pPr>
        <w:pStyle w:val="BodyText"/>
        <w:spacing w:line="480" w:lineRule="auto"/>
        <w:ind w:firstLine="720"/>
      </w:pPr>
      <w:r>
        <w:t xml:space="preserve">What follows is therefore a narrow, identification-first exercise. It proposes no new theory of space cybersecurity. It proposes no new architecture for SBOM tooling. It applies the standard econometric tools of the method literature to the measurement object the domain literature has named without measuring, and it returns one conditional, one-sided, preregistered coefficient on which a live mission-assurance policy question can defensibly turn.</w:t>
      </w:r>
    </w:p>
    <w:bookmarkEnd w:id="64"/>
    <w:bookmarkEnd w:id="65"/>
    <w:bookmarkStart w:id="80"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This chapter lays the empirical and methodological ground on which the dissertation rests. The motivating problem, defined in Chapter 1 and operationalized in the two preceding research papers, sits where two literatures meet, or rather fail to meet, having evolved on parallel tracks.</w:t>
      </w:r>
    </w:p>
    <w:p>
      <w:pPr>
        <w:pStyle w:val="BodyText"/>
        <w:spacing w:line="480" w:lineRule="auto"/>
        <w:ind w:firstLine="720"/>
      </w:pPr>
      <w:r>
        <w:t xml:space="preserve">One is the domain technical literature on space mission software, ground-segment cybersecurity, and the emerging treatment of supply chain provenance in civil space programs. The other is the cliometric and econometric methodology literature on count-data regression, survival analysis, and matched comparative inference. Each is internally mature; each, alone, is insufficient. Rising supply-chain compromise gets documented across the space domain literature without anyone ever reconstructing or measuring the dependency graph on which the compromise operates. The methodology literature offers a battery of well-validated tools for exactly that kind of measurement, yet those tools have not been brought to bear on the dependency closure of mission software at the scale defensible policy claims require. So the gap is neither a gap of theory nor a gap of method. It is a gap of joinder. What follows develops each literature in turn, marks the points at which the two could meet, and states the integrative position the dissertation occupies.</w:t>
      </w:r>
    </w:p>
    <w:p>
      <w:pPr>
        <w:pStyle w:val="BodyText"/>
        <w:spacing w:line="480" w:lineRule="auto"/>
        <w:ind w:firstLine="720"/>
      </w:pPr>
      <w:r>
        <w:t xml:space="preserve">That argument shapes the structure of the review. Section 2.2 surveys the domain technical literature, organized by venue and by the analytic primitive each venue treats as central. Section 2.3 surveys the cliometric and econometric methodology literature, organized by the empirical object each technique was built to handle. Section 2.4 synthesizes the two, names the points of joinder the dissertation will exploit, and states the gap the integrated study is designed to close. Section 2.5 returns to the preregistered hypotheses of the two completed research papers and locates them inside the synthesized literature, so that the reader carries forward a clear map of what is established, what is contested, and what remains to be measured.</w:t>
      </w:r>
    </w:p>
    <w:bookmarkEnd w:id="66"/>
    <w:bookmarkStart w:id="72" w:name="the-domain-technical-literature"/>
    <w:p>
      <w:pPr>
        <w:pStyle w:val="Heading2"/>
        <w:spacing w:line="480" w:lineRule="auto"/>
      </w:pPr>
      <w:r>
        <w:t xml:space="preserve">2.2 The Domain Technical Literature</w:t>
      </w:r>
    </w:p>
    <w:bookmarkStart w:id="67" w:name="X84c5620bb1c61dd0f4cd1c0e6ecd13b3ea54bef"/>
    <w:p>
      <w:pPr>
        <w:pStyle w:val="Heading3"/>
        <w:spacing w:line="480" w:lineRule="auto"/>
      </w:pPr>
      <w:r>
        <w:t xml:space="preserve">2.2.1 The AMOS conference record on space cybersecurity</w:t>
      </w:r>
    </w:p>
    <w:p>
      <w:pPr>
        <w:pStyle w:val="FirstParagraph"/>
        <w:spacing w:line="480" w:lineRule="auto"/>
      </w:pPr>
      <w:r>
        <w:t xml:space="preserve">Over the last decade the Advanced Maui Optical and Space Surveillance Technologies conference has become the principal venue where the space-situational and space-domain-awareness communities discuss cybersecurity at the level of practitioners and program offices. Its annual proceedings collect work on ground-system intrusion detection, command-link authentication, sensor data integrity, and the early phases of what the conference calls trusted stakeholder coordination for sustainable and resilient space operations</w:t>
      </w:r>
      <w:r>
        <w:t xml:space="preserve"> </w:t>
      </w:r>
      <w:hyperlink w:anchor="ref-1">
        <w:r>
          <w:rPr>
            <w:rStyle w:val="Hyperlink"/>
          </w:rPr>
          <w:t xml:space="preserve">[1]</w:t>
        </w:r>
      </w:hyperlink>
      <w:r>
        <w:t xml:space="preserve">[2]. Allington, Peterson and Bowen, in their secure framework for space domain awareness, exemplify the venue’s preferred posture: a framework-level treatment of authentication, authorization, and data sharing across federated SDA participants, anchored in the practical problem of how heterogeneous sensors and analytic services exchange information without exposing each other to compromise</w:t>
      </w:r>
      <w:r>
        <w:t xml:space="preserve"> </w:t>
      </w:r>
      <w:hyperlink w:anchor="ref-7">
        <w:r>
          <w:rPr>
            <w:rStyle w:val="Hyperlink"/>
          </w:rPr>
          <w:t xml:space="preserve">[7]</w:t>
        </w:r>
      </w:hyperlink>
      <w:r>
        <w:t xml:space="preserve">[24]. It is normative rather than measurement-driven. It sets boundary conditions on what trusted coordination should look like rather than measuring the substrate on which any particular implementation rests.</w:t>
      </w:r>
    </w:p>
    <w:p>
      <w:pPr>
        <w:pStyle w:val="BodyText"/>
        <w:spacing w:line="480" w:lineRule="auto"/>
        <w:ind w:firstLine="720"/>
      </w:pPr>
      <w:r>
        <w:t xml:space="preserve">MITRE-led contributions in the same record extend this normative framing toward shared infrastructure. Reed, Tsamis and Dailey, treating space sustainability and traffic management, argue that trusted stakeholder coordination is the load-bearing requirement on which any operational space-traffic-management posture depends, and that lacking it, the data-sharing layer becomes a single point of failure for the broader sustainability problem</w:t>
      </w:r>
      <w:r>
        <w:t xml:space="preserve"> </w:t>
      </w:r>
      <w:hyperlink w:anchor="ref-18">
        <w:r>
          <w:rPr>
            <w:rStyle w:val="Hyperlink"/>
          </w:rPr>
          <w:t xml:space="preserve">[18]</w:t>
        </w:r>
      </w:hyperlink>
      <w:r>
        <w:t xml:space="preserve">. Reed, Dailey, Stilwell and Weeden carry the same argument toward a federated architecture in which no participant must trust a single central broker</w:t>
      </w:r>
      <w:r>
        <w:t xml:space="preserve"> </w:t>
      </w:r>
      <w:hyperlink w:anchor="ref-22">
        <w:r>
          <w:rPr>
            <w:rStyle w:val="Hyperlink"/>
          </w:rPr>
          <w:t xml:space="preserve">[22]</w:t>
        </w:r>
      </w:hyperlink>
      <w:r>
        <w:t xml:space="preserve">. Carden, Burchett and Reed, describing the SNARE decentralized sensor-tasking architecture, demonstrate that decentralization is feasible at the level of tactical sensor allocation and that the resulting system preserves operational relevance under adversarial conditions</w:t>
      </w:r>
      <w:r>
        <w:t xml:space="preserve"> </w:t>
      </w:r>
      <w:hyperlink w:anchor="ref-19">
        <w:r>
          <w:rPr>
            <w:rStyle w:val="Hyperlink"/>
          </w:rPr>
          <w:t xml:space="preserve">[19]</w:t>
        </w:r>
      </w:hyperlink>
      <w:r>
        <w:t xml:space="preserve">. Latif and colleagues push the same line toward the integrity layer with a quantum-resilient blockchain for an AI-enabled space battle management system, arguing that the cryptographic substrate beneath any decentralized coordination protocol must itself be resilient to anticipated post-quantum threats</w:t>
      </w:r>
      <w:r>
        <w:t xml:space="preserve"> </w:t>
      </w:r>
      <w:hyperlink w:anchor="ref-20">
        <w:r>
          <w:rPr>
            <w:rStyle w:val="Hyperlink"/>
          </w:rPr>
          <w:t xml:space="preserve">[20]</w:t>
        </w:r>
      </w:hyperlink>
      <w:r>
        <w:t xml:space="preserve">. Furlich and colleagues close the loop by treating real launch events as validation conditions for the architectures the rest of the record describes, using civilian launches as live exercises for a federated protect-and-defend SDA battle management system</w:t>
      </w:r>
      <w:r>
        <w:t xml:space="preserve"> </w:t>
      </w:r>
      <w:hyperlink w:anchor="ref-25">
        <w:r>
          <w:rPr>
            <w:rStyle w:val="Hyperlink"/>
          </w:rPr>
          <w:t xml:space="preserve">[25]</w:t>
        </w:r>
      </w:hyperlink>
      <w:r>
        <w:t xml:space="preserve">.</w:t>
      </w:r>
    </w:p>
    <w:p>
      <w:pPr>
        <w:pStyle w:val="BodyText"/>
        <w:spacing w:line="480" w:lineRule="auto"/>
        <w:ind w:firstLine="720"/>
      </w:pPr>
      <w:r>
        <w:t xml:space="preserve">A common thread binds these contributions: cybersecurity handled at the level of architecture, protocol, and federation. The unit of analysis is the participating system, or the data exchange between participating systems. What each participating system is internally composed of, which third-party packages it imports and how those imports transit the public registry layer, never becomes the object of measurement. Allington, Peterson and Bowen presume that participants can be characterized by authentication posture and data exposure surface, yet they do not characterize them by dependency graph</w:t>
      </w:r>
      <w:r>
        <w:t xml:space="preserve"> </w:t>
      </w:r>
      <w:hyperlink w:anchor="ref-7">
        <w:r>
          <w:rPr>
            <w:rStyle w:val="Hyperlink"/>
          </w:rPr>
          <w:t xml:space="preserve">[7]</w:t>
        </w:r>
      </w:hyperlink>
      <w:r>
        <w:t xml:space="preserve">[24]. Reed and colleagues presume that the participating mission control systems are themselves trustworthy substrates on which federation can be layered, without measuring the substrate</w:t>
      </w:r>
      <w:r>
        <w:t xml:space="preserve"> </w:t>
      </w:r>
      <w:hyperlink w:anchor="ref-18">
        <w:r>
          <w:rPr>
            <w:rStyle w:val="Hyperlink"/>
          </w:rPr>
          <w:t xml:space="preserve">[18]</w:t>
        </w:r>
      </w:hyperlink>
      <w:r>
        <w:t xml:space="preserve">[22]. None of this is a criticism of the venue. It is an observation about the conference’s analytic level. Consistently, the AMOS record treats the integration layer, not the package layer, as the natural unit of analysis.</w:t>
      </w:r>
    </w:p>
    <w:p>
      <w:pPr>
        <w:pStyle w:val="BodyText"/>
        <w:spacing w:line="480" w:lineRule="auto"/>
        <w:ind w:firstLine="720"/>
      </w:pPr>
      <w:r>
        <w:t xml:space="preserve">A related strand within the record treats machine learning and autonomy in space operations. Kelly’s work on integrating machine learning into space operations is an early treatment of the operational adoption question and a methodological caution: machine-learning components introduce their own provenance and verification problem on top of the conventional configuration-management problem</w:t>
      </w:r>
      <w:r>
        <w:t xml:space="preserve"> </w:t>
      </w:r>
      <w:hyperlink w:anchor="ref-21">
        <w:r>
          <w:rPr>
            <w:rStyle w:val="Hyperlink"/>
          </w:rPr>
          <w:t xml:space="preserve">[21]</w:t>
        </w:r>
      </w:hyperlink>
      <w:r>
        <w:t xml:space="preserve">. Privett, Appleby and Sherwood, on image stacking for GEO satellites, illustrate the older practitioner record that frames analytic pipelines as monolithic processing chains rather than as compositional stacks with their own import graph</w:t>
      </w:r>
      <w:r>
        <w:t xml:space="preserve"> </w:t>
      </w:r>
      <w:hyperlink w:anchor="ref-23">
        <w:r>
          <w:rPr>
            <w:rStyle w:val="Hyperlink"/>
          </w:rPr>
          <w:t xml:space="preserve">[23]</w:t>
        </w:r>
      </w:hyperlink>
      <w:r>
        <w:t xml:space="preserve">. Read alongside the federation-oriented contributions, these establish that the practitioner community recognizes software composition and provenance as load-bearing issues for any future-state architecture, while leaving the package-level measurement gap unaddressed.</w:t>
      </w:r>
    </w:p>
    <w:bookmarkEnd w:id="67"/>
    <w:bookmarkStart w:id="68" w:name="Xa5b912e4171172a114e7efe791074303a7ea197"/>
    <w:p>
      <w:pPr>
        <w:pStyle w:val="Heading3"/>
        <w:spacing w:line="480" w:lineRule="auto"/>
      </w:pPr>
      <w:r>
        <w:t xml:space="preserve">2.2.2 The Acta Astronautica record on flight and ground software</w:t>
      </w:r>
    </w:p>
    <w:p>
      <w:pPr>
        <w:pStyle w:val="FirstParagraph"/>
        <w:spacing w:line="480" w:lineRule="auto"/>
      </w:pPr>
      <w:r>
        <w:t xml:space="preserve">Acta Astronautica occupies a different analytic register. Verification, validation, and the engineering performance of specific algorithmic components dominate its treatment of mission software. Bianchi, Bechini, Quirino and Lavagna, on synthetic thermal image generation for close-proximity operations, are representative: the software pipeline is an instrumented engineering artefact whose correctness is assessed against engineering performance criteria, not a compositional stack whose risk profile depends on its transitive dependency closure</w:t>
      </w:r>
      <w:r>
        <w:t xml:space="preserve"> </w:t>
      </w:r>
      <w:hyperlink w:anchor="ref-8">
        <w:r>
          <w:rPr>
            <w:rStyle w:val="Hyperlink"/>
          </w:rPr>
          <w:t xml:space="preserve">[8]</w:t>
        </w:r>
      </w:hyperlink>
      <w:r>
        <w:t xml:space="preserve">. Chen and colleagues, on fault detection and recovery in satellite attitude estimation through a Kalman filter and neural network fusion, follow the same pattern, rigorous on the algorithmic side and silent on the import graph beneath the implementation</w:t>
      </w:r>
      <w:r>
        <w:t xml:space="preserve"> </w:t>
      </w:r>
      <w:hyperlink w:anchor="ref-31">
        <w:r>
          <w:rPr>
            <w:rStyle w:val="Hyperlink"/>
          </w:rPr>
          <w:t xml:space="preserve">[31]</w:t>
        </w:r>
      </w:hyperlink>
      <w:r>
        <w:t xml:space="preserve">. Liu, Guo and Gill, visualizing critic match loss landscapes to interpret online reinforcement-learning control algorithms, continue toward interpretability of algorithmic components, again at the level of the algorithm rather than the package</w:t>
      </w:r>
      <w:r>
        <w:t xml:space="preserve"> </w:t>
      </w:r>
      <w:hyperlink w:anchor="ref-32">
        <w:r>
          <w:rPr>
            <w:rStyle w:val="Hyperlink"/>
          </w:rPr>
          <w:t xml:space="preserve">[32]</w:t>
        </w:r>
      </w:hyperlink>
      <w:r>
        <w:t xml:space="preserve">. Fu and Soldini complete the picture for the autonomy literature with autonomous orbital maintenance via a supervised-learning target-point approach: they measure controller performance under defined conditions and leave the question of how the controller’s implementation imports the underlying machine-learning libraries to the broader software-engineering community</w:t>
      </w:r>
      <w:r>
        <w:t xml:space="preserve"> </w:t>
      </w:r>
      <w:hyperlink w:anchor="ref-33">
        <w:r>
          <w:rPr>
            <w:rStyle w:val="Hyperlink"/>
          </w:rPr>
          <w:t xml:space="preserve">[33]</w:t>
        </w:r>
      </w:hyperlink>
      <w:r>
        <w:t xml:space="preserve">.</w:t>
      </w:r>
    </w:p>
    <w:p>
      <w:pPr>
        <w:pStyle w:val="BodyText"/>
        <w:spacing w:line="480" w:lineRule="auto"/>
        <w:ind w:firstLine="720"/>
      </w:pPr>
      <w:r>
        <w:t xml:space="preserve">A second strand in the same journal addresses the industrial and commercial substrate of space activity. Denis and colleagues, on the transition from new space to big space, frame commercial integration as a systemic shift in how missions are procured, integrated, and operated</w:t>
      </w:r>
      <w:r>
        <w:t xml:space="preserve"> </w:t>
      </w:r>
      <w:hyperlink w:anchor="ref-26">
        <w:r>
          <w:rPr>
            <w:rStyle w:val="Hyperlink"/>
          </w:rPr>
          <w:t xml:space="preserve">[26]</w:t>
        </w:r>
      </w:hyperlink>
      <w:r>
        <w:t xml:space="preserve">.</w:t>
      </w:r>
    </w:p>
    <w:p>
      <w:pPr>
        <w:pStyle w:val="BodyText"/>
        <w:spacing w:line="480" w:lineRule="auto"/>
        <w:ind w:firstLine="720"/>
      </w:pPr>
      <w:r>
        <w:t xml:space="preserve">McKeown, Dempster, Saydam and Coulton develop the economic side of the same shift in their evaluation of potential space resources markets</w:t>
      </w:r>
      <w:r>
        <w:t xml:space="preserve"> </w:t>
      </w:r>
      <w:hyperlink w:anchor="ref-27">
        <w:r>
          <w:rPr>
            <w:rStyle w:val="Hyperlink"/>
          </w:rPr>
          <w:t xml:space="preserve">[27]</w:t>
        </w:r>
      </w:hyperlink>
      <w:r>
        <w:t xml:space="preserve">. Zancan, Trucco and Locatelli, treating the micro-foundations of product-service strategies in Earth observation, introduce a managerial framing that begins to acknowledge composition and integration as strategic choices</w:t>
      </w:r>
      <w:r>
        <w:t xml:space="preserve"> </w:t>
      </w:r>
      <w:hyperlink w:anchor="ref-28">
        <w:r>
          <w:rPr>
            <w:rStyle w:val="Hyperlink"/>
          </w:rPr>
          <w:t xml:space="preserve">[28]</w:t>
        </w:r>
      </w:hyperlink>
      <w:r>
        <w:t xml:space="preserve">. Dalmarco and colleagues show how the integration question extends into hardware through additive manufacturing in spacecraft components</w:t>
      </w:r>
      <w:r>
        <w:t xml:space="preserve"> </w:t>
      </w:r>
      <w:hyperlink w:anchor="ref-29">
        <w:r>
          <w:rPr>
            <w:rStyle w:val="Hyperlink"/>
          </w:rPr>
          <w:t xml:space="preserve">[29]</w:t>
        </w:r>
      </w:hyperlink>
      <w:r>
        <w:t xml:space="preserve">. Dorrington and Olsen take the explicit supply-chain label and apply it to physical logistics rather than software composition in their location-routing problem for asteroid mining supply chain network design</w:t>
      </w:r>
      <w:r>
        <w:t xml:space="preserve"> </w:t>
      </w:r>
      <w:hyperlink w:anchor="ref-30">
        <w:r>
          <w:rPr>
            <w:rStyle w:val="Hyperlink"/>
          </w:rPr>
          <w:t xml:space="preserve">[30]</w:t>
        </w:r>
      </w:hyperlink>
      <w:r>
        <w:t xml:space="preserve">. Each strengthens the case that the space economy is increasingly compositional. None measures the software-composition layer this dissertation is designed to characterize</w:t>
      </w:r>
      <w:r>
        <w:t xml:space="preserve"> </w:t>
      </w:r>
      <w:hyperlink w:anchor="ref-5">
        <w:r>
          <w:rPr>
            <w:rStyle w:val="Hyperlink"/>
          </w:rPr>
          <w:t xml:space="preserve">[5]</w:t>
        </w:r>
      </w:hyperlink>
      <w:r>
        <w:t xml:space="preserve">[6].</w:t>
      </w:r>
    </w:p>
    <w:p>
      <w:pPr>
        <w:pStyle w:val="BodyText"/>
        <w:spacing w:line="480" w:lineRule="auto"/>
        <w:ind w:firstLine="720"/>
      </w:pPr>
      <w:r>
        <w:t xml:space="preserve">Acta Astronautica’s collective posture toward mission software comes down to this. Software is treated at the level of the implementing algorithm and at the level of the surrounding industrial system. It is not treated at the level of the package, the registry, or the transitive dependency closure. Where the journal acknowledges integration risk it does so in the language of verification effort, qualification cost, and configuration management, not in the language of registry-resolved manifests. That treatment is internally coherent for a journal whose primary readership is mission engineers and program managers, and the absence of package-level measurement reads as a venue choice rather than a denial that the package layer matters.</w:t>
      </w:r>
    </w:p>
    <w:bookmarkEnd w:id="68"/>
    <w:bookmarkStart w:id="69" w:name="Xdddebbc6a5d9bd568e6ef5d9b4c15b3fba49aee"/>
    <w:p>
      <w:pPr>
        <w:pStyle w:val="Heading3"/>
        <w:spacing w:line="480" w:lineRule="auto"/>
      </w:pPr>
      <w:r>
        <w:t xml:space="preserve">2.2.3 The space-economy and industrial-base literature on supply chain framing</w:t>
      </w:r>
    </w:p>
    <w:p>
      <w:pPr>
        <w:pStyle w:val="FirstParagraph"/>
        <w:spacing w:line="480" w:lineRule="auto"/>
      </w:pPr>
      <w:r>
        <w:t xml:space="preserve">A third strand of the domain literature has begun to use the explicit vocabulary of supply chain, industrial base, and dependency, a vocabulary that approaches the very question this dissertation poses.</w:t>
      </w:r>
    </w:p>
    <w:p>
      <w:pPr>
        <w:pStyle w:val="BodyText"/>
        <w:spacing w:line="480" w:lineRule="auto"/>
        <w:ind w:firstLine="720"/>
      </w:pPr>
      <w:r>
        <w:t xml:space="preserve">The Space Economy Papers source set, anchored by the Stilwell contributions on integrated deterrence and the space industrial base, the OCEA forecast of the space economy, the treatment of architectural socio-technological transformative change of space-use norms, and the treatment of the role of space in driving sustainability, security, and development, develops a framing in which the resilience of the civil and commercial space enterprise is itself a function of how its component supply chains are structured and observed</w:t>
      </w:r>
      <w:r>
        <w:t xml:space="preserve"> </w:t>
      </w:r>
      <w:hyperlink w:anchor="ref-3">
        <w:r>
          <w:rPr>
            <w:rStyle w:val="Hyperlink"/>
          </w:rPr>
          <w:t xml:space="preserve">[3]</w:t>
        </w:r>
      </w:hyperlink>
      <w:r>
        <w:t xml:space="preserve">[4][9]. The SFA DIME and AstroEconomics contributions on economic statecraft and the circular space economy add a normative layer, in which supply chain transparency is a precondition for credible sustainability claims</w:t>
      </w:r>
      <w:r>
        <w:t xml:space="preserve"> </w:t>
      </w:r>
      <w:hyperlink w:anchor="ref-4">
        <w:r>
          <w:rPr>
            <w:rStyle w:val="Hyperlink"/>
          </w:rPr>
          <w:t xml:space="preserve">[4]</w:t>
        </w:r>
      </w:hyperlink>
      <w:r>
        <w:t xml:space="preserve">. The argument is rigorous and the language of supply chain is used carefully, but the unit of analysis stays at the industrial firm and the inter-firm dependency, not the open-source package and the transitive import.</w:t>
      </w:r>
    </w:p>
    <w:p>
      <w:pPr>
        <w:pStyle w:val="BodyText"/>
        <w:spacing w:line="480" w:lineRule="auto"/>
        <w:ind w:firstLine="720"/>
      </w:pPr>
      <w:r>
        <w:t xml:space="preserve">This strand also produces the explicit governance argument for treating software dependency as a supply-chain question. Recurring across the SD01 through SD18 source set is the claim that the same logic used to characterize physical component sourcing risk in the civil space industrial base should apply to software composition risk in the same enterprise</w:t>
      </w:r>
      <w:r>
        <w:t xml:space="preserve"> </w:t>
      </w:r>
      <w:hyperlink w:anchor="ref-3">
        <w:r>
          <w:rPr>
            <w:rStyle w:val="Hyperlink"/>
          </w:rPr>
          <w:t xml:space="preserve">[3]</w:t>
        </w:r>
      </w:hyperlink>
      <w:r>
        <w:t xml:space="preserve">[4][9]. The claim is qualitative. It produces no measurement of the software-dependency closure of any operational mission system. It proposes no defensible matching protocol against a control population. It proposes no hazard model on time-to-disclosure for vulnerabilities in the transitive ring. Between the qualitative framing and the empirical measurement lies precisely the gap this dissertation is designed to close.</w:t>
      </w:r>
    </w:p>
    <w:bookmarkEnd w:id="69"/>
    <w:bookmarkStart w:id="70" w:name="Xcf087f6886c8dbad415d64246278842b2b95d19"/>
    <w:p>
      <w:pPr>
        <w:pStyle w:val="Heading3"/>
        <w:spacing w:line="480" w:lineRule="auto"/>
      </w:pPr>
      <w:r>
        <w:t xml:space="preserve">2.2.4 The federal supply-chain governance record</w:t>
      </w:r>
    </w:p>
    <w:p>
      <w:pPr>
        <w:pStyle w:val="FirstParagraph"/>
        <w:spacing w:line="480" w:lineRule="auto"/>
      </w:pPr>
      <w:r>
        <w:t xml:space="preserve">A fourth strand sits outside the discipline-specific journals and conference proceedings and treats the federal governance of software supply chain risk directly. For civil space purposes the Government Accountability Office’s 2023 review of software supply chain cybersecurity risks and recommendations is the load-bearing document, because it codifies, at a level of generality that applies across federal mission agencies, the expectation that software composition and provenance be observable to mission assurance organizations</w:t>
      </w:r>
      <w:r>
        <w:t xml:space="preserve"> </w:t>
      </w:r>
      <w:hyperlink w:anchor="ref-16">
        <w:r>
          <w:rPr>
            <w:rStyle w:val="Hyperlink"/>
          </w:rPr>
          <w:t xml:space="preserve">[16]</w:t>
        </w:r>
      </w:hyperlink>
      <w:r>
        <w:t xml:space="preserve">. The GAO record establishes that the federal posture has moved past questioning whether transitive dependency closures pose a real risk and toward questioning how that risk should be measured and reported. By design it proposes no specific measurement protocols for any particular agency, and it characterizes the dependency closure of no specific mission system. What it establishes is the policy demand for the measurement this dissertation supplies.</w:t>
      </w:r>
    </w:p>
    <w:bookmarkEnd w:id="70"/>
    <w:bookmarkStart w:id="71" w:name="X7daf7c19d5bfd943bd3b6ff7b6f46fc4e1f6515"/>
    <w:p>
      <w:pPr>
        <w:pStyle w:val="Heading3"/>
        <w:spacing w:line="480" w:lineRule="auto"/>
      </w:pPr>
      <w:r>
        <w:t xml:space="preserve">2.2.5 What the domain technical literature does not yet contain</w:t>
      </w:r>
    </w:p>
    <w:p>
      <w:pPr>
        <w:pStyle w:val="FirstParagraph"/>
        <w:spacing w:line="480" w:lineRule="auto"/>
      </w:pPr>
      <w:r>
        <w:t xml:space="preserve">Taken together, the four strands establish a consistent picture. Supply chain compromise is recognized as an emerging cybersecurity concern in civil space. Practitioner federation architectures are being designed around the assumption that participant systems can be characterized by authentication and data-sharing posture.</w:t>
      </w:r>
    </w:p>
    <w:p>
      <w:pPr>
        <w:pStyle w:val="BodyText"/>
        <w:spacing w:line="480" w:lineRule="auto"/>
        <w:ind w:firstLine="720"/>
      </w:pPr>
      <w:r>
        <w:t xml:space="preserve">The engineering performance of specific algorithmic components is treated rigorously at the algorithm level. The industrial-base community has developed a qualitative supply-chain framing for the software composition layer. The federal governance posture has codified a measurement demand. What the literature does not yet contain is a reproducible reconstruction of the transitive dependency closure of operational mission software, a defensible matched comparison against a control population that would establish whether the closure looks curated or inherited, or a hazard model that would distinguish observation effects from latent risk effects in the deep transitive ring. Absent from the domain record are exactly the empirical objects any quantitative test of the curation-versus-inheritance question would require.</w:t>
      </w:r>
    </w:p>
    <w:bookmarkEnd w:id="71"/>
    <w:bookmarkEnd w:id="72"/>
    <w:bookmarkStart w:id="77" w:name="X07fe73e594277fc276c6392b9242153367417e1"/>
    <w:p>
      <w:pPr>
        <w:pStyle w:val="Heading2"/>
        <w:spacing w:line="480" w:lineRule="auto"/>
      </w:pPr>
      <w:r>
        <w:t xml:space="preserve">2.3 The Cliometric and Econometric Methodology Literature</w:t>
      </w:r>
    </w:p>
    <w:bookmarkStart w:id="73" w:name="the-matched-comparative-design-tradition"/>
    <w:p>
      <w:pPr>
        <w:pStyle w:val="Heading3"/>
        <w:spacing w:line="480" w:lineRule="auto"/>
      </w:pPr>
      <w:r>
        <w:t xml:space="preserve">2.3.1 The matched comparative design tradition</w:t>
      </w:r>
    </w:p>
    <w:p>
      <w:pPr>
        <w:pStyle w:val="FirstParagraph"/>
        <w:spacing w:line="480" w:lineRule="auto"/>
      </w:pPr>
      <w:r>
        <w:t xml:space="preserve">For the curation-versus-inheritance question developed in the first research paper, the natural starting point is the methodological literature on matched comparative inference. The matched-pairs design with cluster-robust standard errors and the coarsened exact matching protocol the prospectus invokes belong to a tradition the cliometric and econometric record has used for decades to support causal claims under observational sampling</w:t>
      </w:r>
      <w:r>
        <w:t xml:space="preserve"> </w:t>
      </w:r>
      <w:hyperlink w:anchor="ref-10">
        <w:r>
          <w:rPr>
            <w:rStyle w:val="Hyperlink"/>
          </w:rPr>
          <w:t xml:space="preserve">[10]</w:t>
        </w:r>
      </w:hyperlink>
      <w:r>
        <w:t xml:space="preserve">[11]. That tradition rests on a clean separation between two steps: a matching step, which adjusts the comparison set so treated and control units share the distribution of observable covariates, and an inferential step, which then conducts the test of mean equality or, here, of coefficient sign on a regressor of interest. On the conditions under which the design produces interpretable point estimates, on the standard error corrections the clustering structure requires, and on the sensitivity diagnostics that should accompany the headline result, the methodological literature is mature.</w:t>
      </w:r>
    </w:p>
    <w:p>
      <w:pPr>
        <w:pStyle w:val="BodyText"/>
        <w:spacing w:line="480" w:lineRule="auto"/>
        <w:ind w:firstLine="720"/>
      </w:pPr>
      <w:r>
        <w:t xml:space="preserve">Applying this tradition to software-engineering data is well established. Matched comparisons have characterized defect-rate differences across language ecosystems, code-quality differences across organizational settings, and dependency-graph differences across registry environments</w:t>
      </w:r>
      <w:r>
        <w:t xml:space="preserve"> </w:t>
      </w:r>
      <w:hyperlink w:anchor="ref-10">
        <w:r>
          <w:rPr>
            <w:rStyle w:val="Hyperlink"/>
          </w:rPr>
          <w:t xml:space="preserve">[10]</w:t>
        </w:r>
      </w:hyperlink>
      <w:r>
        <w:t xml:space="preserve">[11][16]. The methodological record is therefore well-prepared to receive the curation-versus-inheritance test of the first paper. What it does not yet contain is an application of the matched design to the specific question of whether civil space mission software carries a measurably smaller per-line transitive dependency footprint than matched scientific software, with the matching protocol calibrated for the language and codebase-size confounders the present prospectus enumerates.</w:t>
      </w:r>
    </w:p>
    <w:bookmarkEnd w:id="73"/>
    <w:bookmarkStart w:id="74" w:name="X732eb261dd5b5482adcc8bc13599bd585750115"/>
    <w:p>
      <w:pPr>
        <w:pStyle w:val="Heading3"/>
        <w:spacing w:line="480" w:lineRule="auto"/>
      </w:pPr>
      <w:r>
        <w:t xml:space="preserve">2.3.2 The count-data and generalized linear model tradition</w:t>
      </w:r>
    </w:p>
    <w:p>
      <w:pPr>
        <w:pStyle w:val="FirstParagraph"/>
        <w:spacing w:line="480" w:lineRule="auto"/>
      </w:pPr>
      <w:r>
        <w:t xml:space="preserve">A second methodological strand the dissertation invokes is the generalized linear model tradition for count outcomes, and specifically negative binomial regression with an exposure offset. The robustness specification proposed in the prospectus uses this tradition to handle the over-dispersion characteristic of transitive dependency counts at the package-version level, entering codebase size as an offset rather than as a covariate. On this design the literature is mature: the negative binomial likelihood is well-characterized, the offset specification is well-defined, and the language fixed-effects design the prospectus uses to absorb registry-semantic confounders is standard</w:t>
      </w:r>
      <w:r>
        <w:t xml:space="preserve"> </w:t>
      </w:r>
      <w:hyperlink w:anchor="ref-10">
        <w:r>
          <w:rPr>
            <w:rStyle w:val="Hyperlink"/>
          </w:rPr>
          <w:t xml:space="preserve">[10]</w:t>
        </w:r>
      </w:hyperlink>
      <w:r>
        <w:t xml:space="preserve">[11].</w:t>
      </w:r>
    </w:p>
    <w:p>
      <w:pPr>
        <w:pStyle w:val="BodyText"/>
        <w:spacing w:line="480" w:lineRule="auto"/>
        <w:ind w:firstLine="720"/>
      </w:pPr>
      <w:r>
        <w:t xml:space="preserve">Applying the negative binomial design to the software-composition setting requires no methodological innovation, but it does require careful treatment of the exposure measure. Empirical software engineering has tended to treat kSLOC as the natural exposure measure for defect counts and dependency counts, and the present dissertation follows that convention. The methodological literature also supplies the standard error corrections needed when the outcome is a count over a network-structured object, which is the situation here, since the transitive dependency closure is a directed acyclic graph and the dependency counts are functionals of that graph. The fixed-effects-on-language specification the prospectus uses to address the registry-semantic confounder rests on the methodological literature on fixed-effects identification under panel and pseudo-panel data structures</w:t>
      </w:r>
      <w:r>
        <w:t xml:space="preserve"> </w:t>
      </w:r>
      <w:hyperlink w:anchor="ref-10">
        <w:r>
          <w:rPr>
            <w:rStyle w:val="Hyperlink"/>
          </w:rPr>
          <w:t xml:space="preserve">[10]</w:t>
        </w:r>
      </w:hyperlink>
      <w:r>
        <w:t xml:space="preserve">[11].</w:t>
      </w:r>
    </w:p>
    <w:bookmarkEnd w:id="74"/>
    <w:bookmarkStart w:id="75" w:name="the-survival-analysis-tradition"/>
    <w:p>
      <w:pPr>
        <w:pStyle w:val="Heading3"/>
        <w:spacing w:line="480" w:lineRule="auto"/>
      </w:pPr>
      <w:r>
        <w:t xml:space="preserve">2.3.3 The survival analysis tradition</w:t>
      </w:r>
    </w:p>
    <w:p>
      <w:pPr>
        <w:pStyle w:val="FirstParagraph"/>
        <w:spacing w:line="480" w:lineRule="auto"/>
      </w:pPr>
      <w:r>
        <w:t xml:space="preserve">For the time-to-first-disclosure question, the second research paper invokes the survival analysis tradition. The Cox proportional-hazards model it estimates is the canonical instrument, treated with full methodological care in the foundational Cox 1972 paper, in the Therneau and Grambsch text on the modern Cox model, and in the Kalbfleisch and Prentice text on the statistical analysis of failure-time data</w:t>
      </w:r>
      <w:r>
        <w:t xml:space="preserve"> </w:t>
      </w:r>
      <w:hyperlink w:anchor="ref-12">
        <w:r>
          <w:rPr>
            <w:rStyle w:val="Hyperlink"/>
          </w:rPr>
          <w:t xml:space="preserve">[12]</w:t>
        </w:r>
      </w:hyperlink>
      <w:r>
        <w:t xml:space="preserve">[13][17]. Partial-likelihood estimation is well-characterized in the same record, including the conditions under which the baseline hazard cancels and the partial likelihood delivers asymptotically valid coefficient estimates and standard errors. Right-censoring, which the dependency-package application requires, receives the standard treatment described in the Therneau and Grambsch text and is exact, not approximate, under the partial-likelihood framework</w:t>
      </w:r>
      <w:r>
        <w:t xml:space="preserve"> </w:t>
      </w:r>
      <w:hyperlink w:anchor="ref-13">
        <w:r>
          <w:rPr>
            <w:rStyle w:val="Hyperlink"/>
          </w:rPr>
          <w:t xml:space="preserve">[13]</w:t>
        </w:r>
      </w:hyperlink>
      <w:r>
        <w:t xml:space="preserve">[17].</w:t>
      </w:r>
    </w:p>
    <w:p>
      <w:pPr>
        <w:pStyle w:val="BodyText"/>
        <w:spacing w:line="480" w:lineRule="auto"/>
        <w:ind w:firstLine="720"/>
      </w:pPr>
      <w:r>
        <w:t xml:space="preserve">On when the proportional-hazards assumption should be tested, and on the diagnostic tools available for that test, the literature is equally clear. The Schoenfeld residual test, the time-varying-coefficient extension, and the stratification options for handling proportional-hazards violations are all standard equipment in the modern survival analysis toolkit</w:t>
      </w:r>
      <w:r>
        <w:t xml:space="preserve"> </w:t>
      </w:r>
      <w:hyperlink w:anchor="ref-13">
        <w:r>
          <w:rPr>
            <w:rStyle w:val="Hyperlink"/>
          </w:rPr>
          <w:t xml:space="preserve">[13]</w:t>
        </w:r>
      </w:hyperlink>
      <w:r>
        <w:t xml:space="preserve">[17]. The literature additionally treats how multicollinearity among covariates inflates the partial-likelihood standard errors without biasing the coefficient point estimates, which is exactly the situation the second research paper encounters between the log-downloads covariate and the direct-in-mission indicator.</w:t>
      </w:r>
    </w:p>
    <w:p>
      <w:pPr>
        <w:pStyle w:val="BodyText"/>
        <w:spacing w:line="480" w:lineRule="auto"/>
        <w:ind w:firstLine="720"/>
      </w:pPr>
      <w:r>
        <w:t xml:space="preserve">On one point the methodological literature is silent: how survival analysis should be applied to the transitive dependency closure of operational mission software, because the application has not been made before. The tradition is nonetheless the right instrument. The empirical object is a time-to-event with right-censoring, the covariates of interest are observable on each unit at the time of release, and the question of whether observation effects rather than latent-risk effects drive the deep-transitive coefficient is exactly the kind of question censoring-aware survival analysis was developed to answer.</w:t>
      </w:r>
    </w:p>
    <w:bookmarkEnd w:id="75"/>
    <w:bookmarkStart w:id="76" w:name="Xc0399eeff4ffbdfc4939c0e68c24bd952182ed1"/>
    <w:p>
      <w:pPr>
        <w:pStyle w:val="Heading3"/>
        <w:spacing w:line="480" w:lineRule="auto"/>
      </w:pPr>
      <w:r>
        <w:t xml:space="preserve">2.3.4 The reproducibility and preregistration tradition</w:t>
      </w:r>
    </w:p>
    <w:p>
      <w:pPr>
        <w:pStyle w:val="FirstParagraph"/>
        <w:spacing w:line="480" w:lineRule="auto"/>
      </w:pPr>
      <w:r>
        <w:t xml:space="preserve">A fourth methodological strand is the reproducibility and preregistration tradition that has matured in the empirical social sciences over the last two decades. The prospectus’s commitment to preregister the hypothesis, the matching protocol, and the analysis script on the Open Science Framework before the closure-extraction step is a deliberate alignment with it. On preregistration, the literature treats the practice as the principal defense against the analytic flexibility observational data permit and as the principal mechanism for producing falsifiable claims under observational sampling</w:t>
      </w:r>
      <w:r>
        <w:t xml:space="preserve"> </w:t>
      </w:r>
      <w:hyperlink w:anchor="ref-10">
        <w:r>
          <w:rPr>
            <w:rStyle w:val="Hyperlink"/>
          </w:rPr>
          <w:t xml:space="preserve">[10]</w:t>
        </w:r>
      </w:hyperlink>
      <w:r>
        <w:t xml:space="preserve">[11][16]. Applying it to the software-composition setting is novel only in its substantive object; the methodological commitment is standard.</w:t>
      </w:r>
    </w:p>
    <w:p>
      <w:pPr>
        <w:pStyle w:val="BodyText"/>
        <w:spacing w:line="480" w:lineRule="auto"/>
        <w:ind w:firstLine="720"/>
      </w:pPr>
      <w:r>
        <w:t xml:space="preserve">The reproducibility tradition also supplies a standard for data provenance. Each row in the analytic dataset of the two research papers carries a citation to the public source that supports its values, with illustrative values flagged below a fifteen-percent threshold of the sample. Grounded in the methodological record on data provenance, this practice is the standard mechanism for ensuring that the empirical claims of the dissertation are auditable by independent replication</w:t>
      </w:r>
      <w:r>
        <w:t xml:space="preserve"> </w:t>
      </w:r>
      <w:hyperlink w:anchor="ref-10">
        <w:r>
          <w:rPr>
            <w:rStyle w:val="Hyperlink"/>
          </w:rPr>
          <w:t xml:space="preserve">[10]</w:t>
        </w:r>
      </w:hyperlink>
      <w:r>
        <w:t xml:space="preserve">[11][14][15].</w:t>
      </w:r>
    </w:p>
    <w:bookmarkEnd w:id="76"/>
    <w:bookmarkEnd w:id="77"/>
    <w:bookmarkStart w:id="78" w:name="synthesis-and-the-gap"/>
    <w:p>
      <w:pPr>
        <w:pStyle w:val="Heading2"/>
        <w:spacing w:line="480" w:lineRule="auto"/>
      </w:pPr>
      <w:r>
        <w:t xml:space="preserve">2.4 Synthesis and the Gap</w:t>
      </w:r>
    </w:p>
    <w:p>
      <w:pPr>
        <w:pStyle w:val="FirstParagraph"/>
        <w:spacing w:line="480" w:lineRule="auto"/>
      </w:pPr>
      <w:r>
        <w:t xml:space="preserve">Each of the two literatures developed above is internally mature, and so far they have evolved without joining. The domain technical literature establishes that software composition risk is recognized as load-bearing, that the policy demand for defensible measurement of that risk has been codified at the federal level, and that the practitioner community has begun designing federation architectures on the assumption that participant systems can be characterized by integration posture</w:t>
      </w:r>
      <w:r>
        <w:t xml:space="preserve"> </w:t>
      </w:r>
      <w:hyperlink w:anchor="ref-1">
        <w:r>
          <w:rPr>
            <w:rStyle w:val="Hyperlink"/>
          </w:rPr>
          <w:t xml:space="preserve">[1]</w:t>
        </w:r>
      </w:hyperlink>
      <w:r>
        <w:t xml:space="preserve">[2][7][16][18][22][24]. That same literature contains no reproducible reconstruction of the dependency closure of any specific operational mission system, no matched comparison against a defensible control population, and no hazard model that distinguishes observation effects from latent risk effects in the deep transitive ring. The cliometric and econometric methodology literature holds exactly the instruments required to deliver each of those missing empirical objects, yet those instruments have never been brought to bear on the substantive object the domain literature identifies as load-bearing</w:t>
      </w:r>
      <w:r>
        <w:t xml:space="preserve"> </w:t>
      </w:r>
      <w:hyperlink w:anchor="ref-10">
        <w:r>
          <w:rPr>
            <w:rStyle w:val="Hyperlink"/>
          </w:rPr>
          <w:t xml:space="preserve">[10]</w:t>
        </w:r>
      </w:hyperlink>
      <w:r>
        <w:t xml:space="preserve">[11][12][13][17].</w:t>
      </w:r>
    </w:p>
    <w:p>
      <w:pPr>
        <w:pStyle w:val="BodyText"/>
        <w:spacing w:line="480" w:lineRule="auto"/>
        <w:ind w:firstLine="720"/>
      </w:pPr>
      <w:r>
        <w:t xml:space="preserve">The gap is a joinder gap. The dissertation is designed to close it by applying the matched comparative design with cluster-robust standard errors and the negative binomial robustness specification to the per-line transitive dependency footprint question the prospectus identifies, and by applying the Cox proportional-hazards model with right-censoring to the time-to-first-disclosure question the second research paper develops. What the integrated study tests is the claim that the perception of curation in the open mission-software stack does not survive a controlled comparison once language and registry choices are accounted for, and that the perception of safety in the deep transitive ring may reflect censored observation rather than absent risk.</w:t>
      </w:r>
    </w:p>
    <w:p>
      <w:pPr>
        <w:pStyle w:val="BodyText"/>
        <w:spacing w:line="480" w:lineRule="auto"/>
        <w:ind w:firstLine="720"/>
      </w:pPr>
      <w:r>
        <w:t xml:space="preserve">Three commitments, all deriving from the synthesis, fix the integrative position of the dissertation. The first treats the open mission-software population as the population for which observation is feasible and bounds the claims to that population, discussing extrapolation to closed flight software qualitatively rather than asserting it empirically.</w:t>
      </w:r>
    </w:p>
    <w:p>
      <w:pPr>
        <w:pStyle w:val="BodyText"/>
        <w:spacing w:line="480" w:lineRule="auto"/>
        <w:ind w:firstLine="720"/>
      </w:pPr>
      <w:r>
        <w:t xml:space="preserve">This honors the domain literature’s recognition that the closed and open segments of the civil space software base may differ in curation profile</w:t>
      </w:r>
      <w:r>
        <w:t xml:space="preserve"> </w:t>
      </w:r>
      <w:hyperlink w:anchor="ref-1">
        <w:r>
          <w:rPr>
            <w:rStyle w:val="Hyperlink"/>
          </w:rPr>
          <w:t xml:space="preserve">[1]</w:t>
        </w:r>
      </w:hyperlink>
      <w:r>
        <w:t xml:space="preserve">[3][4][9]. The second uses the matched design at the repository-release level and reports sensitivity to the matching protocol, the snapshot date for registry resolution, and the language-confounder treatment. This honors the cliometric and econometric literature’s mature standard for observational identification</w:t>
      </w:r>
      <w:r>
        <w:t xml:space="preserve"> </w:t>
      </w:r>
      <w:hyperlink w:anchor="ref-10">
        <w:r>
          <w:rPr>
            <w:rStyle w:val="Hyperlink"/>
          </w:rPr>
          <w:t xml:space="preserve">[10]</w:t>
        </w:r>
      </w:hyperlink>
      <w:r>
        <w:t xml:space="preserve">[11]. The third combines the dependency-footprint analysis with the time-to-disclosure analysis so that the substantive interpretation rests on two independent empirical objects rather than one. This honors the methodological record on triangulation as the principal defense against single-instrument bias</w:t>
      </w:r>
      <w:r>
        <w:t xml:space="preserve"> </w:t>
      </w:r>
      <w:hyperlink w:anchor="ref-12">
        <w:r>
          <w:rPr>
            <w:rStyle w:val="Hyperlink"/>
          </w:rPr>
          <w:t xml:space="preserve">[12]</w:t>
        </w:r>
      </w:hyperlink>
      <w:r>
        <w:t xml:space="preserve">[13][17].</w:t>
      </w:r>
    </w:p>
    <w:bookmarkEnd w:id="78"/>
    <w:bookmarkStart w:id="79" w:name="X881060fcd4e655e1dfcba0d53623420e061fb2e"/>
    <w:p>
      <w:pPr>
        <w:pStyle w:val="Heading2"/>
        <w:spacing w:line="480" w:lineRule="auto"/>
      </w:pPr>
      <w:r>
        <w:t xml:space="preserve">2.5 The Two Completed Research Papers Inside the Synthesized Literature</w:t>
      </w:r>
    </w:p>
    <w:p>
      <w:pPr>
        <w:pStyle w:val="FirstParagraph"/>
        <w:spacing w:line="480" w:lineRule="auto"/>
      </w:pPr>
      <w:r>
        <w:t xml:space="preserve">Inside the synthesis, the first completed research paper, on the OLS test of the per-line transitive dependency footprint of open mission software against matched scientific software, sits as the controlled comparative test of the curation-versus-inheritance question.</w:t>
      </w:r>
    </w:p>
    <w:p>
      <w:pPr>
        <w:pStyle w:val="BodyText"/>
        <w:spacing w:line="480" w:lineRule="auto"/>
        <w:ind w:firstLine="720"/>
      </w:pPr>
      <w:r>
        <w:t xml:space="preserve">Its headline result is a non-rejection of the null in the direction of inheritance rather than curation, with the codebase-size coefficient carrying the principal detectable signal in the sample. That finding is consistent with what the domain technical literature predicts about the convergence of open mission software onto the surrounding scientific software ecosystem once a mainstream language and a public registry are adopted</w:t>
      </w:r>
      <w:r>
        <w:t xml:space="preserve"> </w:t>
      </w:r>
      <w:hyperlink w:anchor="ref-2">
        <w:r>
          <w:rPr>
            <w:rStyle w:val="Hyperlink"/>
          </w:rPr>
          <w:t xml:space="preserve">[2]</w:t>
        </w:r>
      </w:hyperlink>
      <w:r>
        <w:t xml:space="preserve">[5][6][8], and with what the methodology literature predicts about the residual signal a treatment indicator can carry once size controls enter the specification</w:t>
      </w:r>
      <w:r>
        <w:t xml:space="preserve"> </w:t>
      </w:r>
      <w:hyperlink w:anchor="ref-10">
        <w:r>
          <w:rPr>
            <w:rStyle w:val="Hyperlink"/>
          </w:rPr>
          <w:t xml:space="preserve">[10]</w:t>
        </w:r>
      </w:hyperlink>
      <w:r>
        <w:t xml:space="preserve">[11]. Within-mission heterogeneity, which the paper identifies with cFS and Basilisk at the low end and COSMOS, Yamcs, and poliastro at the high end, is the actionable finding for mission assurance policy and the substantive answer the synthesized literature has not previously delivered.</w:t>
      </w:r>
    </w:p>
    <w:p>
      <w:pPr>
        <w:pStyle w:val="BodyText"/>
        <w:spacing w:line="480" w:lineRule="auto"/>
        <w:ind w:firstLine="720"/>
      </w:pPr>
      <w:r>
        <w:t xml:space="preserve">The second completed research paper, on the Cox proportional-hazards analysis of time to first disclosure across the transitive dependency tree, sits as the censoring-aware test of the observation-versus-risk question in the deep transitive ring.</w:t>
      </w:r>
    </w:p>
    <w:p>
      <w:pPr>
        <w:pStyle w:val="BodyText"/>
        <w:spacing w:line="480" w:lineRule="auto"/>
        <w:ind w:firstLine="720"/>
      </w:pPr>
      <w:r>
        <w:t xml:space="preserve">Its headline result is a substantively large but statistically imprecise hazard ratio on the direct-in-mission indicator, a small and imprecise positive coefficient on log-downloads, and a small and imprecise negative coefficient on mission stack depth</w:t>
      </w:r>
      <w:r>
        <w:t xml:space="preserve"> </w:t>
      </w:r>
      <w:hyperlink w:anchor="ref-12">
        <w:r>
          <w:rPr>
            <w:rStyle w:val="Hyperlink"/>
          </w:rPr>
          <w:t xml:space="preserve">[12]</w:t>
        </w:r>
      </w:hyperlink>
      <w:r>
        <w:t xml:space="preserve">[13][17]. Every coefficient runs in the direction the domain-literature theory would predict</w:t>
      </w:r>
      <w:r>
        <w:t xml:space="preserve"> </w:t>
      </w:r>
      <w:hyperlink w:anchor="ref-1">
        <w:r>
          <w:rPr>
            <w:rStyle w:val="Hyperlink"/>
          </w:rPr>
          <w:t xml:space="preserve">[1]</w:t>
        </w:r>
      </w:hyperlink>
      <w:r>
        <w:t xml:space="preserve">[3][4][16], and the imprecision is consistent with the sample size of 32 packages and 21 events that the operational reach of the dissertation could obtain at this stage. Substantively this means a mission integrator who reads a clean CVE record on a depth-three package should treat that record as weak evidence of safety rather than strong evidence of safety, because the same record is equally consistent with absent observation. That is the bridge claim the synthesized literature has not previously stated in a form the federal supply-chain governance record could act on</w:t>
      </w:r>
      <w:r>
        <w:t xml:space="preserve"> </w:t>
      </w:r>
      <w:hyperlink w:anchor="ref-16">
        <w:r>
          <w:rPr>
            <w:rStyle w:val="Hyperlink"/>
          </w:rPr>
          <w:t xml:space="preserve">[16]</w:t>
        </w:r>
      </w:hyperlink>
      <w:r>
        <w:t xml:space="preserve">.</w:t>
      </w:r>
    </w:p>
    <w:p>
      <w:pPr>
        <w:pStyle w:val="BodyText"/>
        <w:spacing w:line="480" w:lineRule="auto"/>
        <w:ind w:firstLine="720"/>
      </w:pPr>
      <w:r>
        <w:t xml:space="preserve">Read together, the two papers establish the empirical platform on which the rest of the dissertation builds. Chapter 3 extends the matched comparative design to the full mission-software population and to the preregistration commitments the prospectus develops. Chapter 4 extends the survival analysis to a wider population of transitive packages and to the commit-level fix telemetry the second research paper identified as the next-step instrument. Chapter 5 returns the integrated empirical platform to the policy question of how the federal supply-chain governance record should treat the open mission-software stack and locates the dissertation’s contribution inside that record</w:t>
      </w:r>
      <w:r>
        <w:t xml:space="preserve"> </w:t>
      </w:r>
      <w:hyperlink w:anchor="ref-3">
        <w:r>
          <w:rPr>
            <w:rStyle w:val="Hyperlink"/>
          </w:rPr>
          <w:t xml:space="preserve">[3]</w:t>
        </w:r>
      </w:hyperlink>
      <w:r>
        <w:t xml:space="preserve">[4][9][16]. Running through all three remaining chapters is the joinder between the domain technical literature and the cliometric and econometric methodology literature that this chapter has shown to be missing in the prior record and that the dissertation is designed to supply.</w:t>
      </w:r>
    </w:p>
    <w:bookmarkEnd w:id="79"/>
    <w:bookmarkEnd w:id="80"/>
    <w:bookmarkStart w:id="88" w:name="Xcfcc00a3ded59aed0c781c16bfc121f2a509603"/>
    <w:p>
      <w:pPr>
        <w:pStyle w:val="Heading1"/>
        <w:spacing w:line="480" w:lineRule="auto"/>
      </w:pPr>
      <w:r>
        <w:t xml:space="preserve">Chapter 3. Theoretical Framework and Hypotheses</w:t>
      </w:r>
    </w:p>
    <w:bookmarkStart w:id="81" w:name="overview"/>
    <w:p>
      <w:pPr>
        <w:pStyle w:val="Heading2"/>
        <w:spacing w:line="480" w:lineRule="auto"/>
      </w:pPr>
      <w:r>
        <w:t xml:space="preserve">3.1 Overview</w:t>
      </w:r>
    </w:p>
    <w:p>
      <w:pPr>
        <w:pStyle w:val="FirstParagraph"/>
        <w:spacing w:line="480" w:lineRule="auto"/>
      </w:pPr>
      <w:r>
        <w:t xml:space="preserve">This chapter builds the conceptual scaffolding that keeps the rest of the empirical work honest. What sits under the lens is the downstream dependency closure of open space mission software that actually flies, together with the attack surface that closure opens up.</w:t>
      </w:r>
    </w:p>
    <w:p>
      <w:pPr>
        <w:pStyle w:val="BodyText"/>
        <w:spacing w:line="480" w:lineRule="auto"/>
        <w:ind w:firstLine="720"/>
      </w:pPr>
      <w:r>
        <w:t xml:space="preserve">Two empirical papers already stand in this program, an ordinary least squares test of per-line downstream footprint and a Cox proportional hazards study of how long a package survives before its first public vulnerability disclosure; here they are recast as paired probes of one shared underlying mechanism rather than two errands run apart. Five moves carry the chapter. It plants the question inside the twin bodies of writing on space mission assurance and on software supply chain security. It spells out one mechanism, the curation-against-inheritance split, that leaves a readable mark in repository data. Off that mechanism it draws the formal locked-in hypotheses H0 and H1, and it names the side hypotheses that ride along with the main test. It lays out the assumptions under which the test actually pins the mechanism down. And it finishes by tying each empirical chapter to the construct it puts into practice.</w:t>
      </w:r>
    </w:p>
    <w:p>
      <w:pPr>
        <w:pStyle w:val="BodyText"/>
        <w:spacing w:line="480" w:lineRule="auto"/>
        <w:ind w:firstLine="720"/>
      </w:pPr>
      <w:r>
        <w:t xml:space="preserve">No new theory of supply chain risk comes out of this chapter. What comes out is a plain statement of when space mission software, taken as a whole population, would part in measurable ways from the open science ecosystem it depends on downstream, and when it would not. So the theoretical claim marks the edge of an effect, not the fact of one. That distinction earns its keep, because leaving H0 standing reads, in policy terms, nothing like knocking H0 down in favor of H1, and the dissertation is built so either verdict can be read cleanly.</w:t>
      </w:r>
    </w:p>
    <w:bookmarkEnd w:id="81"/>
    <w:bookmarkStart w:id="82" w:name="theoretical-setting"/>
    <w:p>
      <w:pPr>
        <w:pStyle w:val="Heading2"/>
        <w:spacing w:line="480" w:lineRule="auto"/>
      </w:pPr>
      <w:r>
        <w:t xml:space="preserve">3.2 Theoretical Setting</w:t>
      </w:r>
    </w:p>
    <w:p>
      <w:pPr>
        <w:pStyle w:val="FirstParagraph"/>
        <w:spacing w:line="480" w:lineRule="auto"/>
      </w:pPr>
      <w:r>
        <w:t xml:space="preserve">Two bodies of writing pen the inquiry in. First stands the space mission assurance and space cybersecurity record, which has long framed the safety of flight code, ground command and control, and sensor data pipelines as a matter of who gets access, whether a link is authenticated, and whether an intruder can be caught at the edge of the mission system</w:t>
      </w:r>
      <w:r>
        <w:t xml:space="preserve"> </w:t>
      </w:r>
      <w:hyperlink w:anchor="ref-1">
        <w:r>
          <w:rPr>
            <w:rStyle w:val="Hyperlink"/>
          </w:rPr>
          <w:t xml:space="preserve">[1]</w:t>
        </w:r>
      </w:hyperlink>
      <w:r>
        <w:t xml:space="preserve">[2]. Lately that record has started pushing the threat model past the edge and into what the software is actually made of. Allington and colleagues argue for a secure framework for space domain awareness in which provenance of analytic components is an architectural concern rather than a procurement footnote</w:t>
      </w:r>
      <w:r>
        <w:t xml:space="preserve"> </w:t>
      </w:r>
      <w:hyperlink w:anchor="ref-7">
        <w:r>
          <w:rPr>
            <w:rStyle w:val="Hyperlink"/>
          </w:rPr>
          <w:t xml:space="preserve">[7]</w:t>
        </w:r>
      </w:hyperlink>
      <w:r>
        <w:t xml:space="preserve">[24]. Reed, Tsamis, and Dailey carry the same logic to stakeholder coordination across the space traffic management community, observing that any decentralized analytic capability inherits the trust posture of the software that implements it</w:t>
      </w:r>
      <w:r>
        <w:t xml:space="preserve"> </w:t>
      </w:r>
      <w:hyperlink w:anchor="ref-18">
        <w:r>
          <w:rPr>
            <w:rStyle w:val="Hyperlink"/>
          </w:rPr>
          <w:t xml:space="preserve">[18]</w:t>
        </w:r>
      </w:hyperlink>
      <w:r>
        <w:t xml:space="preserve">[22]. The SNARE work on decentralized sensor tasking, and the more recent work on AI-enabled space battle management on the Space Protocol quantum-resilient blockchain, both expose one underlying point: as the analytic stack of space operations becomes a composition of third-party components, the trust boundary of the mission moves inward from the network into the package manager</w:t>
      </w:r>
      <w:r>
        <w:t xml:space="preserve"> </w:t>
      </w:r>
      <w:hyperlink w:anchor="ref-19">
        <w:r>
          <w:rPr>
            <w:rStyle w:val="Hyperlink"/>
          </w:rPr>
          <w:t xml:space="preserve">[19]</w:t>
        </w:r>
      </w:hyperlink>
      <w:r>
        <w:t xml:space="preserve">[20]. Furlich and colleagues make the operational version concrete with their federated protect-and-defend battle management exercise on civilian launches, since the live exercise system inherits the dependency tree of the open source frameworks on which it was built</w:t>
      </w:r>
      <w:r>
        <w:t xml:space="preserve"> </w:t>
      </w:r>
      <w:hyperlink w:anchor="ref-25">
        <w:r>
          <w:rPr>
            <w:rStyle w:val="Hyperlink"/>
          </w:rPr>
          <w:t xml:space="preserve">[25]</w:t>
        </w:r>
      </w:hyperlink>
      <w:r>
        <w:t xml:space="preserve">. Kelly’s earlier treatment of the integration of machine learning into space operations anticipated the same drift in framing, though at the time the dependency problem was still latent rather than visible</w:t>
      </w:r>
      <w:r>
        <w:t xml:space="preserve"> </w:t>
      </w:r>
      <w:hyperlink w:anchor="ref-21">
        <w:r>
          <w:rPr>
            <w:rStyle w:val="Hyperlink"/>
          </w:rPr>
          <w:t xml:space="preserve">[21]</w:t>
        </w:r>
      </w:hyperlink>
      <w:r>
        <w:t xml:space="preserve">.</w:t>
      </w:r>
    </w:p>
    <w:p>
      <w:pPr>
        <w:pStyle w:val="BodyText"/>
        <w:spacing w:line="480" w:lineRule="auto"/>
        <w:ind w:firstLine="720"/>
      </w:pPr>
      <w:r>
        <w:t xml:space="preserve">Second is the broader software supply chain security record, anchored for federal policy purposes by the Government Accountability Office’s identification of software supply chain compromise as a top-tier cybersecurity risk requiring registry-scale provenance controls</w:t>
      </w:r>
      <w:r>
        <w:t xml:space="preserve"> </w:t>
      </w:r>
      <w:hyperlink w:anchor="ref-16">
        <w:r>
          <w:rPr>
            <w:rStyle w:val="Hyperlink"/>
          </w:rPr>
          <w:t xml:space="preserve">[16]</w:t>
        </w:r>
      </w:hyperlink>
      <w:r>
        <w:t xml:space="preserve">. Supporting that record is the empirical infrastructure of the National Vulnerability Database, which catalogs public common vulnerability and exposure disclosures and provides the right-censored event history on which the survival-analytic work rests</w:t>
      </w:r>
      <w:r>
        <w:t xml:space="preserve"> </w:t>
      </w:r>
      <w:hyperlink w:anchor="ref-14">
        <w:r>
          <w:rPr>
            <w:rStyle w:val="Hyperlink"/>
          </w:rPr>
          <w:t xml:space="preserve">[14]</w:t>
        </w:r>
      </w:hyperlink>
      <w:r>
        <w:t xml:space="preserve">, together with the Python Package Index download telemetry that proxies for ecosystem exposure</w:t>
      </w:r>
      <w:r>
        <w:t xml:space="preserve"> </w:t>
      </w:r>
      <w:hyperlink w:anchor="ref-15">
        <w:r>
          <w:rPr>
            <w:rStyle w:val="Hyperlink"/>
          </w:rPr>
          <w:t xml:space="preserve">[15]</w:t>
        </w:r>
      </w:hyperlink>
      <w:r>
        <w:t xml:space="preserve">. Reasoning about time to first disclosure in censored event data draws on the Cox proportional hazards framework and the broader statistical machinery of failure-time analysis</w:t>
      </w:r>
      <w:r>
        <w:t xml:space="preserve"> </w:t>
      </w:r>
      <w:hyperlink w:anchor="ref-12">
        <w:r>
          <w:rPr>
            <w:rStyle w:val="Hyperlink"/>
          </w:rPr>
          <w:t xml:space="preserve">[12]</w:t>
        </w:r>
      </w:hyperlink>
      <w:r>
        <w:t xml:space="preserve">[13][17]. These two literatures, the mission assurance record and the supply chain security record, share an object of concern but have not until now shared a measurement protocol.</w:t>
      </w:r>
    </w:p>
    <w:p>
      <w:pPr>
        <w:pStyle w:val="BodyText"/>
        <w:spacing w:line="480" w:lineRule="auto"/>
        <w:ind w:firstLine="720"/>
      </w:pPr>
      <w:r>
        <w:t xml:space="preserve">A third literature, more diffuse but important for framing the policy stakes, runs through the Acta Astronautica record on the industrial composition of the contemporary space economy and through the space economy reference set on the architectural and socio-technological transformation of space-use norms</w:t>
      </w:r>
      <w:r>
        <w:t xml:space="preserve"> </w:t>
      </w:r>
      <w:hyperlink w:anchor="ref-3">
        <w:r>
          <w:rPr>
            <w:rStyle w:val="Hyperlink"/>
          </w:rPr>
          <w:t xml:space="preserve">[3]</w:t>
        </w:r>
      </w:hyperlink>
      <w:r>
        <w:t xml:space="preserve">[4][9].</w:t>
      </w:r>
    </w:p>
    <w:p>
      <w:pPr>
        <w:pStyle w:val="BodyText"/>
        <w:spacing w:line="480" w:lineRule="auto"/>
        <w:ind w:firstLine="720"/>
      </w:pPr>
      <w:r>
        <w:t xml:space="preserve">Moving from bespoke vendor-isolated avionics to composable open source mission stacks is part of the same trajectory Denis and colleagues describe in their account of the move from new space to big space, where commercial composition pressures have rewritten what counts as the integrator’s responsibility</w:t>
      </w:r>
      <w:r>
        <w:t xml:space="preserve"> </w:t>
      </w:r>
      <w:hyperlink w:anchor="ref-26">
        <w:r>
          <w:rPr>
            <w:rStyle w:val="Hyperlink"/>
          </w:rPr>
          <w:t xml:space="preserve">[26]</w:t>
        </w:r>
      </w:hyperlink>
      <w:r>
        <w:t xml:space="preserve">. Earth observation product-service strategy, additive manufacturing in spacecraft components, and location-routing analyses of resource supply chains all approach the same underlying question of how a space program acquires and integrates components it did not itself design</w:t>
      </w:r>
      <w:r>
        <w:t xml:space="preserve"> </w:t>
      </w:r>
      <w:hyperlink w:anchor="ref-28">
        <w:r>
          <w:rPr>
            <w:rStyle w:val="Hyperlink"/>
          </w:rPr>
          <w:t xml:space="preserve">[28]</w:t>
        </w:r>
      </w:hyperlink>
      <w:r>
        <w:t xml:space="preserve">[29][30]. McKeown and colleagues extend the same logic into the economic register in their framing of how potential space resources markets should be evaluated</w:t>
      </w:r>
      <w:r>
        <w:t xml:space="preserve"> </w:t>
      </w:r>
      <w:hyperlink w:anchor="ref-27">
        <w:r>
          <w:rPr>
            <w:rStyle w:val="Hyperlink"/>
          </w:rPr>
          <w:t xml:space="preserve">[27]</w:t>
        </w:r>
      </w:hyperlink>
      <w:r>
        <w:t xml:space="preserve">. At the software layer, the software supply chain is the analytic limit of this trend: every transitive package version that resolves into a release of a flight executive or a ground console is a procurement decision the integrator made implicitly by accepting the manifest of a top-level dependency.</w:t>
      </w:r>
    </w:p>
    <w:bookmarkEnd w:id="82"/>
    <w:bookmarkStart w:id="83" w:name="X48e4ddbc053f5e43ebe58425e108930e46fe5cf"/>
    <w:p>
      <w:pPr>
        <w:pStyle w:val="Heading2"/>
        <w:spacing w:line="480" w:lineRule="auto"/>
      </w:pPr>
      <w:r>
        <w:t xml:space="preserve">3.3 The Mechanism: Curation Against Inheritance</w:t>
      </w:r>
    </w:p>
    <w:p>
      <w:pPr>
        <w:pStyle w:val="FirstParagraph"/>
        <w:spacing w:line="480" w:lineRule="auto"/>
      </w:pPr>
      <w:r>
        <w:t xml:space="preserve">Sitting at the theoretical heart of the dissertation is a face-off between two mechanisms, either of which could have produced the dependency closures we actually see in open space mission software. Curation comes first.</w:t>
      </w:r>
    </w:p>
    <w:p>
      <w:pPr>
        <w:pStyle w:val="BodyText"/>
        <w:spacing w:line="480" w:lineRule="auto"/>
        <w:ind w:firstLine="720"/>
      </w:pPr>
      <w:r>
        <w:t xml:space="preserve">On the curation reading, three pressures bear down on mission code that do not press on general-purpose science code with anything like the same force. Tight change-control practice, handed down from the aerospace software qualification tradition, charges the integrator a toll for every dependency, paid out in documentation, regression testing, and qualification paperwork. Export-control caution fences off which upstream maintainers and which downstream components are allowed at all, shrinking the pool of registry material the project may fish from. A mission assurance review sets a gate where any proposed new dependency has to earn its place against the option of building the same capability inline or writing it outright. Stacked together, these pressures forecast that, holding codebase size and declared dependency count fixed, an open mission release will drag a slimmer downstream closure behind it than an otherwise like-for-like science release. Curation, in short, leaves a negative residual on a mission flag when per-kSLOC closure size is regressed on size and declared dependency count.</w:t>
      </w:r>
    </w:p>
    <w:p>
      <w:pPr>
        <w:pStyle w:val="BodyText"/>
        <w:spacing w:line="480" w:lineRule="auto"/>
        <w:ind w:firstLine="720"/>
      </w:pPr>
      <w:r>
        <w:t xml:space="preserve">Inheritance is the rival mechanism. On the inheritance reading, the moment a mission project picks up a mainstream language and a public registry, its dependency tree fills with edges the project never chose.</w:t>
      </w:r>
    </w:p>
    <w:p>
      <w:pPr>
        <w:pStyle w:val="BodyText"/>
        <w:spacing w:line="480" w:lineRule="auto"/>
        <w:ind w:firstLine="720"/>
      </w:pPr>
      <w:r>
        <w:t xml:space="preserve">Lean on one numerical library and you inherit that library’s whole tree, which the mission project never picked over or signed off. Tight change-control reaches the visible crown of the tree but has no purchase on the recursive tail below it. On this reading the mission flag should carry no residual worth detecting once size and declared dependency count are pinned, since the registry’s own resolution rules fix the closure regardless of whatever cultural stance the integrator strikes. Told at the surface, the two mechanisms forecast the same headline tie between mission status and a lean footprint, because mission code does tend to declare fewer direct dependencies than science code; they split only on the residual once declared dependency count is conditioned on. That split is the hinge the dissertation’s whole empirical strategy swings on.</w:t>
      </w:r>
    </w:p>
    <w:p>
      <w:pPr>
        <w:pStyle w:val="BodyText"/>
        <w:spacing w:line="480" w:lineRule="auto"/>
        <w:ind w:firstLine="720"/>
      </w:pPr>
      <w:r>
        <w:t xml:space="preserve">A second readable mark of the split shows up in how long individual packages inside the closure last before their first vulnerability disclosure. Should curation be at work, mission integrators pour their attention onto the direct dependencies, which by the theory run a steeper hazard of first disclosure at equal hidden vulnerability, simply because more eyes rest on packages a change-control board has waved through. Depth in the tree then picks up a negative hazard coefficient, since packages buried deeper sit out of the integrator’s line of sight, and burial in the open source supply chain damps disclosure rather than the underlying flaw</w:t>
      </w:r>
      <w:r>
        <w:t xml:space="preserve"> </w:t>
      </w:r>
      <w:hyperlink w:anchor="ref-16">
        <w:r>
          <w:rPr>
            <w:rStyle w:val="Hyperlink"/>
          </w:rPr>
          <w:t xml:space="preserve">[16]</w:t>
        </w:r>
      </w:hyperlink>
      <w:r>
        <w:t xml:space="preserve">. Should inheritance be at work instead, a package’s mission status tells you nothing extra about hazard once download reach and depth are held fixed, because the registry handles every package alike and disclosure effort tracks raw popularity, not mission relevance</w:t>
      </w:r>
      <w:r>
        <w:t xml:space="preserve"> </w:t>
      </w:r>
      <w:hyperlink w:anchor="ref-14">
        <w:r>
          <w:rPr>
            <w:rStyle w:val="Hyperlink"/>
          </w:rPr>
          <w:t xml:space="preserve">[14]</w:t>
        </w:r>
      </w:hyperlink>
      <w:r>
        <w:t xml:space="preserve">[15].</w:t>
      </w:r>
    </w:p>
    <w:bookmarkEnd w:id="83"/>
    <w:bookmarkStart w:id="84" w:name="formal-hypotheses"/>
    <w:p>
      <w:pPr>
        <w:pStyle w:val="Heading2"/>
        <w:spacing w:line="480" w:lineRule="auto"/>
      </w:pPr>
      <w:r>
        <w:t xml:space="preserve">3.4 Formal Hypotheses</w:t>
      </w:r>
    </w:p>
    <w:p>
      <w:pPr>
        <w:pStyle w:val="FirstParagraph"/>
        <w:spacing w:line="480" w:lineRule="auto"/>
      </w:pPr>
      <w:r>
        <w:t xml:space="preserve">The dissertation tests two things at once. It tests one preregistered central hypothesis on a matched sample of repository-releases. It tests one preregistered auxiliary hypothesis on a panel of packages drawn from the transitive closure of operational mission software.</w:t>
      </w:r>
    </w:p>
    <w:p>
      <w:pPr>
        <w:pStyle w:val="BodyText"/>
        <w:spacing w:line="480" w:lineRule="auto"/>
        <w:ind w:firstLine="720"/>
      </w:pPr>
      <w:r>
        <w:rPr>
          <w:b/>
          <w:bCs/>
        </w:rPr>
        <w:t xml:space="preserve">H0 (central, null).</w:t>
      </w:r>
      <w:r>
        <w:t xml:space="preserve"> </w:t>
      </w:r>
      <w:r>
        <w:t xml:space="preserve">In a regression of per kSLOC transitive dependency count on codebase size, direct dependency count, and a mission software indicator, the coefficient on the mission software indicator is zero.</w:t>
      </w:r>
    </w:p>
    <w:p>
      <w:pPr>
        <w:pStyle w:val="BodyText"/>
        <w:spacing w:line="480" w:lineRule="auto"/>
        <w:ind w:firstLine="720"/>
      </w:pPr>
      <w:r>
        <w:rPr>
          <w:b/>
          <w:bCs/>
        </w:rPr>
        <w:t xml:space="preserve">H1 (central, alternative).</w:t>
      </w:r>
      <w:r>
        <w:t xml:space="preserve"> </w:t>
      </w:r>
      <w:r>
        <w:t xml:space="preserve">In the same regression, the coefficient on the mission software indicator is strictly negative.</w:t>
      </w:r>
    </w:p>
    <w:p>
      <w:pPr>
        <w:pStyle w:val="BodyText"/>
        <w:spacing w:line="480" w:lineRule="auto"/>
        <w:ind w:firstLine="720"/>
      </w:pPr>
      <w:r>
        <w:t xml:space="preserve">One-sided by design, the central hypothesis fixes the direction of the alternative in advance through the curation mechanism articulated above. A rejection of H0 in favor of H1 supports the curation reading and bounds the SBOM coverage problem for the open mission software population. A failure to reject H0, or a rejection of H0 against the direction of H1, supports the inheritance reading and reframes mission assurance policy at registry scale.</w:t>
      </w:r>
    </w:p>
    <w:p>
      <w:pPr>
        <w:pStyle w:val="BodyText"/>
        <w:spacing w:line="480" w:lineRule="auto"/>
        <w:ind w:firstLine="720"/>
      </w:pPr>
      <w:r>
        <w:t xml:space="preserve">Two auxiliary hypotheses travel with the central test. Both concern the package-level hazard of first public vulnerability disclosure.</w:t>
      </w:r>
    </w:p>
    <w:p>
      <w:pPr>
        <w:pStyle w:val="BodyText"/>
        <w:spacing w:line="480" w:lineRule="auto"/>
        <w:ind w:firstLine="720"/>
      </w:pPr>
      <w:r>
        <w:rPr>
          <w:b/>
          <w:bCs/>
        </w:rPr>
        <w:t xml:space="preserve">H2 (auxiliary).</w:t>
      </w:r>
      <w:r>
        <w:t xml:space="preserve"> </w:t>
      </w:r>
      <w:r>
        <w:t xml:space="preserve">In a Cox proportional hazards model of time from first public release of a package to first NVD disclosure, the coefficient on a direct in mission indicator is strictly positive after conditioning on the natural logarithm of monthly downloads and on mission stack depth.</w:t>
      </w:r>
    </w:p>
    <w:p>
      <w:pPr>
        <w:pStyle w:val="BodyText"/>
        <w:spacing w:line="480" w:lineRule="auto"/>
        <w:ind w:firstLine="720"/>
      </w:pPr>
      <w:r>
        <w:rPr>
          <w:b/>
          <w:bCs/>
        </w:rPr>
        <w:t xml:space="preserve">H3 (auxiliary).</w:t>
      </w:r>
      <w:r>
        <w:t xml:space="preserve"> </w:t>
      </w:r>
      <w:r>
        <w:t xml:space="preserve">In the same Cox model, the coefficient on mission stack depth is strictly negative.</w:t>
      </w:r>
    </w:p>
    <w:p>
      <w:pPr>
        <w:pStyle w:val="BodyText"/>
        <w:spacing w:line="480" w:lineRule="auto"/>
        <w:ind w:firstLine="720"/>
      </w:pPr>
      <w:r>
        <w:t xml:space="preserve">H2 captures the visibility prediction of the curation mechanism at the package level. H3 captures the obscurity-censoring prediction. Both are one-sided. Under the curation reading the two auxiliary hypotheses are designed to succeed jointly; under the inheritance reading they are designed to fail jointly, though the modest event count available in the public NVD record for the closure of open mission software limits the statistical power of either auxiliary test in isolation.</w:t>
      </w:r>
    </w:p>
    <w:p>
      <w:pPr>
        <w:pStyle w:val="BodyText"/>
        <w:spacing w:line="480" w:lineRule="auto"/>
        <w:ind w:firstLine="720"/>
      </w:pPr>
      <w:r>
        <w:t xml:space="preserve">The three hypotheses do not sit level with one another. The central one is where the dissertation stakes its falsifiable claim. The side pair only lends weight. Leave H0 standing while H2 and H3 lean the predicted way at p-values that fall short of significance, and you read thin support for the inheritance account with some haze left over. Knock H0 down toward H1 while H2 and H3 lean the predicted way, and you read firm joint support for the curation account.</w:t>
      </w:r>
    </w:p>
    <w:bookmarkEnd w:id="84"/>
    <w:bookmarkStart w:id="85" w:name="identifying-assumptions"/>
    <w:p>
      <w:pPr>
        <w:pStyle w:val="Heading2"/>
        <w:spacing w:line="480" w:lineRule="auto"/>
      </w:pPr>
      <w:r>
        <w:t xml:space="preserve">3.5 Identifying Assumptions</w:t>
      </w:r>
    </w:p>
    <w:p>
      <w:pPr>
        <w:pStyle w:val="FirstParagraph"/>
        <w:spacing w:line="480" w:lineRule="auto"/>
      </w:pPr>
      <w:r>
        <w:t xml:space="preserve">Three assumptions have to hold before the central test can count as a test of curation. Manifest completeness leads: whatever the manifest declares at a release tag is the whole roster of dependencies the project actually pulls when it installs.</w:t>
      </w:r>
    </w:p>
    <w:p>
      <w:pPr>
        <w:pStyle w:val="BodyText"/>
        <w:spacing w:line="480" w:lineRule="auto"/>
        <w:ind w:firstLine="720"/>
      </w:pPr>
      <w:r>
        <w:t xml:space="preserve">A project that folds dependencies in by hand, one that lifts source from another project through a submodule pinned to a commit hash instead of a published release included, would wear a falsely tidy look and would tug the estimated mission coefficient downward. The fix on the ground is a vendored-code detector run over each repository plus a sensitivity band around the central estimate. Registry stability follows: the metadata the PyPI JSON API or its counterpart hands back on the resolution date is a faithful likeness of the package-version graph as it stood on the release date. Yanked releases and after-the-fact metadata edits are familiar engines of registry drift</w:t>
      </w:r>
      <w:r>
        <w:t xml:space="preserve"> </w:t>
      </w:r>
      <w:hyperlink w:anchor="ref-11">
        <w:r>
          <w:rPr>
            <w:rStyle w:val="Hyperlink"/>
          </w:rPr>
          <w:t xml:space="preserve">[11]</w:t>
        </w:r>
      </w:hyperlink>
      <w:r>
        <w:t xml:space="preserve">, and the fix is to nail the historical resolver to one snapshot date and report how much the snapshot could sway things.</w:t>
      </w:r>
    </w:p>
    <w:p>
      <w:pPr>
        <w:pStyle w:val="BodyText"/>
        <w:spacing w:line="480" w:lineRule="auto"/>
        <w:ind w:firstLine="720"/>
      </w:pPr>
      <w:r>
        <w:t xml:space="preserve">Language exchangeability is the third assumption: the dependency resolution semantics of the language ecosystems represented in the sample do not interact with the mission status indicator so as to produce an apparent curation effect that is in fact a language effect.</w:t>
      </w:r>
    </w:p>
    <w:p>
      <w:pPr>
        <w:pStyle w:val="BodyText"/>
        <w:spacing w:line="480" w:lineRule="auto"/>
        <w:ind w:firstLine="720"/>
      </w:pPr>
      <w:r>
        <w:t xml:space="preserve">Mission software in the open population skews toward C and Java relative to the Python skew of the scientific population, and the dependency resolution semantics of those ecosystems differ. The mitigation is the inclusion of language indicators as controls in the robustness specification and the use of a generalized linear model with a negative binomial link as a sensitivity analysis on the raw transitive count, with codebase size as an offset</w:t>
      </w:r>
      <w:r>
        <w:t xml:space="preserve"> </w:t>
      </w:r>
      <w:hyperlink w:anchor="ref-10">
        <w:r>
          <w:rPr>
            <w:rStyle w:val="Hyperlink"/>
          </w:rPr>
          <w:t xml:space="preserve">[10]</w:t>
        </w:r>
      </w:hyperlink>
      <w:r>
        <w:t xml:space="preserve">[11]. Two further assumptions apply to the auxiliary hypotheses. The Cox model requires the proportional hazards assumption, that the ratio of hazards across the levels of any covariate is constant in time</w:t>
      </w:r>
      <w:r>
        <w:t xml:space="preserve"> </w:t>
      </w:r>
      <w:hyperlink w:anchor="ref-12">
        <w:r>
          <w:rPr>
            <w:rStyle w:val="Hyperlink"/>
          </w:rPr>
          <w:t xml:space="preserve">[12]</w:t>
        </w:r>
      </w:hyperlink>
      <w:r>
        <w:t xml:space="preserve">[13], and tests of that assumption based on scaled Schoenfeld residuals are reported in the empirical chapter. The NVD record is taken as an unbiased measurement of first public disclosure of a vulnerability, an assumption the supply chain governance literature itself has called into question</w:t>
      </w:r>
      <w:r>
        <w:t xml:space="preserve"> </w:t>
      </w:r>
      <w:hyperlink w:anchor="ref-16">
        <w:r>
          <w:rPr>
            <w:rStyle w:val="Hyperlink"/>
          </w:rPr>
          <w:t xml:space="preserve">[16]</w:t>
        </w:r>
      </w:hyperlink>
      <w:r>
        <w:t xml:space="preserve">[17].</w:t>
      </w:r>
    </w:p>
    <w:bookmarkEnd w:id="85"/>
    <w:bookmarkStart w:id="86" w:name="X931db577c0349fd0b2f91e924db0c7ad3acc128"/>
    <w:p>
      <w:pPr>
        <w:pStyle w:val="Heading2"/>
        <w:spacing w:line="480" w:lineRule="auto"/>
      </w:pPr>
      <w:r>
        <w:t xml:space="preserve">3.6 Mapping the Mechanism to the Empirical Chapters</w:t>
      </w:r>
    </w:p>
    <w:p>
      <w:pPr>
        <w:pStyle w:val="FirstParagraph"/>
        <w:spacing w:line="480" w:lineRule="auto"/>
      </w:pPr>
      <w:r>
        <w:t xml:space="preserve">Three empirical chapters operationalize the mechanism articulated here. The first, already prepared as Paper 1 of the dissertation portfolio, executes the central test through an ordinary least squares specification on a sample of repository-releases drawn from four operational mission software projects, NASA core Flight System, OpenC3 COSMOS, the European Space Agency Yamcs framework, and the AVS Lab Basilisk astrodynamics simulator, augmented by the poliastro mission analysis library, and matched against a scientific software baseline drawn from Astropy, SciPy, and NumPy. That paper’s headline finding, a non-rejection of H0 with a mission indicator point estimate that ran in the direction predicted by H1 but did not approach conventional significance, is read here as preliminary evidence in favor of the inheritance reading conditional on the small sample and the unbalanced language composition of the matched design.</w:t>
      </w:r>
    </w:p>
    <w:p>
      <w:pPr>
        <w:pStyle w:val="BodyText"/>
        <w:spacing w:line="480" w:lineRule="auto"/>
        <w:ind w:firstLine="720"/>
      </w:pPr>
      <w:r>
        <w:t xml:space="preserve">The second, already prepared as Paper 2 of the dissertation portfolio, executes the auxiliary test through a Cox proportional hazards model on a panel of thirty two open source packages drawn from the transitive closure of the same mission projects. Its headline finding, a substantively large hazard ratio of approximately three on the direct in mission indicator with a wide confidence interval that did not exclude zero, and a small negative coefficient on stack depth that ran in the direction predicted by H3 but at a non-significant p value, is read here as weak corroboration of the curation reading at the package level that does not, on its own, suffice to support the central hypothesis.</w:t>
      </w:r>
    </w:p>
    <w:p>
      <w:pPr>
        <w:pStyle w:val="BodyText"/>
        <w:spacing w:line="480" w:lineRule="auto"/>
        <w:ind w:firstLine="720"/>
      </w:pPr>
      <w:r>
        <w:t xml:space="preserve">The third empirical chapter, prospective to this dissertation, will combine the two readings by extending the central test to a larger sample of repository-releases that balances the language composition of the matched design and by extending the auxiliary test to a non-public disclosure signal drawn from commit-level fix telemetry. It will adopt the negative binomial robustness specification reserved in the prospectus and will report the test of the proportional hazards assumption for the extended Cox model. Against the joint pattern of central and auxiliary results, the combined test will determine whether the inheritance reading suggested by the preliminary central test or the curation reading suggested by the preliminary auxiliary test better fits the full body of evidence assembled by the dissertation.</w:t>
      </w:r>
    </w:p>
    <w:bookmarkEnd w:id="86"/>
    <w:bookmarkStart w:id="87" w:name="theoretical-closure"/>
    <w:p>
      <w:pPr>
        <w:pStyle w:val="Heading2"/>
        <w:spacing w:line="480" w:lineRule="auto"/>
      </w:pPr>
      <w:r>
        <w:t xml:space="preserve">3.7 Theoretical Closure</w:t>
      </w:r>
    </w:p>
    <w:p>
      <w:pPr>
        <w:pStyle w:val="FirstParagraph"/>
        <w:spacing w:line="480" w:lineRule="auto"/>
      </w:pPr>
      <w:r>
        <w:t xml:space="preserve">Nothing here amounts to a fresh theory of software supply chain risk. What the chapter has managed is to spell out, in language the empirical chapters can actually put to the test, when the open mission population would or would not pull away from the open science ecosystem it depends on downstream. Curation and inheritance, the two mechanisms framing the test, are lifted from the twin bodies of writing on mission assurance and supply chain security, and each stamps its own readable mark on the residuals of the regressions and survival models the dissertation runs. Standing as the falsifiable payoff is the locked-in central hypothesis H0, paired with its one-sided alternative H1. Riding alongside through the package-level hazard work are the side hypotheses H2 and H3, which back it up. The assumptions that let the central test read as a test of curation are put plainly on the table, and the empirical countermeasures against each threat are held back for the matching empirical chapters. Read the early evidence from Papers 1 and 2 side by side and inheritance edges ahead at the repository level while curation edges ahead at the package level, a rift the third empirical chapter is built to settle through an evened-out, larger sample and a disclosure signal that lives off the public record. Whichever reading wins, the space industrial base writing sets the policy stakes</w:t>
      </w:r>
      <w:r>
        <w:t xml:space="preserve"> </w:t>
      </w:r>
      <w:hyperlink w:anchor="ref-3">
        <w:r>
          <w:rPr>
            <w:rStyle w:val="Hyperlink"/>
          </w:rPr>
          <w:t xml:space="preserve">[3]</w:t>
        </w:r>
      </w:hyperlink>
      <w:r>
        <w:t xml:space="preserve">[4][9][26], and the mission assurance writing supplies the design vocabulary those stakes will be settled in</w:t>
      </w:r>
      <w:r>
        <w:t xml:space="preserve"> </w:t>
      </w:r>
      <w:hyperlink w:anchor="ref-18">
        <w:r>
          <w:rPr>
            <w:rStyle w:val="Hyperlink"/>
          </w:rPr>
          <w:t xml:space="preserve">[18]</w:t>
        </w:r>
      </w:hyperlink>
      <w:r>
        <w:t xml:space="preserve">[20][22][24][25].</w:t>
      </w:r>
    </w:p>
    <w:bookmarkEnd w:id="87"/>
    <w:bookmarkEnd w:id="88"/>
    <w:bookmarkStart w:id="98" w:name="chapter-4.-data-and-measurement"/>
    <w:p>
      <w:pPr>
        <w:pStyle w:val="Heading1"/>
        <w:spacing w:line="480" w:lineRule="auto"/>
      </w:pPr>
      <w:r>
        <w:t xml:space="preserve">Chapter 4. Data and Measurement</w:t>
      </w:r>
    </w:p>
    <w:bookmarkStart w:id="89" w:name="purpose-of-the-chapter"/>
    <w:p>
      <w:pPr>
        <w:pStyle w:val="Heading2"/>
        <w:spacing w:line="480" w:lineRule="auto"/>
      </w:pPr>
      <w:r>
        <w:t xml:space="preserve">4.1 Purpose of the Chapter</w:t>
      </w:r>
    </w:p>
    <w:p>
      <w:pPr>
        <w:pStyle w:val="FirstParagraph"/>
        <w:spacing w:line="480" w:lineRule="auto"/>
      </w:pPr>
      <w:r>
        <w:t xml:space="preserve">This chapter pins down the raw material the two earlier papers stand on and the coming chapters will build atop. Two datasets, each the other’s complement, hold the dissertation up, and they lean on one shared design idea.</w:t>
      </w:r>
    </w:p>
    <w:p>
      <w:pPr>
        <w:pStyle w:val="BodyText"/>
        <w:spacing w:line="480" w:lineRule="auto"/>
        <w:ind w:firstLine="720"/>
      </w:pPr>
      <w:r>
        <w:t xml:space="preserve">Both take the publicly hosted repository, frozen at one tagged release and read against one registry snapshot, as the smallest indivisible piece from which everything larger is stacked up. The dataset used in Paper 1 works at the repository-release and props up the ordinary-least-squares test of mission software’s per-line downstream footprint set against matched science software. The dataset used in Paper 2 cracks those same repository-releases open into their resolved downstream package-histories and props up the Cox proportional-hazards estimate of how long a package lasts before its first publicly disclosed flaw. Both files, then, trace back to the same repository-release atoms. Set down here are the populations, the authoritative records each variable is drawn from, the rules that assemble the unit of analysis, the resolution routine that yields the downstream closure, and the audit trail that lets an outsider rebuild any row of the file from primary records. The inferential model is not developed here, being held for Chapter 5, but the measurement properties any such model has to honor are fixed here.</w:t>
      </w:r>
    </w:p>
    <w:p>
      <w:pPr>
        <w:pStyle w:val="BodyText"/>
        <w:spacing w:line="480" w:lineRule="auto"/>
        <w:ind w:firstLine="720"/>
      </w:pPr>
      <w:r>
        <w:t xml:space="preserve">The presentation runs as follows. Section 4.2 defines the populations and explains why each repository is treated as a member of either the mission-software arm or the matched scientific-software control.</w:t>
      </w:r>
    </w:p>
    <w:p>
      <w:pPr>
        <w:pStyle w:val="BodyText"/>
        <w:spacing w:line="480" w:lineRule="auto"/>
        <w:ind w:firstLine="720"/>
      </w:pPr>
      <w:r>
        <w:t xml:space="preserve">Section 4.3 specifies the unit of analysis at the repository-release level and the rules used to enumerate tagged releases. Section 4.4 documents the authoritative source records for each variable, separating the GitHub-side records that fix the release and its declared manifest from the registry-side records that resolve the transitive closure. Section 4.5 sets out the construction of each variable in Paper 1’s analytic file. Section 4.6 does the same for Paper 2, including the survival-time variable, the event indicator, and the right-censoring rule. Section 4.7 explains how cases were treated where the underlying primary record could not be recovered within the time budget and where rows are accordingly flagged illustrative. Section 4.8 records measurement-error considerations and the steps taken to bound them. Section 4.9 closes with the data-provenance disclosures the COLLEGIUM data-provenance gate requires, including the explicit exclusion of internal MITRE or sponsor materials from the citable record.</w:t>
      </w:r>
    </w:p>
    <w:bookmarkEnd w:id="89"/>
    <w:bookmarkStart w:id="90" w:name="populations"/>
    <w:p>
      <w:pPr>
        <w:pStyle w:val="Heading2"/>
        <w:spacing w:line="480" w:lineRule="auto"/>
      </w:pPr>
      <w:r>
        <w:t xml:space="preserve">4.2 Populations</w:t>
      </w:r>
    </w:p>
    <w:p>
      <w:pPr>
        <w:pStyle w:val="FirstParagraph"/>
        <w:spacing w:line="480" w:lineRule="auto"/>
      </w:pPr>
      <w:r>
        <w:t xml:space="preserve">Paper 1 uses two populations. Four publicly hosted projects with documented operational use in civil space programs make up the mission-software population. NASA’s core Flight System, hosted at github.com/nasa/cFS, is a flight-grade real-time framework used as a baseline for instrument-level and platform-level flight executives.</w:t>
      </w:r>
    </w:p>
    <w:p>
      <w:pPr>
        <w:pStyle w:val="BodyText"/>
        <w:spacing w:line="480" w:lineRule="auto"/>
        <w:ind w:firstLine="720"/>
      </w:pPr>
      <w:r>
        <w:t xml:space="preserve">OpenC3 COSMOS, hosted at github.com/OpenC3/cosmos, is a ground-system command and telemetry tool descended from the Ball Aerospace COSMOS lineage. The European Space Agency Yamcs framework, hosted at github.com/yamcs/yamcs, is a mission-control framework with documented deployments at agency-scale operators. The University of Colorado AVS Lab Basilisk astrodynamics simulator, hosted at github.com/AVSLab/basilisk, is a research-grade simulation framework used in spacecraft autonomy studies. A fifth case, the poliastro mission-analysis library, is included as mission-adjacent to broaden language coverage in the matched design and to provide a Python-only counterpart to the four core mission projects. Inclusion of the fifth case is documented in the analysis log, and the sensitivity specification reported in Paper 1 reruns the test with poliastro excluded.</w:t>
      </w:r>
    </w:p>
    <w:p>
      <w:pPr>
        <w:pStyle w:val="BodyText"/>
        <w:spacing w:line="480" w:lineRule="auto"/>
        <w:ind w:firstLine="720"/>
      </w:pPr>
      <w:r>
        <w:t xml:space="preserve">Three projects supply the matched scientific-software population: Astropy at github.com/astropy/astropy, SciPy at github.com/scipy/scipy, and NumPy at github.com/numpy/numpy. To enter the matched population a project must satisfy three conditions. It must be primarily authored in a language that overlaps with the language distribution of the mission-software arm. It must maintain a tagged release history extending across at least the same window as the mission arm. And it must declare its dependencies in a machine-readable manifest that can be resolved against an open registry. Each of the three matched projects meets all three. Jointly they span the codebase-size bands the mission arm occupies, and the literature on cubesat avionics and ground-segment verification routinely cites them as the architectural reference set for the surrounding scientific software ecosystem</w:t>
      </w:r>
      <w:r>
        <w:t xml:space="preserve"> </w:t>
      </w:r>
      <w:hyperlink w:anchor="ref-5">
        <w:r>
          <w:rPr>
            <w:rStyle w:val="Hyperlink"/>
          </w:rPr>
          <w:t xml:space="preserve">[5]</w:t>
        </w:r>
      </w:hyperlink>
      <w:r>
        <w:t xml:space="preserve">[6].</w:t>
      </w:r>
    </w:p>
    <w:p>
      <w:pPr>
        <w:pStyle w:val="BodyText"/>
        <w:spacing w:line="480" w:lineRule="auto"/>
        <w:ind w:firstLine="720"/>
      </w:pPr>
      <w:r>
        <w:t xml:space="preserve">Paper 2 reuses the mission-software arm of Paper 1 but moves the unit of observation from the repository-release down to the package-history. Its population is therefore the union of the resolved transitive closures of the Core Flight System Python tooling chain, the Yamcs mission control system, the poliastro astrodynamics library, and the astropy scientific stack, restricted to packages for which a public release date and either a CVE record or a censoring decision could be established from authoritative public sources. The final Paper 2 sample contains 32 package-histories, of which 21 are observed first-disclosure events and 11 are right-censored at the October 2024 query cut-off</w:t>
      </w:r>
      <w:r>
        <w:t xml:space="preserve"> </w:t>
      </w:r>
      <w:hyperlink w:anchor="ref-14">
        <w:r>
          <w:rPr>
            <w:rStyle w:val="Hyperlink"/>
          </w:rPr>
          <w:t xml:space="preserve">[14]</w:t>
        </w:r>
      </w:hyperlink>
      <w:r>
        <w:t xml:space="preserve">.</w:t>
      </w:r>
    </w:p>
    <w:bookmarkEnd w:id="90"/>
    <w:bookmarkStart w:id="91" w:name="unit-of-analysis"/>
    <w:p>
      <w:pPr>
        <w:pStyle w:val="Heading2"/>
        <w:spacing w:line="480" w:lineRule="auto"/>
      </w:pPr>
      <w:r>
        <w:t xml:space="preserve">4.3 Unit of Analysis</w:t>
      </w:r>
    </w:p>
    <w:p>
      <w:pPr>
        <w:pStyle w:val="FirstParagraph"/>
        <w:spacing w:line="480" w:lineRule="auto"/>
      </w:pPr>
      <w:r>
        <w:t xml:space="preserve">Both papers act on one shared commitment: the empirical claim speaks to how a project was configured at one point in its release history, not to the project as some timeless object.</w:t>
      </w:r>
    </w:p>
    <w:p>
      <w:pPr>
        <w:pStyle w:val="BodyText"/>
        <w:spacing w:line="480" w:lineRule="auto"/>
        <w:ind w:firstLine="720"/>
      </w:pPr>
      <w:r>
        <w:t xml:space="preserve">Paper 1 sets the unit as the repository-release, meaning a tagged cut of a project’s primary branch carrying a manifest that resolves against an open registry. Its finished file holds 32 repository-releases spread over the eight projects in the two populations. A release qualifies if it was tagged between 2020 and 2026, is not a prerelease, and lets a manifest be parsed at its tree without anyone rebuilding it by hand. Any release that trips one of these tests is dropped. When a project’s tag history hands over more candidate cuts than the matched design has room for, the ones kept are chosen to reach across the whole span of that project’s history instead of bunching at any single date.</w:t>
      </w:r>
    </w:p>
    <w:p>
      <w:pPr>
        <w:pStyle w:val="BodyText"/>
        <w:spacing w:line="480" w:lineRule="auto"/>
        <w:ind w:firstLine="720"/>
      </w:pPr>
      <w:r>
        <w:t xml:space="preserve">Paper 2 fixes the unit of analysis as the package-history, defined as the timeline of a single open-source package from its first public release to either its first publicly disclosed common vulnerability and exposure record or the right-censoring date of the analysis. A package enters the sample if and only if it appears at any depth in the resolved transitive closure of at least one of the four projects in the Paper 2 population and if its first public release date and its disclosure or censoring date can be read from primary sources. Its atomic record is therefore not a release of a mission project but a release-history of a transitively included package. This distinction is fundamental to the survival framing, because the time at risk is the package’s own historical clock, not the integrator’s clock.</w:t>
      </w:r>
    </w:p>
    <w:bookmarkEnd w:id="91"/>
    <w:bookmarkStart w:id="92" w:name="authoritative-source-records"/>
    <w:p>
      <w:pPr>
        <w:pStyle w:val="Heading2"/>
        <w:spacing w:line="480" w:lineRule="auto"/>
      </w:pPr>
      <w:r>
        <w:t xml:space="preserve">4.4 Authoritative Source Records</w:t>
      </w:r>
    </w:p>
    <w:p>
      <w:pPr>
        <w:pStyle w:val="FirstParagraph"/>
        <w:spacing w:line="480" w:lineRule="auto"/>
      </w:pPr>
      <w:r>
        <w:t xml:space="preserve">Three classes of authoritative source record supply the variables in both papers. First is the GitHub-side record. Release tags, publication dates of those tags, and the tree of files at each tag come from the GitHub Releases API for each repository in the eight-project sample</w:t>
      </w:r>
      <w:r>
        <w:t xml:space="preserve"> </w:t>
      </w:r>
      <w:hyperlink w:anchor="ref-10">
        <w:r>
          <w:rPr>
            <w:rStyle w:val="Hyperlink"/>
          </w:rPr>
          <w:t xml:space="preserve">[10]</w:t>
        </w:r>
      </w:hyperlink>
      <w:r>
        <w:t xml:space="preserve">. The endpoint pattern follows the form api.github.com/repos/{owner}/{name}/releases and returns the tag name, the release timestamp, and the commit-ish to which the tag resolves. Each release row in the Paper 1 analytic file records the API endpoint from which it was retrieved, the tag name, and the date stamp, and the same endpoint provides the verification step for the corresponding tag on the main branch.</w:t>
      </w:r>
    </w:p>
    <w:p>
      <w:pPr>
        <w:pStyle w:val="BodyText"/>
        <w:spacing w:line="480" w:lineRule="auto"/>
        <w:ind w:firstLine="720"/>
      </w:pPr>
      <w:r>
        <w:t xml:space="preserve">Second is the manifest record at the release tag. Direct dependencies are read from the declared manifest at the tree corresponding to each tag. Which manifest file is selected depends on the project’s primary language and packaging system: .gitmodules for cFS, the Gemfile and openc3.gemspec for COSMOS, pom.xml for Yamcs, requirements.txt for Basilisk, and pyproject.toml for poliastro, Astropy, SciPy, and NumPy. The manifest is read from the same tree to which the release tag resolves on the GitHub side; a manifest from the project’s current head is never substituted for the historical manifest at the tagged release. That rule is necessary because dependency lists drift across releases, and any substitution of a current manifest for a historical one would introduce systematic bias in the direction of recent ecosystem conventions.</w:t>
      </w:r>
    </w:p>
    <w:p>
      <w:pPr>
        <w:pStyle w:val="BodyText"/>
        <w:spacing w:line="480" w:lineRule="auto"/>
        <w:ind w:firstLine="720"/>
      </w:pPr>
      <w:r>
        <w:t xml:space="preserve">Third is the registry record. Transitive closures are resolved against the registry corresponding to the project’s packaging system. For Python-based projects this is the Python Package Index JSON API, which exposes the dependency metadata of each package-version at the endpoint pypi.org/pypi/{package}/{version}/json</w:t>
      </w:r>
      <w:r>
        <w:t xml:space="preserve"> </w:t>
      </w:r>
      <w:hyperlink w:anchor="ref-11">
        <w:r>
          <w:rPr>
            <w:rStyle w:val="Hyperlink"/>
          </w:rPr>
          <w:t xml:space="preserve">[11]</w:t>
        </w:r>
      </w:hyperlink>
      <w:r>
        <w:t xml:space="preserve">.</w:t>
      </w:r>
    </w:p>
    <w:p>
      <w:pPr>
        <w:pStyle w:val="BodyText"/>
        <w:spacing w:line="480" w:lineRule="auto"/>
        <w:ind w:firstLine="720"/>
      </w:pPr>
      <w:r>
        <w:t xml:space="preserve">For Ruby projects the resolution proceeds through the bundler-emitted Gemfile.lock at the tagged release, which provides a closed resolution requiring no online re-querying of RubyGems. For Java projects it proceeds through the Maven POM at the tagged release, which provides a complete declared transitive tree. For the Paper 2 vulnerability variable, the authoritative source is the National Vulnerability Database hosted by the National Institute of Standards and Technology, queried in October 2024</w:t>
      </w:r>
      <w:r>
        <w:t xml:space="preserve"> </w:t>
      </w:r>
      <w:hyperlink w:anchor="ref-14">
        <w:r>
          <w:rPr>
            <w:rStyle w:val="Hyperlink"/>
          </w:rPr>
          <w:t xml:space="preserve">[14]</w:t>
        </w:r>
      </w:hyperlink>
      <w:r>
        <w:t xml:space="preserve">. Download-volume tiers used as a Paper 2 covariate are read from pypistats.org and from libraries.io tier reports accessed in the same window</w:t>
      </w:r>
      <w:r>
        <w:t xml:space="preserve"> </w:t>
      </w:r>
      <w:hyperlink w:anchor="ref-15">
        <w:r>
          <w:rPr>
            <w:rStyle w:val="Hyperlink"/>
          </w:rPr>
          <w:t xml:space="preserve">[15]</w:t>
        </w:r>
      </w:hyperlink>
      <w:r>
        <w:t xml:space="preserve">. The GAO Software Supply Chain report is cited as an authoritative statement of the obscurity-suppresses-disclosure mechanism, not as a source of measurement values</w:t>
      </w:r>
      <w:r>
        <w:t xml:space="preserve"> </w:t>
      </w:r>
      <w:hyperlink w:anchor="ref-16">
        <w:r>
          <w:rPr>
            <w:rStyle w:val="Hyperlink"/>
          </w:rPr>
          <w:t xml:space="preserve">[16]</w:t>
        </w:r>
      </w:hyperlink>
      <w:r>
        <w:t xml:space="preserve">.</w:t>
      </w:r>
    </w:p>
    <w:bookmarkEnd w:id="92"/>
    <w:bookmarkStart w:id="93" w:name="variable-construction-for-paper-1"/>
    <w:p>
      <w:pPr>
        <w:pStyle w:val="Heading2"/>
        <w:spacing w:line="480" w:lineRule="auto"/>
      </w:pPr>
      <w:r>
        <w:t xml:space="preserve">4.5 Variable Construction for Paper 1</w:t>
      </w:r>
    </w:p>
    <w:p>
      <w:pPr>
        <w:pStyle w:val="FirstParagraph"/>
        <w:spacing w:line="480" w:lineRule="auto"/>
      </w:pPr>
      <w:r>
        <w:t xml:space="preserve">For each of the 32 repository-releases, the Paper 1 analytic file carries the following variables. Transitive dependency count per kSLOC is the dependent variable. It is computed by dividing the cardinality of the resolved transitive closure at the tagged release by the codebase size at the same tag, where codebase size is measured in thousands of source lines of code. The transitive closure is enumerated by walking the directed acyclic graph rooted at the project’s declared direct dependencies and adding every distinct package-version reachable through any chain of declared dependency edges; the count excludes the project itself but includes every distinct transitive node. Codebase size at the tag is computed with a standard line counter applied to the tree at the tagged commit. Where a kSLOC value at a historical tag could not be directly recomputed under the time budget, the value is read from a published codebase audit for the closest available release and the row is flagged illustrative in the source column; flagged rows are held below fifteen percent of the analytic file.</w:t>
      </w:r>
    </w:p>
    <w:p>
      <w:pPr>
        <w:pStyle w:val="BodyText"/>
        <w:spacing w:line="480" w:lineRule="auto"/>
        <w:ind w:firstLine="720"/>
      </w:pPr>
      <w:r>
        <w:t xml:space="preserve">The mission-software indicator is the treatment variable. It takes the value one for releases belonging to cFS, COSMOS, Yamcs, Basilisk, or poliastro and the value zero for releases belonging to Astropy, SciPy, or NumPy. Because it is a project-level attribute applied to every release of the project, it does not vary within project. Codebase size in kSLOC is the first control variable, recorded at the same tag as the dependent variable. The direct-dependency count is the second, defined as the cardinality of the first ring of the dependency graph, that is, the number of distinct package-versions declared in the manifest at the tagged release without any transitive expansion. Jointly the two controls absorb the mechanical compression of per-line density in large projects and the declared selectivity of the maintainer in the manifest, which lets the residual mission-software coefficient be read as the curation effect net of those two channels.</w:t>
      </w:r>
    </w:p>
    <w:p>
      <w:pPr>
        <w:pStyle w:val="BodyText"/>
        <w:spacing w:line="480" w:lineRule="auto"/>
        <w:ind w:firstLine="720"/>
      </w:pPr>
      <w:r>
        <w:t xml:space="preserve">Beyond those, the analytic file carries, for each release, a source field that lists the GitHub endpoint and tag from which the release record was retrieved, the manifest file from which direct dependencies were parsed, the registry endpoint or lockfile from which transitive resolution proceeded, and the line counter and audit citation from which kSLOC was obtained. A row whose kSLOC value derives from a substituted audit value carries the illustrative flag in the source field. The intent of this provenance column is that any third party with access to the GitHub endpoints, the registry endpoints, and the line counter can in principle re-derive every row from primary records.</w:t>
      </w:r>
    </w:p>
    <w:bookmarkEnd w:id="93"/>
    <w:bookmarkStart w:id="94" w:name="variable-construction-for-paper-2"/>
    <w:p>
      <w:pPr>
        <w:pStyle w:val="Heading2"/>
        <w:spacing w:line="480" w:lineRule="auto"/>
      </w:pPr>
      <w:r>
        <w:t xml:space="preserve">4.6 Variable Construction for Paper 2</w:t>
      </w:r>
    </w:p>
    <w:p>
      <w:pPr>
        <w:pStyle w:val="FirstParagraph"/>
        <w:spacing w:line="480" w:lineRule="auto"/>
      </w:pPr>
      <w:r>
        <w:t xml:space="preserve">For each of the 32 package-histories in the Paper 2 sample, the Paper 2 analytic file carries the following variables. Survival time in Paper 2 is months from first public release of the package to either first publicly disclosed CVE record or right-censoring at the October 2024 NVD query date. First public release date is read from the package’s registry record, specifically from the earliest version timestamp returned by the PyPI JSON endpoint at pypi.org/pypi/{package}/json</w:t>
      </w:r>
      <w:r>
        <w:t xml:space="preserve"> </w:t>
      </w:r>
      <w:hyperlink w:anchor="ref-11">
        <w:r>
          <w:rPr>
            <w:rStyle w:val="Hyperlink"/>
          </w:rPr>
          <w:t xml:space="preserve">[11]</w:t>
        </w:r>
      </w:hyperlink>
      <w:r>
        <w:t xml:space="preserve">. First public CVE record date is read from the National Vulnerability Database entry for the package’s CPE, restricted to the earliest record whose affected-version range includes any release of the package in the observation window</w:t>
      </w:r>
      <w:r>
        <w:t xml:space="preserve"> </w:t>
      </w:r>
      <w:hyperlink w:anchor="ref-14">
        <w:r>
          <w:rPr>
            <w:rStyle w:val="Hyperlink"/>
          </w:rPr>
          <w:t xml:space="preserve">[14]</w:t>
        </w:r>
      </w:hyperlink>
      <w:r>
        <w:t xml:space="preserve">. The event indicator takes the value one for the 21 package-histories that experience a first CVE within the observation window and the value zero for the 11 that are right-censored at the cut-off.</w:t>
      </w:r>
    </w:p>
    <w:p>
      <w:pPr>
        <w:pStyle w:val="BodyText"/>
        <w:spacing w:line="480" w:lineRule="auto"/>
        <w:ind w:firstLine="720"/>
      </w:pPr>
      <w:r>
        <w:t xml:space="preserve">Three covariates carry the substantive load in Paper 2. The direct-in-mission indicator takes the value one for packages that appear in the first ring of at least one of the four Paper 2 mission projects’ resolved dependency graphs and the value zero for packages that appear only at depth two or deeper in every project’s tree. The log-downloads covariate is the natural logarithm of monthly downloads in the package-month tier reported by pypistats.org and libraries.io, taken from the tier closest to the package’s first observation in the analytic file and held constant across that package’s row</w:t>
      </w:r>
      <w:r>
        <w:t xml:space="preserve"> </w:t>
      </w:r>
      <w:hyperlink w:anchor="ref-15">
        <w:r>
          <w:rPr>
            <w:rStyle w:val="Hyperlink"/>
          </w:rPr>
          <w:t xml:space="preserve">[15]</w:t>
        </w:r>
      </w:hyperlink>
      <w:r>
        <w:t xml:space="preserve">. Mission stack depth is the minimum depth at which the package first enters the transitive tree of any of the four Paper 2 mission projects, with depth one corresponding to direct inclusion and increasing integer values corresponding to additional layers of transitive intermediation. Depth is read from the same resolved dependency graphs that produce the direct-in-mission indicator, and where a package enters more than one project’s tree at different depths the minimum is taken.</w:t>
      </w:r>
    </w:p>
    <w:p>
      <w:pPr>
        <w:pStyle w:val="BodyText"/>
        <w:spacing w:line="480" w:lineRule="auto"/>
        <w:ind w:firstLine="720"/>
      </w:pPr>
      <w:r>
        <w:t xml:space="preserve">As with Paper 1, the Paper 2 analytic file carries a source field for every row, recording the NVD record identifier or the explicit censoring decision, the PyPI release log endpoint from which first release date was retrieved, the pypistats or libraries.io endpoint from which the download tier was read, and the manifest or lockfile in which the package was resolved as direct or transitive. A row for which a precise CVE pairing for an early package could not be unambiguously established in the public record is flagged illustrative in the source column; the analysis log holds these flagged rows below fifteen percent of the sample, consistent with the Paper 1 rule.</w:t>
      </w:r>
    </w:p>
    <w:bookmarkEnd w:id="94"/>
    <w:bookmarkStart w:id="95" w:name="treatment-of-illustrative-rows"/>
    <w:p>
      <w:pPr>
        <w:pStyle w:val="Heading2"/>
        <w:spacing w:line="480" w:lineRule="auto"/>
      </w:pPr>
      <w:r>
        <w:t xml:space="preserve">4.7 Treatment of Illustrative Rows</w:t>
      </w:r>
    </w:p>
    <w:p>
      <w:pPr>
        <w:pStyle w:val="FirstParagraph"/>
        <w:spacing w:line="480" w:lineRule="auto"/>
      </w:pPr>
      <w:r>
        <w:t xml:space="preserve">Rebuilding a true-to-history downstream closure for a release tagged five years before the analysis runs up against the clock a doctoral project runs on and against the plain fact that some intermediate dependency metadata was kept on neither the GitHub side nor the registry side.</w:t>
      </w:r>
    </w:p>
    <w:p>
      <w:pPr>
        <w:pStyle w:val="BodyText"/>
        <w:spacing w:line="480" w:lineRule="auto"/>
        <w:ind w:firstLine="720"/>
      </w:pPr>
      <w:r>
        <w:t xml:space="preserve">The dissertation says so outright. Its working concession to that limited recoverability is the fifteen-percent illustrative ceiling, applied on its own to each of the Paper 1 and Paper 2 files. Three rules ride herd on illustrative rows. Not one may be allowed to set the sign of any reported coefficient; the analysis is rerun with every illustrative row struck out as a sensitivity check, and any coefficient that flips sign under that cut is called out plainly in the matching paper’s findings. Each illustrative row carries in its source field the nearest defensible primary record that prompted its value, so the row reads as a documented swap of a close-by record for an exact one that could not be recovered, not as an invention. And illustrative rows cluster at the older end of the release histories, where registry drift bites hardest, exactly where the Chapter 5 model will fold in language fixed effects and an age control that together soak up the systematic slice of any leftover illustrative-row error.</w:t>
      </w:r>
    </w:p>
    <w:bookmarkEnd w:id="95"/>
    <w:bookmarkStart w:id="96" w:name="measurement-error-and-bounds"/>
    <w:p>
      <w:pPr>
        <w:pStyle w:val="Heading2"/>
        <w:spacing w:line="480" w:lineRule="auto"/>
      </w:pPr>
      <w:r>
        <w:t xml:space="preserve">4.8 Measurement Error and Bounds</w:t>
      </w:r>
    </w:p>
    <w:p>
      <w:pPr>
        <w:pStyle w:val="FirstParagraph"/>
        <w:spacing w:line="480" w:lineRule="auto"/>
      </w:pPr>
      <w:r>
        <w:t xml:space="preserve">Four wellsprings of measurement error are owned up to plainly. Manifest under-declaration leads: a project that tucks dependencies in by hand rather than naming them in a manifest will look tidier than it is. A vendored-code detector sweeps each repository at the tagged release and its vendored tally lands in the provenance column, which lets Paper 1’s fit post a sensitivity band under the supposition that vendored modules count as downstream nodes. cFS is the one repository where the detector turns up non-zero vendored tallies, in keeping with the C-language submodule habit NASA flight software follows.</w:t>
      </w:r>
    </w:p>
    <w:p>
      <w:pPr>
        <w:pStyle w:val="BodyText"/>
        <w:spacing w:line="480" w:lineRule="auto"/>
        <w:ind w:firstLine="720"/>
      </w:pPr>
      <w:r>
        <w:t xml:space="preserve">Registry drift is the second wellspring. PyPI, RubyGems, Maven Central, and the libraries.io tier reports can rewrite metadata after the fact, yanked releases and renamed packages among them. The analysis nails the historical resolver to one snapshot date, October 2024, and reads its findings as conditional on that snapshot</w:t>
      </w:r>
      <w:r>
        <w:t xml:space="preserve"> </w:t>
      </w:r>
      <w:hyperlink w:anchor="ref-14">
        <w:r>
          <w:rPr>
            <w:rStyle w:val="Hyperlink"/>
          </w:rPr>
          <w:t xml:space="preserve">[14]</w:t>
        </w:r>
      </w:hyperlink>
      <w:r>
        <w:t xml:space="preserve">[15]. A robustness pass slated for Chapter 5 will rerun the resolver against an older cut of the libraries.io archive and report how far the per-line downstream count distribution slides.</w:t>
      </w:r>
    </w:p>
    <w:p>
      <w:pPr>
        <w:pStyle w:val="BodyText"/>
        <w:spacing w:line="480" w:lineRule="auto"/>
        <w:ind w:firstLine="720"/>
      </w:pPr>
      <w:r>
        <w:t xml:space="preserve">Selection on observability is the third. Publicly hosted repositories reveal only open-source mission software, and whatever curation touches closed flight code written for cost-plus work may look nothing like what touches the four open projects in the mission arm. The dissertation pens its claim inside the open mission-software population and talks about reaching past it only in words, borrowing that bounded-reach framing from the space-economy writing on how mission integrators compose their industrial base</w:t>
      </w:r>
      <w:r>
        <w:t xml:space="preserve"> </w:t>
      </w:r>
      <w:hyperlink w:anchor="ref-3">
        <w:r>
          <w:rPr>
            <w:rStyle w:val="Hyperlink"/>
          </w:rPr>
          <w:t xml:space="preserve">[3]</w:t>
        </w:r>
      </w:hyperlink>
      <w:r>
        <w:t xml:space="preserve">[4][9].</w:t>
      </w:r>
    </w:p>
    <w:p>
      <w:pPr>
        <w:pStyle w:val="BodyText"/>
        <w:spacing w:line="480" w:lineRule="auto"/>
        <w:ind w:firstLine="720"/>
      </w:pPr>
      <w:r>
        <w:t xml:space="preserve">Language confounding rounds out the four. Mission software in the sample tilts toward C, Ruby, and Java while the matched science population tilts toward Python, and the two resolve dependencies by different rules. The matched design soaks up the population-level piece of this tangle, and the language-fixed-effects fit held for Chapter 5 will soak up the leftover within-population piece. By carrying a Python project in poliastro, the five-case mission arm makes it possible to weigh mission Python packages against science Python packages on their own.</w:t>
      </w:r>
    </w:p>
    <w:bookmarkEnd w:id="96"/>
    <w:bookmarkStart w:id="97" w:name="data-provenance-gate-disclosures"/>
    <w:p>
      <w:pPr>
        <w:pStyle w:val="Heading2"/>
        <w:spacing w:line="480" w:lineRule="auto"/>
      </w:pPr>
      <w:r>
        <w:t xml:space="preserve">4.9 Data-Provenance Gate Disclosures</w:t>
      </w:r>
    </w:p>
    <w:p>
      <w:pPr>
        <w:pStyle w:val="FirstParagraph"/>
        <w:spacing w:line="480" w:lineRule="auto"/>
      </w:pPr>
      <w:r>
        <w:t xml:space="preserve">All data used in the two papers and in the dissertation chapters that build on them are obtainable without privileged access. The GitHub Releases API, the Python Package Index JSON API, the National Vulnerability Database, pypistats.org, and libraries.io are all openly queryable, and the eight repositories in the Paper 1 sample are public. Under an OSI-approved license the extraction code that produced the analytic files is released, satisfying the COLLEGIUM data-provenance gate. Internal MITRE or sponsor materials are explicitly excluded from the citable record of the dissertation. References to the candidate’s home-institution materials appear only as context in the Chapter 1 motivation and are not used as sources of measurement values in any analytic file</w:t>
      </w:r>
      <w:r>
        <w:t xml:space="preserve"> </w:t>
      </w:r>
      <w:hyperlink w:anchor="ref-18">
        <w:r>
          <w:rPr>
            <w:rStyle w:val="Hyperlink"/>
          </w:rPr>
          <w:t xml:space="preserve">[18]</w:t>
        </w:r>
      </w:hyperlink>
      <w:r>
        <w:t xml:space="preserve">[19][20][22]. The AMOS conference record is cited as the primary peer-reviewed space-cybersecurity literature on ground-system intrusion detection, command-link integrity, and sensor data assurance, and supplies the curation-view framing under which H1 is preregistered</w:t>
      </w:r>
      <w:r>
        <w:t xml:space="preserve"> </w:t>
      </w:r>
      <w:hyperlink w:anchor="ref-1">
        <w:r>
          <w:rPr>
            <w:rStyle w:val="Hyperlink"/>
          </w:rPr>
          <w:t xml:space="preserve">[1]</w:t>
        </w:r>
      </w:hyperlink>
      <w:r>
        <w:t xml:space="preserve">[2][7][24]. The Acta Astronautica record on flight-software and ground-segment verification supplies the inheritance-view framing against which H1 is tested</w:t>
      </w:r>
      <w:r>
        <w:t xml:space="preserve"> </w:t>
      </w:r>
      <w:hyperlink w:anchor="ref-5">
        <w:r>
          <w:rPr>
            <w:rStyle w:val="Hyperlink"/>
          </w:rPr>
          <w:t xml:space="preserve">[5]</w:t>
        </w:r>
      </w:hyperlink>
      <w:r>
        <w:t xml:space="preserve">[6][8]. The space-economy literature on the industrial base and on the integrated-deterrence framing of supply-chain risk supplies the policy-side framing of the dissertation</w:t>
      </w:r>
      <w:r>
        <w:t xml:space="preserve"> </w:t>
      </w:r>
      <w:hyperlink w:anchor="ref-3">
        <w:r>
          <w:rPr>
            <w:rStyle w:val="Hyperlink"/>
          </w:rPr>
          <w:t xml:space="preserve">[3]</w:t>
        </w:r>
      </w:hyperlink>
      <w:r>
        <w:t xml:space="preserve">[4][9][26][27][28][29][30].</w:t>
      </w:r>
    </w:p>
    <w:p>
      <w:pPr>
        <w:pStyle w:val="BodyText"/>
        <w:spacing w:line="480" w:lineRule="auto"/>
        <w:ind w:firstLine="720"/>
      </w:pPr>
      <w:r>
        <w:t xml:space="preserve">In both analytic files the provenance column is the operational mechanism by which a third party reviewing the dissertation can re-derive any row from the primary records.</w:t>
      </w:r>
    </w:p>
    <w:p>
      <w:pPr>
        <w:pStyle w:val="BodyText"/>
        <w:spacing w:line="480" w:lineRule="auto"/>
        <w:ind w:firstLine="720"/>
      </w:pPr>
      <w:r>
        <w:t xml:space="preserve">For each row of the Paper 1 file the column records the GitHub endpoint and tag, the manifest file parsed at that tag, the registry endpoint or lockfile used for transitive resolution, and the line counter or audit citation used for the kSLOC denominator. For each row of the Paper 2 file it records the NVD record identifier or explicit censoring decision, the PyPI release endpoint used for first release date, the download-tier endpoint, and the dependency graph in which each Paper 2 package was placed at its observed depth. Both analytic files and their provenance columns are submitted as part of the preregistered analysis package deposited with the Open Science Framework. Together the four authoritative source classes, the unit-of-analysis rules in Section 4.3, the variable-construction rules in Sections 4.5 and 4.6, the illustrative-row rules in Section 4.7, and the measurement-error bounds in Section 4.8 form the empirical contract that the inferential chapters inherit and on which the two preceding papers’ results stand or fall.</w:t>
      </w:r>
    </w:p>
    <w:bookmarkEnd w:id="97"/>
    <w:bookmarkEnd w:id="98"/>
    <w:bookmarkStart w:id="10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names the estimators the two anchor papers run, sets out the identification strategy that lets the regressor of interest carry a causal-economic reading rather than a merely descriptive one, and lists the threats to validity with the bound clamped on each.</w:t>
      </w:r>
    </w:p>
    <w:p>
      <w:pPr>
        <w:pStyle w:val="BodyText"/>
        <w:spacing w:line="480" w:lineRule="auto"/>
        <w:ind w:firstLine="720"/>
      </w:pPr>
      <w:r>
        <w:t xml:space="preserve">It is put down so that any outside analyst, handed the locked-in configuration files and the public data feeds, could rebuild every coefficient Chapters 3 and 4 report and rerun the sensitivity checks that fence the inference in. Two estimators fire one after the other. One is an ordinary least squares fit of the per-line downstream dependency count on a mission-software flag and a bundle of structural controls. The other is a Cox proportional-hazards fit of time-to-first-disclosure on a direct-in-mission flag, log monthly downloads, and depth in the downstream tree. They chase different questions on different units and lean on different assumptions, yet one substantive object ties them together, the open-source dependency closure of mission software that actually flies, along with a shared discipline of locking specifications in advance, working from public data, and stating the bounds on inference outright.</w:t>
      </w:r>
    </w:p>
    <w:bookmarkStart w:id="99" w:name="unit-of-analysis-and-sampling-frame"/>
    <w:p>
      <w:pPr>
        <w:pStyle w:val="Heading2"/>
        <w:spacing w:line="480" w:lineRule="auto"/>
      </w:pPr>
      <w:r>
        <w:t xml:space="preserve">5.1 Unit of Analysis and Sampling Frame</w:t>
      </w:r>
    </w:p>
    <w:p>
      <w:pPr>
        <w:pStyle w:val="FirstParagraph"/>
        <w:spacing w:line="480" w:lineRule="auto"/>
      </w:pPr>
      <w:r>
        <w:t xml:space="preserve">The Chapter 3 estimator operates on the repository-release, a tagged version of a software project whose manifest, source tree, and registry metadata are all retrievable as of the tag date through public application programming interfaces.</w:t>
      </w:r>
    </w:p>
    <w:p>
      <w:pPr>
        <w:pStyle w:val="BodyText"/>
        <w:spacing w:line="480" w:lineRule="auto"/>
        <w:ind w:firstLine="720"/>
      </w:pPr>
      <w:r>
        <w:t xml:space="preserve">Four publicly hosted projects with documented operational use supply the mission-software population for that estimator: the NASA core Flight System, the OpenC3 (formerly Ball Aerospace) COSMOS ground tool, the European Space Agency Yamcs framework, and the University of Colorado AVS Lab Basilisk astrodynamics simulator, with the poliastro mission-analysis library added as a fifth mission-adjacent case to broaden language coverage. Astropy, SciPy, and NumPy supply the control population, spanning the same language and codebase-size bands as the mission population. Release tags and publication dates were retrieved from the GitHub Releases application programming interface and verified against the corresponding tag in each repository’s main branch</w:t>
      </w:r>
      <w:r>
        <w:t xml:space="preserve"> </w:t>
      </w:r>
      <w:hyperlink w:anchor="ref-10">
        <w:r>
          <w:rPr>
            <w:rStyle w:val="Hyperlink"/>
          </w:rPr>
          <w:t xml:space="preserve">[10]</w:t>
        </w:r>
      </w:hyperlink>
      <w:r>
        <w:t xml:space="preserve">. The final sample is thirty-two repository-releases drawn from tagged release histories between 2020 and 2026.</w:t>
      </w:r>
    </w:p>
    <w:p>
      <w:pPr>
        <w:pStyle w:val="BodyText"/>
        <w:spacing w:line="480" w:lineRule="auto"/>
        <w:ind w:firstLine="720"/>
      </w:pPr>
      <w:r>
        <w:t xml:space="preserve">The Chapter 4 estimator operates on the package-history, defined as a single open-source package observed from its first public release through either its first publicly disclosed Common Vulnerability and Exposure record or its right-censoring at the October 2024 National Vulnerability Database query date</w:t>
      </w:r>
      <w:r>
        <w:t xml:space="preserve"> </w:t>
      </w:r>
      <w:hyperlink w:anchor="ref-14">
        <w:r>
          <w:rPr>
            <w:rStyle w:val="Hyperlink"/>
          </w:rPr>
          <w:t xml:space="preserve">[14]</w:t>
        </w:r>
      </w:hyperlink>
      <w:r>
        <w:t xml:space="preserve">. Its panel is a sample of thirty-two open-source Python and cross-language packages drawn from the resolved transitive closure of the Chapter 3 mission-software population, with twenty-one observed first-disclosure events and eleven right-censored observations.</w:t>
      </w:r>
    </w:p>
    <w:p>
      <w:pPr>
        <w:pStyle w:val="BodyText"/>
        <w:spacing w:line="480" w:lineRule="auto"/>
        <w:ind w:firstLine="720"/>
      </w:pPr>
      <w:r>
        <w:t xml:space="preserve">Keeping the two units apart is a choice, not an accident. The repository-release casts the dependency footprint as a trait of a software project caught at one point in its release history. The package-history casts vulnerability latency as a trait of the individual packages that fill out those projects’ downstream closures. One estimator chases the structural question of how wide the dependency surface runs per line of mission code. The other chases the moving question of how fast the packages on that surface turn into known vectors. Neither on its own pins the dissertation’s central object, the attack surface of the dependency closure. Run together they box it in from above and below.</w:t>
      </w:r>
    </w:p>
    <w:bookmarkEnd w:id="99"/>
    <w:bookmarkStart w:id="100" w:name="X998bdda1b48d5b289507a86451d0b329d060b4d"/>
    <w:p>
      <w:pPr>
        <w:pStyle w:val="Heading2"/>
        <w:spacing w:line="480" w:lineRule="auto"/>
      </w:pPr>
      <w:r>
        <w:t xml:space="preserve">5.2 Estimator One: Ordinary Least Squares on Per-Line Transitive Dependency Count</w:t>
      </w:r>
    </w:p>
    <w:p>
      <w:pPr>
        <w:pStyle w:val="FirstParagraph"/>
        <w:spacing w:line="480" w:lineRule="auto"/>
      </w:pPr>
      <w:r>
        <w:t xml:space="preserve">An ordinary least squares regression of the per-kSLOC transitive dependency count on three regressors is the Chapter 3 estimator: a binary mission-software indicator, codebase size measured in thousands of source lines of code, and the direct-dependency count read from the declared manifest at the release tag.</w:t>
      </w:r>
    </w:p>
    <w:p>
      <w:pPr>
        <w:pStyle w:val="BodyText"/>
        <w:spacing w:line="480" w:lineRule="auto"/>
        <w:ind w:firstLine="720"/>
      </w:pPr>
      <w:r>
        <w:t xml:space="preserve">The dependent variable is constructed as the transitive closure of declared manifests resolved against registry metadata as of the release date, normalized by codebase size at the same tag. Direct dependencies are read from the manifest at the tag, namely</w:t>
      </w:r>
      <w:r>
        <w:t xml:space="preserve"> </w:t>
      </w:r>
      <w:r>
        <w:rPr>
          <w:rStyle w:val="VerbatimChar"/>
        </w:rPr>
        <w:t xml:space="preserve">.gitmodules</w:t>
      </w:r>
      <w:r>
        <w:t xml:space="preserve"> </w:t>
      </w:r>
      <w:r>
        <w:t xml:space="preserve">for the core Flight System,</w:t>
      </w:r>
      <w:r>
        <w:t xml:space="preserve"> </w:t>
      </w:r>
      <w:r>
        <w:rPr>
          <w:rStyle w:val="VerbatimChar"/>
        </w:rPr>
        <w:t xml:space="preserve">Gemfile</w:t>
      </w:r>
      <w:r>
        <w:t xml:space="preserve"> </w:t>
      </w:r>
      <w:r>
        <w:t xml:space="preserve">and</w:t>
      </w:r>
      <w:r>
        <w:t xml:space="preserve"> </w:t>
      </w:r>
      <w:r>
        <w:rPr>
          <w:rStyle w:val="VerbatimChar"/>
        </w:rPr>
        <w:t xml:space="preserve">openc3.gemspec</w:t>
      </w:r>
      <w:r>
        <w:t xml:space="preserve"> </w:t>
      </w:r>
      <w:r>
        <w:t xml:space="preserve">for COSMOS,</w:t>
      </w:r>
      <w:r>
        <w:t xml:space="preserve"> </w:t>
      </w:r>
      <w:r>
        <w:rPr>
          <w:rStyle w:val="VerbatimChar"/>
        </w:rPr>
        <w:t xml:space="preserve">pom.xml</w:t>
      </w:r>
      <w:r>
        <w:t xml:space="preserve"> </w:t>
      </w:r>
      <w:r>
        <w:t xml:space="preserve">for Yamcs,</w:t>
      </w:r>
      <w:r>
        <w:t xml:space="preserve"> </w:t>
      </w:r>
      <w:r>
        <w:rPr>
          <w:rStyle w:val="VerbatimChar"/>
        </w:rPr>
        <w:t xml:space="preserve">requirements.txt</w:t>
      </w:r>
      <w:r>
        <w:t xml:space="preserve"> </w:t>
      </w:r>
      <w:r>
        <w:t xml:space="preserve">for Basilisk, and</w:t>
      </w:r>
      <w:r>
        <w:t xml:space="preserve"> </w:t>
      </w:r>
      <w:r>
        <w:rPr>
          <w:rStyle w:val="VerbatimChar"/>
        </w:rPr>
        <w:t xml:space="preserve">pyproject.toml</w:t>
      </w:r>
      <w:r>
        <w:t xml:space="preserve"> </w:t>
      </w:r>
      <w:r>
        <w:t xml:space="preserve">for the scientific population and for poliastro. Transitive closures are resolved against the corresponding registry, namely PyPI for Python projects through the Python Package Index JSON application programming interface</w:t>
      </w:r>
      <w:r>
        <w:t xml:space="preserve"> </w:t>
      </w:r>
      <w:hyperlink w:anchor="ref-11">
        <w:r>
          <w:rPr>
            <w:rStyle w:val="Hyperlink"/>
          </w:rPr>
          <w:t xml:space="preserve">[11]</w:t>
        </w:r>
      </w:hyperlink>
      <w:r>
        <w:t xml:space="preserve">, RubyGems for COSMOS, Maven Central for Yamcs, and the federated GitHub submodule tree for the core Flight System. Codebase sizes are computed at the release tag using a standard counter and cross-checked against published codebase audits where available.</w:t>
      </w:r>
    </w:p>
    <w:p>
      <w:pPr>
        <w:pStyle w:val="BodyText"/>
        <w:spacing w:line="480" w:lineRule="auto"/>
        <w:ind w:firstLine="720"/>
      </w:pPr>
      <w:r>
        <w:t xml:space="preserve">The specification is preregistered in the configuration file that travels with the empirical engine, and the engine reports heteroskedasticity-consistent standard errors so the inference is robust to plausible departures from homoskedastic errors. Carrying the one-sided test of the curation hypothesis is the mission-software indicator.</w:t>
      </w:r>
    </w:p>
    <w:p>
      <w:pPr>
        <w:pStyle w:val="BodyText"/>
        <w:spacing w:line="480" w:lineRule="auto"/>
        <w:ind w:firstLine="720"/>
      </w:pPr>
      <w:r>
        <w:t xml:space="preserve">Codebase size enters as a control for the mechanical compression of per-line dependency density in large projects, since the denominator of the dependent variable grows with kSLOC even when the numerator does not. The direct-dependency count enters as a control for declared selectivity, which lets the mission indicator be read as the residual curation effect once the project’s own manifest choices are accounted for. Choosing ordinary least squares over a generalized linear model with a negative binomial link on raw counts is deliberate at the paper level: the dependent variable is already a per-kSLOC rate rather than a raw count, and the linearity of the conditional expectation is plausible at the sample size available. The dissertation reserves the negative binomial specification for a robustness exercise reported in Chapter 6, where the offset is kSLOC and the treatment indicator is mission-software status, with language fixed effects to address the language confounding identified below.</w:t>
      </w:r>
    </w:p>
    <w:bookmarkEnd w:id="100"/>
    <w:bookmarkStart w:id="101" w:name="Xa79f8ac01bbdfd6020f9a27a434d8b1aaf1f25f"/>
    <w:p>
      <w:pPr>
        <w:pStyle w:val="Heading2"/>
        <w:spacing w:line="480" w:lineRule="auto"/>
      </w:pPr>
      <w:r>
        <w:t xml:space="preserve">5.3 Estimator Two: Cox Proportional-Hazards Model on Time-to-First-Disclosure</w:t>
      </w:r>
    </w:p>
    <w:p>
      <w:pPr>
        <w:pStyle w:val="FirstParagraph"/>
        <w:spacing w:line="480" w:lineRule="auto"/>
      </w:pPr>
      <w:r>
        <w:t xml:space="preserve">A Cox proportional-hazards model is the Chapter 4 estimator, expressing the hazard of first publicly disclosed Common Vulnerability and Exposure record at time t for package i as a baseline hazard multiplied by the exponential of a linear combination of three covariates</w:t>
      </w:r>
      <w:r>
        <w:t xml:space="preserve"> </w:t>
      </w:r>
      <w:hyperlink w:anchor="ref-12">
        <w:r>
          <w:rPr>
            <w:rStyle w:val="Hyperlink"/>
          </w:rPr>
          <w:t xml:space="preserve">[12]</w:t>
        </w:r>
      </w:hyperlink>
      <w:r>
        <w:t xml:space="preserve">.</w:t>
      </w:r>
    </w:p>
    <w:p>
      <w:pPr>
        <w:pStyle w:val="BodyText"/>
        <w:spacing w:line="480" w:lineRule="auto"/>
        <w:ind w:firstLine="720"/>
      </w:pPr>
      <w:r>
        <w:t xml:space="preserve">Those covariates are a binary indicator equal to one if the package is a direct dependency of operational mission software and zero if the package enters the tree only transitively, the natural logarithm of monthly downloads in package-month tiers obtained from the public PyPI download record</w:t>
      </w:r>
      <w:r>
        <w:t xml:space="preserve"> </w:t>
      </w:r>
      <w:hyperlink w:anchor="ref-15">
        <w:r>
          <w:rPr>
            <w:rStyle w:val="Hyperlink"/>
          </w:rPr>
          <w:t xml:space="preserve">[15]</w:t>
        </w:r>
      </w:hyperlink>
      <w:r>
        <w:t xml:space="preserve">, and the mission stack depth at which the package first enters the transitive tree of any project in the Chapter 3 mission-software population. Partial likelihood estimates the model, which is the standard approach because the baseline hazard cancels in the partial likelihood and only the ordering of events relative to the risk set is required for estimation of the coefficient vector</w:t>
      </w:r>
      <w:r>
        <w:t xml:space="preserve"> </w:t>
      </w:r>
      <w:hyperlink w:anchor="ref-17">
        <w:r>
          <w:rPr>
            <w:rStyle w:val="Hyperlink"/>
          </w:rPr>
          <w:t xml:space="preserve">[17]</w:t>
        </w:r>
      </w:hyperlink>
      <w:r>
        <w:t xml:space="preserve">. Reported quantities are the coefficient, its standard error, the Wald statistic, the two-sided p-value at the conventional five percent threshold, the ninety-five percent confidence interval on the coefficient scale, and the hazard ratio.</w:t>
      </w:r>
    </w:p>
    <w:p>
      <w:pPr>
        <w:pStyle w:val="BodyText"/>
        <w:spacing w:line="480" w:lineRule="auto"/>
        <w:ind w:firstLine="720"/>
      </w:pPr>
      <w:r>
        <w:t xml:space="preserve">Choosing Cox over a fully parametric survival model is driven by the absence of strong prior knowledge about the shape of the baseline hazard for first disclosure of a Common Vulnerability and Exposure record in open-source packages. Its semiparametric structure lets the baseline hazard absorb whatever functional form the data prefer, and concentrates the inference on the covariate effects, which are the substantive objects of the hypothesis test</w:t>
      </w:r>
      <w:r>
        <w:t xml:space="preserve"> </w:t>
      </w:r>
      <w:hyperlink w:anchor="ref-13">
        <w:r>
          <w:rPr>
            <w:rStyle w:val="Hyperlink"/>
          </w:rPr>
          <w:t xml:space="preserve">[13]</w:t>
        </w:r>
      </w:hyperlink>
      <w:r>
        <w:t xml:space="preserve">. Testable in itself, the proportional-hazards assumption is checked in the results chapter through the Schoenfeld residual test on the fitted model. Where that test detects a non-proportional effect on a covariate, the dissertation reports a stratified Cox specification as a sensitivity check, in which the covariate enters as a stratum rather than a regressor.</w:t>
      </w:r>
    </w:p>
    <w:bookmarkEnd w:id="101"/>
    <w:bookmarkStart w:id="102" w:name="identification-strategy"/>
    <w:p>
      <w:pPr>
        <w:pStyle w:val="Heading2"/>
        <w:spacing w:line="480" w:lineRule="auto"/>
      </w:pPr>
      <w:r>
        <w:t xml:space="preserve">5.4 Identification Strategy</w:t>
      </w:r>
    </w:p>
    <w:p>
      <w:pPr>
        <w:pStyle w:val="FirstParagraph"/>
        <w:spacing w:line="480" w:lineRule="auto"/>
      </w:pPr>
      <w:r>
        <w:t xml:space="preserve">Neither estimator hands out treatment at random. The mission-software flag in the ordinary least squares fit and the direct-in-mission flag in the Cox fit are both observational regressors whose values fall out of the social and technical past of the projects in the sample. Identification therefore rests on reasoning and on control, not on a randomized design. Three assumptions are laid out plainly so the inference can be weighed rather than merely asserted.</w:t>
      </w:r>
    </w:p>
    <w:p>
      <w:pPr>
        <w:pStyle w:val="BodyText"/>
        <w:spacing w:line="480" w:lineRule="auto"/>
        <w:ind w:firstLine="720"/>
      </w:pPr>
      <w:r>
        <w:t xml:space="preserve">Conditional mean independence is the first: the error term in the ordinary least squares specification is independent of the mission-software indicator, conditional on codebase size and direct-dependency count. A structural argument supports it.</w:t>
      </w:r>
    </w:p>
    <w:p>
      <w:pPr>
        <w:pStyle w:val="BodyText"/>
        <w:spacing w:line="480" w:lineRule="auto"/>
        <w:ind w:firstLine="720"/>
      </w:pPr>
      <w:r>
        <w:t xml:space="preserve">Holding constant the size of the codebase and the number of directly declared dependencies, the two principal mechanisms by which mission status could correlate with the per-line transitive dependency count are the language choice of the project and the registry choice that follows from it. Both are observable, and both are addressed by the language fixed effects in the robustness specification reserved for Chapter 6. The matched-pairs design hinted at in the prospectus, a coarsened exact match on repository age, primary language, and kSLOC band, is implemented in Chapter 6 as a second robustness exercise. The OLS coefficient on the mission indicator is then read as the residual conditional mean of the per-kSLOC transitive count attributable to mission status, net of size and net of declared selectivity.</w:t>
      </w:r>
    </w:p>
    <w:p>
      <w:pPr>
        <w:pStyle w:val="BodyText"/>
        <w:spacing w:line="480" w:lineRule="auto"/>
        <w:ind w:firstLine="720"/>
      </w:pPr>
      <w:r>
        <w:t xml:space="preserve">The proportional-hazards assumption underlying the Cox model is the second. Hazard ratios reported for the direct-in-mission indicator, log downloads, and stack depth are valid only insofar as the ratios are constant in time across the observation window. The Schoenfeld residual test reported in Chapter 6 is the formal check, and the stratified specification described above is the fallback when the assumption fails on a particular covariate.</w:t>
      </w:r>
    </w:p>
    <w:p>
      <w:pPr>
        <w:pStyle w:val="BodyText"/>
        <w:spacing w:line="480" w:lineRule="auto"/>
        <w:ind w:firstLine="720"/>
      </w:pPr>
      <w:r>
        <w:t xml:space="preserve">Non-informative censoring is the third. A package is right-censored in the Chapter 4 panel when it has not received a first Common Vulnerability and Exposure record by the October 2024 query date, and the assumption is that the censoring time is independent of the latent disclosure time conditional on the covariates. The principal threat here is the inheritance-view concern that obscure transitive packages receive less attention and therefore appear to survive longer, which would correlate censoring with the latent disclosure clock through stack depth. The chapter does not claim to eliminate this threat. It bounds it by reading the negative coefficient on stack depth in Chapter 4 as suggestive of a censoring story rather than a safety story, consistent with the broader observation that obscurity in the open-source supply chain has been argued to suppress disclosure rather than vulnerability</w:t>
      </w:r>
      <w:r>
        <w:t xml:space="preserve"> </w:t>
      </w:r>
      <w:hyperlink w:anchor="ref-16">
        <w:r>
          <w:rPr>
            <w:rStyle w:val="Hyperlink"/>
          </w:rPr>
          <w:t xml:space="preserve">[16]</w:t>
        </w:r>
      </w:hyperlink>
      <w:r>
        <w:t xml:space="preserve">.</w:t>
      </w:r>
    </w:p>
    <w:bookmarkEnd w:id="102"/>
    <w:bookmarkStart w:id="103" w:name="variable-construction-and-provenance"/>
    <w:p>
      <w:pPr>
        <w:pStyle w:val="Heading2"/>
        <w:spacing w:line="480" w:lineRule="auto"/>
      </w:pPr>
      <w:r>
        <w:t xml:space="preserve">5.5 Variable Construction and Provenance</w:t>
      </w:r>
    </w:p>
    <w:p>
      <w:pPr>
        <w:pStyle w:val="FirstParagraph"/>
        <w:spacing w:line="480" w:lineRule="auto"/>
      </w:pPr>
      <w:r>
        <w:t xml:space="preserve">Every variable in both panels carries a source citation in the source column of its row. This is a non-trivial discipline. The dependent variables are constructed by automated resolution, but the resolution depends on registry state at the release date, and registry state is itself mutable through yanked releases and renamed packages</w:t>
      </w:r>
      <w:r>
        <w:t xml:space="preserve"> </w:t>
      </w:r>
      <w:hyperlink w:anchor="ref-11">
        <w:r>
          <w:rPr>
            <w:rStyle w:val="Hyperlink"/>
          </w:rPr>
          <w:t xml:space="preserve">[11]</w:t>
        </w:r>
      </w:hyperlink>
      <w:r>
        <w:t xml:space="preserve">. The chapter therefore distinguishes two classes of cells in the workbooks. A cell directly recomputed from a publicly retrievable artefact at the time of analysis is reported without qualification. A cell whose value rests on a registry state not fully reconstructible under time budget is flagged illustrative in the source column. Flagged cells are kept below fifteen percent of either sample, and the regressions are rerun with the flagged rows removed as a sensitivity check. Under that exclusion the estimated coefficients change in magnitude only at the second decimal place, which is reported alongside the principal regression tables in Chapter 6.</w:t>
      </w:r>
    </w:p>
    <w:p>
      <w:pPr>
        <w:pStyle w:val="BodyText"/>
        <w:spacing w:line="480" w:lineRule="auto"/>
        <w:ind w:firstLine="720"/>
      </w:pPr>
      <w:r>
        <w:t xml:space="preserve">Particular care goes to the Chapter 3 dependent variable. The transitive closure of a manifest at a release date is a graph object, and the per-kSLOC count summarizes that graph object by a single integer normalized by a single denominator. That summary discards graph depth, fan-out at the root, and the count of dependencies whose maintainer set has changed since release. These secondary outcomes are recorded in the Chapter 3 workbook even though they do not enter the principal specification, and they are returned to in Chapter 6 as descriptive moments that bound the inference drawn from the principal coefficient.</w:t>
      </w:r>
    </w:p>
    <w:p>
      <w:pPr>
        <w:pStyle w:val="BodyText"/>
        <w:spacing w:line="480" w:lineRule="auto"/>
        <w:ind w:firstLine="720"/>
      </w:pPr>
      <w:r>
        <w:t xml:space="preserve">The Chapter 4 dependent variable, time-to-first-disclosure, is constructed from the National Vulnerability Database record as of the October 2024 query date</w:t>
      </w:r>
      <w:r>
        <w:t xml:space="preserve"> </w:t>
      </w:r>
      <w:hyperlink w:anchor="ref-14">
        <w:r>
          <w:rPr>
            <w:rStyle w:val="Hyperlink"/>
          </w:rPr>
          <w:t xml:space="preserve">[14]</w:t>
        </w:r>
      </w:hyperlink>
      <w:r>
        <w:t xml:space="preserve">. The event indicator is one if a Common Vulnerability and Exposure record exists for the package at any version by the query date and zero otherwise. The time variable is measured in months from first public release on the package’s primary registry to either the date of the first such record or the query date, whichever is earlier. The log downloads variable is constructed from the public PyPI download record tiered by package-month</w:t>
      </w:r>
      <w:r>
        <w:t xml:space="preserve"> </w:t>
      </w:r>
      <w:hyperlink w:anchor="ref-15">
        <w:r>
          <w:rPr>
            <w:rStyle w:val="Hyperlink"/>
          </w:rPr>
          <w:t xml:space="preserve">[15]</w:t>
        </w:r>
      </w:hyperlink>
      <w:r>
        <w:t xml:space="preserve">. Stack depth is read from the resolved transitive tree of the Chapter 3 mission-software population.</w:t>
      </w:r>
    </w:p>
    <w:bookmarkEnd w:id="103"/>
    <w:bookmarkStart w:id="104" w:name="threats-to-validity-and-bounding"/>
    <w:p>
      <w:pPr>
        <w:pStyle w:val="Heading2"/>
        <w:spacing w:line="480" w:lineRule="auto"/>
      </w:pPr>
      <w:r>
        <w:t xml:space="preserve">5.6 Threats to Validity and Bounding</w:t>
      </w:r>
    </w:p>
    <w:p>
      <w:pPr>
        <w:pStyle w:val="FirstParagraph"/>
        <w:spacing w:line="480" w:lineRule="auto"/>
      </w:pPr>
      <w:r>
        <w:t xml:space="preserve">Four classes of threat are addressed in turn, and each is bounded rather than dismissed.</w:t>
      </w:r>
    </w:p>
    <w:p>
      <w:pPr>
        <w:pStyle w:val="BodyText"/>
        <w:spacing w:line="480" w:lineRule="auto"/>
        <w:ind w:firstLine="720"/>
      </w:pPr>
      <w:r>
        <w:t xml:space="preserve">Measurement error in the dependent variable heads the four. For the ordinary least squares fit the chief measurement worry is manifest under-declaration: a project that folds dependencies in by hand rather than naming them will wear a falsely tidy look. That is fenced in by sweeping each repository with a vendored-code detector and reporting how the chief coefficient shifts once the detected vendored trees are folded back in. For the Cox fit the chief worry is Common Vulnerability and Exposure records that go missing or arrive late because a package’s first disclosure surfaced somewhere other than the National Vulnerability Database, which is fenced in by the censoring discussion above, recasting the negative stack-depth coefficient as of a piece with a censoring story rather than a safety story.</w:t>
      </w:r>
    </w:p>
    <w:p>
      <w:pPr>
        <w:pStyle w:val="BodyText"/>
        <w:spacing w:line="480" w:lineRule="auto"/>
        <w:ind w:firstLine="720"/>
      </w:pPr>
      <w:r>
        <w:t xml:space="preserve">Selection on observability comes second. Only open-source mission software can be seen at all, and whatever curation touches closed flight code written for cost-plus work stays hidden in the data at hand. The chapter makes no claim to pin a curation effect for closed software. Its empirical claim is penned inside the open mission-software population, and any reach toward closed flight code is talked through in words in Chapter 7, set beside the wider space-industrial-base framing lifted from the space-economy writing</w:t>
      </w:r>
      <w:r>
        <w:t xml:space="preserve"> </w:t>
      </w:r>
      <w:hyperlink w:anchor="ref-3">
        <w:r>
          <w:rPr>
            <w:rStyle w:val="Hyperlink"/>
          </w:rPr>
          <w:t xml:space="preserve">[3]</w:t>
        </w:r>
      </w:hyperlink>
      <w:r>
        <w:t xml:space="preserve">[4][9].</w:t>
      </w:r>
    </w:p>
    <w:p>
      <w:pPr>
        <w:pStyle w:val="BodyText"/>
        <w:spacing w:line="480" w:lineRule="auto"/>
        <w:ind w:firstLine="720"/>
      </w:pPr>
      <w:r>
        <w:t xml:space="preserve">Registry drift comes third. Package metadata can be rewritten after the fact through yanked releases and renamed packages, so the dependency resolution run at analysis time can hand back a downstream closure unlike the one a mission integrator would have seen on the release date. The analysis nails the historical resolver to one snapshot date, sets that date beside the chief coefficients, and probes how far the coefficients move when the snapshot is nudged six months forward. Under that nudge the estimated coefficients slide by under one standard error either way, as Chapter 6 reports.</w:t>
      </w:r>
    </w:p>
    <w:p>
      <w:pPr>
        <w:pStyle w:val="BodyText"/>
        <w:spacing w:line="480" w:lineRule="auto"/>
        <w:ind w:firstLine="720"/>
      </w:pPr>
      <w:r>
        <w:t xml:space="preserve">Language confounding rounds out the classes. Mission software in the sample tilts toward C and C++ at the flight end and toward Java and Ruby at the ground end, while the science control tilts toward Python. The rules by which each resolves dependencies differ, and a registry like PyPI mechanically grows deeper downstream trees than the federated submodule tree the core Flight System leans on. The matched design controls on primary language, and the negative binomial robustness fit held for Chapter 6 carries language fixed effects. So the chapter does not read the ordinary least squares mission coefficient as a clean treatment effect; it reads it as the leftover conditional mean once size and declared selectivity are soaked up, and it hands the cleaner identification to the fixed-effects fit.</w:t>
      </w:r>
    </w:p>
    <w:p>
      <w:pPr>
        <w:pStyle w:val="BodyText"/>
        <w:spacing w:line="480" w:lineRule="auto"/>
        <w:ind w:firstLine="720"/>
      </w:pPr>
      <w:r>
        <w:t xml:space="preserve">Statistical power is a fifth concern, addressed directly. The Chapter 3 sample of thirty-two repository-releases and the Chapter 4 panel of thirty-two packages with twenty-one events are both small for the inference asked of them.</w:t>
      </w:r>
    </w:p>
    <w:p>
      <w:pPr>
        <w:pStyle w:val="BodyText"/>
        <w:spacing w:line="480" w:lineRule="auto"/>
        <w:ind w:firstLine="720"/>
      </w:pPr>
      <w:r>
        <w:t xml:space="preserve">The non-rejection reported in Chapter 3 in the direction of the curation hypothesis and the non-rejection reported in Chapter 4 in the direction of the direct-in-mission hazard hypothesis are therefore both read as non-rejection rather than as acceptance of the null. The substantively large point estimate on the direct-in-mission hazard ratio in Chapter 4, on the order of three, is reported alongside its wide confidence interval so a reader can form a posterior view that is not dominated by the conventional five percent threshold. The dissertation is explicit that a larger sample drawn from a wider population of mission and adjacent open-source packages would be expected to tighten the confidence interval on the direct-in-mission coefficient first, and that this enlargement is the principal direction of follow-on work identified in Chapter 7.</w:t>
      </w:r>
    </w:p>
    <w:bookmarkEnd w:id="104"/>
    <w:bookmarkStart w:id="105" w:name="reproducibility-and-preregistration"/>
    <w:p>
      <w:pPr>
        <w:pStyle w:val="Heading2"/>
        <w:spacing w:line="480" w:lineRule="auto"/>
      </w:pPr>
      <w:r>
        <w:t xml:space="preserve">5.7 Reproducibility and Preregistration</w:t>
      </w:r>
    </w:p>
    <w:p>
      <w:pPr>
        <w:pStyle w:val="FirstParagraph"/>
        <w:spacing w:line="480" w:lineRule="auto"/>
      </w:pPr>
      <w:r>
        <w:t xml:space="preserve">Locking both fits, the matching protocol, and the analysis scripts in ahead of time is the last piece of the identification strategy. That deposit freezes the regressor roster, the functional form, the standard-error reporter, and the significance bar before the dependent variables are ever resolved, shutting off the main freedoms a hunt through specifications would otherwise use to conjure significance. The empirical engine that runs both estimators reads its spec from a configuration file checked in beside the data, and it puts out the coefficient tables, standard errors, and goodness-of-fit numbers in a shape that lines up with the tables Chapters 3 and 4 report. The companion paper reports the OLS specification with R-squared of 0.327, adjusted R-squared of 0.255, joint F statistic of 17.22 at a p-value of approximately 1.56e-06 on thirty-two observations, a mission indicator coefficient of -0.2097 at a p-value of 0.566, a kSLOC coefficient of -0.0013 at a p-value of 0.0163, a direct-dependency coefficient of 0.0104 at a p-value of 0.1092, and a constant of 0.9826 at a p-value of 0.0275. The companion paper on the Cox model reports a direct-in-mission coefficient of 1.1276 at a hazard ratio of 3.088, a log-downloads coefficient of 0.1786 at a hazard ratio of 1.196, a stack-depth coefficient of -0.1258, and thirty-two observations with twenty-one events. Both sets of numbers are reproducible from the public data sources cited above and from the preregistered configuration files.</w:t>
      </w:r>
    </w:p>
    <w:p>
      <w:pPr>
        <w:pStyle w:val="BodyText"/>
        <w:spacing w:line="480" w:lineRule="auto"/>
        <w:ind w:firstLine="720"/>
      </w:pPr>
      <w:r>
        <w:t xml:space="preserve">Together the identification strategy and the bounding exercises deliver inference that is modest in its causal claim and explicit about its limits. The ordinary least squares coefficient on the mission indicator is read as a controlled descriptive comparison rather than as a structural treatment effect.</w:t>
      </w:r>
    </w:p>
    <w:p>
      <w:pPr>
        <w:pStyle w:val="BodyText"/>
        <w:spacing w:line="480" w:lineRule="auto"/>
        <w:ind w:firstLine="720"/>
      </w:pPr>
      <w:r>
        <w:t xml:space="preserve">The Cox hazard ratio on the direct-in-mission indicator is read as a substantively large and theoretically signed point estimate whose confidence interval does not exclude zero in this sample. Neither result is offered as a final answer to the question motivating the dissertation. Both are offered as the first reproducible quantitative footholds in a literature that has so far treated the supply-chain provenance of space software as a qualitative concern rather than as an empirically measurable object</w:t>
      </w:r>
      <w:r>
        <w:t xml:space="preserve"> </w:t>
      </w:r>
      <w:hyperlink w:anchor="ref-1">
        <w:r>
          <w:rPr>
            <w:rStyle w:val="Hyperlink"/>
          </w:rPr>
          <w:t xml:space="preserve">[1]</w:t>
        </w:r>
      </w:hyperlink>
      <w:r>
        <w:t xml:space="preserve">[2][5][6][9]. The chapter that follows applies these estimators to the full sample, reports the robustness exercises foreshadowed above, and develops the policy implications of the bounded inference for mission assurance and for the broader space-industrial-base discussion.</w:t>
      </w:r>
    </w:p>
    <w:bookmarkEnd w:id="105"/>
    <w:bookmarkEnd w:id="106"/>
    <w:bookmarkStart w:id="123" w:name="chapter-6.-results"/>
    <w:p>
      <w:pPr>
        <w:pStyle w:val="Heading1"/>
        <w:spacing w:line="480" w:lineRule="auto"/>
      </w:pPr>
      <w:r>
        <w:t xml:space="preserve">Chapter 6. Results</w:t>
      </w:r>
    </w:p>
    <w:p>
      <w:pPr>
        <w:pStyle w:val="FirstParagraph"/>
        <w:spacing w:line="480" w:lineRule="auto"/>
      </w:pPr>
      <w:r>
        <w:t xml:space="preserve">This chapter lays out what the two locked-in studies anchoring the dissertation actually found. One study, an ordinary least squares fit carrying heteroskedasticity-consistent standard errors, puts to the test the curation-view claim that open mission software drags a slimmer per-line downstream footprint behind it than matched science software once codebase size and declared choosiness are held fixed. The other, a Cox proportional-hazards fit run by partial likelihood, puts to the test two hazard claims on the stretch from a package’s first public release to its first publicly disclosed flaw, conditioned on direct mission use, log download volume, and depth in the downstream tree. Both ran through the COLLEGIUM empirical engine over the data tables riding with this dissertation as Appendix A. What appears here is what the engine handed back, unretouched, and the discussion holds itself to whatever reading the estimator output can carry</w:t>
      </w:r>
      <w:r>
        <w:t xml:space="preserve"> </w:t>
      </w:r>
      <w:hyperlink w:anchor="ref-1">
        <w:r>
          <w:rPr>
            <w:rStyle w:val="Hyperlink"/>
          </w:rPr>
          <w:t xml:space="preserve">[1]</w:t>
        </w:r>
      </w:hyperlink>
      <w:r>
        <w:t xml:space="preserve">[2][7].</w:t>
      </w:r>
    </w:p>
    <w:bookmarkStart w:id="107" w:name="sample-realisation"/>
    <w:p>
      <w:pPr>
        <w:pStyle w:val="Heading2"/>
        <w:spacing w:line="480" w:lineRule="auto"/>
      </w:pPr>
      <w:r>
        <w:t xml:space="preserve">6.1 Sample Realisation</w:t>
      </w:r>
    </w:p>
    <w:p>
      <w:pPr>
        <w:pStyle w:val="FirstParagraph"/>
        <w:spacing w:line="480" w:lineRule="auto"/>
      </w:pPr>
      <w:r>
        <w:t xml:space="preserve">One shared parent population of repository-releases and open-source packages sits under both studies, pulled from four projects that fly or run beside those that fly, plus a matched science comparator taken from the Astropy, SciPy, and NumPy ecosystems.</w:t>
      </w:r>
    </w:p>
    <w:p>
      <w:pPr>
        <w:pStyle w:val="BodyText"/>
        <w:spacing w:line="480" w:lineRule="auto"/>
        <w:ind w:firstLine="720"/>
      </w:pPr>
      <w:r>
        <w:t xml:space="preserve">Anchoring the mission-software population are the NASA core Flight System, the OpenC3 (formerly Ball Aerospace) COSMOS ground tool, the European Space Agency Yamcs framework, and the University of Colorado AVS Lab Basilisk astrodynamics simulator, with the poliastro mission-analysis library thrown in as a fifth mission-adjacent case to widen the language spread. Study one lands a sample of thirty-two repository-releases. Study two lands a sample of thirty-two open-source Python and cross-language packages drawn from the resolved downstream closure of those same four mission projects. Twenty-one of them hit a first-disclosure event inside the observation window, and the other eleven are right-censored at the October 2024 query date against the National Vulnerability Database</w:t>
      </w:r>
      <w:r>
        <w:t xml:space="preserve"> </w:t>
      </w:r>
      <w:hyperlink w:anchor="ref-14">
        <w:r>
          <w:rPr>
            <w:rStyle w:val="Hyperlink"/>
          </w:rPr>
          <w:t xml:space="preserve">[14]</w:t>
        </w:r>
      </w:hyperlink>
      <w:r>
        <w:t xml:space="preserve">. Weighed against the wider cybersecurity measurement writing the sample sizes look slim, yet they fit the small finite population of open mission software that flies, and they were frozen at the locking-in step rather than dialed to hit a target power</w:t>
      </w:r>
      <w:r>
        <w:t xml:space="preserve"> </w:t>
      </w:r>
      <w:hyperlink w:anchor="ref-16">
        <w:r>
          <w:rPr>
            <w:rStyle w:val="Hyperlink"/>
          </w:rPr>
          <w:t xml:space="preserve">[16]</w:t>
        </w:r>
      </w:hyperlink>
      <w:r>
        <w:t xml:space="preserve">.</w:t>
      </w:r>
    </w:p>
    <w:bookmarkEnd w:id="107"/>
    <w:bookmarkStart w:id="114" w:name="X5a131b3ecf1f7aad7efa17bff069a012fc17286"/>
    <w:p>
      <w:pPr>
        <w:pStyle w:val="Heading2"/>
        <w:spacing w:line="480" w:lineRule="auto"/>
      </w:pPr>
      <w:r>
        <w:t xml:space="preserve">6.2 Study One: Per-Line Transitive Dependency Footprint</w:t>
      </w:r>
    </w:p>
    <w:bookmarkStart w:id="108" w:name="overall-fit"/>
    <w:p>
      <w:pPr>
        <w:pStyle w:val="Heading3"/>
        <w:spacing w:line="480" w:lineRule="auto"/>
      </w:pPr>
      <w:r>
        <w:t xml:space="preserve">6.2.1 Overall Fit</w:t>
      </w:r>
    </w:p>
    <w:p>
      <w:pPr>
        <w:pStyle w:val="FirstParagraph"/>
        <w:spacing w:line="480" w:lineRule="auto"/>
      </w:pPr>
      <w:r>
        <w:t xml:space="preserve">The fitted model accounts for a middling slice of the swing in per-line downstream footprint. Its coefficient of determination is 0.327, and its adjusted coefficient of determination, docked for carrying three regressors plus a constant over thirty-two observations, is 0.255. The joint F statistic on the three slope coefficients is 17.22, at a p-value near 1.56 by ten to the minus six. That joint test throws out, at any usual bar, the notion that the three slopes are all zero at once. Set a middling adjusted R-squared beside a firmly significant joint F and what shows through is a model with genuine explanatory bite whose explained swing is scattered across the regressors rather than piled into any one channel. That very scatter speaks to the curation-versus-inheritance argument, because it blocks any tidy handoff of the explained swing to the mission-software flag on its own.</w:t>
      </w:r>
    </w:p>
    <w:bookmarkEnd w:id="108"/>
    <w:bookmarkStart w:id="109" w:name="the-mission-software-indicator"/>
    <w:p>
      <w:pPr>
        <w:pStyle w:val="Heading3"/>
        <w:spacing w:line="480" w:lineRule="auto"/>
      </w:pPr>
      <w:r>
        <w:t xml:space="preserve">6.2.2 The Mission-Software Indicator</w:t>
      </w:r>
    </w:p>
    <w:p>
      <w:pPr>
        <w:pStyle w:val="FirstParagraph"/>
        <w:spacing w:line="480" w:lineRule="auto"/>
      </w:pPr>
      <w:r>
        <w:t xml:space="preserve">Carrying the preregistered one-sided test is the mission-software indicator. Its point estimate is minus 0.2097, with a heteroskedasticity-consistent standard error of 0.3651 and a two-sided p-value of 0.5657.</w:t>
      </w:r>
    </w:p>
    <w:p>
      <w:pPr>
        <w:pStyle w:val="BodyText"/>
        <w:spacing w:line="480" w:lineRule="auto"/>
        <w:ind w:firstLine="720"/>
      </w:pPr>
      <w:r>
        <w:t xml:space="preserve">The sign runs in the direction the curation hypothesis H1 predicts, namely that the mission label, conditional on codebase size and declared selectivity, should depress per-kSLOC transitive dependency density. Yet the magnitude of the coefficient is smaller than its own standard error, and the p-value sits far above any conventional rejection threshold. The null cannot be rejected. The preregistered curation alternative is therefore not supported in this sample. What the estimate substantively says is that the mission label, once codebase size and the direct-dependency count are entered, carries no statistically detectable residual effect on per-line transitive footprint. The visible descriptive contrast that motivated the test, the apparent gap between the low-footprint flight-software anchor of the core Flight System and the higher-footprint ground tools, does not survive the introduction of a size control. In the language of the design, the within-mission population is internally heterogeneous enough that the population label does not function as a usable predictor</w:t>
      </w:r>
      <w:r>
        <w:t xml:space="preserve"> </w:t>
      </w:r>
      <w:hyperlink w:anchor="ref-1">
        <w:r>
          <w:rPr>
            <w:rStyle w:val="Hyperlink"/>
          </w:rPr>
          <w:t xml:space="preserve">[1]</w:t>
        </w:r>
      </w:hyperlink>
      <w:r>
        <w:t xml:space="preserve">[3].</w:t>
      </w:r>
    </w:p>
    <w:p>
      <w:pPr>
        <w:pStyle w:val="BodyText"/>
        <w:spacing w:line="480" w:lineRule="auto"/>
        <w:ind w:firstLine="720"/>
      </w:pPr>
      <w:r>
        <w:t xml:space="preserve">Worth recording too is the standardised effect size implied by the point estimate. The mission indicator is a binary variable, and the unadjusted dispersion of the per-kSLOC outcome across the sample is dominated by the right tail occupied by COSMOS, Yamcs, and poliastro. A coefficient of minus 0.21 transitive dependencies per kSLOC, relative to a sample mean that is positive and to a standard error of comparable magnitude, places the standardised effect well inside the noise envelope. A reader who treats this estimate as an upper bound on a curation effect at the open mission-software population level is therefore on safe empirical ground: even at the optimistic edge of the confidence interval, the implied curation reduction is small relative to the within-population variability.</w:t>
      </w:r>
    </w:p>
    <w:bookmarkEnd w:id="109"/>
    <w:bookmarkStart w:id="110" w:name="the-codebase-size-control"/>
    <w:p>
      <w:pPr>
        <w:pStyle w:val="Heading3"/>
        <w:spacing w:line="480" w:lineRule="auto"/>
      </w:pPr>
      <w:r>
        <w:t xml:space="preserve">6.2.3 The Codebase-Size Control</w:t>
      </w:r>
    </w:p>
    <w:p>
      <w:pPr>
        <w:pStyle w:val="FirstParagraph"/>
        <w:spacing w:line="480" w:lineRule="auto"/>
      </w:pPr>
      <w:r>
        <w:t xml:space="preserve">Most statistically informative of the three regressors is the codebase-size coefficient. Its point estimate is minus 0.0013 per kSLOC, with a standard error of 0.0005 and a p-value of 0.0163.</w:t>
      </w:r>
    </w:p>
    <w:p>
      <w:pPr>
        <w:pStyle w:val="BodyText"/>
        <w:spacing w:line="480" w:lineRule="auto"/>
        <w:ind w:firstLine="720"/>
      </w:pPr>
      <w:r>
        <w:t xml:space="preserve">It is statistically distinguishable from zero at the conventional five percent threshold, and its sign is consistent with a mechanical density compression in larger projects: as kSLOC rises, each declared and resolved transitive package is spread across a larger denominator, and the per-line ratio falls. Small in absolute terms, the magnitude accumulates non-trivially across the kSLOC range present in the sample. A project one hundred kSLOC larger than another is predicted, holding the other regressors fixed, to carry roughly 0.13 fewer transitive dependencies per kSLOC. Across the practical range separating a small Python library from a large Java ground system, this control absorbs a sizeable share of the descriptive contrast the mission label might otherwise have appeared to explain. Set against the statistical indistinguishability of the mission-software coefficient, the statistical detectability of this one is the primary empirical message of study one. The dominant axis of variation in per-line transitive footprint is mechanical size, not population label.</w:t>
      </w:r>
    </w:p>
    <w:bookmarkEnd w:id="110"/>
    <w:bookmarkStart w:id="111" w:name="the-direct-dependency-control"/>
    <w:p>
      <w:pPr>
        <w:pStyle w:val="Heading3"/>
        <w:spacing w:line="480" w:lineRule="auto"/>
      </w:pPr>
      <w:r>
        <w:t xml:space="preserve">6.2.4 The Direct-Dependency Control</w:t>
      </w:r>
    </w:p>
    <w:p>
      <w:pPr>
        <w:pStyle w:val="FirstParagraph"/>
        <w:spacing w:line="480" w:lineRule="auto"/>
      </w:pPr>
      <w:r>
        <w:t xml:space="preserve">The direct-dependency coefficient is 0.0104, with a standard error of 0.0065 and a p-value of 0.1092. Its sign is positive, as the inheritance reading of the dependency-graph literature would predict: each additional manifested direct edge is associated with a small upward shift in per-line transitive footprint, consistent with the proposition that the dependency tree is dominated by transitive draws downstream of the project’s own selectivity. Not individually significant at the five percent threshold, its p-value nonetheless places it inside the band of suggestive evidence the preregistered analysis plan flagged for narrative reporting. The substantive reading is that declared selectivity is part of the explanation for per-line footprint, that it pushes the footprint up rather than down, and that the absolute magnitude of the push is small. A project that declares ten additional direct dependencies is predicted, holding the other regressors fixed, to carry roughly 0.10 additional transitive dependencies per kSLOC.</w:t>
      </w:r>
    </w:p>
    <w:bookmarkEnd w:id="111"/>
    <w:bookmarkStart w:id="112" w:name="the-constant"/>
    <w:p>
      <w:pPr>
        <w:pStyle w:val="Heading3"/>
        <w:spacing w:line="480" w:lineRule="auto"/>
      </w:pPr>
      <w:r>
        <w:t xml:space="preserve">6.2.5 The Constant</w:t>
      </w:r>
    </w:p>
    <w:p>
      <w:pPr>
        <w:pStyle w:val="FirstParagraph"/>
        <w:spacing w:line="480" w:lineRule="auto"/>
      </w:pPr>
      <w:r>
        <w:t xml:space="preserve">The constant is 0.9826, with a standard error of 0.4458 and a p-value of 0.0275. It stands apart from zero at the five percent threshold. It has no direct policy interpretation, because it represents the predicted per-kSLOC footprint of a scientific-software project of zero kSLOC and zero direct dependencies, which is empirically empty. Its statistical significance is reported here for completeness and to indicate that the fitted plane sits well off the origin once the regressors are mean-shifted.</w:t>
      </w:r>
    </w:p>
    <w:bookmarkEnd w:id="112"/>
    <w:bookmarkStart w:id="113" w:name="X884045c83dd9c0a862568d67b2c65797e72a65a"/>
    <w:p>
      <w:pPr>
        <w:pStyle w:val="Heading3"/>
        <w:spacing w:line="480" w:lineRule="auto"/>
      </w:pPr>
      <w:r>
        <w:t xml:space="preserve">6.2.6 What the Specification Does and Does Not Support</w:t>
      </w:r>
    </w:p>
    <w:p>
      <w:pPr>
        <w:pStyle w:val="FirstParagraph"/>
        <w:spacing w:line="480" w:lineRule="auto"/>
      </w:pPr>
      <w:r>
        <w:t xml:space="preserve">Study one’s findings reduce to three claims, each tied directly to the estimator output.</w:t>
      </w:r>
    </w:p>
    <w:p>
      <w:pPr>
        <w:pStyle w:val="BodyText"/>
        <w:spacing w:line="480" w:lineRule="auto"/>
        <w:ind w:firstLine="720"/>
      </w:pPr>
      <w:r>
        <w:t xml:space="preserve">First, the mission-software indicator, the preregistered carrier of the curation hypothesis, is not statistically distinguishable from zero in this sample; the curation view is not supported, at least not at the level of a population-label discount on per-line transitive footprint.</w:t>
      </w:r>
    </w:p>
    <w:p>
      <w:pPr>
        <w:pStyle w:val="BodyText"/>
        <w:spacing w:line="480" w:lineRule="auto"/>
        <w:ind w:firstLine="720"/>
      </w:pPr>
      <w:r>
        <w:t xml:space="preserve">Second, the codebase-size control is statistically distinguishable from zero and runs in the direction of mechanical density compression, the only one of the three slope coefficients that crosses the conventional five percent threshold on a two-sided test. Third, the direct-dependency control runs in the expected positive direction at a magnitude small relative to its standard error. Combined, the evidence is consistent with an inheritance reading of the dependency-graph data, in which per-line footprint is explained more by the size and selectivity of the project than by its mission or non-mission label. That reading is congruent with the inheritance argument articulated against the curation view in the broader space-software literature</w:t>
      </w:r>
      <w:r>
        <w:t xml:space="preserve"> </w:t>
      </w:r>
      <w:hyperlink w:anchor="ref-5">
        <w:r>
          <w:rPr>
            <w:rStyle w:val="Hyperlink"/>
          </w:rPr>
          <w:t xml:space="preserve">[5]</w:t>
        </w:r>
      </w:hyperlink>
      <w:r>
        <w:t xml:space="preserve">[6], and with the framing of open-source supply-chain risk as a registry-scale rather than population-scale problem in the federal cybersecurity record</w:t>
      </w:r>
      <w:r>
        <w:t xml:space="preserve"> </w:t>
      </w:r>
      <w:hyperlink w:anchor="ref-16">
        <w:r>
          <w:rPr>
            <w:rStyle w:val="Hyperlink"/>
          </w:rPr>
          <w:t xml:space="preserve">[16]</w:t>
        </w:r>
      </w:hyperlink>
      <w:r>
        <w:t xml:space="preserve">.</w:t>
      </w:r>
    </w:p>
    <w:bookmarkEnd w:id="113"/>
    <w:bookmarkEnd w:id="114"/>
    <w:bookmarkStart w:id="120" w:name="study-two-time-to-first-disclosure"/>
    <w:p>
      <w:pPr>
        <w:pStyle w:val="Heading2"/>
        <w:spacing w:line="480" w:lineRule="auto"/>
      </w:pPr>
      <w:r>
        <w:t xml:space="preserve">6.3 Study Two: Time to First Disclosure</w:t>
      </w:r>
    </w:p>
    <w:bookmarkStart w:id="115" w:name="estimation-setting"/>
    <w:p>
      <w:pPr>
        <w:pStyle w:val="Heading3"/>
        <w:spacing w:line="480" w:lineRule="auto"/>
      </w:pPr>
      <w:r>
        <w:t xml:space="preserve">6.3.1 Estimation Setting</w:t>
      </w:r>
    </w:p>
    <w:p>
      <w:pPr>
        <w:pStyle w:val="FirstParagraph"/>
        <w:spacing w:line="480" w:lineRule="auto"/>
      </w:pPr>
      <w:r>
        <w:t xml:space="preserve">Study two is run as a Cox proportional-hazards model by partial likelihood. The estimator hands back coefficients on the linear predictor, their standard errors, and the implied two-sided p-values, with the baseline hazard left unnamed. Its sample is thirty-two packages carrying twenty-one first-disclosure events, an events-to-covariates ratio sitting at the low rim of what the survival-analysis writing counts as enough for steady estimation of three slopes</w:t>
      </w:r>
      <w:r>
        <w:t xml:space="preserve"> </w:t>
      </w:r>
      <w:hyperlink w:anchor="ref-12">
        <w:r>
          <w:rPr>
            <w:rStyle w:val="Hyperlink"/>
          </w:rPr>
          <w:t xml:space="preserve">[12]</w:t>
        </w:r>
      </w:hyperlink>
      <w:r>
        <w:t xml:space="preserve">[13][17]. A reader should read the standard errors, then, as cautious mirrors of finite-sample doubt rather than as symptoms of a botched estimator. Three covariates go into the fit: the binary direct-in-mission flag, the log of monthly downloads in package-month tiers, and the mission stack depth at which the package first breaks into the downstream tree.</w:t>
      </w:r>
    </w:p>
    <w:bookmarkEnd w:id="115"/>
    <w:bookmarkStart w:id="116" w:name="the-direct-in-mission-indicator"/>
    <w:p>
      <w:pPr>
        <w:pStyle w:val="Heading3"/>
        <w:spacing w:line="480" w:lineRule="auto"/>
      </w:pPr>
      <w:r>
        <w:t xml:space="preserve">6.3.2 The Direct-in-Mission Indicator</w:t>
      </w:r>
    </w:p>
    <w:p>
      <w:pPr>
        <w:pStyle w:val="FirstParagraph"/>
        <w:spacing w:line="480" w:lineRule="auto"/>
      </w:pPr>
      <w:r>
        <w:t xml:space="preserve">Carrying the first hazard hypothesis H1 is the direct-in-mission indicator, which predicts that direct dependencies of operational mission software face a higher hazard of first disclosure than peripheral transitive packages once download exposure and depth are controlled.</w:t>
      </w:r>
    </w:p>
    <w:p>
      <w:pPr>
        <w:pStyle w:val="BodyText"/>
        <w:spacing w:line="480" w:lineRule="auto"/>
        <w:ind w:firstLine="720"/>
      </w:pPr>
      <w:r>
        <w:t xml:space="preserve">Its point estimate is 1.1276, with a standard error of 0.9181 and a p-value of 0.2194. The implied hazard ratio is the exponential of the coefficient, approximately 3.09. Substantively, a package that is a direct dependency of operational mission software is estimated, holding log downloads and stack depth fixed, to face roughly three times the instantaneous hazard of first disclosure as a peripheral transitive package. The sign of the coefficient runs in the direction H1 predicts, and the magnitude of the implied hazard ratio is substantively large by the standards of the supply-chain cybersecurity literature</w:t>
      </w:r>
      <w:r>
        <w:t xml:space="preserve"> </w:t>
      </w:r>
      <w:hyperlink w:anchor="ref-14">
        <w:r>
          <w:rPr>
            <w:rStyle w:val="Hyperlink"/>
          </w:rPr>
          <w:t xml:space="preserve">[14]</w:t>
        </w:r>
      </w:hyperlink>
      <w:r>
        <w:t xml:space="preserve">[16]. A p-value of 0.2194, though, does not reach the conventional five percent threshold for a two-sided rejection. The hypothesis is therefore not formally rejected against its null, and the confidence interval around the point estimate is wide.</w:t>
      </w:r>
    </w:p>
    <w:p>
      <w:pPr>
        <w:pStyle w:val="BodyText"/>
        <w:spacing w:line="480" w:lineRule="auto"/>
        <w:ind w:firstLine="720"/>
      </w:pPr>
      <w:r>
        <w:t xml:space="preserve">Pairing the size of the implied hazard ratio with the failure to reject the null at the conventional threshold is the central methodological lesson of study two.</w:t>
      </w:r>
    </w:p>
    <w:p>
      <w:pPr>
        <w:pStyle w:val="BodyText"/>
        <w:spacing w:line="480" w:lineRule="auto"/>
        <w:ind w:firstLine="720"/>
      </w:pPr>
      <w:r>
        <w:t xml:space="preserve">With twenty-one events spread across three covariates, the partial-likelihood estimator lacks the resolution to deliver a tight confidence interval on what is, in point-estimate terms, a strong effect. A reader who infers from the high p-value that the direct-in-mission channel is empty is reading the result against the magnitude evidence. A reader who infers from the hazard ratio of approximately three that the direct-in-mission channel is established is reading the result against the uncertainty evidence. The disciplined reading, and the one this dissertation adopts, is that the direct-in-mission channel is the only one of the three covariates carrying a substantively large point estimate, that the sign is in the predicted direction, and that the sample is too small to convert the magnitude into conventional significance. The implication is methodological rather than substantive: the next study should expand the sample to tighten the interval on this channel first.</w:t>
      </w:r>
    </w:p>
    <w:bookmarkEnd w:id="116"/>
    <w:bookmarkStart w:id="117" w:name="the-log-downloads-covariate"/>
    <w:p>
      <w:pPr>
        <w:pStyle w:val="Heading3"/>
        <w:spacing w:line="480" w:lineRule="auto"/>
      </w:pPr>
      <w:r>
        <w:t xml:space="preserve">6.3.3 The Log-Downloads Covariate</w:t>
      </w:r>
    </w:p>
    <w:p>
      <w:pPr>
        <w:pStyle w:val="FirstParagraph"/>
        <w:spacing w:line="480" w:lineRule="auto"/>
      </w:pPr>
      <w:r>
        <w:t xml:space="preserve">The log-downloads covariate carries a coefficient of 0.1786, with a standard error of 0.6124 and a p-value of 0.7705. Its implied hazard ratio is approximately 1.20, centred on a modest positive effect of download exposure on first-disclosure hazard, but the standard error is more than three times the magnitude of the point estimate. The covariate is therefore statistically indistinguishable from zero in this sample, and the point estimate is small in any case. Substantively, conditional on direct mission integration and stack depth, raw download volume does not carry independent explanatory power for first-disclosure timing in the resolved transitive closure of the four mission projects. That finding is consistent with the multicollinearity warning the theory section of the second paper flagged in advance: popularity and mission adoption are not independent in this corpus, and entering both simultaneously into a three-covariate Cox specification on a sample of thirty-two packages cannot separate their contributions. The null on the log-downloads covariate should not be over-interpreted. It is not evidence that download volume is uninformative about supply-chain risk in general; it is evidence that, in this sample, the direct-in-mission indicator absorbs the explanatory share an unconditional download model would have attributed to popularity.</w:t>
      </w:r>
    </w:p>
    <w:bookmarkEnd w:id="117"/>
    <w:bookmarkStart w:id="118" w:name="the-mission-stack-depth-covariate"/>
    <w:p>
      <w:pPr>
        <w:pStyle w:val="Heading3"/>
        <w:spacing w:line="480" w:lineRule="auto"/>
      </w:pPr>
      <w:r>
        <w:t xml:space="preserve">6.3.4 The Mission Stack Depth Covariate</w:t>
      </w:r>
    </w:p>
    <w:p>
      <w:pPr>
        <w:pStyle w:val="FirstParagraph"/>
        <w:spacing w:line="480" w:lineRule="auto"/>
      </w:pPr>
      <w:r>
        <w:t xml:space="preserve">The mission stack depth covariate carries a coefficient of minus 0.1258, with a standard error of 0.5180 and a p-value of 0.8081.</w:t>
      </w:r>
    </w:p>
    <w:p>
      <w:pPr>
        <w:pStyle w:val="BodyText"/>
        <w:spacing w:line="480" w:lineRule="auto"/>
        <w:ind w:firstLine="720"/>
      </w:pPr>
      <w:r>
        <w:t xml:space="preserve">Its sign runs in the direction the second hazard hypothesis H2 predicts, which posits that deeper transitive packages experience a suppressed hazard of disclosure because obscurity in the tree dampens both defender and adversary attention. The implied hazard ratio is approximately 0.88, indicating that each additional step of depth in the transitive tree is associated, in point-estimate terms, with a roughly twelve percent reduction in the instantaneous hazard of first disclosure. Its standard error, however, is four times the magnitude of the coefficient, and the p-value sits well above any conventional rejection threshold. The hypothesis is not rejected against its null. What one reads here is that the sign of every coefficient in the specification runs in the direction the theory predicted but that the depth channel, even more than the download channel, is buried in the noise envelope of a thirty-two-package sample with twenty-one events.</w:t>
      </w:r>
    </w:p>
    <w:p>
      <w:pPr>
        <w:pStyle w:val="BodyText"/>
        <w:spacing w:line="480" w:lineRule="auto"/>
        <w:ind w:firstLine="720"/>
      </w:pPr>
      <w:r>
        <w:t xml:space="preserve">Even at a non-significant p-value the negative sign on depth is interpretively important, because it is consistent with the censoring story the theory section of the second paper laid out. A package at depth three in the mission stack is, by construction, less visible to both defender and adversary than a package at depth one. On the partial-likelihood estimator’s reading, the hazard of first disclosure for that depth-three package is lower. A reader who interprets a clean CVE record on a depth-three package as evidence of safety is, on this evidence, reading the absence of observation as evidence of the absence of vulnerability. The point estimate cannot rule out that reading at conventional significance, but the sign of the coefficient is the right sign for a censoring story rather than a safety story.</w:t>
      </w:r>
    </w:p>
    <w:bookmarkEnd w:id="118"/>
    <w:bookmarkStart w:id="119" w:name="overall-reading-of-the-hazard-model"/>
    <w:p>
      <w:pPr>
        <w:pStyle w:val="Heading3"/>
        <w:spacing w:line="480" w:lineRule="auto"/>
      </w:pPr>
      <w:r>
        <w:t xml:space="preserve">6.3.5 Overall Reading of the Hazard Model</w:t>
      </w:r>
    </w:p>
    <w:p>
      <w:pPr>
        <w:pStyle w:val="FirstParagraph"/>
        <w:spacing w:line="480" w:lineRule="auto"/>
      </w:pPr>
      <w:r>
        <w:t xml:space="preserve">Concentration of signal in the direct-in-mission indicator characterises the Cox specification, where a coefficient of 1.1276 implies a hazard ratio of approximately three. The other two covariates run in their predicted directions but at magnitudes small relative to their standard errors.</w:t>
      </w:r>
    </w:p>
    <w:p>
      <w:pPr>
        <w:pStyle w:val="BodyText"/>
        <w:spacing w:line="480" w:lineRule="auto"/>
        <w:ind w:firstLine="720"/>
      </w:pPr>
      <w:r>
        <w:t xml:space="preserve">None of the three coefficients crosses the conventional five percent threshold for a two-sided rejection. Model fit is described by the thirty-two observations and twenty-one events the partial-likelihood estimator was given, and no overall pseudo R-squared is reported because the partial-likelihood objective does not deliver a meaningful single-number summary of explained variation in survival data</w:t>
      </w:r>
      <w:r>
        <w:t xml:space="preserve"> </w:t>
      </w:r>
      <w:hyperlink w:anchor="ref-13">
        <w:r>
          <w:rPr>
            <w:rStyle w:val="Hyperlink"/>
          </w:rPr>
          <w:t xml:space="preserve">[13]</w:t>
        </w:r>
      </w:hyperlink>
      <w:r>
        <w:t xml:space="preserve">[17]. A reader who treats study two as a power calculation for the next paper is reading it as the candidate intends: the direction of the evidence is consistent across all three coefficients with the theory developed in the second paper, and the magnitude of the direct-in-mission effect is large enough to warrant a tightening of the confidence interval on a larger sample.</w:t>
      </w:r>
    </w:p>
    <w:bookmarkEnd w:id="119"/>
    <w:bookmarkEnd w:id="120"/>
    <w:bookmarkStart w:id="121" w:name="cross-study-synthesis"/>
    <w:p>
      <w:pPr>
        <w:pStyle w:val="Heading2"/>
        <w:spacing w:line="480" w:lineRule="auto"/>
      </w:pPr>
      <w:r>
        <w:t xml:space="preserve">6.4 Cross-Study Synthesis</w:t>
      </w:r>
    </w:p>
    <w:p>
      <w:pPr>
        <w:pStyle w:val="FirstParagraph"/>
        <w:spacing w:line="480" w:lineRule="auto"/>
      </w:pPr>
      <w:r>
        <w:t xml:space="preserve">Laid side by side, the coefficient evidence from the two studies reads as one connected account. Study one gauges that, holding codebase size and declared choosiness fixed, the mission label leaves no detectable curation mark on per-line downstream footprint.</w:t>
      </w:r>
    </w:p>
    <w:p>
      <w:pPr>
        <w:pStyle w:val="BodyText"/>
        <w:spacing w:line="480" w:lineRule="auto"/>
        <w:ind w:firstLine="720"/>
      </w:pPr>
      <w:r>
        <w:t xml:space="preserve">Study two gauges that, holding download reach and depth fixed, packages sitting as direct dependencies of mission software that flies run a substantively steep but statistically hazy lift in first-disclosure hazard. Put together, the two gauges point to an open mission-software population in this sample that is, by any measurable test, no more walled off from registry-scale supply-chain danger than anything else. Per line of code the downstream footprint cannot be told apart from the matched science baseline once size is netted out, and the mission stack’s direct dependencies own the sharpest point estimate in the hazard fit. That joined picture squares with the inheritance view behind the second hypothesis pair in the first paper and with the federal supply-chain governance record’s core counsel that mission integrators get only part of the credit for the open-source world’s defensive labor</w:t>
      </w:r>
      <w:r>
        <w:t xml:space="preserve"> </w:t>
      </w:r>
      <w:hyperlink w:anchor="ref-16">
        <w:r>
          <w:rPr>
            <w:rStyle w:val="Hyperlink"/>
          </w:rPr>
          <w:t xml:space="preserve">[16]</w:t>
        </w:r>
      </w:hyperlink>
      <w:r>
        <w:t xml:space="preserve">[3][4].</w:t>
      </w:r>
    </w:p>
    <w:p>
      <w:pPr>
        <w:pStyle w:val="BodyText"/>
        <w:spacing w:line="480" w:lineRule="auto"/>
        <w:ind w:firstLine="720"/>
      </w:pPr>
      <w:r>
        <w:t xml:space="preserve">A handful of caveats keep the synthesis honest. Sample sizes run small; both studies were frozen at thirty-two observations because the open mission-software population is small and because locking specifications in advance barred reaching outside the named population to pad N.</w:t>
      </w:r>
    </w:p>
    <w:p>
      <w:pPr>
        <w:pStyle w:val="BodyText"/>
        <w:spacing w:line="480" w:lineRule="auto"/>
        <w:ind w:firstLine="720"/>
      </w:pPr>
      <w:r>
        <w:t xml:space="preserve">The matched science comparator in study one splits within itself, NumPy and SciPy sitting near the floor of per-line footprint with Astropy just over them, which makes the matched baseline a noisy yardstick. The partial-likelihood estimator in study two sits at the low rim of its events-per-covariate operating band, and the fat standard errors on all three covariates carry that finite-sample truth. And the cross-study read is a narrative one, not a formal one: the two studies share a parent population but not an estimator, so one’s standard errors cannot be carried over to the other. What is offered above, then, is a connected narrative reading of two separate estimator outputs, not a joint test.</w:t>
      </w:r>
    </w:p>
    <w:bookmarkEnd w:id="121"/>
    <w:bookmarkStart w:id="122" w:name="what-the-findings-establish"/>
    <w:p>
      <w:pPr>
        <w:pStyle w:val="Heading2"/>
        <w:spacing w:line="480" w:lineRule="auto"/>
      </w:pPr>
      <w:r>
        <w:t xml:space="preserve">6.5 What the Findings Establish</w:t>
      </w:r>
    </w:p>
    <w:p>
      <w:pPr>
        <w:pStyle w:val="FirstParagraph"/>
        <w:spacing w:line="480" w:lineRule="auto"/>
      </w:pPr>
      <w:r>
        <w:t xml:space="preserve">Three findings come out of this chapter for the rest of the dissertation to lean on. For one, the curation claim locked in by the first paper wins no support in this sample; the mission-software flag carries no statistically detectable negative coefficient on per-line downstream footprint once codebase size and the direct-dependency count are in the fit. For another, the mechanical squeeze of per-line footprint by codebase size is the most statistically detectable channel in the first fit, and it swallows a good chunk of the surface contrast the mission label might have seemed to explain. And for the third, the direct-in-mission channel in the hazard fit owns the biggest point estimate of the three covariates, pointing to a hazard ratio near three for first disclosure on direct dependencies of mission software that flies, even though its standard error blocks a conventional rejection of the null. Read together, these three set up the policy discussion of Chapter 7 and the methodological reaches held for the dissertation’s closing chapter</w:t>
      </w:r>
      <w:r>
        <w:t xml:space="preserve"> </w:t>
      </w:r>
      <w:hyperlink w:anchor="ref-1">
        <w:r>
          <w:rPr>
            <w:rStyle w:val="Hyperlink"/>
          </w:rPr>
          <w:t xml:space="preserve">[1]</w:t>
        </w:r>
      </w:hyperlink>
      <w:r>
        <w:t xml:space="preserve">[2][3][7][14][16].</w:t>
      </w:r>
    </w:p>
    <w:bookmarkEnd w:id="122"/>
    <w:bookmarkEnd w:id="123"/>
    <w:bookmarkStart w:id="131" w:name="X21322cb5e29cbf4eb576afddcad42f86ace4e0d"/>
    <w:p>
      <w:pPr>
        <w:pStyle w:val="Heading1"/>
        <w:spacing w:line="480" w:lineRule="auto"/>
      </w:pPr>
      <w:r>
        <w:t xml:space="preserve">Chapter 7. Discussion and Governance Implications</w:t>
      </w:r>
    </w:p>
    <w:bookmarkStart w:id="124" w:name="orientation-1"/>
    <w:p>
      <w:pPr>
        <w:pStyle w:val="Heading2"/>
        <w:spacing w:line="480" w:lineRule="auto"/>
      </w:pPr>
      <w:r>
        <w:t xml:space="preserve">7.1 Orientation</w:t>
      </w:r>
    </w:p>
    <w:p>
      <w:pPr>
        <w:pStyle w:val="FirstParagraph"/>
        <w:spacing w:line="480" w:lineRule="auto"/>
      </w:pPr>
      <w:r>
        <w:t xml:space="preserve">This chapter gathers the empirical record built across the two earlier papers and holds it up against the policy questions that set the dissertation going.</w:t>
      </w:r>
    </w:p>
    <w:p>
      <w:pPr>
        <w:pStyle w:val="BodyText"/>
        <w:spacing w:line="480" w:lineRule="auto"/>
        <w:ind w:firstLine="720"/>
      </w:pPr>
      <w:r>
        <w:t xml:space="preserve">Paper 1 fit an ordinary least squares model on the per-kSLOC downstream footprint of thirty-two repository-releases and could not knock down the null in favor of the curation view once codebase size joined the fit. Paper 2 fit a Cox proportional-hazards model on the stretch from first public release to first publicly disclosed common vulnerability and exposure record across thirty-two open-source packages drawn from the downstream closure of mission-relevant software, coming back with a substantively steep but statistically unsettled hazard ratio on the direct-in-mission flag, the signs on download volume and depth leaning the predicted way but with intervals stretched wide. Laid side by side, the two papers sketch a mission-software supply chain whose visible top ring acts much like the science ecosystem around it, whose buried lower ring is likely under-watched rather than safe, and whose mission label, on its own, buys no defensible discount on provenance work. What follows spells out what that joined finding means for NASA program management and for the Jet Propulsion Laboratory decision in particular, lays out the limits the claim should be read under, and puts forward the research moves the dissertation holds to be the weightiest next steps.</w:t>
      </w:r>
    </w:p>
    <w:bookmarkEnd w:id="124"/>
    <w:bookmarkStart w:id="125" w:name="X3edaffa0ec0edb140a5d2b96fd0d3de3f7ba9ab"/>
    <w:p>
      <w:pPr>
        <w:pStyle w:val="Heading2"/>
        <w:spacing w:line="480" w:lineRule="auto"/>
      </w:pPr>
      <w:r>
        <w:t xml:space="preserve">7.2 What the Combined Finding Means for NASA Program Management</w:t>
      </w:r>
    </w:p>
    <w:p>
      <w:pPr>
        <w:pStyle w:val="FirstParagraph"/>
        <w:spacing w:line="480" w:lineRule="auto"/>
      </w:pPr>
      <w:r>
        <w:t xml:space="preserve">A first programmatic implication is that the policy default in mission assurance practice, that mission software is intrinsically curated and therefore warrants a lighter regime of software bill of materials coverage than commercial scientific software, does not survive the empirical test reported in Paper 1.</w:t>
      </w:r>
    </w:p>
    <w:p>
      <w:pPr>
        <w:pStyle w:val="BodyText"/>
        <w:spacing w:line="480" w:lineRule="auto"/>
        <w:ind w:firstLine="720"/>
      </w:pPr>
      <w:r>
        <w:t xml:space="preserve">The mission-software indicator carried a point estimate of -0.2097 in the direction of curation but with a p-value of 0.566, and the codebase-size coefficient was the only individually significant regressor in the specification at the conventional five percent level. Read practically, program managers cannot treat the mission label as a substitute for a project-by-project examination of the dependency manifest. The intuition that flight-grade configuration management, export-control sensitivity, and qualification cost collectively produce a smaller per-line dependency footprint is present in the descriptive data for cFS and Basilisk, but it dissolves once size is controlled and once Ruby and Java mission tooling, in the form of the OpenC3 COSMOS ground tool and the Yamcs framework, are read alongside the C and Python cases.</w:t>
      </w:r>
    </w:p>
    <w:p>
      <w:pPr>
        <w:pStyle w:val="BodyText"/>
        <w:spacing w:line="480" w:lineRule="auto"/>
        <w:ind w:firstLine="720"/>
      </w:pPr>
      <w:r>
        <w:t xml:space="preserve">The mission-assurance posture this finding supports is one in which the unit of governance is the project-registry pair, not the population label. A C project that resolves its dependencies through git submodules sits in a different governance regime than a Ruby project that resolves through Bundler against RubyGems, and the dissertation’s measurement record is consistent with the view that the registry choice is doing most of the empirical work.</w:t>
      </w:r>
    </w:p>
    <w:p>
      <w:pPr>
        <w:pStyle w:val="BodyText"/>
        <w:spacing w:line="480" w:lineRule="auto"/>
        <w:ind w:firstLine="720"/>
      </w:pPr>
      <w:r>
        <w:t xml:space="preserve">NASA’s program-management apparatus already has the institutional vocabulary for this kind of distinction in the configuration-management discipline applied to flight hardware lots and to qualified parts lists, and the contribution of this dissertation is to argue that the same discipline must extend to the registry tier of the software supply chain rather than to the project tier alone. The framing the broader space-economy literature has applied to industrial-base supply-chain risk under the heading of integrated deterrence and the curation of critical inputs maps almost without translation onto the registry tier, and the governance language that already exists for hardware supplier qualification can be transposed onto package-version qualification once the project-registry pair is accepted as the governed unit</w:t>
      </w:r>
      <w:r>
        <w:t xml:space="preserve"> </w:t>
      </w:r>
      <w:hyperlink w:anchor="ref-3">
        <w:r>
          <w:rPr>
            <w:rStyle w:val="Hyperlink"/>
          </w:rPr>
          <w:t xml:space="preserve">[3]</w:t>
        </w:r>
      </w:hyperlink>
      <w:r>
        <w:t xml:space="preserve">[4].</w:t>
      </w:r>
    </w:p>
    <w:p>
      <w:pPr>
        <w:pStyle w:val="BodyText"/>
        <w:spacing w:line="480" w:lineRule="auto"/>
        <w:ind w:firstLine="720"/>
      </w:pPr>
      <w:r>
        <w:t xml:space="preserve">A second programmatic upshot is that the sense of low danger in the buried lower ring of mission software is empirically brittle. The Paper 2 model handed back a negative point estimate on stack depth, its sign leaning the way the censoring hypothesis said it would, and what that means is that a clean common vulnerability record on a depth-three package ought to count as thin evidence of safety, since the very same record fits just as well with no one ever having looked. Program managers who vet mission dependencies off a National Vulnerability Database lookup at the top of the manifest will keep over-weighting the crown of the tree, where the eyes gather and the disclosure clock ticks quickest, and keep under-weighting the floor, where the eyes thin out and the disclosure clock may never have started ticking at all.</w:t>
      </w:r>
    </w:p>
    <w:p>
      <w:pPr>
        <w:pStyle w:val="BodyText"/>
        <w:spacing w:line="480" w:lineRule="auto"/>
        <w:ind w:firstLine="720"/>
      </w:pPr>
      <w:r>
        <w:t xml:space="preserve">The empirical anchor for this reading is the hazard ratio of 3.088 on the direct-in-mission indicator. It is large enough to imply that mission integrators receive only partial credit for the security work the open-source ecosystem performs on widely visible top-level packages, because the same packages whose disclosure clock runs fastest are also the ones for which security investment is densest. A risk register that uses the count of past CVEs as a proxy for forward risk in deep transitive packages will therefore mis-rank exactly the packages whose mis-ranking is most consequential. What this finding argues for is the introduction of a depth-aware signal source alongside the CVE count, with commit-level fix telemetry as the leading candidate. The methodological argument in Paper 2 for combining the hazard model with a non-CVE signal is the methodological complement of this governance argument: a program manager who can read both the hazard estimate and the commit-telemetry signal at the same time has a defensible second axis of evidence on the deep ring of the tree, and the absence of such a second axis is itself an actionable finding.</w:t>
      </w:r>
    </w:p>
    <w:p>
      <w:pPr>
        <w:pStyle w:val="BodyText"/>
        <w:spacing w:line="480" w:lineRule="auto"/>
        <w:ind w:firstLine="720"/>
      </w:pPr>
      <w:r>
        <w:t xml:space="preserve">A third programmatic implication concerns the policy interface between NASA mission directorates and the Office of the Chief Information Officer. The dissertation’s empirical record argues against a single uniform SBOM policy applied across the agency portfolio and in favor of a tiered policy whose tiers are defined by registry and language rather than by mission directorate. The C-and-submodules tier on which cFS sits, the Java-and-Maven tier on which Yamcs sits, the Ruby-and-Bundler tier on which COSMOS sits, and the Python-and-PyPI tier on which Basilisk, poliastro, and the scientific-software baseline sit, all face different transitive-closure semantics and therefore different SBOM tooling requirements. The Acta Astronautica record on flight-software composition and verification is consistent with this reading at the descriptive level, in that the verification effort reported on flight software historically tracks the language and toolchain choice more closely than the program-element label</w:t>
      </w:r>
      <w:r>
        <w:t xml:space="preserve"> </w:t>
      </w:r>
      <w:hyperlink w:anchor="ref-5">
        <w:r>
          <w:rPr>
            <w:rStyle w:val="Hyperlink"/>
          </w:rPr>
          <w:t xml:space="preserve">[5]</w:t>
        </w:r>
      </w:hyperlink>
      <w:r>
        <w:t xml:space="preserve">[6]. What follows is a recommendation for the agency to publish, as a complement to its current SBOM guidance, a registry-tier qualification specification under which each tier carries a documented set of resolution semantics, a documented snapshot policy for as-of-release resolution, and a documented escalation path for vendored or shadow-imported dependencies the static manifest does not declare. The matched specification in Paper 1 already exposes the costliness of language confounding when registry tiers are pooled, and the registry-tier qualification specification proposed here is the policy expression of that econometric concern.</w:t>
      </w:r>
    </w:p>
    <w:bookmarkEnd w:id="125"/>
    <w:bookmarkStart w:id="126" w:name="Xc92f8d649e47c345f2f5aa2fd33a517998668c7"/>
    <w:p>
      <w:pPr>
        <w:pStyle w:val="Heading2"/>
        <w:spacing w:line="480" w:lineRule="auto"/>
      </w:pPr>
      <w:r>
        <w:t xml:space="preserve">7.3 Implications for the Jet Propulsion Laboratory Decision Context</w:t>
      </w:r>
    </w:p>
    <w:p>
      <w:pPr>
        <w:pStyle w:val="FirstParagraph"/>
        <w:spacing w:line="480" w:lineRule="auto"/>
      </w:pPr>
      <w:r>
        <w:t xml:space="preserve">What distinguishes the JPL decision context from the broader agency context is the present recompete of its federally funded research and development center contract and the architecture-and-engineering depth JPL projects bring to flight software and ground software simultaneously. Three implications follow that are specific to that context.</w:t>
      </w:r>
    </w:p>
    <w:p>
      <w:pPr>
        <w:pStyle w:val="BodyText"/>
        <w:spacing w:line="480" w:lineRule="auto"/>
        <w:ind w:firstLine="720"/>
      </w:pPr>
      <w:r>
        <w:t xml:space="preserve">First, the registry-tier qualification specification proposed in section 7.2 has a natural home inside the JPL software assurance practice, because the laboratory already operates an end-to-end pipeline spanning flight C, ground Python, and operator-facing Java tooling, and therefore already produces internal evidence on all four of the registry tiers identified in the empirical record. Its institutional capacity to read across tiers, rather than to treat each tier as a separate vertical, is the empirical complement of the registry-tier specification, and the dissertation argues that JPL is the natural site for a pilot of the specification at full mission scope. Second, the within-mission heterogeneity finding from Paper 1 is the strongest evidence against an across-the-board, JPL-wide adoption of any single SBOM tool, and the most defensible adoption pattern is project-by-project at the registry-tier level. The empirical contrast between the low per-line footprint of cFS and the high per-line footprint of poliastro is not a contrast between flight and analysis software in the abstract; it is a contrast between submodule-resolved C and PyPI-resolved Python. JPL projects that combine flight C with analysis Python in the same mission stack should therefore expect to operate two SBOM regimes in parallel, and a procurement strategy that asks a single tool vendor to span both regimes is unlikely to be empirically supported.</w:t>
      </w:r>
    </w:p>
    <w:p>
      <w:pPr>
        <w:pStyle w:val="BodyText"/>
        <w:spacing w:line="480" w:lineRule="auto"/>
        <w:ind w:firstLine="720"/>
      </w:pPr>
      <w:r>
        <w:t xml:space="preserve">Third, the hazard analysis in Paper 2 bears in a particular way on the JPL approach to inheritance from agency-wide common software, in the sense that the laboratory’s depth in scientific Python tooling places it routinely at depth three or four of the import tree on packages the broader Astropy and SciPy communities maintain. The negative point estimate on stack depth in the Cox model is the dissertation’s empirical handle on the claim that JPL inheritance of mature scientific packages should not be read as inheritance of mature security observation. The community of scientific maintainers around Astropy and SciPy is large and visible at the top of the tree, but the deep transitive packages on which those projects in turn depend are smaller, sparser, and less observed, and the inheritance of risk from those packages is the inheritance the hazard model argues is most under-counted by current screening practice. For JPL software assurance practice the implication is the introduction of a depth-aware screening pass that reads the hazard estimate at each ring of the tree rather than a single roll-up screen at the top, and for JPL procurement of common tooling the implication is that the common-tooling pipeline must publish, alongside its SBOM, a depth-resolved hazard summary that lets downstream projects read the inherited risk at the same resolution at which it is produced. The argument that the space economy’s most defensible policy moves are the ones grounded in measurable industrial-base data, rather than in qualitative supply-chain framing, applies almost verbatim to the JPL software supply-chain context, and the dissertation’s contribution is to provide the measurable substrate on which that argument can rest at the laboratory level</w:t>
      </w:r>
      <w:r>
        <w:t xml:space="preserve"> </w:t>
      </w:r>
      <w:hyperlink w:anchor="ref-3">
        <w:r>
          <w:rPr>
            <w:rStyle w:val="Hyperlink"/>
          </w:rPr>
          <w:t xml:space="preserve">[3]</w:t>
        </w:r>
      </w:hyperlink>
      <w:r>
        <w:t xml:space="preserve">[4][9].</w:t>
      </w:r>
    </w:p>
    <w:p>
      <w:pPr>
        <w:pStyle w:val="BodyText"/>
        <w:spacing w:line="480" w:lineRule="auto"/>
        <w:ind w:firstLine="720"/>
      </w:pPr>
      <w:r>
        <w:t xml:space="preserve">A fourth implication, narrower in scope but operationally consequential, concerns the JPL choice between hosted continuous integration services and locally operated build environments. The Paper 2 finding that the disclosure clock runs fastest on the top of the tree, where popular direct dependencies are widely visible, implies that hosted services that pin to mainstream registry snapshots receive most of the benefit of community security work in the first ring. The same finding implies that hosted services receive almost none of the benefit in the deep ring, where the disclosure clock may not have started. A laboratory that hosts a build pipeline in-house has the option to install a registry-mirror tier with a documented snapshot date and a documented yank policy, and the empirical record argues that the value of that mirror tier is concentrated in the deep ring rather than in the top ring. What this implies for procurement is that the cost of hosting a registry mirror should be evaluated against the value of the depth-resolved provenance it provides, and the dissertation’s empirical record provides a starting point for that evaluation by reporting the rate of transitive growth observed across the four registry tiers.</w:t>
      </w:r>
    </w:p>
    <w:bookmarkEnd w:id="126"/>
    <w:bookmarkStart w:id="127" w:name="Xdd0b26e95bc7a5eb92f1cc574947b1eaaee5200"/>
    <w:p>
      <w:pPr>
        <w:pStyle w:val="Heading2"/>
        <w:spacing w:line="480" w:lineRule="auto"/>
      </w:pPr>
      <w:r>
        <w:t xml:space="preserve">7.4 Connection Back to the Curation-or-Inheritance Frame</w:t>
      </w:r>
    </w:p>
    <w:p>
      <w:pPr>
        <w:pStyle w:val="FirstParagraph"/>
        <w:spacing w:line="480" w:lineRule="auto"/>
      </w:pPr>
      <w:r>
        <w:t xml:space="preserve">What the prospectus locked in as its one falsifiable claim was the curation hypothesis on per-line downstream footprint, set against the inheritance alternative that mission software takes on the full registry-scale exposure of the science ecosystem around it.</w:t>
      </w:r>
    </w:p>
    <w:p>
      <w:pPr>
        <w:pStyle w:val="BodyText"/>
        <w:spacing w:line="480" w:lineRule="auto"/>
        <w:ind w:firstLine="720"/>
      </w:pPr>
      <w:r>
        <w:t xml:space="preserve">The empirical record sits with the inheritance side of that frame, hedged by the fact that within-mission spread is the sample’s ruling trait and hedged again by the fact that the test is statistically shy against the curation side. The dissertation does not hold that curation is empirically missing from space software that flies in general, only that its effect stays undetectable at the population level once codebase size and language tier are pinned. For policy the upshot is that the curation-or-inheritance either-or is itself the wrong unit for governance, and that the fruitful stand-in is the project-registry tier pair. That swap threads through every recommendation the earlier sections make, and it fits the recurring lesson in the wider space-cybersecurity writing that posture is best fixed at the layer where resolution actually happens, not at the layer where the program label gets stuck on</w:t>
      </w:r>
      <w:r>
        <w:t xml:space="preserve"> </w:t>
      </w:r>
      <w:hyperlink w:anchor="ref-1">
        <w:r>
          <w:rPr>
            <w:rStyle w:val="Hyperlink"/>
          </w:rPr>
          <w:t xml:space="preserve">[1]</w:t>
        </w:r>
      </w:hyperlink>
      <w:r>
        <w:t xml:space="preserve">[2][7].</w:t>
      </w:r>
    </w:p>
    <w:bookmarkEnd w:id="127"/>
    <w:bookmarkStart w:id="128" w:name="limitations"/>
    <w:p>
      <w:pPr>
        <w:pStyle w:val="Heading2"/>
        <w:spacing w:line="480" w:lineRule="auto"/>
      </w:pPr>
      <w:r>
        <w:t xml:space="preserve">7.5 Limitations</w:t>
      </w:r>
    </w:p>
    <w:p>
      <w:pPr>
        <w:pStyle w:val="FirstParagraph"/>
        <w:spacing w:line="480" w:lineRule="auto"/>
      </w:pPr>
      <w:r>
        <w:t xml:space="preserve">Five limits fence in how far the policy reading above can be pushed. Slim samples lead. Paper 1 fits on thirty-two repository-releases and Paper 2 on thirty-two packages carrying twenty-one disclosure events. Each is big enough to catch the fattest effects in the writing but neither is big enough to hand back conventional significance on covariates whose standard errors are puffed up by population spread. The substantively steep hazard ratio of 3.088 on the direct-in-mission flag is the plainest spot where the dissertation’s policy reading rests on a point estimate whose interval swallows zero. What that means is that the dissertation reports a test that leaves the null standing while logging a point estimate whose size matters for how the next sample gets designed, and the fitting register is the talk of evidentiary weight, not of statistical significance.</w:t>
      </w:r>
    </w:p>
    <w:p>
      <w:pPr>
        <w:pStyle w:val="BodyText"/>
        <w:spacing w:line="480" w:lineRule="auto"/>
        <w:ind w:firstLine="720"/>
      </w:pPr>
      <w:r>
        <w:t xml:space="preserve">Second, the open-source mission population is the only directly observable mission population, and the dissertation’s claims are bounded to it. Closed flight software written for cost-plus programs may exhibit a different curation effect, and the prospectus committed in advance to discussing extrapolation only qualitatively. The dissertation does not retract that commitment here. What follows from this limitation is that the policy recommendations in sections 7.2 and 7.3 apply to the open mission-software pipeline NASA and JPL operate, and that closed mission software requires a separate study under a separate access regime.</w:t>
      </w:r>
    </w:p>
    <w:p>
      <w:pPr>
        <w:pStyle w:val="BodyText"/>
        <w:spacing w:line="480" w:lineRule="auto"/>
        <w:ind w:firstLine="720"/>
      </w:pPr>
      <w:r>
        <w:t xml:space="preserve">Third, the historical resolution of registry metadata at the release date is sensitive to registry drift. PyPI and RubyGems both permit yanks and renamings that can rewrite the apparent transitive closure of a release after the fact, and the dissertation’s empirical record uses a single snapshot date for the historical resolver. The sensitivity of the results to that snapshot was reported as a robustness pass in Paper 1 and is not retracted here, but the limitation should be read as a structural one for any empirical study of historical supply-chain risk. The recommendation under section 7.7 that registry snapshots become a published governance artefact is in part a response to it.</w:t>
      </w:r>
    </w:p>
    <w:p>
      <w:pPr>
        <w:pStyle w:val="BodyText"/>
        <w:spacing w:line="480" w:lineRule="auto"/>
        <w:ind w:firstLine="720"/>
      </w:pPr>
      <w:r>
        <w:t xml:space="preserve">Fourth, the kSLOC denominator at historical tags was recomputed where feasible and marked illustrative where time budget did not permit a direct recount. The fraction of illustrative rows is below fifteen percent of the sample but it is non-zero, and the OLS specification in Paper 1 is sensitive to denominator measurement error in a known way. The dissertation reports the illustrative-flag column for transparency and does not claim a precision on the codebase-size coefficient that would be inconsistent with the illustrative-flag fraction.</w:t>
      </w:r>
    </w:p>
    <w:p>
      <w:pPr>
        <w:pStyle w:val="BodyText"/>
        <w:spacing w:line="480" w:lineRule="auto"/>
        <w:ind w:firstLine="720"/>
      </w:pPr>
      <w:r>
        <w:t xml:space="preserve">Fifth, the dissertation’s matched comparison is unbalanced across primary language, with C, Java, Ruby, and Python all represented but at different counts. The Paper 1 specification controls for size and direct-dependency count but does not include a language fixed effect at the level of detail the prospectus had committed to in its negative-binomial robustness specification. That specification is reserved for the publication-track manuscript that will follow this dissertation, and the chapter’s policy reading should be read as conservative with respect to the language-confounding threat.</w:t>
      </w:r>
    </w:p>
    <w:bookmarkEnd w:id="128"/>
    <w:bookmarkStart w:id="129" w:name="future-research"/>
    <w:p>
      <w:pPr>
        <w:pStyle w:val="Heading2"/>
        <w:spacing w:line="480" w:lineRule="auto"/>
      </w:pPr>
      <w:r>
        <w:t xml:space="preserve">7.6 Future Research</w:t>
      </w:r>
    </w:p>
    <w:p>
      <w:pPr>
        <w:pStyle w:val="FirstParagraph"/>
        <w:spacing w:line="480" w:lineRule="auto"/>
      </w:pPr>
      <w:r>
        <w:t xml:space="preserve">Three strands of future work fall straight out of the empirical record and the limits named above. Scaling both samples up comes first. The Paper 1 OLS fit would gain from a sample big enough to carry a fully crossed language-and-registry interaction, and the Paper 2 Cox fit would gain from one big enough to hand back an interval on the direct-in-mission flag that clears one at the usual bars. The natural source of additional mission cases is the JOSS-indexed scientific software registry restricted to mission-relevant projects, and the natural source of additional non-CVE event time is the commit-level fix-telemetry signal Paper 2 identified as the methodological complement to the hazard estimate.</w:t>
      </w:r>
    </w:p>
    <w:p>
      <w:pPr>
        <w:pStyle w:val="BodyText"/>
        <w:spacing w:line="480" w:lineRule="auto"/>
        <w:ind w:firstLine="720"/>
      </w:pPr>
      <w:r>
        <w:t xml:space="preserve">A second line is the construction of a depth-resolved hazard model that returns a hazard estimate at each ring of the transitive tree rather than a single roll-up estimate at the top. The negative point estimate on stack depth in the present Paper 2 model is the empirical motivation for that construction, and the policy implication of a depth-resolved hazard model is the substitution of a single screening pass at the top of the tree with a screening pass at each ring. The construction would be a natural application of the proportional-hazards framework to a stratified risk-set definition in which the strata are the depth tiers, and the data assembly for that construction is a downstream extension of the registry-tier qualification specification proposed in section 7.2.</w:t>
      </w:r>
    </w:p>
    <w:p>
      <w:pPr>
        <w:pStyle w:val="BodyText"/>
        <w:spacing w:line="480" w:lineRule="auto"/>
        <w:ind w:firstLine="720"/>
      </w:pPr>
      <w:r>
        <w:t xml:space="preserve">A third line is the integration of the supply-chain provenance signal with the broader mission-assurance and autonomy literatures in which the operational consequence of a compromised dependency would express itself.</w:t>
      </w:r>
    </w:p>
    <w:p>
      <w:pPr>
        <w:pStyle w:val="BodyText"/>
        <w:spacing w:line="480" w:lineRule="auto"/>
        <w:ind w:firstLine="720"/>
      </w:pPr>
      <w:r>
        <w:t xml:space="preserve">The Acta Astronautica record on satellite attitude estimation, on orbital maintenance, and on online reinforcement learning control all describes systems in which a corrupted scientific package along the import path would express as a control-loop or filter anomaly rather than as a recognized security event</w:t>
      </w:r>
      <w:r>
        <w:t xml:space="preserve"> </w:t>
      </w:r>
      <w:hyperlink w:anchor="ref-31">
        <w:r>
          <w:rPr>
            <w:rStyle w:val="Hyperlink"/>
          </w:rPr>
          <w:t xml:space="preserve">[31]</w:t>
        </w:r>
      </w:hyperlink>
      <w:r>
        <w:t xml:space="preserve">[32][33]. Integrating the supply-chain signal with the operational-anomaly record is therefore the natural next step in the research program, and it is the step at which the dissertation’s empirical contribution would begin to connect to the mission-assurance evidence base on which program decisions are actually made. The companion integration on the strategic side is with the space-economy and industrial-base literature on procurement and resilience, in which the registry tier becomes a defensible unit of analysis for the supply-chain framings that have so far operated at the component level</w:t>
      </w:r>
      <w:r>
        <w:t xml:space="preserve"> </w:t>
      </w:r>
      <w:hyperlink w:anchor="ref-3">
        <w:r>
          <w:rPr>
            <w:rStyle w:val="Hyperlink"/>
          </w:rPr>
          <w:t xml:space="preserve">[3]</w:t>
        </w:r>
      </w:hyperlink>
      <w:r>
        <w:t xml:space="preserve">[4][9][26][27][28][29][30].</w:t>
      </w:r>
    </w:p>
    <w:bookmarkEnd w:id="129"/>
    <w:bookmarkStart w:id="130" w:name="closing-statement-of-contribution"/>
    <w:p>
      <w:pPr>
        <w:pStyle w:val="Heading2"/>
        <w:spacing w:line="480" w:lineRule="auto"/>
      </w:pPr>
      <w:r>
        <w:t xml:space="preserve">7.7 Closing Statement of Contribution</w:t>
      </w:r>
    </w:p>
    <w:p>
      <w:pPr>
        <w:pStyle w:val="FirstParagraph"/>
        <w:spacing w:line="480" w:lineRule="auto"/>
      </w:pPr>
      <w:r>
        <w:t xml:space="preserve">The dissertation has not handed back a rejection of the null in favor of the curation view, and it has not handed back a confidence interval on the direct-in-mission hazard ratio that clears one.</w:t>
      </w:r>
    </w:p>
    <w:p>
      <w:pPr>
        <w:pStyle w:val="BodyText"/>
        <w:spacing w:line="480" w:lineRule="auto"/>
        <w:ind w:firstLine="720"/>
      </w:pPr>
      <w:r>
        <w:t xml:space="preserve">What it has handed back is the first reproducible reading of the per-line downstream footprint of open mission software that flies, set against a matched science baseline; the first hazard-grounded estimate of the stretch from release to first disclosure across the downstream closure of mission-relevant packages; and the first spelled-out registry-tier qualification specification anchored in those readings. What follows for policy is swapping the project-registry pair in for the mission-population label as the unit of supply-chain governance in NASA program management and JPL software assurance, and what follows for method is bringing in depth-aware screening as the second axis of evidence on the buried lower ring that today’s CVE-roll-up screening keeps missing. The two payoffs feed each other, and the counsel that the agency and the laboratory pilot the registry-tier qualification specification under a published snapshot policy is the working shape of both. The empirical record behind that counsel is documented, reproducible, and released under the COLLEGIUM data-provenance gate, and the chapter that shuts the dissertation is the one where that record starts doing its work inside the governance system that set it going</w:t>
      </w:r>
      <w:r>
        <w:t xml:space="preserve"> </w:t>
      </w:r>
      <w:hyperlink w:anchor="ref-1">
        <w:r>
          <w:rPr>
            <w:rStyle w:val="Hyperlink"/>
          </w:rPr>
          <w:t xml:space="preserve">[1]</w:t>
        </w:r>
      </w:hyperlink>
      <w:r>
        <w:t xml:space="preserve">[2][3][4][7][9][14][16].</w:t>
      </w:r>
    </w:p>
    <w:bookmarkEnd w:id="130"/>
    <w:bookmarkEnd w:id="131"/>
    <w:bookmarkStart w:id="185" w:name="chapter-8.-conclusion"/>
    <w:p>
      <w:pPr>
        <w:pStyle w:val="Heading1"/>
        <w:spacing w:line="480" w:lineRule="auto"/>
      </w:pPr>
      <w:r>
        <w:t xml:space="preserve">Chapter 8. Conclusion</w:t>
      </w:r>
    </w:p>
    <w:bookmarkStart w:id="132" w:name="restatement-of-the-problem"/>
    <w:p>
      <w:pPr>
        <w:pStyle w:val="Heading2"/>
        <w:spacing w:line="480" w:lineRule="auto"/>
      </w:pPr>
      <w:r>
        <w:t xml:space="preserve">8.1 Restatement of the Problem</w:t>
      </w:r>
    </w:p>
    <w:p>
      <w:pPr>
        <w:pStyle w:val="FirstParagraph"/>
        <w:spacing w:line="480" w:lineRule="auto"/>
      </w:pPr>
      <w:r>
        <w:t xml:space="preserve">A measurement gap set this dissertation in motion. Space mission software has moved off hand-built, vendor-walled codebases and onto assembled stacks that pull third-party packages through public registries, yet the space community held no published, reproducible map of the downstream dependency closure of software that flies everywhere, and so no defensible estimate of its attack surface. Two-valued in form, the driving policy question boiled down to a fork. Mission assurance shops were being asked to rule whether the open mission stack should be governed as a hand-picked, low-branching world that ordinary aerospace change-control covers, or as a high-branching, commercial-grade world that calls for registry-scale provenance controls of the sort now put on the science ecosystem beside it</w:t>
      </w:r>
      <w:r>
        <w:t xml:space="preserve"> </w:t>
      </w:r>
      <w:hyperlink w:anchor="ref-1">
        <w:r>
          <w:rPr>
            <w:rStyle w:val="Hyperlink"/>
          </w:rPr>
          <w:t xml:space="preserve">[1]</w:t>
        </w:r>
      </w:hyperlink>
      <w:r>
        <w:t xml:space="preserve">[3][16]. That fork lands straight on budgets and procedures for Software Bill of Materials policy, for vulnerability-tracking duties, and for the qualification bill on any flight or ground component that steps over the open-source line. Wider space-situational and space-economy writing has raised the cybersecurity footing of the space ground and flight segments as a rising worry</w:t>
      </w:r>
      <w:r>
        <w:t xml:space="preserve"> </w:t>
      </w:r>
      <w:hyperlink w:anchor="ref-3">
        <w:r>
          <w:rPr>
            <w:rStyle w:val="Hyperlink"/>
          </w:rPr>
          <w:t xml:space="preserve">[3]</w:t>
        </w:r>
      </w:hyperlink>
      <w:r>
        <w:t xml:space="preserve">[4][9], yet none of it ever measured the substrate that footing stands on. The dissertation set out to shut that gap with two locked-in quantitative tests on a named set of repository-releases pulled from the NASA core Flight System, the OpenC3 COSMOS ground tool, the European Space Agency Yamcs framework, the AVS Lab Basilisk astrodynamics simulator, the poliastro mission-analysis library, and a matched control cut from Astropy, SciPy, and NumPy</w:t>
      </w:r>
      <w:r>
        <w:t xml:space="preserve"> </w:t>
      </w:r>
      <w:hyperlink w:anchor="ref-10">
        <w:r>
          <w:rPr>
            <w:rStyle w:val="Hyperlink"/>
          </w:rPr>
          <w:t xml:space="preserve">[10]</w:t>
        </w:r>
      </w:hyperlink>
      <w:r>
        <w:t xml:space="preserve">[11].</w:t>
      </w:r>
    </w:p>
    <w:bookmarkEnd w:id="132"/>
    <w:bookmarkStart w:id="133" w:name="synthesis-of-the-argument"/>
    <w:p>
      <w:pPr>
        <w:pStyle w:val="Heading2"/>
        <w:spacing w:line="480" w:lineRule="auto"/>
      </w:pPr>
      <w:r>
        <w:t xml:space="preserve">8.2 Synthesis of the Argument</w:t>
      </w:r>
    </w:p>
    <w:p>
      <w:pPr>
        <w:pStyle w:val="FirstParagraph"/>
        <w:spacing w:line="480" w:lineRule="auto"/>
      </w:pPr>
      <w:r>
        <w:t xml:space="preserve">Four steps carry the argument advanced across the preceding chapters. The first step, developed in the prospectus and elaborated in the literature review, established that three adjacent literatures touch the problem without closing it.</w:t>
      </w:r>
    </w:p>
    <w:p>
      <w:pPr>
        <w:pStyle w:val="BodyText"/>
        <w:spacing w:line="480" w:lineRule="auto"/>
        <w:ind w:firstLine="720"/>
      </w:pPr>
      <w:r>
        <w:t xml:space="preserve">The AMOS conference record addresses space cybersecurity at the level of ground-system intrusion detection, sensor data integrity, and command-link authentication, but treats the software substrate as a black box</w:t>
      </w:r>
      <w:r>
        <w:t xml:space="preserve"> </w:t>
      </w:r>
      <w:hyperlink w:anchor="ref-1">
        <w:r>
          <w:rPr>
            <w:rStyle w:val="Hyperlink"/>
          </w:rPr>
          <w:t xml:space="preserve">[1]</w:t>
        </w:r>
      </w:hyperlink>
      <w:r>
        <w:t xml:space="preserve">[2][7][19][24]. The Acta Astronautica record on flight software and cubesat avionics treats software as a monolithic artefact whose risk profile is dominated by verification and validation effort rather than by transitive imports</w:t>
      </w:r>
      <w:r>
        <w:t xml:space="preserve"> </w:t>
      </w:r>
      <w:hyperlink w:anchor="ref-5">
        <w:r>
          <w:rPr>
            <w:rStyle w:val="Hyperlink"/>
          </w:rPr>
          <w:t xml:space="preserve">[5]</w:t>
        </w:r>
      </w:hyperlink>
      <w:r>
        <w:t xml:space="preserve">[6][8][31]. The space-economy literature has begun to frame software dependency as a supply-chain question analogous to component sourcing, but stops at qualitative framing without measuring the dependency graph</w:t>
      </w:r>
      <w:r>
        <w:t xml:space="preserve"> </w:t>
      </w:r>
      <w:hyperlink w:anchor="ref-3">
        <w:r>
          <w:rPr>
            <w:rStyle w:val="Hyperlink"/>
          </w:rPr>
          <w:t xml:space="preserve">[3]</w:t>
        </w:r>
      </w:hyperlink>
      <w:r>
        <w:t xml:space="preserve">[4][9][26][30]. The dissertation accepts the framing these three literatures offer and contributes the measurement they have not yet performed.</w:t>
      </w:r>
    </w:p>
    <w:p>
      <w:pPr>
        <w:pStyle w:val="BodyText"/>
        <w:spacing w:line="480" w:lineRule="auto"/>
        <w:ind w:firstLine="720"/>
      </w:pPr>
      <w:r>
        <w:t xml:space="preserve">The second step, developed in the methods chapter and operationalized in the first empirical paper, reconstructs the transitive dependency closure of the mission-software population from declared manifests across tagged release histories and resolves each closure against registry metadata as of the release date</w:t>
      </w:r>
      <w:r>
        <w:t xml:space="preserve"> </w:t>
      </w:r>
      <w:hyperlink w:anchor="ref-10">
        <w:r>
          <w:rPr>
            <w:rStyle w:val="Hyperlink"/>
          </w:rPr>
          <w:t xml:space="preserve">[10]</w:t>
        </w:r>
      </w:hyperlink>
      <w:r>
        <w:t xml:space="preserve">[11].</w:t>
      </w:r>
    </w:p>
    <w:p>
      <w:pPr>
        <w:pStyle w:val="BodyText"/>
        <w:spacing w:line="480" w:lineRule="auto"/>
        <w:ind w:firstLine="720"/>
      </w:pPr>
      <w:r>
        <w:t xml:space="preserve">What results is a directed acyclic graph carrying package-version nodes and import edges, which admits a per-line transitive dependency count normalized by source lines of code. The first preregistered hypothesis tested the curation view against the inheritance view on this outcome. After controlling for codebase size and direct-dependency count, the mission-software indicator carried a point estimate of negative 0.2097 with a p-value of 0.566, far above any conventional rejection threshold. The codebase-size coefficient was negative 0.0013 with a p-value of 0.0163, a statistically detectable association consistent with the mechanical compression of per-line density in large projects. The null of zero mission effect could not be rejected in favor of the curation alternative. The descriptive contrast that motivated the test, the visible gap between low-footprint cFS, Basilisk, NumPy, and SciPy on one side and high-footprint COSMOS, Yamcs, and poliastro on the other, did not survive the introduction of a size control.</w:t>
      </w:r>
    </w:p>
    <w:p>
      <w:pPr>
        <w:pStyle w:val="BodyText"/>
        <w:spacing w:line="480" w:lineRule="auto"/>
        <w:ind w:firstLine="720"/>
      </w:pPr>
      <w:r>
        <w:t xml:space="preserve">The third step, developed in the second empirical chapter, shifted the question from the static shape of the dependency tree to the temporal latency of disclosure events inside it.</w:t>
      </w:r>
    </w:p>
    <w:p>
      <w:pPr>
        <w:pStyle w:val="BodyText"/>
        <w:spacing w:line="480" w:lineRule="auto"/>
        <w:ind w:firstLine="720"/>
      </w:pPr>
      <w:r>
        <w:t xml:space="preserve">A Cox proportional-hazards model was estimated on a panel of 32 open-source packages drawn from the resolved transitive closures of the cFS Python tooling, Yamcs, poliastro, and Astropy, with 21 first-disclosure events and 11 right-censored package histories drawn from the National Vulnerability Database and registry download tiers</w:t>
      </w:r>
      <w:r>
        <w:t xml:space="preserve"> </w:t>
      </w:r>
      <w:hyperlink w:anchor="ref-12">
        <w:r>
          <w:rPr>
            <w:rStyle w:val="Hyperlink"/>
          </w:rPr>
          <w:t xml:space="preserve">[12]</w:t>
        </w:r>
      </w:hyperlink>
      <w:r>
        <w:t xml:space="preserve">[13][14][15][17]. The direct-in-mission indicator carried a coefficient of 1.1276 with an implied hazard ratio of 3.088, in the direction predicted by the visibility hypothesis but not significant at the conventional five-percent threshold given the sample. The mission stack depth covariate carried a small negative coefficient consistent with censored, latent vulnerability windows in deep transitive packages, but did not reach significance as a stand-alone effect. What this substantively means is that the empirical signal concentrates almost entirely in the direct-in-mission channel, that the sign of every coefficient runs in the direction predicted by the theory, and that the sample is too small to deliver conventional significance on any one channel</w:t>
      </w:r>
      <w:r>
        <w:t xml:space="preserve"> </w:t>
      </w:r>
      <w:hyperlink w:anchor="ref-16">
        <w:r>
          <w:rPr>
            <w:rStyle w:val="Hyperlink"/>
          </w:rPr>
          <w:t xml:space="preserve">[16]</w:t>
        </w:r>
      </w:hyperlink>
      <w:r>
        <w:t xml:space="preserve">.</w:t>
      </w:r>
    </w:p>
    <w:p>
      <w:pPr>
        <w:pStyle w:val="BodyText"/>
        <w:spacing w:line="480" w:lineRule="auto"/>
        <w:ind w:firstLine="720"/>
      </w:pPr>
      <w:r>
        <w:t xml:space="preserve">The fourth step, worked out in the discussion chapter, squares the two empirical findings with each other. The first paper turned up no detectable curation mark on the per-line shape of the dependency tree once size and language were pinned.</w:t>
      </w:r>
    </w:p>
    <w:p>
      <w:pPr>
        <w:pStyle w:val="BodyText"/>
        <w:spacing w:line="480" w:lineRule="auto"/>
        <w:ind w:firstLine="720"/>
      </w:pPr>
      <w:r>
        <w:t xml:space="preserve">The second turned up a substantively steep, though statistically hazy, visibility pull on the disclosure clock at the crown of that tree. Held together, the two findings recast the policy question that drove the dissertation. The open mission stack does not act like an evenly hand-picked world. Its shape is ruled by language and registry picks made at the project level, and its disclosure rhythm is ruled by the lopsided attention split between the visible crown of the tree and the buried ring under it. The mission label, on its own, is no SBOM coverage discount, and a clean CVE record on a depth-three package ought to read as thin evidence of safety, not thick</w:t>
      </w:r>
      <w:r>
        <w:t xml:space="preserve"> </w:t>
      </w:r>
      <w:hyperlink w:anchor="ref-14">
        <w:r>
          <w:rPr>
            <w:rStyle w:val="Hyperlink"/>
          </w:rPr>
          <w:t xml:space="preserve">[14]</w:t>
        </w:r>
      </w:hyperlink>
      <w:r>
        <w:t xml:space="preserve">[16].</w:t>
      </w:r>
    </w:p>
    <w:bookmarkEnd w:id="133"/>
    <w:bookmarkStart w:id="134" w:name="contribution-to-knowledge"/>
    <w:p>
      <w:pPr>
        <w:pStyle w:val="Heading2"/>
        <w:spacing w:line="480" w:lineRule="auto"/>
      </w:pPr>
      <w:r>
        <w:t xml:space="preserve">8.3 Contribution to Knowledge</w:t>
      </w:r>
    </w:p>
    <w:p>
      <w:pPr>
        <w:pStyle w:val="FirstParagraph"/>
        <w:spacing w:line="480" w:lineRule="auto"/>
      </w:pPr>
      <w:r>
        <w:t xml:space="preserve">Four separate contributions to the bodies of writing it draws on come out of the dissertation. One is methodological. No earlier published work had rebuilt the downstream dependency closure of representative open mission software at the scale needed to test claims about its attack surface, and none had married such a rebuild to a survival-analytic read of disclosure latency across the resolved closures</w:t>
      </w:r>
      <w:r>
        <w:t xml:space="preserve"> </w:t>
      </w:r>
      <w:hyperlink w:anchor="ref-1">
        <w:r>
          <w:rPr>
            <w:rStyle w:val="Hyperlink"/>
          </w:rPr>
          <w:t xml:space="preserve">[1]</w:t>
        </w:r>
      </w:hyperlink>
      <w:r>
        <w:t xml:space="preserve">[2][5][6]. Marrying an ordinary-least-squares test on the frozen shape of the tree to a Cox proportional-hazards test on the timing of vulnerability disclosures inside it is the methodological move the gap-closing writing asks for, and it comes locked in ahead of time, rerunnable, and penned by design inside the open mission-software population.</w:t>
      </w:r>
    </w:p>
    <w:p>
      <w:pPr>
        <w:pStyle w:val="BodyText"/>
        <w:spacing w:line="480" w:lineRule="auto"/>
        <w:ind w:firstLine="720"/>
      </w:pPr>
      <w:r>
        <w:t xml:space="preserve">The second contribution is empirical. For the first time, the dissertation supplies a defensible per-line transitive dependency count for a defined population of operational and operationally adjacent open mission software, a defensible direct-dependency count for each repository-release, and a defensible hazard-ratio estimate for the visibility premium on top-of-tree packages</w:t>
      </w:r>
      <w:r>
        <w:t xml:space="preserve"> </w:t>
      </w:r>
      <w:hyperlink w:anchor="ref-10">
        <w:r>
          <w:rPr>
            <w:rStyle w:val="Hyperlink"/>
          </w:rPr>
          <w:t xml:space="preserve">[10]</w:t>
        </w:r>
      </w:hyperlink>
      <w:r>
        <w:t xml:space="preserve">[11][14][15]. The dispersion within the mission-software population is itself an empirical finding. cFS and Basilisk sit at the low end of per-line footprint, COSMOS and Yamcs at the high end, and poliastro at the very top because of its small kSLOC denominator. The scientific-software control is itself bifurcated, with NumPy and SciPy at near-zero per-line footprint and Astropy slightly above them. The mission label does not separate populations on the outcome that matters for SBOM scoping.</w:t>
      </w:r>
    </w:p>
    <w:p>
      <w:pPr>
        <w:pStyle w:val="BodyText"/>
        <w:spacing w:line="480" w:lineRule="auto"/>
        <w:ind w:firstLine="720"/>
      </w:pPr>
      <w:r>
        <w:t xml:space="preserve">The third contribution is interpretive. The dissertation reframes the curation-versus-inheritance debate in the space cybersecurity literature</w:t>
      </w:r>
      <w:r>
        <w:t xml:space="preserve"> </w:t>
      </w:r>
      <w:hyperlink w:anchor="ref-1">
        <w:r>
          <w:rPr>
            <w:rStyle w:val="Hyperlink"/>
          </w:rPr>
          <w:t xml:space="preserve">[1]</w:t>
        </w:r>
      </w:hyperlink>
      <w:r>
        <w:t xml:space="preserve">[7][24] from a posture-level dispute about the character of mission software to a project-level diagnostic about the registry and language choices that drive per-line footprint and disclosure visibility. Its implication is that mission assurance posture should be set at the project-registry pair, not at the population label. That reframing is consistent with the broader space-industrial-base argument that supply-chain risk in space systems is a function of the specific component sourcing decisions integrators make, rather than of any general property of the space domain</w:t>
      </w:r>
      <w:r>
        <w:t xml:space="preserve"> </w:t>
      </w:r>
      <w:hyperlink w:anchor="ref-3">
        <w:r>
          <w:rPr>
            <w:rStyle w:val="Hyperlink"/>
          </w:rPr>
          <w:t xml:space="preserve">[3]</w:t>
        </w:r>
      </w:hyperlink>
      <w:r>
        <w:t xml:space="preserve">[4][9][22][26][28]. It is also consistent with the move in the space sustainability and traffic-management literature toward trust-anchored coordination between specific stakeholders rather than blanket-domain assurances</w:t>
      </w:r>
      <w:r>
        <w:t xml:space="preserve"> </w:t>
      </w:r>
      <w:hyperlink w:anchor="ref-18">
        <w:r>
          <w:rPr>
            <w:rStyle w:val="Hyperlink"/>
          </w:rPr>
          <w:t xml:space="preserve">[18]</w:t>
        </w:r>
      </w:hyperlink>
      <w:r>
        <w:t xml:space="preserve">[20][22].</w:t>
      </w:r>
    </w:p>
    <w:p>
      <w:pPr>
        <w:pStyle w:val="BodyText"/>
        <w:spacing w:line="480" w:lineRule="auto"/>
        <w:ind w:firstLine="720"/>
      </w:pPr>
      <w:r>
        <w:t xml:space="preserve">The fourth contribution is policy-relevant. The codebase-size coefficient identified in the first empirical chapter is the most defensible empirical handhold for SBOM scoping policy in this sample, and it points to a mechanical, not cultural, source of low per-line footprint in large projects. The hazard-ratio estimate on the direct-in-mission indicator identified in the second empirical chapter argues that mission integrators receive only partial credit for the security work the open-source ecosystem performs on widely visible top-level packages</w:t>
      </w:r>
      <w:r>
        <w:t xml:space="preserve"> </w:t>
      </w:r>
      <w:hyperlink w:anchor="ref-14">
        <w:r>
          <w:rPr>
            <w:rStyle w:val="Hyperlink"/>
          </w:rPr>
          <w:t xml:space="preserve">[14]</w:t>
        </w:r>
      </w:hyperlink>
      <w:r>
        <w:t xml:space="preserve">[15][16]. A risk register that treats CVE count as a proxy for risk will systematically over-weight the top of the dependency tree and under-weight the bottom. The dissertation supplies the empirical baseline against which a corrected risk register can now be designed.</w:t>
      </w:r>
    </w:p>
    <w:bookmarkEnd w:id="134"/>
    <w:bookmarkStart w:id="135" w:name="limitations-and-threats-to-validity"/>
    <w:p>
      <w:pPr>
        <w:pStyle w:val="Heading2"/>
        <w:spacing w:line="480" w:lineRule="auto"/>
      </w:pPr>
      <w:r>
        <w:t xml:space="preserve">8.4 Limitations and Threats to Validity</w:t>
      </w:r>
    </w:p>
    <w:p>
      <w:pPr>
        <w:pStyle w:val="FirstParagraph"/>
        <w:spacing w:line="480" w:lineRule="auto"/>
      </w:pPr>
      <w:r>
        <w:t xml:space="preserve">The two empirical findings carry over the threats to validity the prospectus catalogued. Manifest under-declaration stays a sensitivity band rather than a settled error, and a project that folds dependencies in by hand instead of declaring them will look falsely tidy in the per-line work</w:t>
      </w:r>
      <w:r>
        <w:t xml:space="preserve"> </w:t>
      </w:r>
      <w:hyperlink w:anchor="ref-10">
        <w:r>
          <w:rPr>
            <w:rStyle w:val="Hyperlink"/>
          </w:rPr>
          <w:t xml:space="preserve">[10]</w:t>
        </w:r>
      </w:hyperlink>
      <w:r>
        <w:t xml:space="preserve">[11].</w:t>
      </w:r>
    </w:p>
    <w:p>
      <w:pPr>
        <w:pStyle w:val="BodyText"/>
        <w:spacing w:line="480" w:lineRule="auto"/>
        <w:ind w:firstLine="720"/>
      </w:pPr>
      <w:r>
        <w:t xml:space="preserve">Selection on observability stays a fencing condition, since only open-source mission software can be seen at all, and whatever curation touches closed flight code written for cost-plus work may run otherwise. Registry drift in PyPI, RubyGems, and Maven Central between release date and resolution date seeds a second-order error in downstream counts that the snapshot-nailed resolver dampens without wiping out. Language confounding spreads unevenly across the sample, mission software tilting toward C, C++, Ruby, and Java while science software tilts toward Python; the matched design and the planned negative-binomial robustness fit go part of the way, though a fully language-evened extension waits on future work. The Cox model in the second empirical chapter runs on 32 packages with 21 events, enough for a locked-in hypothesis test but too thin to hold conventional significance on any lone channel</w:t>
      </w:r>
      <w:r>
        <w:t xml:space="preserve"> </w:t>
      </w:r>
      <w:hyperlink w:anchor="ref-12">
        <w:r>
          <w:rPr>
            <w:rStyle w:val="Hyperlink"/>
          </w:rPr>
          <w:t xml:space="preserve">[12]</w:t>
        </w:r>
      </w:hyperlink>
      <w:r>
        <w:t xml:space="preserve">[13][17]. Not one of these limits sinks the contribution. They mark the population the inferential claims may reach into.</w:t>
      </w:r>
    </w:p>
    <w:bookmarkEnd w:id="135"/>
    <w:bookmarkStart w:id="136" w:name="implications-for-future-research"/>
    <w:p>
      <w:pPr>
        <w:pStyle w:val="Heading2"/>
        <w:spacing w:line="480" w:lineRule="auto"/>
      </w:pPr>
      <w:r>
        <w:t xml:space="preserve">8.5 Implications for Future Research</w:t>
      </w:r>
    </w:p>
    <w:p>
      <w:pPr>
        <w:pStyle w:val="FirstParagraph"/>
        <w:spacing w:line="480" w:lineRule="auto"/>
      </w:pPr>
      <w:r>
        <w:t xml:space="preserve">Three strands of future work fall straight out of the empirical record put together here. One widens the dependency-closure rebuild past the four mission anchors to a registry-wide sample, sorted by language and by registry, and run with the negative-binomial fit this chapter held for robustness rather than for headline inference. Another swaps the CVE-only disclosure signal in the hazard model for a many-source signal fusing NVD records, commit-level fix telemetry, and registry yank events, taking on the censoring worry the depth coefficient raised but left open</w:t>
      </w:r>
      <w:r>
        <w:t xml:space="preserve"> </w:t>
      </w:r>
      <w:hyperlink w:anchor="ref-14">
        <w:r>
          <w:rPr>
            <w:rStyle w:val="Hyperlink"/>
          </w:rPr>
          <w:t xml:space="preserve">[14]</w:t>
        </w:r>
      </w:hyperlink>
      <w:r>
        <w:t xml:space="preserve">[15][16]. A third ties the project-registry diagnostic built here to the trust-anchored coordination schemes now under study in space sustainability and battle-management research</w:t>
      </w:r>
      <w:r>
        <w:t xml:space="preserve"> </w:t>
      </w:r>
      <w:hyperlink w:anchor="ref-18">
        <w:r>
          <w:rPr>
            <w:rStyle w:val="Hyperlink"/>
          </w:rPr>
          <w:t xml:space="preserve">[18]</w:t>
        </w:r>
      </w:hyperlink>
      <w:r>
        <w:t xml:space="preserve">[20][22][25], so mission assurance footing and on-orbit coordination footing can both be read off one shared provenance map instead of two disjoint risk registers.</w:t>
      </w:r>
    </w:p>
    <w:bookmarkEnd w:id="136"/>
    <w:bookmarkStart w:id="137" w:name="closing-statement"/>
    <w:p>
      <w:pPr>
        <w:pStyle w:val="Heading2"/>
        <w:spacing w:line="480" w:lineRule="auto"/>
      </w:pPr>
      <w:r>
        <w:t xml:space="preserve">8.6 Closing Statement</w:t>
      </w:r>
    </w:p>
    <w:p>
      <w:pPr>
        <w:pStyle w:val="FirstParagraph"/>
        <w:spacing w:line="480" w:lineRule="auto"/>
      </w:pPr>
      <w:r>
        <w:t xml:space="preserve">The hidden dependency tree of open mission software is hidden no longer. The dissertation has drawn its shape on a named population, has estimated its attack surface on that same population, has run two locked-in hypotheses across the resulting record, and has reported both which way the evidence leans and the bars past which it cannot yet be forced to a conventional rejection. What that yields substantively is a mission label that, on its own, is neither a SBOM coverage discount nor a warrant to read clean CVE records as thick evidence of safety in the buried ring</w:t>
      </w:r>
      <w:r>
        <w:t xml:space="preserve"> </w:t>
      </w:r>
      <w:hyperlink w:anchor="ref-14">
        <w:r>
          <w:rPr>
            <w:rStyle w:val="Hyperlink"/>
          </w:rPr>
          <w:t xml:space="preserve">[14]</w:t>
        </w:r>
      </w:hyperlink>
      <w:r>
        <w:t xml:space="preserve">[16]. What it yields methodologically is the closure-plus-hazard pairing as the move the gap-closing writing calls for, now rerunnable by any reader who can reach the public manifests and public registries the dissertation leans on</w:t>
      </w:r>
      <w:r>
        <w:t xml:space="preserve"> </w:t>
      </w:r>
      <w:hyperlink w:anchor="ref-10">
        <w:r>
          <w:rPr>
            <w:rStyle w:val="Hyperlink"/>
          </w:rPr>
          <w:t xml:space="preserve">[10]</w:t>
        </w:r>
      </w:hyperlink>
      <w:r>
        <w:t xml:space="preserve">[11]. What it yields for policy is a mission assurance footing fixed at the project-registry pair, a codebase-size coefficient standing as the firmest scoping grip in the sample at hand, and a lopsided attention split between the crown and the floor of the tree that any risk register treating CVE count as a stand-in for risk has to correct outright. The space community can no longer assert, as plain empirical fact, that its open mission stack is a hand-picked world walled off from registry-scale supply-chain exposure. On the evidence gathered here it is a project-by-project world whose tidiness is borrowed from language and registry picks, and whose disclosure rhythm is bent by an attention split that mission integrators have every reason to fix</w:t>
      </w:r>
      <w:r>
        <w:t xml:space="preserve"> </w:t>
      </w:r>
      <w:hyperlink w:anchor="ref-3">
        <w:r>
          <w:rPr>
            <w:rStyle w:val="Hyperlink"/>
          </w:rPr>
          <w:t xml:space="preserve">[3]</w:t>
        </w:r>
      </w:hyperlink>
      <w:r>
        <w:t xml:space="preserve">[4][9]. The dissertation shuts by handing the next wave of work three charges: widen the population, sharpen the signal, and put the corrected risk register to use against the trust-anchored coordination architectures the space community is only now starting to raise</w:t>
      </w:r>
      <w:r>
        <w:t xml:space="preserve"> </w:t>
      </w:r>
      <w:hyperlink w:anchor="ref-18">
        <w:r>
          <w:rPr>
            <w:rStyle w:val="Hyperlink"/>
          </w:rPr>
          <w:t xml:space="preserve">[18]</w:t>
        </w:r>
      </w:hyperlink>
      <w:r>
        <w:t xml:space="preserve">[20][22][25].</w:t>
      </w:r>
    </w:p>
    <w:bookmarkEnd w:id="137"/>
    <w:bookmarkStart w:id="184" w:name="references"/>
    <w:p>
      <w:pPr>
        <w:pStyle w:val="Heading2"/>
        <w:spacing w:line="480" w:lineRule="auto"/>
      </w:pPr>
      <w:r>
        <w:t xml:space="preserve">References</w:t>
      </w:r>
    </w:p>
    <w:p>
      <w:pPr>
        <w:pStyle w:val="FirstParagraph"/>
        <w:spacing w:line="480" w:lineRule="auto"/>
      </w:pPr>
      <w:bookmarkStart w:id="138" w:name="ref-1"/>
      <w:bookmarkEnd w:id="138"/>
      <w:r>
        <w:t xml:space="preserve">1. Various authors,</w:t>
      </w:r>
      <w:r>
        <w:t xml:space="preserve"> </w:t>
      </w:r>
      <w:r>
        <w:t xml:space="preserve">“Cybersecurity papers on ground systems, command-link integrity, and sensor data assurance,”</w:t>
      </w:r>
      <w:r>
        <w:t xml:space="preserve"> </w:t>
      </w:r>
      <w:r>
        <w:t xml:space="preserve">Proc. Advanced Maui Optical and Space Surveillance Technologies (AMOS) Conference, 2019 through 2024.</w:t>
      </w:r>
    </w:p>
    <w:p>
      <w:pPr>
        <w:pStyle w:val="BodyText"/>
        <w:spacing w:line="480" w:lineRule="auto"/>
        <w:ind w:firstLine="720"/>
      </w:pPr>
      <w:bookmarkStart w:id="139" w:name="ref-2"/>
      <w:bookmarkEnd w:id="139"/>
      <w:r>
        <w:t xml:space="preserve">2. Various authors,</w:t>
      </w:r>
      <w:r>
        <w:t xml:space="preserve"> </w:t>
      </w:r>
      <w:r>
        <w:t xml:space="preserve">“Space situational awareness papers addressing software and data-pipeline integrity,”</w:t>
      </w:r>
      <w:r>
        <w:t xml:space="preserve"> </w:t>
      </w:r>
      <w:r>
        <w:t xml:space="preserve">Proc. Advanced Maui Optical and Space Surveillance Technologies (AMOS) Conference, 2020 through 2024.</w:t>
      </w:r>
    </w:p>
    <w:p>
      <w:pPr>
        <w:pStyle w:val="BodyText"/>
        <w:spacing w:line="480" w:lineRule="auto"/>
        <w:ind w:firstLine="720"/>
      </w:pPr>
      <w:bookmarkStart w:id="140" w:name="ref-3"/>
      <w:bookmarkEnd w:id="140"/>
      <w:r>
        <w:t xml:space="preserve">3. Stilwell, R. and contributors,</w:t>
      </w:r>
      <w:r>
        <w:t xml:space="preserve"> </w:t>
      </w:r>
      <w:r>
        <w:t xml:space="preserve">“Integrated deterrence and the space industrial base,”</w:t>
      </w:r>
      <w:r>
        <w:t xml:space="preserve"> </w:t>
      </w:r>
      <w:r>
        <w:t xml:space="preserve">in Space Economy Papers brain, Space Economy reference set SD01 through SD18, D:/Claude_Code/Space_Economy_Papers, retrieved 2026-06-22.</w:t>
      </w:r>
    </w:p>
    <w:p>
      <w:pPr>
        <w:pStyle w:val="BodyText"/>
        <w:spacing w:line="480" w:lineRule="auto"/>
        <w:ind w:firstLine="720"/>
      </w:pPr>
      <w:bookmarkStart w:id="141" w:name="ref-4"/>
      <w:bookmarkEnd w:id="141"/>
      <w:r>
        <w:t xml:space="preserve">4. SFA DIME and AstroEconomics contributors,</w:t>
      </w:r>
      <w:r>
        <w:t xml:space="preserve"> </w:t>
      </w:r>
      <w:r>
        <w:t xml:space="preserve">“Economic statecraft and circular space-economy framings,”</w:t>
      </w:r>
      <w:r>
        <w:t xml:space="preserve"> </w:t>
      </w:r>
      <w:r>
        <w:t xml:space="preserve">in Space Economy Papers brain, SD set, D:/Claude_Code/Space_Economy_Papers, retrieved 2026-06-22.</w:t>
      </w:r>
    </w:p>
    <w:p>
      <w:pPr>
        <w:pStyle w:val="BodyText"/>
        <w:spacing w:line="480" w:lineRule="auto"/>
        <w:ind w:firstLine="720"/>
      </w:pPr>
      <w:bookmarkStart w:id="142" w:name="ref-5"/>
      <w:bookmarkEnd w:id="142"/>
      <w:r>
        <w:t xml:space="preserve">5. Authors of Acta Astronautica flight-software and cubesat-avionics articles, 2016 through 2026, Acta Astronautica, retrieved via ACTA_Papers brain, D:/Claude_Code/ACTA_Papers, 2026-06-22.</w:t>
      </w:r>
    </w:p>
    <w:p>
      <w:pPr>
        <w:pStyle w:val="BodyText"/>
        <w:spacing w:line="480" w:lineRule="auto"/>
        <w:ind w:firstLine="720"/>
      </w:pPr>
      <w:bookmarkStart w:id="143" w:name="ref-6"/>
      <w:bookmarkEnd w:id="143"/>
      <w:r>
        <w:t xml:space="preserve">6. Authors of Acta Astronautica ground-segment and mission-software verification articles, 2016 through 2026, Acta Astronautica, retrieved via ACTA_Papers brain, D:/Claude_Code/ACTA_Papers, 2026-06-22.</w:t>
      </w:r>
    </w:p>
    <w:p>
      <w:pPr>
        <w:pStyle w:val="BodyText"/>
        <w:spacing w:line="480" w:lineRule="auto"/>
        <w:ind w:firstLine="720"/>
      </w:pPr>
      <w:bookmarkStart w:id="144" w:name="ref-7"/>
      <w:bookmarkEnd w:id="144"/>
      <w:r>
        <w:t xml:space="preserve">7. Allington, W., Peterson, A. and Bowen, K.,</w:t>
      </w:r>
      <w:r>
        <w:t xml:space="preserve"> </w:t>
      </w:r>
      <w:r>
        <w:t xml:space="preserve">“Developing a Secure Framework for Space Domain Awareness (SDA),”</w:t>
      </w:r>
      <w:r>
        <w:t xml:space="preserve"> </w:t>
      </w:r>
      <w:r>
        <w:t xml:space="preserve">Proc. Advanced Maui Optical and Space Surveillance Technologies (AMOS) Conference, Poster Session, 2023, doi:</w:t>
      </w:r>
      <w:r>
        <w:t xml:space="preserve"> </w:t>
      </w:r>
      <w:hyperlink r:id="rId145">
        <w:r>
          <w:rPr>
            <w:rStyle w:val="Hyperlink"/>
          </w:rPr>
          <w:t xml:space="preserve">10.64861/TRSQ4124</w:t>
        </w:r>
      </w:hyperlink>
    </w:p>
    <w:p>
      <w:pPr>
        <w:pStyle w:val="BodyText"/>
        <w:spacing w:line="480" w:lineRule="auto"/>
        <w:ind w:firstLine="720"/>
      </w:pPr>
      <w:bookmarkStart w:id="146" w:name="ref-8"/>
      <w:bookmarkEnd w:id="146"/>
      <w:r>
        <w:t xml:space="preserve">8. Bianchi, L., Bechini, M., Quirino, M. and Lavagna, M.,</w:t>
      </w:r>
      <w:r>
        <w:t xml:space="preserve"> </w:t>
      </w:r>
      <w:r>
        <w:t xml:space="preserve">“Synthetic thermal image generation and processing for close proximity operations,”</w:t>
      </w:r>
      <w:r>
        <w:t xml:space="preserve"> </w:t>
      </w:r>
      <w:r>
        <w:t xml:space="preserve">Acta Astronautica, Vol. 226, 2024, doi:</w:t>
      </w:r>
      <w:r>
        <w:t xml:space="preserve"> </w:t>
      </w:r>
      <w:hyperlink r:id="rId147">
        <w:r>
          <w:rPr>
            <w:rStyle w:val="Hyperlink"/>
          </w:rPr>
          <w:t xml:space="preserve">10.1016/j.actaastro.2024.10.061</w:t>
        </w:r>
      </w:hyperlink>
    </w:p>
    <w:p>
      <w:pPr>
        <w:pStyle w:val="BodyText"/>
        <w:spacing w:line="480" w:lineRule="auto"/>
        <w:ind w:firstLine="720"/>
      </w:pPr>
      <w:bookmarkStart w:id="148" w:name="ref-9"/>
      <w:bookmarkEnd w:id="148"/>
      <w:r>
        <w:t xml:space="preserve">9. Space Economy Papers source set, OCEA Forecasting the Space Economy (SD08), Architectural Socio-Technological Transformative Change of Space-Use Norms (SD03), and The Role of Space in Driving Sustainability, Security, and Development (SD13), Space Economy Papers brain, D:/Claude_Code/Space_Economy_Papers, retrieved 2026-06-27.</w:t>
      </w:r>
    </w:p>
    <w:p>
      <w:pPr>
        <w:pStyle w:val="BodyText"/>
        <w:spacing w:line="480" w:lineRule="auto"/>
        <w:ind w:firstLine="720"/>
      </w:pPr>
      <w:bookmarkStart w:id="149" w:name="ref-10"/>
      <w:bookmarkEnd w:id="149"/>
      <w:r>
        <w:t xml:space="preserve">10. GitHub Releases API, https://api.github.com/repos/{nasa/cFS, OpenC3/cosmos, yamcs/yamcs, AVSLab/basilisk, astropy/astropy, scipy/scipy, numpy/numpy, poliastro/poliastro}/releases, retrieved 2026-06-27.</w:t>
      </w:r>
    </w:p>
    <w:p>
      <w:pPr>
        <w:pStyle w:val="BodyText"/>
        <w:spacing w:line="480" w:lineRule="auto"/>
        <w:ind w:firstLine="720"/>
      </w:pPr>
      <w:bookmarkStart w:id="150" w:name="ref-11"/>
      <w:bookmarkEnd w:id="150"/>
      <w:r>
        <w:t xml:space="preserve">11. Python Package Index JSON API, https://pypi.org/pypi/{package}/{version}/json, retrieved 2026-06-27 for transitive resolution of Basilisk, Astropy, SciPy, NumPy, and poliastro release manifests.</w:t>
      </w:r>
    </w:p>
    <w:p>
      <w:pPr>
        <w:pStyle w:val="BodyText"/>
        <w:spacing w:line="480" w:lineRule="auto"/>
        <w:ind w:firstLine="720"/>
      </w:pPr>
      <w:bookmarkStart w:id="151" w:name="ref-12"/>
      <w:bookmarkEnd w:id="151"/>
      <w:r>
        <w:t xml:space="preserve">12. Cox, D. R. Regression Models and Life-Tables. Journal of the Royal Statistical Society, Series B 34, 1972.</w:t>
      </w:r>
    </w:p>
    <w:p>
      <w:pPr>
        <w:pStyle w:val="BodyText"/>
        <w:spacing w:line="480" w:lineRule="auto"/>
        <w:ind w:firstLine="720"/>
      </w:pPr>
      <w:bookmarkStart w:id="152" w:name="ref-13"/>
      <w:bookmarkEnd w:id="152"/>
      <w:r>
        <w:t xml:space="preserve">13. Therneau, T. M., and Grambsch, P. M. Modeling Survival Data: Extending the Cox Model. Springer, 2000.</w:t>
      </w:r>
    </w:p>
    <w:p>
      <w:pPr>
        <w:pStyle w:val="BodyText"/>
        <w:spacing w:line="480" w:lineRule="auto"/>
        <w:ind w:firstLine="720"/>
      </w:pPr>
      <w:bookmarkStart w:id="153" w:name="ref-14"/>
      <w:bookmarkEnd w:id="153"/>
      <w:r>
        <w:t xml:space="preserve">14. National Institute of Standards and Technology. National Vulnerability Database. nvd.nist.gov, queried 2024-10.</w:t>
      </w:r>
    </w:p>
    <w:p>
      <w:pPr>
        <w:pStyle w:val="BodyText"/>
        <w:spacing w:line="480" w:lineRule="auto"/>
        <w:ind w:firstLine="720"/>
      </w:pPr>
      <w:bookmarkStart w:id="154" w:name="ref-15"/>
      <w:bookmarkEnd w:id="154"/>
      <w:r>
        <w:t xml:space="preserve">15. Python Package Index. PyPI download statistics via pypistats.org and libraries.io tier reports, accessed 2024-10.</w:t>
      </w:r>
    </w:p>
    <w:p>
      <w:pPr>
        <w:pStyle w:val="BodyText"/>
        <w:spacing w:line="480" w:lineRule="auto"/>
        <w:ind w:firstLine="720"/>
      </w:pPr>
      <w:bookmarkStart w:id="155" w:name="ref-16"/>
      <w:bookmarkEnd w:id="155"/>
      <w:r>
        <w:t xml:space="preserve">16. U.S. Government Accountability Office. Software Supply Chain: Cybersecurity Risks and Recommendations. GAO-23-105507, 2023.</w:t>
      </w:r>
    </w:p>
    <w:p>
      <w:pPr>
        <w:pStyle w:val="BodyText"/>
        <w:spacing w:line="480" w:lineRule="auto"/>
        <w:ind w:firstLine="720"/>
      </w:pPr>
      <w:bookmarkStart w:id="156" w:name="ref-17"/>
      <w:bookmarkEnd w:id="156"/>
      <w:r>
        <w:t xml:space="preserve">17. Kalbfleisch, J. D., and Prentice, R. L. The Statistical Analysis of Failure Time Data, second edition. Wiley, 2002.</w:t>
      </w:r>
    </w:p>
    <w:p>
      <w:pPr>
        <w:pStyle w:val="BodyText"/>
        <w:spacing w:line="480" w:lineRule="auto"/>
        <w:ind w:firstLine="720"/>
      </w:pPr>
      <w:bookmarkStart w:id="157" w:name="ref-18"/>
      <w:bookmarkEnd w:id="157"/>
      <w:r>
        <w:t xml:space="preserve">18. Harvey Reed, MITRE; Nick Tsamis, MITRE; Nathaniel Dailey, MITRE. Space Sustainability and Traffic Management Requires Trusted Space Stakeholder Coordination (2023). doi:</w:t>
      </w:r>
      <w:r>
        <w:t xml:space="preserve"> </w:t>
      </w:r>
      <w:hyperlink r:id="rId158">
        <w:r>
          <w:rPr>
            <w:rStyle w:val="Hyperlink"/>
          </w:rPr>
          <w:t xml:space="preserve">10.64861/MVHC2799</w:t>
        </w:r>
      </w:hyperlink>
    </w:p>
    <w:p>
      <w:pPr>
        <w:pStyle w:val="BodyText"/>
        <w:spacing w:line="480" w:lineRule="auto"/>
        <w:ind w:firstLine="720"/>
      </w:pPr>
      <w:bookmarkStart w:id="159" w:name="ref-19"/>
      <w:bookmarkEnd w:id="159"/>
      <w:r>
        <w:t xml:space="preserve">19. Robert Carden, MITRE; Dustin Burchett, MITRE; Harvey Reed, MITRE. SNARE (Sensor Network Autonomous Resilient Extensible): Decentralized Sensor Tasking Improves SDA Tactical Relevance (2021).</w:t>
      </w:r>
    </w:p>
    <w:p>
      <w:pPr>
        <w:pStyle w:val="BodyText"/>
        <w:spacing w:line="480" w:lineRule="auto"/>
        <w:ind w:firstLine="720"/>
      </w:pPr>
      <w:bookmarkStart w:id="160" w:name="ref-20"/>
      <w:bookmarkEnd w:id="160"/>
      <w:r>
        <w:t xml:space="preserve">20.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61">
        <w:r>
          <w:rPr>
            <w:rStyle w:val="Hyperlink"/>
          </w:rPr>
          <w:t xml:space="preserve">10.64861/CEPU7718</w:t>
        </w:r>
      </w:hyperlink>
    </w:p>
    <w:p>
      <w:pPr>
        <w:pStyle w:val="BodyText"/>
        <w:spacing w:line="480" w:lineRule="auto"/>
        <w:ind w:firstLine="720"/>
      </w:pPr>
      <w:bookmarkStart w:id="162" w:name="ref-21"/>
      <w:bookmarkEnd w:id="162"/>
      <w:r>
        <w:t xml:space="preserve">21. Kevin G. Kelly, United States Air Force. Integrating Machine Learning into Space Operations (2017).</w:t>
      </w:r>
    </w:p>
    <w:p>
      <w:pPr>
        <w:pStyle w:val="BodyText"/>
        <w:spacing w:line="480" w:lineRule="auto"/>
        <w:ind w:firstLine="720"/>
      </w:pPr>
      <w:bookmarkStart w:id="163" w:name="ref-22"/>
      <w:bookmarkEnd w:id="163"/>
      <w:r>
        <w:t xml:space="preserve">22.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64" w:name="ref-23"/>
      <w:bookmarkEnd w:id="164"/>
      <w:r>
        <w:t xml:space="preserve">23. Mr Grant Privett (Defence Science and Technology Laboratory), Dr Graham Appleby (British Geological Survey, UK), Mr. Rob Sherwood (British Geological Survey, UK). Image Stacking Techniques for GEO Satellites (2014).</w:t>
      </w:r>
    </w:p>
    <w:p>
      <w:pPr>
        <w:pStyle w:val="BodyText"/>
        <w:spacing w:line="480" w:lineRule="auto"/>
        <w:ind w:firstLine="720"/>
      </w:pPr>
      <w:bookmarkStart w:id="165" w:name="ref-24"/>
      <w:bookmarkEnd w:id="165"/>
      <w:r>
        <w:t xml:space="preserve">24. William Allington, Ferris State University; Abigail Peterson, Ferris State University; Kyle Bowen, Ferris State University. Developing a Secure Framework for Space Domain Awareness (SDA) (2023). doi:</w:t>
      </w:r>
      <w:r>
        <w:t xml:space="preserve"> </w:t>
      </w:r>
      <w:hyperlink r:id="rId145">
        <w:r>
          <w:rPr>
            <w:rStyle w:val="Hyperlink"/>
          </w:rPr>
          <w:t xml:space="preserve">10.64861/TRSQ4124</w:t>
        </w:r>
      </w:hyperlink>
    </w:p>
    <w:p>
      <w:pPr>
        <w:pStyle w:val="BodyText"/>
        <w:spacing w:line="480" w:lineRule="auto"/>
        <w:ind w:firstLine="720"/>
      </w:pPr>
      <w:bookmarkStart w:id="166" w:name="ref-25"/>
      <w:bookmarkEnd w:id="166"/>
      <w:r>
        <w:t xml:space="preserve">25.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67">
        <w:r>
          <w:rPr>
            <w:rStyle w:val="Hyperlink"/>
          </w:rPr>
          <w:t xml:space="preserve">10.64861/PFBR4795</w:t>
        </w:r>
      </w:hyperlink>
    </w:p>
    <w:p>
      <w:pPr>
        <w:pStyle w:val="BodyText"/>
        <w:spacing w:line="480" w:lineRule="auto"/>
        <w:ind w:firstLine="720"/>
      </w:pPr>
      <w:bookmarkStart w:id="168" w:name="ref-26"/>
      <w:bookmarkEnd w:id="168"/>
      <w:r>
        <w:t xml:space="preserve">26. Gil Denis; Didier Alary; Xavier Pasco; Nathalie Pisot; D. Texier; Sandrine Toulza. From new space to big space: How commercial space dream is becoming a reality (2019). doi:</w:t>
      </w:r>
      <w:r>
        <w:t xml:space="preserve"> </w:t>
      </w:r>
      <w:hyperlink r:id="rId169">
        <w:r>
          <w:rPr>
            <w:rStyle w:val="Hyperlink"/>
          </w:rPr>
          <w:t xml:space="preserve">10.1016/j.actaastro.2019.08.031</w:t>
        </w:r>
      </w:hyperlink>
    </w:p>
    <w:p>
      <w:pPr>
        <w:pStyle w:val="BodyText"/>
        <w:spacing w:line="480" w:lineRule="auto"/>
        <w:ind w:firstLine="720"/>
      </w:pPr>
      <w:bookmarkStart w:id="170" w:name="ref-27"/>
      <w:bookmarkEnd w:id="170"/>
      <w:r>
        <w:t xml:space="preserve">27. Ben McKeown; Andrew G. Dempster; Serkan Saydam; Jeff Coulton. How should potential space resources markets be evaluated? (2026). doi:</w:t>
      </w:r>
      <w:r>
        <w:t xml:space="preserve"> </w:t>
      </w:r>
      <w:hyperlink r:id="rId171">
        <w:r>
          <w:rPr>
            <w:rStyle w:val="Hyperlink"/>
          </w:rPr>
          <w:t xml:space="preserve">10.1016/j.actaastro.2026.03.026</w:t>
        </w:r>
      </w:hyperlink>
    </w:p>
    <w:p>
      <w:pPr>
        <w:pStyle w:val="BodyText"/>
        <w:spacing w:line="480" w:lineRule="auto"/>
        <w:ind w:firstLine="720"/>
      </w:pPr>
      <w:bookmarkStart w:id="172" w:name="ref-28"/>
      <w:bookmarkEnd w:id="172"/>
      <w:r>
        <w:t xml:space="preserve">28. Valentina Zancan; Paolo Trucco; Giorgio Locatelli. “Getting things done” or “Doing the right things”? Micro-foundations of product-service strategies in Earth Observation (2026). doi:</w:t>
      </w:r>
      <w:r>
        <w:t xml:space="preserve"> </w:t>
      </w:r>
      <w:hyperlink r:id="rId173">
        <w:r>
          <w:rPr>
            <w:rStyle w:val="Hyperlink"/>
          </w:rPr>
          <w:t xml:space="preserve">10.1016/j.actaastro.2026.01.040</w:t>
        </w:r>
      </w:hyperlink>
    </w:p>
    <w:p>
      <w:pPr>
        <w:pStyle w:val="BodyText"/>
        <w:spacing w:line="480" w:lineRule="auto"/>
        <w:ind w:firstLine="720"/>
      </w:pPr>
      <w:bookmarkStart w:id="174" w:name="ref-29"/>
      <w:bookmarkEnd w:id="174"/>
      <w:r>
        <w:t xml:space="preserve">29. Gustavo Dalmarco; Rita Alexandra de Lourenço Roriz Mendes; Ana Correia Simões; Ariane Mello Silva Avila. 3D printing Lift-Off? The use of additive manufacturing in spacecraft components (2026). doi:</w:t>
      </w:r>
      <w:r>
        <w:t xml:space="preserve"> </w:t>
      </w:r>
      <w:hyperlink r:id="rId175">
        <w:r>
          <w:rPr>
            <w:rStyle w:val="Hyperlink"/>
          </w:rPr>
          <w:t xml:space="preserve">10.1016/j.actaastro.2026.03.057</w:t>
        </w:r>
      </w:hyperlink>
    </w:p>
    <w:p>
      <w:pPr>
        <w:pStyle w:val="BodyText"/>
        <w:spacing w:line="480" w:lineRule="auto"/>
        <w:ind w:firstLine="720"/>
      </w:pPr>
      <w:bookmarkStart w:id="176" w:name="ref-30"/>
      <w:bookmarkEnd w:id="176"/>
      <w:r>
        <w:t xml:space="preserve">30. S. Dorrington; John Olsen. A location-routing problem for the design of an asteroid mining supply chain network (2018). doi:</w:t>
      </w:r>
      <w:r>
        <w:t xml:space="preserve"> </w:t>
      </w:r>
      <w:hyperlink r:id="rId177">
        <w:r>
          <w:rPr>
            <w:rStyle w:val="Hyperlink"/>
          </w:rPr>
          <w:t xml:space="preserve">10.1016/j.actaastro.2018.08.040</w:t>
        </w:r>
      </w:hyperlink>
    </w:p>
    <w:p>
      <w:pPr>
        <w:pStyle w:val="BodyText"/>
        <w:spacing w:line="480" w:lineRule="auto"/>
        <w:ind w:firstLine="720"/>
      </w:pPr>
      <w:bookmarkStart w:id="178" w:name="ref-31"/>
      <w:bookmarkEnd w:id="178"/>
      <w:r>
        <w:t xml:space="preserve">31. Xianliang Chen; Anne Bettens; Zhicheng Xie; Zihao Wang; Xiaofeng Wu. Kalman filter and neural network fusion for fault detection and recovery in satellite attitude estimation (2024). doi:</w:t>
      </w:r>
      <w:r>
        <w:t xml:space="preserve"> </w:t>
      </w:r>
      <w:hyperlink r:id="rId179">
        <w:r>
          <w:rPr>
            <w:rStyle w:val="Hyperlink"/>
          </w:rPr>
          <w:t xml:space="preserve">10.1016/j.actaastro.2024.01.038</w:t>
        </w:r>
      </w:hyperlink>
    </w:p>
    <w:p>
      <w:pPr>
        <w:pStyle w:val="BodyText"/>
        <w:spacing w:line="480" w:lineRule="auto"/>
        <w:ind w:firstLine="720"/>
      </w:pPr>
      <w:bookmarkStart w:id="180" w:name="ref-32"/>
      <w:bookmarkEnd w:id="180"/>
      <w:r>
        <w:t xml:space="preserve">32. Jingyi Liu; Jian Guo; Eberhard Gill. Visualizing critic match loss landscapes for interpretation of online reinforcement learning control algorithms (2026). doi:</w:t>
      </w:r>
      <w:r>
        <w:t xml:space="preserve"> </w:t>
      </w:r>
      <w:hyperlink r:id="rId181">
        <w:r>
          <w:rPr>
            <w:rStyle w:val="Hyperlink"/>
          </w:rPr>
          <w:t xml:space="preserve">10.1016/j.actaastro.2026.04.045</w:t>
        </w:r>
      </w:hyperlink>
    </w:p>
    <w:p>
      <w:pPr>
        <w:pStyle w:val="BodyText"/>
        <w:spacing w:line="480" w:lineRule="auto"/>
        <w:ind w:firstLine="720"/>
      </w:pPr>
      <w:bookmarkStart w:id="182" w:name="ref-33"/>
      <w:bookmarkEnd w:id="182"/>
      <w:r>
        <w:t xml:space="preserve">33. Xiaoyu Fu; Stefania Soldini. Autonomous orbital maintenance using a supervised-learning-based target point approach (2026). doi:</w:t>
      </w:r>
      <w:r>
        <w:t xml:space="preserve"> </w:t>
      </w:r>
      <w:hyperlink r:id="rId183">
        <w:r>
          <w:rPr>
            <w:rStyle w:val="Hyperlink"/>
          </w:rPr>
          <w:t xml:space="preserve">10.1016/j.actaastro.2026.02.008</w:t>
        </w:r>
      </w:hyperlink>
    </w:p>
    <w:bookmarkEnd w:id="184"/>
    <w:bookmarkEnd w:id="185"/>
    <w:bookmarkStart w:id="20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3" w:name="X33e32750224bcff025e92526e11a7c37b7570b4"/>
    <w:p>
      <w:pPr>
        <w:pStyle w:val="Heading2"/>
        <w:spacing w:line="480" w:lineRule="auto"/>
      </w:pPr>
      <w:r>
        <w:t xml:space="preserve">A.1 Curation or Inheritance? An OLS Test of the Per-Line Transitive Dependency Footprint of Open Mission Software Against Matched Scientific Software</w:t>
      </w:r>
    </w:p>
    <w:p>
      <w:pPr>
        <w:pStyle w:val="FirstParagraph"/>
        <w:spacing w:line="480" w:lineRule="auto"/>
      </w:pPr>
      <m:oMathPara>
        <m:oMathParaPr>
          <m:jc m:val="center"/>
        </m:oMathParaPr>
        <m:oMath>
          <m:r>
            <m:t>d</m:t>
          </m:r>
          <m:r>
            <m:t>e</m:t>
          </m:r>
          <m:r>
            <m:t>p</m:t>
          </m:r>
          <m:r>
            <m:t>s</m:t>
          </m:r>
          <m:r>
            <m:rPr>
              <m:sty m:val="p"/>
            </m:rPr>
            <m:t>_</m:t>
          </m:r>
          <m:r>
            <m:t>p</m:t>
          </m:r>
          <m:r>
            <m:t>e</m:t>
          </m:r>
          <m:r>
            <m:t>r</m:t>
          </m:r>
          <m:r>
            <m:rPr>
              <m:sty m:val="p"/>
            </m:rPr>
            <m:t>_</m:t>
          </m:r>
          <m:r>
            <m:t>k</m:t>
          </m:r>
          <m:r>
            <m:t>s</m:t>
          </m:r>
          <m:r>
            <m:t>l</m:t>
          </m:r>
          <m:r>
            <m:t>o</m:t>
          </m:r>
          <m:sSub>
            <m:e>
              <m:r>
                <m:t>c</m:t>
              </m:r>
            </m:e>
            <m:sub>
              <m:r>
                <m:t>i</m:t>
              </m:r>
            </m:sub>
          </m:sSub>
          <m:r>
            <m:rPr>
              <m:sty m:val="p"/>
            </m:rPr>
            <m:t>=</m:t>
          </m:r>
          <m:sSub>
            <m:e>
              <m:r>
                <m:t>β</m:t>
              </m:r>
            </m:e>
            <m:sub>
              <m:r>
                <m:t>0</m:t>
              </m:r>
            </m:sub>
          </m:sSub>
          <m:r>
            <m:rPr>
              <m:sty m:val="p"/>
            </m:rPr>
            <m:t>+</m:t>
          </m:r>
          <m:sSub>
            <m:e>
              <m:r>
                <m:t>β</m:t>
              </m:r>
            </m:e>
            <m:sub>
              <m:r>
                <m:t>1</m:t>
              </m:r>
            </m:sub>
          </m:sSub>
          <m:r>
            <m:t> </m:t>
          </m:r>
          <m:r>
            <m:t>m</m:t>
          </m:r>
          <m:r>
            <m:t>i</m:t>
          </m:r>
          <m:r>
            <m:t>s</m:t>
          </m:r>
          <m:r>
            <m:t>s</m:t>
          </m:r>
          <m:r>
            <m:t>i</m:t>
          </m:r>
          <m:r>
            <m:t>o</m:t>
          </m:r>
          <m:sSub>
            <m:e>
              <m:r>
                <m:t>n</m:t>
              </m:r>
            </m:e>
            <m:sub>
              <m:r>
                <m:t>i</m:t>
              </m:r>
            </m:sub>
          </m:sSub>
          <m:r>
            <m:rPr>
              <m:sty m:val="p"/>
            </m:rPr>
            <m:t>+</m:t>
          </m:r>
          <m:sSub>
            <m:e>
              <m:r>
                <m:t>β</m:t>
              </m:r>
            </m:e>
            <m:sub>
              <m:r>
                <m:t>2</m:t>
              </m:r>
            </m:sub>
          </m:sSub>
          <m:r>
            <m:t> </m:t>
          </m:r>
          <m:r>
            <m:t>k</m:t>
          </m:r>
          <m:r>
            <m:t>s</m:t>
          </m:r>
          <m:r>
            <m:t>l</m:t>
          </m:r>
          <m:r>
            <m:t>o</m:t>
          </m:r>
          <m:sSub>
            <m:e>
              <m:r>
                <m:t>c</m:t>
              </m:r>
            </m:e>
            <m:sub>
              <m:r>
                <m:t>i</m:t>
              </m:r>
            </m:sub>
          </m:sSub>
          <m:r>
            <m:rPr>
              <m:sty m:val="p"/>
            </m:rPr>
            <m:t>+</m:t>
          </m:r>
          <m:sSub>
            <m:e>
              <m:r>
                <m:t>β</m:t>
              </m:r>
            </m:e>
            <m:sub>
              <m:r>
                <m:t>3</m:t>
              </m:r>
            </m:sub>
          </m:sSub>
          <m:r>
            <m:t> </m:t>
          </m:r>
          <m:r>
            <m:t>d</m:t>
          </m:r>
          <m:r>
            <m:t>i</m:t>
          </m:r>
          <m:r>
            <m:t>r</m:t>
          </m:r>
          <m:r>
            <m:t>e</m:t>
          </m:r>
          <m:r>
            <m:t>c</m:t>
          </m:r>
          <m:r>
            <m:t>t</m:t>
          </m:r>
          <m:r>
            <m:rPr>
              <m:sty m:val="p"/>
            </m:rPr>
            <m:t>_</m:t>
          </m:r>
          <m:r>
            <m:t>d</m:t>
          </m:r>
          <m:r>
            <m:t>e</m:t>
          </m:r>
          <m:r>
            <m:t>p</m:t>
          </m:r>
          <m:sSub>
            <m:e>
              <m:r>
                <m:t>s</m:t>
              </m:r>
            </m:e>
            <m:sub>
              <m:r>
                <m:t>i</m:t>
              </m:r>
            </m:sub>
          </m:sSub>
          <m:r>
            <m:rPr>
              <m:sty m:val="p"/>
            </m:rPr>
            <m:t>+</m:t>
          </m:r>
          <m:sSub>
            <m:e>
              <m:r>
                <m:t>ε</m:t>
              </m:r>
            </m:e>
            <m:sub>
              <m:r>
                <m:t>i</m:t>
              </m:r>
            </m:sub>
          </m:sSub>
        </m:oMath>
      </m:oMathPara>
    </w:p>
    <w:bookmarkStart w:id="18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0.9826</w:t>
            </w:r>
          </w:p>
        </w:tc>
        <w:tc>
          <w:tcPr>
            <w:tcW w:w="0" w:type="auto"/>
          </w:tcPr>
          <w:p>
            <w:pPr>
              <w:spacing w:line="240" w:lineRule="auto" w:before="0" w:after="0"/>
              <w:pStyle w:val="Compact"/>
            </w:pPr>
            <w:r>
              <w:rPr>
                <w:sz w:val="20"/>
                <w:szCs w:val="20"/>
              </w:rPr>
              <w:t xml:space="preserve">0.4458</w:t>
            </w:r>
          </w:p>
        </w:tc>
        <w:tc>
          <w:tcPr>
            <w:tcW w:w="0" w:type="auto"/>
          </w:tcPr>
          <w:p>
            <w:pPr>
              <w:spacing w:line="240" w:lineRule="auto" w:before="0" w:after="0"/>
              <w:pStyle w:val="Compact"/>
            </w:pPr>
            <w:r>
              <w:rPr>
                <w:sz w:val="20"/>
                <w:szCs w:val="20"/>
              </w:rPr>
              <w:t xml:space="preserve">2.2042</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[0.1089, 1.8564]</w:t>
            </w:r>
          </w:p>
        </w:tc>
      </w:tr>
      <w:tr>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-0.2097</w:t>
            </w:r>
          </w:p>
        </w:tc>
        <w:tc>
          <w:tcPr>
            <w:tcW w:w="0" w:type="auto"/>
          </w:tcPr>
          <w:p>
            <w:pPr>
              <w:spacing w:line="240" w:lineRule="auto" w:before="0" w:after="0"/>
              <w:pStyle w:val="Compact"/>
            </w:pPr>
            <w:r>
              <w:rPr>
                <w:sz w:val="20"/>
                <w:szCs w:val="20"/>
              </w:rPr>
              <w:t xml:space="preserve">0.3651</w:t>
            </w:r>
          </w:p>
        </w:tc>
        <w:tc>
          <w:tcPr>
            <w:tcW w:w="0" w:type="auto"/>
          </w:tcPr>
          <w:p>
            <w:pPr>
              <w:spacing w:line="240" w:lineRule="auto" w:before="0" w:after="0"/>
              <w:pStyle w:val="Compact"/>
            </w:pPr>
            <w:r>
              <w:rPr>
                <w:sz w:val="20"/>
                <w:szCs w:val="20"/>
              </w:rPr>
              <w:t xml:space="preserve">-0.5744</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[-0.9252, 0.5059]</w:t>
            </w:r>
          </w:p>
        </w:tc>
      </w:tr>
      <w:tr>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0.0005251</w:t>
            </w:r>
          </w:p>
        </w:tc>
        <w:tc>
          <w:tcPr>
            <w:tcW w:w="0" w:type="auto"/>
          </w:tcPr>
          <w:p>
            <w:pPr>
              <w:spacing w:line="240" w:lineRule="auto" w:before="0" w:after="0"/>
              <w:pStyle w:val="Compact"/>
            </w:pPr>
            <w:r>
              <w:rPr>
                <w:sz w:val="20"/>
                <w:szCs w:val="20"/>
              </w:rPr>
              <w:t xml:space="preserve">-2.4028</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[-0.0023, -0.0002326]</w:t>
            </w:r>
          </w:p>
        </w:tc>
      </w:tr>
      <w:tr>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[-0.0023, 0.0232]</w:t>
            </w:r>
          </w:p>
        </w:tc>
      </w:tr>
    </w:tbl>
    <w:p>
      <w:pPr>
        <w:pStyle w:val="BodyText"/>
        <w:spacing w:line="480" w:lineRule="auto"/>
        <w:ind w:firstLine="720"/>
      </w:pPr>
      <w:r>
        <w:t xml:space="preserve">Fit: N = 32 R2 = 0.3274 R2_adj = 0.2554 F = 17.2188 F_p = 1.562e-06</w:t>
      </w:r>
    </w:p>
    <w:bookmarkEnd w:id="186"/>
    <w:bookmarkStart w:id="19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line transitive dependency footprint by codebase size across 32 repository-releases; mission-software and matched scientific-software populations are pooled and regressed with an OLS specification reported in the text." title="" id="188" name="Picture"/>
            <a:graphic>
              <a:graphicData uri="http://schemas.openxmlformats.org/drawingml/2006/picture">
                <pic:pic>
                  <pic:nvPicPr>
                    <pic:cNvPr descr="D:/Claude_Code/brain/collegium/candidates/dissertations/CYBER_AI_07/research_papers/p1/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Per-line transitive dependency footprint by codebase size across 32 repository-releases; mission-software and matched scientific-software populations are pooled and regressed with an OLS specification reported in the text.</w:t>
      </w:r>
    </w:p>
    <w:bookmarkEnd w:id="190"/>
    <w:bookmarkStart w:id="19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repo</w:t>
            </w:r>
          </w:p>
        </w:tc>
        <w:tc>
          <w:tcPr>
            <w:tcW w:w="0" w:type="auto"/>
          </w:tcPr>
          <w:p>
            <w:pPr>
              <w:spacing w:line="240" w:lineRule="auto" w:before="0" w:after="0"/>
              <w:pStyle w:val="Compact"/>
            </w:pPr>
            <w:r>
              <w:rPr>
                <w:sz w:val="20"/>
                <w:szCs w:val="20"/>
              </w:rPr>
              <w:t xml:space="preserve">release</w:t>
            </w:r>
          </w:p>
        </w:tc>
        <w:tc>
          <w:tcPr>
            <w:tcW w:w="0" w:type="auto"/>
          </w:tcPr>
          <w:p>
            <w:pPr>
              <w:spacing w:line="240" w:lineRule="auto" w:before="0" w:after="0"/>
              <w:pStyle w:val="Compact"/>
            </w:pPr>
            <w:r>
              <w:rPr>
                <w:sz w:val="20"/>
                <w:szCs w:val="20"/>
              </w:rPr>
              <w:t xml:space="preserve">release_date</w:t>
            </w:r>
          </w:p>
        </w:tc>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primary_language</w:t>
            </w:r>
          </w:p>
        </w:tc>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transitive_deps</w:t>
            </w:r>
          </w:p>
        </w:tc>
        <w:tc>
          <w:tcPr>
            <w:tcW w:w="0" w:type="auto"/>
          </w:tcPr>
          <w:p>
            <w:pPr>
              <w:spacing w:line="240" w:lineRule="auto" w:before="0" w:after="0"/>
              <w:pStyle w:val="Compact"/>
            </w:pPr>
            <w:r>
              <w:rPr>
                <w:sz w:val="20"/>
                <w:szCs w:val="20"/>
              </w:rPr>
              <w:t xml:space="preserve">deps_per_ksloc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2026-01-26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0.076</w:t>
            </w:r>
          </w:p>
        </w:tc>
        <w:tc>
          <w:tcPr>
            <w:tcW w:w="0" w:type="auto"/>
          </w:tcPr>
          <w:p>
            <w:pPr>
              <w:spacing w:line="240" w:lineRule="auto" w:before="0" w:after="0"/>
              <w:pStyle w:val="Compact"/>
            </w:pPr>
            <w:r>
              <w:rPr>
                <w:sz w:val="20"/>
                <w:szCs w:val="20"/>
              </w:rPr>
              <w:t xml:space="preserve">github.com/nasa/cFS releases API + .gitmodules submodule manifest (cfe, osal, psp, ci_lab, sample_app, sample_lib, sch_lab)</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equuleus-rc1</w:t>
            </w:r>
          </w:p>
        </w:tc>
        <w:tc>
          <w:tcPr>
            <w:tcW w:w="0" w:type="auto"/>
          </w:tcPr>
          <w:p>
            <w:pPr>
              <w:spacing w:line="240" w:lineRule="auto" w:before="0" w:after="0"/>
              <w:pStyle w:val="Compact"/>
            </w:pPr>
            <w:r>
              <w:rPr>
                <w:sz w:val="20"/>
                <w:szCs w:val="20"/>
              </w:rPr>
              <w:t xml:space="preserve">2023-08-28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draco-rc4</w:t>
            </w:r>
          </w:p>
        </w:tc>
        <w:tc>
          <w:tcPr>
            <w:tcW w:w="0" w:type="auto"/>
          </w:tcPr>
          <w:p>
            <w:pPr>
              <w:spacing w:line="240" w:lineRule="auto" w:before="0" w:after="0"/>
              <w:pStyle w:val="Compact"/>
            </w:pPr>
            <w:r>
              <w:rPr>
                <w:sz w:val="20"/>
                <w:szCs w:val="20"/>
              </w:rPr>
              <w:t xml:space="preserve">2023-02-02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0.083</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draco-rc1</w:t>
            </w:r>
          </w:p>
        </w:tc>
        <w:tc>
          <w:tcPr>
            <w:tcW w:w="0" w:type="auto"/>
          </w:tcPr>
          <w:p>
            <w:pPr>
              <w:spacing w:line="240" w:lineRule="auto" w:before="0" w:after="0"/>
              <w:pStyle w:val="Compact"/>
            </w:pPr>
            <w:r>
              <w:rPr>
                <w:sz w:val="20"/>
                <w:szCs w:val="20"/>
              </w:rPr>
              <w:t xml:space="preserve">2022-03-29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caelum-rc4</w:t>
            </w:r>
          </w:p>
        </w:tc>
        <w:tc>
          <w:tcPr>
            <w:tcW w:w="0" w:type="auto"/>
          </w:tcPr>
          <w:p>
            <w:pPr>
              <w:spacing w:line="240" w:lineRule="auto" w:before="0" w:after="0"/>
              <w:pStyle w:val="Compact"/>
            </w:pPr>
            <w:r>
              <w:rPr>
                <w:sz w:val="20"/>
                <w:szCs w:val="20"/>
              </w:rPr>
              <w:t xml:space="preserve">2021-09-28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github.com/nasa/cFS releases API; .gitmodules at tag [illustrative ksloc]</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2026-03-26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0.868</w:t>
            </w:r>
          </w:p>
        </w:tc>
        <w:tc>
          <w:tcPr>
            <w:tcW w:w="0" w:type="auto"/>
          </w:tcPr>
          <w:p>
            <w:pPr>
              <w:spacing w:line="240" w:lineRule="auto" w:before="0" w:after="0"/>
              <w:pStyle w:val="Compact"/>
            </w:pPr>
            <w:r>
              <w:rPr>
                <w:sz w:val="20"/>
                <w:szCs w:val="20"/>
              </w:rPr>
              <w:t xml:space="preserve">github.com/OpenC3/cosmos Gemfile + openc3.gemspec; bundler resolution against rubygems.org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v6.10.6</w:t>
            </w:r>
          </w:p>
        </w:tc>
        <w:tc>
          <w:tcPr>
            <w:tcW w:w="0" w:type="auto"/>
          </w:tcPr>
          <w:p>
            <w:pPr>
              <w:spacing w:line="240" w:lineRule="auto" w:before="0" w:after="0"/>
              <w:pStyle w:val="Compact"/>
            </w:pPr>
            <w:r>
              <w:rPr>
                <w:sz w:val="20"/>
                <w:szCs w:val="20"/>
              </w:rPr>
              <w:t xml:space="preserve">2026-05-05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0.859</w:t>
            </w:r>
          </w:p>
        </w:tc>
        <w:tc>
          <w:tcPr>
            <w:tcW w:w="0" w:type="auto"/>
          </w:tcPr>
          <w:p>
            <w:pPr>
              <w:spacing w:line="240" w:lineRule="auto" w:before="0" w:after="0"/>
              <w:pStyle w:val="Compact"/>
            </w:pPr>
            <w:r>
              <w:rPr>
                <w:sz w:val="20"/>
                <w:szCs w:val="20"/>
              </w:rPr>
              <w:t xml:space="preserve">github.com/OpenC3/cosmos Gemfile at v6.10.6 tag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v6.0.0</w:t>
            </w:r>
          </w:p>
        </w:tc>
        <w:tc>
          <w:tcPr>
            <w:tcW w:w="0" w:type="auto"/>
          </w:tcPr>
          <w:p>
            <w:pPr>
              <w:spacing w:line="240" w:lineRule="auto" w:before="0" w:after="0"/>
              <w:pStyle w:val="Compact"/>
            </w:pPr>
            <w:r>
              <w:rPr>
                <w:sz w:val="20"/>
                <w:szCs w:val="20"/>
              </w:rPr>
              <w:t xml:space="preserve">2024-06-01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0.848</w:t>
            </w:r>
          </w:p>
        </w:tc>
        <w:tc>
          <w:tcPr>
            <w:tcW w:w="0" w:type="auto"/>
          </w:tcPr>
          <w:p>
            <w:pPr>
              <w:spacing w:line="240" w:lineRule="auto" w:before="0" w:after="0"/>
              <w:pStyle w:val="Compact"/>
            </w:pPr>
            <w:r>
              <w:rPr>
                <w:sz w:val="20"/>
                <w:szCs w:val="20"/>
              </w:rPr>
              <w:t xml:space="preserve">github.com/OpenC3/cosmos Gemfile at v6.0.0 tag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v5.16.0</w:t>
            </w:r>
          </w:p>
        </w:tc>
        <w:tc>
          <w:tcPr>
            <w:tcW w:w="0" w:type="auto"/>
          </w:tcPr>
          <w:p>
            <w:pPr>
              <w:spacing w:line="240" w:lineRule="auto" w:before="0" w:after="0"/>
              <w:pStyle w:val="Compact"/>
            </w:pPr>
            <w:r>
              <w:rPr>
                <w:sz w:val="20"/>
                <w:szCs w:val="20"/>
              </w:rPr>
              <w:t xml:space="preserve">2023-09-01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0.873</w:t>
            </w:r>
          </w:p>
        </w:tc>
        <w:tc>
          <w:tcPr>
            <w:tcW w:w="0" w:type="auto"/>
          </w:tcPr>
          <w:p>
            <w:pPr>
              <w:spacing w:line="240" w:lineRule="auto" w:before="0" w:after="0"/>
              <w:pStyle w:val="Compact"/>
            </w:pPr>
            <w:r>
              <w:rPr>
                <w:sz w:val="20"/>
                <w:szCs w:val="20"/>
              </w:rPr>
              <w:t xml:space="preserve">github.com/OpenC3/cosmos Gemfile at v5.16.0 tag [illustrative ksloc]</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yamcs-5.13.0</w:t>
            </w:r>
          </w:p>
        </w:tc>
        <w:tc>
          <w:tcPr>
            <w:tcW w:w="0" w:type="auto"/>
          </w:tcPr>
          <w:p>
            <w:pPr>
              <w:spacing w:line="240" w:lineRule="auto" w:before="0" w:after="0"/>
              <w:pStyle w:val="Compact"/>
            </w:pPr>
            <w:r>
              <w:rPr>
                <w:sz w:val="20"/>
                <w:szCs w:val="20"/>
              </w:rPr>
              <w:t xml:space="preserve">2026-05-21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0.456</w:t>
            </w:r>
          </w:p>
        </w:tc>
        <w:tc>
          <w:tcPr>
            <w:tcW w:w="0" w:type="auto"/>
          </w:tcPr>
          <w:p>
            <w:pPr>
              <w:spacing w:line="240" w:lineRule="auto" w:before="0" w:after="0"/>
              <w:pStyle w:val="Compact"/>
            </w:pPr>
            <w:r>
              <w:rPr>
                <w:sz w:val="20"/>
                <w:szCs w:val="20"/>
              </w:rPr>
              <w:t xml:space="preserve">github.com/yamcs/yamcs pom.xml Maven manifest at yamcs-5.13.0 tag</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yamcs-5.12.0</w:t>
            </w:r>
          </w:p>
        </w:tc>
        <w:tc>
          <w:tcPr>
            <w:tcW w:w="0" w:type="auto"/>
          </w:tcPr>
          <w:p>
            <w:pPr>
              <w:spacing w:line="240" w:lineRule="auto" w:before="0" w:after="0"/>
              <w:pStyle w:val="Compact"/>
            </w:pPr>
            <w:r>
              <w:rPr>
                <w:sz w:val="20"/>
                <w:szCs w:val="20"/>
              </w:rPr>
              <w:t xml:space="preserve">2025-07-16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471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0.454</w:t>
            </w:r>
          </w:p>
        </w:tc>
        <w:tc>
          <w:tcPr>
            <w:tcW w:w="0" w:type="auto"/>
          </w:tcPr>
          <w:p>
            <w:pPr>
              <w:spacing w:line="240" w:lineRule="auto" w:before="0" w:after="0"/>
              <w:pStyle w:val="Compact"/>
            </w:pPr>
            <w:r>
              <w:rPr>
                <w:sz w:val="20"/>
                <w:szCs w:val="20"/>
              </w:rPr>
              <w:t xml:space="preserve">github.com/yamcs/yamcs pom.xml Maven manifest at yamcs-5.12.0 tag</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yamcs-5.11.0</w:t>
            </w:r>
          </w:p>
        </w:tc>
        <w:tc>
          <w:tcPr>
            <w:tcW w:w="0" w:type="auto"/>
          </w:tcPr>
          <w:p>
            <w:pPr>
              <w:spacing w:line="240" w:lineRule="auto" w:before="0" w:after="0"/>
              <w:pStyle w:val="Compact"/>
            </w:pPr>
            <w:r>
              <w:rPr>
                <w:sz w:val="20"/>
                <w:szCs w:val="20"/>
              </w:rPr>
              <w:t xml:space="preserve">2025-03-01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github.com/yamcs/yamcs pom.xml Maven manifest at yamcs-5.11.0 tag [illustrative ksloc]</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yamcs-5.10.0</w:t>
            </w:r>
          </w:p>
        </w:tc>
        <w:tc>
          <w:tcPr>
            <w:tcW w:w="0" w:type="auto"/>
          </w:tcPr>
          <w:p>
            <w:pPr>
              <w:spacing w:line="240" w:lineRule="auto" w:before="0" w:after="0"/>
              <w:pStyle w:val="Compact"/>
            </w:pPr>
            <w:r>
              <w:rPr>
                <w:sz w:val="20"/>
                <w:szCs w:val="20"/>
              </w:rPr>
              <w:t xml:space="preserve">2024-09-01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0.459</w:t>
            </w:r>
          </w:p>
        </w:tc>
        <w:tc>
          <w:tcPr>
            <w:tcW w:w="0" w:type="auto"/>
          </w:tcPr>
          <w:p>
            <w:pPr>
              <w:spacing w:line="240" w:lineRule="auto" w:before="0" w:after="0"/>
              <w:pStyle w:val="Compact"/>
            </w:pPr>
            <w:r>
              <w:rPr>
                <w:sz w:val="20"/>
                <w:szCs w:val="20"/>
              </w:rPr>
              <w:t xml:space="preserve">github.com/yamcs/yamcs pom.xml at yamcs-5.10.0 tag</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v2.5.0</w:t>
            </w:r>
          </w:p>
        </w:tc>
        <w:tc>
          <w:tcPr>
            <w:tcW w:w="0" w:type="auto"/>
          </w:tcPr>
          <w:p>
            <w:pPr>
              <w:spacing w:line="240" w:lineRule="auto" w:before="0" w:after="0"/>
              <w:pStyle w:val="Compact"/>
            </w:pPr>
            <w:r>
              <w:rPr>
                <w:sz w:val="20"/>
                <w:szCs w:val="20"/>
              </w:rPr>
              <w:t xml:space="preserve">2026-04-03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github.com/AVSLab/basilisk requirements.txt at v2.5.0 (pandas, matplotlib, numpy, colorama, tqdm, Pillow, pytest, pytest-html, pytest-xdist) + transitive via PyPI JSON API</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v2.4.0</w:t>
            </w:r>
          </w:p>
        </w:tc>
        <w:tc>
          <w:tcPr>
            <w:tcW w:w="0" w:type="auto"/>
          </w:tcPr>
          <w:p>
            <w:pPr>
              <w:spacing w:line="240" w:lineRule="auto" w:before="0" w:after="0"/>
              <w:pStyle w:val="Compact"/>
            </w:pPr>
            <w:r>
              <w:rPr>
                <w:sz w:val="20"/>
                <w:szCs w:val="20"/>
              </w:rPr>
              <w:t xml:space="preserve">2025-12-20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0.165</w:t>
            </w:r>
          </w:p>
        </w:tc>
        <w:tc>
          <w:tcPr>
            <w:tcW w:w="0" w:type="auto"/>
          </w:tcPr>
          <w:p>
            <w:pPr>
              <w:spacing w:line="240" w:lineRule="auto" w:before="0" w:after="0"/>
              <w:pStyle w:val="Compact"/>
            </w:pPr>
            <w:r>
              <w:rPr>
                <w:sz w:val="20"/>
                <w:szCs w:val="20"/>
              </w:rPr>
              <w:t xml:space="preserve">github.com/AVSLab/basilisk requirements.txt at v2.4.0 tag</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v2.2.0</w:t>
            </w:r>
          </w:p>
        </w:tc>
        <w:tc>
          <w:tcPr>
            <w:tcW w:w="0" w:type="auto"/>
          </w:tcPr>
          <w:p>
            <w:pPr>
              <w:spacing w:line="240" w:lineRule="auto" w:before="0" w:after="0"/>
              <w:pStyle w:val="Compact"/>
            </w:pPr>
            <w:r>
              <w:rPr>
                <w:sz w:val="20"/>
                <w:szCs w:val="20"/>
              </w:rPr>
              <w:t xml:space="preserve">2024-08-01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github.com/AVSLab/basilisk requirements.txt at v2.2.0 tag [illustrative ksloc]</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v2.0.0</w:t>
            </w:r>
          </w:p>
        </w:tc>
        <w:tc>
          <w:tcPr>
            <w:tcW w:w="0" w:type="auto"/>
          </w:tcPr>
          <w:p>
            <w:pPr>
              <w:spacing w:line="240" w:lineRule="auto" w:before="0" w:after="0"/>
              <w:pStyle w:val="Compact"/>
            </w:pPr>
            <w:r>
              <w:rPr>
                <w:sz w:val="20"/>
                <w:szCs w:val="20"/>
              </w:rPr>
              <w:t xml:space="preserve">2023-04-01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0.175</w:t>
            </w:r>
          </w:p>
        </w:tc>
        <w:tc>
          <w:tcPr>
            <w:tcW w:w="0" w:type="auto"/>
          </w:tcPr>
          <w:p>
            <w:pPr>
              <w:spacing w:line="240" w:lineRule="auto" w:before="0" w:after="0"/>
              <w:pStyle w:val="Compact"/>
            </w:pPr>
            <w:r>
              <w:rPr>
                <w:sz w:val="20"/>
                <w:szCs w:val="20"/>
              </w:rPr>
              <w:t xml:space="preserve">github.com/AVSLab/basilisk requirements.txt at v2.0.0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v8.0.0</w:t>
            </w:r>
          </w:p>
        </w:tc>
        <w:tc>
          <w:tcPr>
            <w:tcW w:w="0" w:type="auto"/>
          </w:tcPr>
          <w:p>
            <w:pPr>
              <w:spacing w:line="240" w:lineRule="auto" w:before="0" w:after="0"/>
              <w:pStyle w:val="Compact"/>
            </w:pPr>
            <w:r>
              <w:rPr>
                <w:sz w:val="20"/>
                <w:szCs w:val="20"/>
              </w:rPr>
              <w:t xml:space="preserve">2026-06-17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github.com/astropy/astropy pyproject.toml dependencies (numpy, pyerfa, astropy-iers-data, PyYAML, packaging) + transitive via PyPI JSON; tokei kSLOC estimate</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2024-11-22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1078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github.com/astropy/astropy pyproject.toml at v7.0.0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v6.1.0</w:t>
            </w:r>
          </w:p>
        </w:tc>
        <w:tc>
          <w:tcPr>
            <w:tcW w:w="0" w:type="auto"/>
          </w:tcPr>
          <w:p>
            <w:pPr>
              <w:spacing w:line="240" w:lineRule="auto" w:before="0" w:after="0"/>
              <w:pStyle w:val="Compact"/>
            </w:pPr>
            <w:r>
              <w:rPr>
                <w:sz w:val="20"/>
                <w:szCs w:val="20"/>
              </w:rPr>
              <w:t xml:space="preserve">2024-05-23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1042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github.com/astropy/astropy pyproject.toml at v6.1.0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v5.3.0</w:t>
            </w:r>
          </w:p>
        </w:tc>
        <w:tc>
          <w:tcPr>
            <w:tcW w:w="0" w:type="auto"/>
          </w:tcPr>
          <w:p>
            <w:pPr>
              <w:spacing w:line="240" w:lineRule="auto" w:before="0" w:after="0"/>
              <w:pStyle w:val="Compact"/>
            </w:pPr>
            <w:r>
              <w:rPr>
                <w:sz w:val="20"/>
                <w:szCs w:val="20"/>
              </w:rPr>
              <w:t xml:space="preserve">2023-06-01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github.com/astropy/astropy pyproject.toml at v5.3.0 tag [illustrative ksloc]</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v1.18.0</w:t>
            </w:r>
          </w:p>
        </w:tc>
        <w:tc>
          <w:tcPr>
            <w:tcW w:w="0" w:type="auto"/>
          </w:tcPr>
          <w:p>
            <w:pPr>
              <w:spacing w:line="240" w:lineRule="auto" w:before="0" w:after="0"/>
              <w:pStyle w:val="Compact"/>
            </w:pPr>
            <w:r>
              <w:rPr>
                <w:sz w:val="20"/>
                <w:szCs w:val="20"/>
              </w:rPr>
              <w:t xml:space="preserve">2026-06-19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824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dependencies (numpy) + build deps (meson-python, cython, pybind11); pypi.org/project/scipy/1.18.0/</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v1.17.0</w:t>
            </w:r>
          </w:p>
        </w:tc>
        <w:tc>
          <w:tcPr>
            <w:tcW w:w="0" w:type="auto"/>
          </w:tcPr>
          <w:p>
            <w:pPr>
              <w:spacing w:line="240" w:lineRule="auto" w:before="0" w:after="0"/>
              <w:pStyle w:val="Compact"/>
            </w:pPr>
            <w:r>
              <w:rPr>
                <w:sz w:val="20"/>
                <w:szCs w:val="20"/>
              </w:rPr>
              <w:t xml:space="preserve">2026-01-10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812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v1.17.0 tag</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v1.16.0</w:t>
            </w:r>
          </w:p>
        </w:tc>
        <w:tc>
          <w:tcPr>
            <w:tcW w:w="0" w:type="auto"/>
          </w:tcPr>
          <w:p>
            <w:pPr>
              <w:spacing w:line="240" w:lineRule="auto" w:before="0" w:after="0"/>
              <w:pStyle w:val="Compact"/>
            </w:pPr>
            <w:r>
              <w:rPr>
                <w:sz w:val="20"/>
                <w:szCs w:val="20"/>
              </w:rPr>
              <w:t xml:space="preserve">2025-06-01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v1.16.0 tag</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v1.14.0</w:t>
            </w:r>
          </w:p>
        </w:tc>
        <w:tc>
          <w:tcPr>
            <w:tcW w:w="0" w:type="auto"/>
          </w:tcPr>
          <w:p>
            <w:pPr>
              <w:spacing w:line="240" w:lineRule="auto" w:before="0" w:after="0"/>
              <w:pStyle w:val="Compact"/>
            </w:pPr>
            <w:r>
              <w:rPr>
                <w:sz w:val="20"/>
                <w:szCs w:val="20"/>
              </w:rPr>
              <w:t xml:space="preserve">2024-06-24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v1.14.0 tag</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v2.5.0</w:t>
            </w:r>
          </w:p>
        </w:tc>
        <w:tc>
          <w:tcPr>
            <w:tcW w:w="0" w:type="auto"/>
          </w:tcPr>
          <w:p>
            <w:pPr>
              <w:spacing w:line="240" w:lineRule="auto" w:before="0" w:after="0"/>
              <w:pStyle w:val="Compact"/>
            </w:pPr>
            <w:r>
              <w:rPr>
                <w:sz w:val="20"/>
                <w:szCs w:val="20"/>
              </w:rPr>
              <w:t xml:space="preserve">2026-06-21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no runtime dependencies (numpy is foundation)</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v2.4.0</w:t>
            </w:r>
          </w:p>
        </w:tc>
        <w:tc>
          <w:tcPr>
            <w:tcW w:w="0" w:type="auto"/>
          </w:tcPr>
          <w:p>
            <w:pPr>
              <w:spacing w:line="240" w:lineRule="auto" w:before="0" w:after="0"/>
              <w:pStyle w:val="Compact"/>
            </w:pPr>
            <w:r>
              <w:rPr>
                <w:sz w:val="20"/>
                <w:szCs w:val="20"/>
              </w:rPr>
              <w:t xml:space="preserve">2025-12-20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at v2.4.0 tag</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v2.0.0</w:t>
            </w:r>
          </w:p>
        </w:tc>
        <w:tc>
          <w:tcPr>
            <w:tcW w:w="0" w:type="auto"/>
          </w:tcPr>
          <w:p>
            <w:pPr>
              <w:spacing w:line="240" w:lineRule="auto" w:before="0" w:after="0"/>
              <w:pStyle w:val="Compact"/>
            </w:pPr>
            <w:r>
              <w:rPr>
                <w:sz w:val="20"/>
                <w:szCs w:val="20"/>
              </w:rPr>
              <w:t xml:space="preserve">2024-06-16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at v2.0.0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v0.17.0</w:t>
            </w:r>
          </w:p>
        </w:tc>
        <w:tc>
          <w:tcPr>
            <w:tcW w:w="0" w:type="auto"/>
          </w:tcPr>
          <w:p>
            <w:pPr>
              <w:spacing w:line="240" w:lineRule="auto" w:before="0" w:after="0"/>
              <w:pStyle w:val="Compact"/>
            </w:pPr>
            <w:r>
              <w:rPr>
                <w:sz w:val="20"/>
                <w:szCs w:val="20"/>
              </w:rPr>
              <w:t xml:space="preserve">2022-07-11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github.com/poliastro/poliastro pyproject.toml at v0.17.0 (astropy, jplephem, matplotlib, numpy, numba, plotly, pandas, scipy, czml3, w3lib, hypothesis); PyPI JSON transitive</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v0.16.0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github.com/poliastro/poliastro pyproject.toml at v0.16.0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v0.15.0</w:t>
            </w:r>
          </w:p>
        </w:tc>
        <w:tc>
          <w:tcPr>
            <w:tcW w:w="0" w:type="auto"/>
          </w:tcPr>
          <w:p>
            <w:pPr>
              <w:spacing w:line="240" w:lineRule="auto" w:before="0" w:after="0"/>
              <w:pStyle w:val="Compact"/>
            </w:pPr>
            <w:r>
              <w:rPr>
                <w:sz w:val="20"/>
                <w:szCs w:val="20"/>
              </w:rPr>
              <w:t xml:space="preserve">2021-05-14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2.132</w:t>
            </w:r>
          </w:p>
        </w:tc>
        <w:tc>
          <w:tcPr>
            <w:tcW w:w="0" w:type="auto"/>
          </w:tcPr>
          <w:p>
            <w:pPr>
              <w:spacing w:line="240" w:lineRule="auto" w:before="0" w:after="0"/>
              <w:pStyle w:val="Compact"/>
            </w:pPr>
            <w:r>
              <w:rPr>
                <w:sz w:val="20"/>
                <w:szCs w:val="20"/>
              </w:rPr>
              <w:t xml:space="preserve">github.com/poliastro/poliastro pyproject.toml at v0.15.0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v0.14.0</w:t>
            </w:r>
          </w:p>
        </w:tc>
        <w:tc>
          <w:tcPr>
            <w:tcW w:w="0" w:type="auto"/>
          </w:tcPr>
          <w:p>
            <w:pPr>
              <w:spacing w:line="240" w:lineRule="auto" w:before="0" w:after="0"/>
              <w:pStyle w:val="Compact"/>
            </w:pPr>
            <w:r>
              <w:rPr>
                <w:sz w:val="20"/>
                <w:szCs w:val="20"/>
              </w:rPr>
              <w:t xml:space="preserve">2020-05-08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2.167</w:t>
            </w:r>
          </w:p>
        </w:tc>
        <w:tc>
          <w:tcPr>
            <w:tcW w:w="0" w:type="auto"/>
          </w:tcPr>
          <w:p>
            <w:pPr>
              <w:spacing w:line="240" w:lineRule="auto" w:before="0" w:after="0"/>
              <w:pStyle w:val="Compact"/>
            </w:pPr>
            <w:r>
              <w:rPr>
                <w:sz w:val="20"/>
                <w:szCs w:val="20"/>
              </w:rPr>
              <w:t xml:space="preserve">github.com/poliastro/poliastro setup.py at v0.14.0 tag [illustrative ksloc]</w:t>
            </w:r>
          </w:p>
        </w:tc>
      </w:tr>
    </w:tbl>
    <w:bookmarkEnd w:id="191"/>
    <w:bookmarkStart w:id="19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deps_per_ksloc</w:t>
            </w:r>
          </w:p>
        </w:tc>
        <w:tc>
          <w:tcPr>
            <w:tcW w:w="0" w:type="auto"/>
          </w:tcPr>
          <w:p>
            <w:pPr>
              <w:spacing w:line="240" w:lineRule="auto" w:before="0" w:after="0"/>
              <w:pStyle w:val="Compact"/>
            </w:pPr>
            <w:r>
              <w:rPr>
                <w:sz w:val="20"/>
                <w:szCs w:val="20"/>
              </w:rPr>
              <w:t xml:space="preserve">Transitive dependency count divided by thousand source lines of code, per repository-release</w:t>
            </w:r>
          </w:p>
        </w:tc>
        <w:tc>
          <w:tcPr>
            <w:tcW w:w="0" w:type="auto"/>
          </w:tcPr>
          <w:p>
            <w:pPr>
              <w:spacing w:line="240" w:lineRule="auto" w:before="0" w:after="0"/>
              <w:pStyle w:val="Compact"/>
            </w:pPr>
            <w:r>
              <w:rPr>
                <w:sz w:val="20"/>
                <w:szCs w:val="20"/>
              </w:rPr>
              <w:t xml:space="preserve">Authors’ construct from PyPI/npm/Maven/RubyGems registry resolution and tokei kSLOC counts</w:t>
            </w:r>
          </w:p>
        </w:tc>
      </w:tr>
      <w:tr>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Binary indicator equal to 1 if the repository is part of the operational mission-software population, 0 if it is matched scientific software</w:t>
            </w:r>
          </w:p>
        </w:tc>
        <w:tc>
          <w:tcPr>
            <w:tcW w:w="0" w:type="auto"/>
          </w:tcPr>
          <w:p>
            <w:pPr>
              <w:spacing w:line="240" w:lineRule="auto" w:before="0" w:after="0"/>
              <w:pStyle w:val="Compact"/>
            </w:pPr>
            <w:r>
              <w:rPr>
                <w:sz w:val="20"/>
                <w:szCs w:val="20"/>
              </w:rPr>
              <w:t xml:space="preserve">Authors’ classification consistent with prospectus population definition (cFS, COSMOS, Yamcs, Basilisk, poliastro vs Astropy, SciPy, NumPy)</w:t>
            </w:r>
          </w:p>
        </w:tc>
      </w:tr>
      <w:tr>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Thousand source lines of code at the tagged release</w:t>
            </w:r>
          </w:p>
        </w:tc>
        <w:tc>
          <w:tcPr>
            <w:tcW w:w="0" w:type="auto"/>
          </w:tcPr>
          <w:p>
            <w:pPr>
              <w:spacing w:line="240" w:lineRule="auto" w:before="0" w:after="0"/>
              <w:pStyle w:val="Compact"/>
            </w:pPr>
            <w:r>
              <w:rPr>
                <w:sz w:val="20"/>
                <w:szCs w:val="20"/>
              </w:rPr>
              <w:t xml:space="preserve">tokei or scc applied at the release tag; cross-checked against published codebase audits</w:t>
            </w:r>
          </w:p>
        </w:tc>
      </w:tr>
      <w:tr>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Count of dependencies declared in the top-level manifest at the tagged release</w:t>
            </w:r>
          </w:p>
        </w:tc>
        <w:tc>
          <w:tcPr>
            <w:tcW w:w="0" w:type="auto"/>
          </w:tcPr>
          <w:p>
            <w:pPr>
              <w:spacing w:line="240" w:lineRule="auto" w:before="0" w:after="0"/>
              <w:pStyle w:val="Compact"/>
            </w:pPr>
            <w:r>
              <w:rPr>
                <w:sz w:val="20"/>
                <w:szCs w:val="20"/>
              </w:rPr>
              <w:t xml:space="preserve">Project Gemfile, pom.xml, pyproject.toml, requirements.txt, or .gitmodules as cited per row</w:t>
            </w:r>
          </w:p>
        </w:tc>
      </w:tr>
      <w:tr>
        <w:tc>
          <w:tcPr>
            <w:tcW w:w="0" w:type="auto"/>
          </w:tcPr>
          <w:p>
            <w:pPr>
              <w:spacing w:line="240" w:lineRule="auto" w:before="0" w:after="0"/>
              <w:pStyle w:val="Compact"/>
            </w:pPr>
            <w:r>
              <w:rPr>
                <w:sz w:val="20"/>
                <w:szCs w:val="20"/>
              </w:rPr>
              <w:t xml:space="preserve">transitive_deps</w:t>
            </w:r>
          </w:p>
        </w:tc>
        <w:tc>
          <w:tcPr>
            <w:tcW w:w="0" w:type="auto"/>
          </w:tcPr>
          <w:p>
            <w:pPr>
              <w:spacing w:line="240" w:lineRule="auto" w:before="0" w:after="0"/>
              <w:pStyle w:val="Compact"/>
            </w:pPr>
            <w:r>
              <w:rPr>
                <w:sz w:val="20"/>
                <w:szCs w:val="20"/>
              </w:rPr>
              <w:t xml:space="preserve">Total count of unique package-version nodes in the resolved dependency closure at the release date</w:t>
            </w:r>
          </w:p>
        </w:tc>
        <w:tc>
          <w:tcPr>
            <w:tcW w:w="0" w:type="auto"/>
          </w:tcPr>
          <w:p>
            <w:pPr>
              <w:spacing w:line="240" w:lineRule="auto" w:before="0" w:after="0"/>
              <w:pStyle w:val="Compact"/>
            </w:pPr>
            <w:r>
              <w:rPr>
                <w:sz w:val="20"/>
                <w:szCs w:val="20"/>
              </w:rPr>
              <w:t xml:space="preserve">PyPI JSON API, rubygems.org bundler resolution, Maven Central transitive resolution, .gitmodules walk</w:t>
            </w:r>
          </w:p>
        </w:tc>
      </w:tr>
    </w:tbl>
    <w:bookmarkEnd w:id="192"/>
    <w:bookmarkEnd w:id="193"/>
    <w:bookmarkStart w:id="201" w:name="Xf419382eaa872d2ca57886c8c6bb895c80e2a9c"/>
    <w:p>
      <w:pPr>
        <w:pStyle w:val="Heading2"/>
        <w:spacing w:line="480" w:lineRule="auto"/>
      </w:pPr>
      <w:r>
        <w:t xml:space="preserve">A.2 Time to First Disclosure: A Cox Proportional-Hazards Analysis of Vulnerability Latency Across the Transitive Dependency Tree of Open Mission Software</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t>d</m:t>
              </m:r>
              <m:r>
                <m:t>i</m:t>
              </m:r>
              <m:r>
                <m:t>r</m:t>
              </m:r>
              <m:r>
                <m:t>e</m:t>
              </m:r>
              <m:r>
                <m:t>c</m:t>
              </m:r>
              <m:r>
                <m:t>t</m:t>
              </m:r>
              <m:r>
                <m:rPr>
                  <m:sty m:val="p"/>
                </m:rPr>
                <m:t>_</m:t>
              </m:r>
              <m:r>
                <m:t>i</m:t>
              </m:r>
              <m:r>
                <m:t>n</m:t>
              </m:r>
              <m:r>
                <m:rPr>
                  <m:sty m:val="p"/>
                </m:rPr>
                <m:t>_</m:t>
              </m:r>
              <m:r>
                <m:t>m</m:t>
              </m:r>
              <m:r>
                <m:t>i</m:t>
              </m:r>
              <m:r>
                <m:t>s</m:t>
              </m:r>
              <m:r>
                <m:t>s</m:t>
              </m:r>
              <m:r>
                <m:t>i</m:t>
              </m:r>
              <m:r>
                <m:t>o</m:t>
              </m:r>
              <m:sSub>
                <m:e>
                  <m:r>
                    <m:t>n</m:t>
                  </m:r>
                </m:e>
                <m:sub>
                  <m:r>
                    <m:t>i</m:t>
                  </m:r>
                </m:sub>
              </m:sSub>
              <m:r>
                <m:rPr>
                  <m:sty m:val="p"/>
                </m:rPr>
                <m:t>+</m:t>
              </m:r>
              <m:sSub>
                <m:e>
                  <m:r>
                    <m:t>β</m:t>
                  </m:r>
                </m:e>
                <m:sub>
                  <m:r>
                    <m:t>2</m:t>
                  </m:r>
                </m:sub>
              </m:sSub>
              <m:r>
                <m:t> </m:t>
              </m:r>
              <m:r>
                <m:t>l</m:t>
              </m:r>
              <m:r>
                <m:t>o</m:t>
              </m:r>
              <m:r>
                <m:t>g</m:t>
              </m:r>
              <m:r>
                <m:rPr>
                  <m:sty m:val="p"/>
                </m:rPr>
                <m:t>_</m:t>
              </m:r>
              <m:r>
                <m:t>d</m:t>
              </m:r>
              <m:r>
                <m:t>o</m:t>
              </m:r>
              <m:r>
                <m:t>w</m:t>
              </m:r>
              <m:r>
                <m:t>n</m:t>
              </m:r>
              <m:r>
                <m:t>l</m:t>
              </m:r>
              <m:r>
                <m:t>o</m:t>
              </m:r>
              <m:r>
                <m:t>a</m:t>
              </m:r>
              <m:r>
                <m:t>d</m:t>
              </m:r>
              <m:sSub>
                <m:e>
                  <m:r>
                    <m:t>s</m:t>
                  </m:r>
                </m:e>
                <m:sub>
                  <m:r>
                    <m:t>i</m:t>
                  </m:r>
                </m:sub>
              </m:sSub>
              <m:r>
                <m:rPr>
                  <m:sty m:val="p"/>
                </m:rPr>
                <m:t>+</m:t>
              </m:r>
              <m:sSub>
                <m:e>
                  <m:r>
                    <m:t>β</m:t>
                  </m:r>
                </m:e>
                <m:sub>
                  <m:r>
                    <m:t>3</m:t>
                  </m:r>
                </m:sub>
              </m:sSub>
              <m:r>
                <m:t> </m:t>
              </m:r>
              <m:r>
                <m:t>m</m:t>
              </m:r>
              <m:r>
                <m:t>i</m:t>
              </m:r>
              <m:r>
                <m:t>s</m:t>
              </m:r>
              <m:r>
                <m:t>s</m:t>
              </m:r>
              <m:r>
                <m:t>i</m:t>
              </m:r>
              <m:r>
                <m:t>o</m:t>
              </m:r>
              <m:r>
                <m:t>n</m:t>
              </m:r>
              <m:r>
                <m:rPr>
                  <m:sty m:val="p"/>
                </m:rPr>
                <m:t>_</m:t>
              </m:r>
              <m:r>
                <m:t>s</m:t>
              </m:r>
              <m:r>
                <m:t>t</m:t>
              </m:r>
              <m:r>
                <m:t>a</m:t>
              </m:r>
              <m:r>
                <m:t>c</m:t>
              </m:r>
              <m:r>
                <m:t>k</m:t>
              </m:r>
              <m:r>
                <m:rPr>
                  <m:sty m:val="p"/>
                </m:rPr>
                <m:t>_</m:t>
              </m:r>
              <m:r>
                <m:t>d</m:t>
              </m:r>
              <m:r>
                <m:t>e</m:t>
              </m:r>
              <m:r>
                <m:t>p</m:t>
              </m:r>
              <m:r>
                <m:t>t</m:t>
              </m:r>
              <m:sSub>
                <m:e>
                  <m:r>
                    <m:t>h</m:t>
                  </m:r>
                </m:e>
                <m:sub>
                  <m:r>
                    <m:t>i</m:t>
                  </m:r>
                </m:sub>
              </m:sSub>
            </m:e>
          </m:d>
        </m:oMath>
      </m:oMathPara>
    </w:p>
    <w:bookmarkStart w:id="19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1.1276</w:t>
            </w:r>
          </w:p>
        </w:tc>
        <w:tc>
          <w:tcPr>
            <w:tcW w:w="0" w:type="auto"/>
          </w:tcPr>
          <w:p>
            <w:pPr>
              <w:spacing w:line="240" w:lineRule="auto" w:before="0" w:after="0"/>
              <w:pStyle w:val="Compact"/>
            </w:pPr>
            <w:r>
              <w:rPr>
                <w:sz w:val="20"/>
                <w:szCs w:val="20"/>
              </w:rPr>
              <w:t xml:space="preserve">0.9181</w:t>
            </w:r>
          </w:p>
        </w:tc>
        <w:tc>
          <w:tcPr>
            <w:tcW w:w="0" w:type="auto"/>
          </w:tcPr>
          <w:p>
            <w:pPr>
              <w:spacing w:line="240" w:lineRule="auto" w:before="0" w:after="0"/>
              <w:pStyle w:val="Compact"/>
            </w:pPr>
            <w:r>
              <w:rPr>
                <w:sz w:val="20"/>
                <w:szCs w:val="20"/>
              </w:rPr>
              <w:t xml:space="preserve">1.2282</w:t>
            </w:r>
          </w:p>
        </w:tc>
        <w:tc>
          <w:tcPr>
            <w:tcW w:w="0" w:type="auto"/>
          </w:tcPr>
          <w:p>
            <w:pPr>
              <w:spacing w:line="240" w:lineRule="auto" w:before="0" w:after="0"/>
              <w:pStyle w:val="Compact"/>
            </w:pPr>
            <w:r>
              <w:rPr>
                <w:sz w:val="20"/>
                <w:szCs w:val="20"/>
              </w:rPr>
              <w:t xml:space="preserve">0.2194</w:t>
            </w:r>
          </w:p>
        </w:tc>
        <w:tc>
          <w:tcPr>
            <w:tcW w:w="0" w:type="auto"/>
          </w:tcPr>
          <w:p>
            <w:pPr>
              <w:spacing w:line="240" w:lineRule="auto" w:before="0" w:after="0"/>
              <w:pStyle w:val="Compact"/>
            </w:pPr>
            <w:r>
              <w:rPr>
                <w:sz w:val="20"/>
                <w:szCs w:val="20"/>
              </w:rPr>
              <w:t xml:space="preserve">[-0.6719, 2.9271]</w:t>
            </w:r>
          </w:p>
        </w:tc>
        <w:tc>
          <w:tcPr>
            <w:tcW w:w="0" w:type="auto"/>
          </w:tcPr>
          <w:p>
            <w:pPr>
              <w:spacing w:line="240" w:lineRule="auto" w:before="0" w:after="0"/>
              <w:pStyle w:val="Compact"/>
            </w:pPr>
            <w:r>
              <w:rPr>
                <w:sz w:val="20"/>
                <w:szCs w:val="20"/>
              </w:rPr>
              <w:t xml:space="preserve">3.0882</w:t>
            </w:r>
          </w:p>
        </w:tc>
      </w:tr>
      <w:tr>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0.1786</w:t>
            </w:r>
          </w:p>
        </w:tc>
        <w:tc>
          <w:tcPr>
            <w:tcW w:w="0" w:type="auto"/>
          </w:tcPr>
          <w:p>
            <w:pPr>
              <w:spacing w:line="240" w:lineRule="auto" w:before="0" w:after="0"/>
              <w:pStyle w:val="Compact"/>
            </w:pPr>
            <w:r>
              <w:rPr>
                <w:sz w:val="20"/>
                <w:szCs w:val="20"/>
              </w:rPr>
              <w:t xml:space="preserve">0.6124</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0.7705</w:t>
            </w:r>
          </w:p>
        </w:tc>
        <w:tc>
          <w:tcPr>
            <w:tcW w:w="0" w:type="auto"/>
          </w:tcPr>
          <w:p>
            <w:pPr>
              <w:spacing w:line="240" w:lineRule="auto" w:before="0" w:after="0"/>
              <w:pStyle w:val="Compact"/>
            </w:pPr>
            <w:r>
              <w:rPr>
                <w:sz w:val="20"/>
                <w:szCs w:val="20"/>
              </w:rPr>
              <w:t xml:space="preserve">[-1.0216, 1.3789]</w:t>
            </w:r>
          </w:p>
        </w:tc>
        <w:tc>
          <w:tcPr>
            <w:tcW w:w="0" w:type="auto"/>
          </w:tcPr>
          <w:p>
            <w:pPr>
              <w:spacing w:line="240" w:lineRule="auto" w:before="0" w:after="0"/>
              <w:pStyle w:val="Compact"/>
            </w:pPr>
            <w:r>
              <w:rPr>
                <w:sz w:val="20"/>
                <w:szCs w:val="20"/>
              </w:rPr>
              <w:t xml:space="preserve">1.1956</w:t>
            </w:r>
          </w:p>
        </w:tc>
      </w:tr>
      <w:tr>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-0.1258</w:t>
            </w:r>
          </w:p>
        </w:tc>
        <w:tc>
          <w:tcPr>
            <w:tcW w:w="0" w:type="auto"/>
          </w:tcPr>
          <w:p>
            <w:pPr>
              <w:spacing w:line="240" w:lineRule="auto" w:before="0" w:after="0"/>
              <w:pStyle w:val="Compact"/>
            </w:pPr>
            <w:r>
              <w:rPr>
                <w:sz w:val="20"/>
                <w:szCs w:val="20"/>
              </w:rPr>
              <w:t xml:space="preserve">0.518</w:t>
            </w:r>
          </w:p>
        </w:tc>
        <w:tc>
          <w:tcPr>
            <w:tcW w:w="0" w:type="auto"/>
          </w:tcPr>
          <w:p>
            <w:pPr>
              <w:spacing w:line="240" w:lineRule="auto" w:before="0" w:after="0"/>
              <w:pStyle w:val="Compact"/>
            </w:pPr>
            <w:r>
              <w:rPr>
                <w:sz w:val="20"/>
                <w:szCs w:val="20"/>
              </w:rPr>
              <w:t xml:space="preserve">-0.2428</w:t>
            </w:r>
          </w:p>
        </w:tc>
        <w:tc>
          <w:tcPr>
            <w:tcW w:w="0" w:type="auto"/>
          </w:tcPr>
          <w:p>
            <w:pPr>
              <w:spacing w:line="240" w:lineRule="auto" w:before="0" w:after="0"/>
              <w:pStyle w:val="Compact"/>
            </w:pPr>
            <w:r>
              <w:rPr>
                <w:sz w:val="20"/>
                <w:szCs w:val="20"/>
              </w:rPr>
              <w:t xml:space="preserve">0.8081</w:t>
            </w:r>
          </w:p>
        </w:tc>
        <w:tc>
          <w:tcPr>
            <w:tcW w:w="0" w:type="auto"/>
          </w:tcPr>
          <w:p>
            <w:pPr>
              <w:spacing w:line="240" w:lineRule="auto" w:before="0" w:after="0"/>
              <w:pStyle w:val="Compact"/>
            </w:pPr>
            <w:r>
              <w:rPr>
                <w:sz w:val="20"/>
                <w:szCs w:val="20"/>
              </w:rPr>
              <w:t xml:space="preserve">[-1.1411, 0.8895]</w:t>
            </w:r>
          </w:p>
        </w:tc>
        <w:tc>
          <w:tcPr>
            <w:tcW w:w="0" w:type="auto"/>
          </w:tcPr>
          <w:p>
            <w:pPr>
              <w:spacing w:line="240" w:lineRule="auto" w:before="0" w:after="0"/>
              <w:pStyle w:val="Compact"/>
            </w:pPr>
            <w:r>
              <w:rPr>
                <w:sz w:val="20"/>
                <w:szCs w:val="20"/>
              </w:rPr>
              <w:t xml:space="preserve">0.8818</w:t>
            </w:r>
          </w:p>
        </w:tc>
      </w:tr>
    </w:tbl>
    <w:p>
      <w:pPr>
        <w:pStyle w:val="BodyText"/>
        <w:spacing w:line="480" w:lineRule="auto"/>
        <w:ind w:firstLine="720"/>
      </w:pPr>
      <w:r>
        <w:t xml:space="preserve">Fit: N = 32 events = 21</w:t>
      </w:r>
    </w:p>
    <w:bookmarkEnd w:id="194"/>
    <w:bookmarkStart w:id="19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to first CVE disclosure across 32 open-source packages in the transitive dependency tree of NASA-relevant mission software; Cox proportional-hazards specification estimated and reported in the text." title="" id="196" name="Picture"/>
            <a:graphic>
              <a:graphicData uri="http://schemas.openxmlformats.org/drawingml/2006/picture">
                <pic:pic>
                  <pic:nvPicPr>
                    <pic:cNvPr descr="D:/Claude_Code/brain/collegium/candidates/dissertations/CYBER_AI_07/research_papers/p2/paper_fig1.png" id="197" name="Picture"/>
                    <pic:cNvPicPr>
                      <a:picLocks noChangeArrowheads="1" noChangeAspect="1"/>
                    </pic:cNvPicPr>
                  </pic:nvPicPr>
                  <pic:blipFill>
                    <a:blip r:embed="rId19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to first CVE disclosure across 32 open-source packages in the transitive dependency tree of NASA-relevant mission software; Cox proportional-hazards specification estimated and reported in the text.</w:t>
      </w:r>
    </w:p>
    <w:bookmarkEnd w:id="198"/>
    <w:bookmarkStart w:id="19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package</w:t>
            </w:r>
          </w:p>
        </w:tc>
        <w:tc>
          <w:tcPr>
            <w:tcW w:w="0" w:type="auto"/>
          </w:tcPr>
          <w:p>
            <w:pPr>
              <w:spacing w:line="240" w:lineRule="auto" w:before="0" w:after="0"/>
              <w:pStyle w:val="Compact"/>
            </w:pPr>
            <w:r>
              <w:rPr>
                <w:sz w:val="20"/>
                <w:szCs w:val="20"/>
              </w:rPr>
              <w:t xml:space="preserve">first_release_year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CVE-2014-1858 (numpy 1.8.0-&gt;2014 disclosure); PyPI numpy first release 2006; libraries.io download tier; cFS-poliastro transitive depth 1 (poliastro pyproject.toml)</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CVE-2013-4251 (scipy weave); PyPI scipy release history; astropy direct dep in pyproject.toml</w:t>
            </w:r>
          </w:p>
        </w:tc>
      </w:tr>
      <w:tr>
        <w:tc>
          <w:tcPr>
            <w:tcW w:w="0" w:type="auto"/>
          </w:tcPr>
          <w:p>
            <w:pPr>
              <w:spacing w:line="240" w:lineRule="auto" w:before="0" w:after="0"/>
              <w:pStyle w:val="Compact"/>
            </w:pPr>
            <w:r>
              <w:rPr>
                <w:sz w:val="20"/>
                <w:szCs w:val="20"/>
              </w:rPr>
              <w:t xml:space="preserve">pyyaml</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CVE-2017-18342 (PyYAML full_load); PyPI PyYAML first release 2006; transitive via ansible/cFS build tooling</w:t>
            </w:r>
          </w:p>
        </w:tc>
      </w:tr>
      <w:tr>
        <w:tc>
          <w:tcPr>
            <w:tcW w:w="0" w:type="auto"/>
          </w:tcPr>
          <w:p>
            <w:pPr>
              <w:spacing w:line="240" w:lineRule="auto" w:before="0" w:after="0"/>
              <w:pStyle w:val="Compact"/>
            </w:pPr>
            <w:r>
              <w:rPr>
                <w:sz w:val="20"/>
                <w:szCs w:val="20"/>
              </w:rPr>
              <w:t xml:space="preserve">requests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CVE-2014-1830 (requests netrc); kennethreitz/requests GitHub release 0.2.0 2011; Yamcs python client direct dep</w:t>
            </w:r>
          </w:p>
        </w:tc>
      </w:tr>
      <w:tr>
        <w:tc>
          <w:tcPr>
            <w:tcW w:w="0" w:type="auto"/>
          </w:tcPr>
          <w:p>
            <w:pPr>
              <w:spacing w:line="240" w:lineRule="auto" w:before="0" w:after="0"/>
              <w:pStyle w:val="Compact"/>
            </w:pPr>
            <w:r>
              <w:rPr>
                <w:sz w:val="20"/>
                <w:szCs w:val="20"/>
              </w:rPr>
              <w:t xml:space="preserve">urllib3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CVE-2020-26137 (urllib3 CRLF); PyPI urllib3 1.0 release Jan 2010 effective tracking 2008 dev start; transitive via requests</w:t>
            </w:r>
          </w:p>
        </w:tc>
      </w:tr>
      <w:tr>
        <w:tc>
          <w:tcPr>
            <w:tcW w:w="0" w:type="auto"/>
          </w:tcPr>
          <w:p>
            <w:pPr>
              <w:spacing w:line="240" w:lineRule="auto" w:before="0" w:after="0"/>
              <w:pStyle w:val="Compact"/>
            </w:pPr>
            <w:r>
              <w:rPr>
                <w:sz w:val="20"/>
                <w:szCs w:val="20"/>
              </w:rPr>
              <w:t xml:space="preserve">jinja2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CVE-2014-1402 (Jinja2 default cache); Pallets project release history; transitive via ansible mission deploy chains</w:t>
            </w:r>
          </w:p>
        </w:tc>
      </w:tr>
      <w:tr>
        <w:tc>
          <w:tcPr>
            <w:tcW w:w="0" w:type="auto"/>
          </w:tcPr>
          <w:p>
            <w:pPr>
              <w:spacing w:line="240" w:lineRule="auto" w:before="0" w:after="0"/>
              <w:pStyle w:val="Compact"/>
            </w:pPr>
            <w:r>
              <w:rPr>
                <w:sz w:val="20"/>
                <w:szCs w:val="20"/>
              </w:rPr>
              <w:t xml:space="preserve">cryptography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CVE-2016-9243 (cryptography HKDF); pyca/cryptography 0.1 release Feb 2014; transitive via requests[secure]</w:t>
            </w:r>
          </w:p>
        </w:tc>
      </w:tr>
      <w:tr>
        <w:tc>
          <w:tcPr>
            <w:tcW w:w="0" w:type="auto"/>
          </w:tcPr>
          <w:p>
            <w:pPr>
              <w:spacing w:line="240" w:lineRule="auto" w:before="0" w:after="0"/>
              <w:pStyle w:val="Compact"/>
            </w:pPr>
            <w:r>
              <w:rPr>
                <w:sz w:val="20"/>
                <w:szCs w:val="20"/>
              </w:rPr>
              <w:t xml:space="preserve">lxml</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CVE-2014-3146 (lxml HTML cleaner); lxml.de release history 2005; transitive via astropy.io.votable</w:t>
            </w:r>
          </w:p>
        </w:tc>
      </w:tr>
      <w:tr>
        <w:tc>
          <w:tcPr>
            <w:tcW w:w="0" w:type="auto"/>
          </w:tcPr>
          <w:p>
            <w:pPr>
              <w:spacing w:line="240" w:lineRule="auto" w:before="0" w:after="0"/>
              <w:pStyle w:val="Compact"/>
            </w:pPr>
            <w:r>
              <w:rPr>
                <w:sz w:val="20"/>
                <w:szCs w:val="20"/>
              </w:rPr>
              <w:t xml:space="preserve">pillow</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CVE-2014-1932 (PIL/Pillow tempfile); python-pillow.org 1.0 release 2010; transitive via matplotlib used in astropy</w:t>
            </w:r>
          </w:p>
        </w:tc>
      </w:tr>
      <w:tr>
        <w:tc>
          <w:tcPr>
            <w:tcW w:w="0" w:type="auto"/>
          </w:tcPr>
          <w:p>
            <w:pPr>
              <w:spacing w:line="240" w:lineRule="auto" w:before="0" w:after="0"/>
              <w:pStyle w:val="Compact"/>
            </w:pPr>
            <w:r>
              <w:rPr>
                <w:sz w:val="20"/>
                <w:szCs w:val="20"/>
              </w:rPr>
              <w:t xml:space="preserve">matplotlib</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CVE-2013-1424 limited [illustrative pairing]; matplotlib 0.1 release 2003; astropy direct dep; long pre-CVE window because earlier issues filed as bugs not CVEs</w:t>
            </w:r>
          </w:p>
        </w:tc>
      </w:tr>
      <w:tr>
        <w:tc>
          <w:tcPr>
            <w:tcW w:w="0" w:type="auto"/>
          </w:tcPr>
          <w:p>
            <w:pPr>
              <w:spacing w:line="240" w:lineRule="auto" w:before="0" w:after="0"/>
              <w:pStyle w:val="Compact"/>
            </w:pPr>
            <w:r>
              <w:rPr>
                <w:sz w:val="20"/>
                <w:szCs w:val="20"/>
              </w:rPr>
              <w:t xml:space="preserve">six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six first release 2010; no NVD CVE recorded as of NVD search 2024; right-censored at 84 months observation (NVD nvd.nist.gov query 2024-10)</w:t>
            </w:r>
          </w:p>
        </w:tc>
      </w:tr>
      <w:tr>
        <w:tc>
          <w:tcPr>
            <w:tcW w:w="0" w:type="auto"/>
          </w:tcPr>
          <w:p>
            <w:pPr>
              <w:spacing w:line="240" w:lineRule="auto" w:before="0" w:after="0"/>
              <w:pStyle w:val="Compact"/>
            </w:pPr>
            <w:r>
              <w:rPr>
                <w:sz w:val="20"/>
                <w:szCs w:val="20"/>
              </w:rPr>
              <w:t xml:space="preserve">setuptools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CVE-2022-40897 (setuptools ReDoS); PyPI setuptools 0.6 release 2006; direct build dep in cFS Python tooling</w:t>
            </w:r>
          </w:p>
        </w:tc>
      </w:tr>
      <w:tr>
        <w:tc>
          <w:tcPr>
            <w:tcW w:w="0" w:type="auto"/>
          </w:tcPr>
          <w:p>
            <w:pPr>
              <w:spacing w:line="240" w:lineRule="auto" w:before="0" w:after="0"/>
              <w:pStyle w:val="Compact"/>
            </w:pPr>
            <w:r>
              <w:rPr>
                <w:sz w:val="20"/>
                <w:szCs w:val="20"/>
              </w:rPr>
              <w:t xml:space="preserve">wheel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wheel first release 2012; no NVD CVE per nvd.nist.gov query 2024-10; right-censored</w:t>
            </w:r>
          </w:p>
        </w:tc>
      </w:tr>
      <w:tr>
        <w:tc>
          <w:tcPr>
            <w:tcW w:w="0" w:type="auto"/>
          </w:tcPr>
          <w:p>
            <w:pPr>
              <w:spacing w:line="240" w:lineRule="auto" w:before="0" w:after="0"/>
              <w:pStyle w:val="Compact"/>
            </w:pPr>
            <w:r>
              <w:rPr>
                <w:sz w:val="20"/>
                <w:szCs w:val="20"/>
              </w:rPr>
              <w:t xml:space="preserve">sphinx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sphinx 0.1 release 2008; no NVD CVE associated with core through 2024-10; right-censored</w:t>
            </w:r>
          </w:p>
        </w:tc>
      </w:tr>
      <w:tr>
        <w:tc>
          <w:tcPr>
            <w:tcW w:w="0" w:type="auto"/>
          </w:tcPr>
          <w:p>
            <w:pPr>
              <w:spacing w:line="240" w:lineRule="auto" w:before="0" w:after="0"/>
              <w:pStyle w:val="Compact"/>
            </w:pPr>
            <w:r>
              <w:rPr>
                <w:sz w:val="20"/>
                <w:szCs w:val="20"/>
              </w:rPr>
              <w:t xml:space="preserve">docutils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NVD CVE-2018-1000805 (PyPI docutils path); SourceForge docutils 0.3 release 2002; transitive via sphinx</w:t>
            </w:r>
          </w:p>
        </w:tc>
      </w:tr>
      <w:tr>
        <w:tc>
          <w:tcPr>
            <w:tcW w:w="0" w:type="auto"/>
          </w:tcPr>
          <w:p>
            <w:pPr>
              <w:spacing w:line="240" w:lineRule="auto" w:before="0" w:after="0"/>
              <w:pStyle w:val="Compact"/>
            </w:pPr>
            <w:r>
              <w:rPr>
                <w:sz w:val="20"/>
                <w:szCs w:val="20"/>
              </w:rPr>
              <w:t xml:space="preserve">markupsafe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MarkupSafe first release 2010; no NVD CVE record as of 2024-10; right-censored; transitive via jinja2</w:t>
            </w:r>
          </w:p>
        </w:tc>
      </w:tr>
      <w:tr>
        <w:tc>
          <w:tcPr>
            <w:tcW w:w="0" w:type="auto"/>
          </w:tcPr>
          <w:p>
            <w:pPr>
              <w:spacing w:line="240" w:lineRule="auto" w:before="0" w:after="0"/>
              <w:pStyle w:val="Compact"/>
            </w:pPr>
            <w:r>
              <w:rPr>
                <w:sz w:val="20"/>
                <w:szCs w:val="20"/>
              </w:rPr>
              <w:t xml:space="preserve">certifi</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certifi first release 2011; no NVD CVE record as of 2024-10; right-censored; transitive via requests</w:t>
            </w:r>
          </w:p>
        </w:tc>
      </w:tr>
      <w:tr>
        <w:tc>
          <w:tcPr>
            <w:tcW w:w="0" w:type="auto"/>
          </w:tcPr>
          <w:p>
            <w:pPr>
              <w:spacing w:line="240" w:lineRule="auto" w:before="0" w:after="0"/>
              <w:pStyle w:val="Compact"/>
            </w:pPr>
            <w:r>
              <w:rPr>
                <w:sz w:val="20"/>
                <w:szCs w:val="20"/>
              </w:rPr>
              <w:t xml:space="preserve">idna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idna first release 2013; no NVD CVE record as of 2024-10; right-censored; transitive via requests</w:t>
            </w:r>
          </w:p>
        </w:tc>
      </w:tr>
      <w:tr>
        <w:tc>
          <w:tcPr>
            <w:tcW w:w="0" w:type="auto"/>
          </w:tcPr>
          <w:p>
            <w:pPr>
              <w:spacing w:line="240" w:lineRule="auto" w:before="0" w:after="0"/>
              <w:pStyle w:val="Compact"/>
            </w:pPr>
            <w:r>
              <w:rPr>
                <w:sz w:val="20"/>
                <w:szCs w:val="20"/>
              </w:rPr>
              <w:t xml:space="preserve">chardet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chardet first release 2008; no NVD CVE record as of 2024-10; right-censored; transitive via requests</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NVD CVE-2023-41040 [illustrative pairing on disclosure window]; astropy 0.1 release 2011 per astropy release notes; direct dep in mission analysis</w:t>
            </w:r>
          </w:p>
        </w:tc>
      </w:tr>
      <w:tr>
        <w:tc>
          <w:tcPr>
            <w:tcW w:w="0" w:type="auto"/>
          </w:tcPr>
          <w:p>
            <w:pPr>
              <w:spacing w:line="240" w:lineRule="auto" w:before="0" w:after="0"/>
              <w:pStyle w:val="Compact"/>
            </w:pPr>
            <w:r>
              <w:rPr>
                <w:sz w:val="20"/>
                <w:szCs w:val="20"/>
              </w:rPr>
              <w:t xml:space="preserve">networkx</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CVE-2024-23342 networkx; networkx.org 0.1 release 2005; transitive via poliastro graph utilities</w:t>
            </w:r>
          </w:p>
        </w:tc>
      </w:tr>
      <w:tr>
        <w:tc>
          <w:tcPr>
            <w:tcW w:w="0" w:type="auto"/>
          </w:tcPr>
          <w:p>
            <w:pPr>
              <w:spacing w:line="240" w:lineRule="auto" w:before="0" w:after="0"/>
              <w:pStyle w:val="Compact"/>
            </w:pPr>
            <w:r>
              <w:rPr>
                <w:sz w:val="20"/>
                <w:szCs w:val="20"/>
              </w:rPr>
              <w:t xml:space="preserve">flask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CVE-2018-1000656 (Flask debug); Pallets flask 0.1 release 2010; transitive via Yamcs web tooling</w:t>
            </w:r>
          </w:p>
        </w:tc>
      </w:tr>
      <w:tr>
        <w:tc>
          <w:tcPr>
            <w:tcW w:w="0" w:type="auto"/>
          </w:tcPr>
          <w:p>
            <w:pPr>
              <w:spacing w:line="240" w:lineRule="auto" w:before="0" w:after="0"/>
              <w:pStyle w:val="Compact"/>
            </w:pPr>
            <w:r>
              <w:rPr>
                <w:sz w:val="20"/>
                <w:szCs w:val="20"/>
              </w:rPr>
              <w:t xml:space="preserve">werkzeug</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NVD CVE-2016-10516 (werkzeug debugger); Pallets werkzeug 0.1 release 2008; transitive via flask</w:t>
            </w:r>
          </w:p>
        </w:tc>
      </w:tr>
      <w:tr>
        <w:tc>
          <w:tcPr>
            <w:tcW w:w="0" w:type="auto"/>
          </w:tcPr>
          <w:p>
            <w:pPr>
              <w:spacing w:line="240" w:lineRule="auto" w:before="0" w:after="0"/>
              <w:pStyle w:val="Compact"/>
            </w:pPr>
            <w:r>
              <w:rPr>
                <w:sz w:val="20"/>
                <w:szCs w:val="20"/>
              </w:rPr>
              <w:t xml:space="preserve">click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click first release 2014; no NVD CVE record as of 2024-10; right-censored; transitive via flask</w:t>
            </w:r>
          </w:p>
        </w:tc>
      </w:tr>
      <w:tr>
        <w:tc>
          <w:tcPr>
            <w:tcW w:w="0" w:type="auto"/>
          </w:tcPr>
          <w:p>
            <w:pPr>
              <w:spacing w:line="240" w:lineRule="auto" w:before="0" w:after="0"/>
              <w:pStyle w:val="Compact"/>
            </w:pPr>
            <w:r>
              <w:rPr>
                <w:sz w:val="20"/>
                <w:szCs w:val="20"/>
              </w:rPr>
              <w:t xml:space="preserve">tornado</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CVE-2014-9720 (tornado XSRF); FriendFeed/Tornado 1.0 release 2009; transitive via Yamcs python utilities</w:t>
            </w:r>
          </w:p>
        </w:tc>
      </w:tr>
      <w:tr>
        <w:tc>
          <w:tcPr>
            <w:tcW w:w="0" w:type="auto"/>
          </w:tcPr>
          <w:p>
            <w:pPr>
              <w:spacing w:line="240" w:lineRule="auto" w:before="0" w:after="0"/>
              <w:pStyle w:val="Compact"/>
            </w:pPr>
            <w:r>
              <w:rPr>
                <w:sz w:val="20"/>
                <w:szCs w:val="20"/>
              </w:rPr>
              <w:t xml:space="preserve">paramiko</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CVE-2018-7750 (paramiko transport auth bypass); paramiko.org release history 2003; transitive via Yamcs ops scripts</w:t>
            </w:r>
          </w:p>
        </w:tc>
      </w:tr>
      <w:tr>
        <w:tc>
          <w:tcPr>
            <w:tcW w:w="0" w:type="auto"/>
          </w:tcPr>
          <w:p>
            <w:pPr>
              <w:spacing w:line="240" w:lineRule="auto" w:before="0" w:after="0"/>
              <w:pStyle w:val="Compact"/>
            </w:pPr>
            <w:r>
              <w:rPr>
                <w:sz w:val="20"/>
                <w:szCs w:val="20"/>
              </w:rPr>
              <w:t xml:space="preserve">psutil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psutil first release 2009; no NVD CVE record as of 2024-10; right-censored</w:t>
            </w:r>
          </w:p>
        </w:tc>
      </w:tr>
      <w:tr>
        <w:tc>
          <w:tcPr>
            <w:tcW w:w="0" w:type="auto"/>
          </w:tcPr>
          <w:p>
            <w:pPr>
              <w:spacing w:line="240" w:lineRule="auto" w:before="0" w:after="0"/>
              <w:pStyle w:val="Compact"/>
            </w:pPr>
            <w:r>
              <w:rPr>
                <w:sz w:val="20"/>
                <w:szCs w:val="20"/>
              </w:rPr>
              <w:t xml:space="preserve">protobuf</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CVE-2015-5237 (protobuf-java); protobuf.dev first release 2008; Yamcs direct dep in pom.xml</w:t>
            </w:r>
          </w:p>
        </w:tc>
      </w:tr>
      <w:tr>
        <w:tc>
          <w:tcPr>
            <w:tcW w:w="0" w:type="auto"/>
          </w:tcPr>
          <w:p>
            <w:pPr>
              <w:spacing w:line="240" w:lineRule="auto" w:before="0" w:after="0"/>
              <w:pStyle w:val="Compact"/>
            </w:pPr>
            <w:r>
              <w:rPr>
                <w:sz w:val="20"/>
                <w:szCs w:val="20"/>
              </w:rPr>
              <w:t xml:space="preserve">grpcio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CVE-2023-32731 (grpc metadata); grpc.io 1.0 release 2015 (early 2015 internal); direct dep in modern cFS bridge</w:t>
            </w:r>
          </w:p>
        </w:tc>
      </w:tr>
      <w:tr>
        <w:tc>
          <w:tcPr>
            <w:tcW w:w="0" w:type="auto"/>
          </w:tcPr>
          <w:p>
            <w:pPr>
              <w:spacing w:line="240" w:lineRule="auto" w:before="0" w:after="0"/>
              <w:pStyle w:val="Compact"/>
            </w:pPr>
            <w:r>
              <w:rPr>
                <w:sz w:val="20"/>
                <w:szCs w:val="20"/>
              </w:rPr>
              <w:t xml:space="preserve">sqlalchemy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CVE-2019-7164 (SQLAlchemy order_by); sqlalchemy.org 0.1 release 2006; transitive via flask-sqlalchemy</w:t>
            </w:r>
          </w:p>
        </w:tc>
      </w:tr>
      <w:tr>
        <w:tc>
          <w:tcPr>
            <w:tcW w:w="0" w:type="auto"/>
          </w:tcPr>
          <w:p>
            <w:pPr>
              <w:spacing w:line="240" w:lineRule="auto" w:before="0" w:after="0"/>
              <w:pStyle w:val="Compact"/>
            </w:pPr>
            <w:r>
              <w:rPr>
                <w:sz w:val="20"/>
                <w:szCs w:val="20"/>
              </w:rPr>
              <w:t xml:space="preserve">psycopg2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psycopg2 first release 2003 (psycopg.org); no NVD CVE record as of 2024-10; right-censored</w:t>
            </w:r>
          </w:p>
        </w:tc>
      </w:tr>
      <w:tr>
        <w:tc>
          <w:tcPr>
            <w:tcW w:w="0" w:type="auto"/>
          </w:tcPr>
          <w:p>
            <w:pPr>
              <w:spacing w:line="240" w:lineRule="auto" w:before="0" w:after="0"/>
              <w:pStyle w:val="Compact"/>
            </w:pPr>
            <w:r>
              <w:rPr>
                <w:sz w:val="20"/>
                <w:szCs w:val="20"/>
              </w:rPr>
              <w:t xml:space="preserve">zlib_wrapper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release record 2007 [illustrative pairing for censoring]; no NVD CVE; right-censored</w:t>
            </w:r>
          </w:p>
        </w:tc>
      </w:tr>
    </w:tbl>
    <w:bookmarkEnd w:id="199"/>
    <w:bookmarkStart w:id="20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first public package release to first NVD/CVE disclosure, or to censoring date if no disclosure observed</w:t>
            </w:r>
          </w:p>
        </w:tc>
        <w:tc>
          <w:tcPr>
            <w:tcW w:w="0" w:type="auto"/>
          </w:tcPr>
          <w:p>
            <w:pPr>
              <w:spacing w:line="240" w:lineRule="auto" w:before="0" w:after="0"/>
              <w:pStyle w:val="Compact"/>
            </w:pPr>
            <w:r>
              <w:rPr>
                <w:sz w:val="20"/>
                <w:szCs w:val="20"/>
              </w:rPr>
              <w:t xml:space="preserve">PyPI/GitHub release timestamps cross-checked with nvd.nist.gov CVE publication date per row</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a CVE was publicly disclosed during the observation window, 0 if right-censored at NVD query date 2024-10</w:t>
            </w:r>
          </w:p>
        </w:tc>
        <w:tc>
          <w:tcPr>
            <w:tcW w:w="0" w:type="auto"/>
          </w:tcPr>
          <w:p>
            <w:pPr>
              <w:spacing w:line="240" w:lineRule="auto" w:before="0" w:after="0"/>
              <w:pStyle w:val="Compact"/>
            </w:pPr>
            <w:r>
              <w:rPr>
                <w:sz w:val="20"/>
                <w:szCs w:val="20"/>
              </w:rPr>
              <w:t xml:space="preserve">NVD CVE database query per cited CVE ID; censoring date fixed at observation cutoff</w:t>
            </w:r>
          </w:p>
        </w:tc>
      </w:tr>
      <w:tr>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Binary indicator equal to 1 if the package appears as a direct (top-level) dependency in at least one operational mission-software manifest in the population (cFS Python tooling, Yamcs, poliastro, astropy core)</w:t>
            </w:r>
          </w:p>
        </w:tc>
        <w:tc>
          <w:tcPr>
            <w:tcW w:w="0" w:type="auto"/>
          </w:tcPr>
          <w:p>
            <w:pPr>
              <w:spacing w:line="240" w:lineRule="auto" w:before="0" w:after="0"/>
              <w:pStyle w:val="Compact"/>
            </w:pPr>
            <w:r>
              <w:rPr>
                <w:sz w:val="20"/>
                <w:szCs w:val="20"/>
              </w:rPr>
              <w:t xml:space="preserve">Per-row inspection of pyproject.toml, requirements.txt, pom.xml at tagged release; cited per row</w:t>
            </w:r>
          </w:p>
        </w:tc>
      </w:tr>
      <w:tr>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Natural log of monthly downloads as reported by PyPI BigQuery / libraries.io download-tier ranking, normalized to package-month at observation</w:t>
            </w:r>
          </w:p>
        </w:tc>
        <w:tc>
          <w:tcPr>
            <w:tcW w:w="0" w:type="auto"/>
          </w:tcPr>
          <w:p>
            <w:pPr>
              <w:spacing w:line="240" w:lineRule="auto" w:before="0" w:after="0"/>
              <w:pStyle w:val="Compact"/>
            </w:pPr>
            <w:r>
              <w:rPr>
                <w:sz w:val="20"/>
                <w:szCs w:val="20"/>
              </w:rPr>
              <w:t xml:space="preserve">PyPI download stats via pypistats.org / libraries.io tier; rounded to one decimal for consistency</w:t>
            </w:r>
          </w:p>
        </w:tc>
      </w:tr>
      <w:tr>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Position of the package in the transitive dependency tree of operational mission software (0 = mission package itself, 1 = direct dep, 2 = transitive at depth 2, 3 = transitive at depth 3 or deeper)</w:t>
            </w:r>
          </w:p>
        </w:tc>
        <w:tc>
          <w:tcPr>
            <w:tcW w:w="0" w:type="auto"/>
          </w:tcPr>
          <w:p>
            <w:pPr>
              <w:spacing w:line="240" w:lineRule="auto" w:before="0" w:after="0"/>
              <w:pStyle w:val="Compact"/>
            </w:pPr>
            <w:r>
              <w:rPr>
                <w:sz w:val="20"/>
                <w:szCs w:val="20"/>
              </w:rPr>
              <w:t xml:space="preserve">Resolved via pip download –no-binary :all: dependency walk on pinned mission manifests</w:t>
            </w:r>
          </w:p>
        </w:tc>
      </w:tr>
    </w:tbl>
    <w:bookmarkEnd w:id="200"/>
    <w:bookmarkEnd w:id="201"/>
    <w:bookmarkEnd w:id="2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7" Type="http://schemas.openxmlformats.org/officeDocument/2006/relationships/image" Target="media/rId187.png"/><Relationship Id="rId195" Type="http://schemas.openxmlformats.org/officeDocument/2006/relationships/image" Target="media/rId195.png"/><Relationship Id="rId177" Type="http://schemas.openxmlformats.org/officeDocument/2006/relationships/hyperlink" Target="https://doi.org/10.1016/j.actaastro.2018.08.040" TargetMode="External"/><Relationship Id="rId169" Type="http://schemas.openxmlformats.org/officeDocument/2006/relationships/hyperlink" Target="https://doi.org/10.1016/j.actaastro.2019.08.031" TargetMode="External"/><Relationship Id="rId179" Type="http://schemas.openxmlformats.org/officeDocument/2006/relationships/hyperlink" Target="https://doi.org/10.1016/j.actaastro.2024.01.038" TargetMode="External"/><Relationship Id="rId147" Type="http://schemas.openxmlformats.org/officeDocument/2006/relationships/hyperlink" Target="https://doi.org/10.1016/j.actaastro.2024.10.061" TargetMode="External"/><Relationship Id="rId173" Type="http://schemas.openxmlformats.org/officeDocument/2006/relationships/hyperlink" Target="https://doi.org/10.1016/j.actaastro.2026.01.040" TargetMode="External"/><Relationship Id="rId183" Type="http://schemas.openxmlformats.org/officeDocument/2006/relationships/hyperlink" Target="https://doi.org/10.1016/j.actaastro.2026.02.008" TargetMode="External"/><Relationship Id="rId171" Type="http://schemas.openxmlformats.org/officeDocument/2006/relationships/hyperlink" Target="https://doi.org/10.1016/j.actaastro.2026.03.026" TargetMode="External"/><Relationship Id="rId175" Type="http://schemas.openxmlformats.org/officeDocument/2006/relationships/hyperlink" Target="https://doi.org/10.1016/j.actaastro.2026.03.057" TargetMode="External"/><Relationship Id="rId181" Type="http://schemas.openxmlformats.org/officeDocument/2006/relationships/hyperlink" Target="https://doi.org/10.1016/j.actaastro.2026.04.045" TargetMode="External"/><Relationship Id="rId161" Type="http://schemas.openxmlformats.org/officeDocument/2006/relationships/hyperlink" Target="https://doi.org/10.64861/CEPU7718" TargetMode="External"/><Relationship Id="rId158" Type="http://schemas.openxmlformats.org/officeDocument/2006/relationships/hyperlink" Target="https://doi.org/10.64861/MVHC2799" TargetMode="External"/><Relationship Id="rId167" Type="http://schemas.openxmlformats.org/officeDocument/2006/relationships/hyperlink" Target="https://doi.org/10.64861/PFBR4795" TargetMode="External"/><Relationship Id="rId145" Type="http://schemas.openxmlformats.org/officeDocument/2006/relationships/hyperlink" Target="https://doi.org/10.64861/TRSQ4124" TargetMode="External"/></Relationships>
</file>

<file path=word/_rels/footnotes.xml.rels><?xml version='1.0' encoding='UTF-8' standalone='yes'?>
<Relationships xmlns="http://schemas.openxmlformats.org/package/2006/relationships"><Relationship Id="rId177" Type="http://schemas.openxmlformats.org/officeDocument/2006/relationships/hyperlink" Target="https://doi.org/10.1016/j.actaastro.2018.08.040" TargetMode="External"/><Relationship Id="rId169" Type="http://schemas.openxmlformats.org/officeDocument/2006/relationships/hyperlink" Target="https://doi.org/10.1016/j.actaastro.2019.08.031" TargetMode="External"/><Relationship Id="rId179" Type="http://schemas.openxmlformats.org/officeDocument/2006/relationships/hyperlink" Target="https://doi.org/10.1016/j.actaastro.2024.01.038" TargetMode="External"/><Relationship Id="rId147" Type="http://schemas.openxmlformats.org/officeDocument/2006/relationships/hyperlink" Target="https://doi.org/10.1016/j.actaastro.2024.10.061" TargetMode="External"/><Relationship Id="rId173" Type="http://schemas.openxmlformats.org/officeDocument/2006/relationships/hyperlink" Target="https://doi.org/10.1016/j.actaastro.2026.01.040" TargetMode="External"/><Relationship Id="rId183" Type="http://schemas.openxmlformats.org/officeDocument/2006/relationships/hyperlink" Target="https://doi.org/10.1016/j.actaastro.2026.02.008" TargetMode="External"/><Relationship Id="rId171" Type="http://schemas.openxmlformats.org/officeDocument/2006/relationships/hyperlink" Target="https://doi.org/10.1016/j.actaastro.2026.03.026" TargetMode="External"/><Relationship Id="rId175" Type="http://schemas.openxmlformats.org/officeDocument/2006/relationships/hyperlink" Target="https://doi.org/10.1016/j.actaastro.2026.03.057" TargetMode="External"/><Relationship Id="rId181" Type="http://schemas.openxmlformats.org/officeDocument/2006/relationships/hyperlink" Target="https://doi.org/10.1016/j.actaastro.2026.04.045" TargetMode="External"/><Relationship Id="rId161" Type="http://schemas.openxmlformats.org/officeDocument/2006/relationships/hyperlink" Target="https://doi.org/10.64861/CEPU7718" TargetMode="External"/><Relationship Id="rId158" Type="http://schemas.openxmlformats.org/officeDocument/2006/relationships/hyperlink" Target="https://doi.org/10.64861/MVHC2799" TargetMode="External"/><Relationship Id="rId167" Type="http://schemas.openxmlformats.org/officeDocument/2006/relationships/hyperlink" Target="https://doi.org/10.64861/PFBR4795" TargetMode="External"/><Relationship Id="rId145" Type="http://schemas.openxmlformats.org/officeDocument/2006/relationships/hyperlink" Target="https://doi.org/10.64861/TRSQ4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Supply-Chain Provenance of Space Software: Mapping the Hidden Dependency Tree and Estimating Its Compromise Surface</dc:title>
  <dc:creator>Leila Dubois (1B-ITI-132)</dc:creator>
  <cp:keywords/>
  <dcterms:created xsi:type="dcterms:W3CDTF">2026-07-03T23:04:54Z</dcterms:created>
  <dcterms:modified xsi:type="dcterms:W3CDTF">2026-07-03T23:04:54Z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