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SOCIOTECHNICAL SEAM: DO JOINT OPTIMIZATION OF OPERATOR ROLES AND AUTONOMY DELIVER SUPERIOR SAFETY AND THROUGHPUT IN SPACE OPERATIONS CENTERS?</w:t>
      </w:r>
    </w:p>
    <w:p>
      <w:pPr>
        <w:jc w:val="center"/>
      </w:pPr>
    </w:p>
    <w:p>
      <w:pPr>
        <w:jc w:val="center"/>
      </w:pPr>
      <w:r>
        <w:rPr>
          <w:rFonts w:ascii="Times New Roman" w:hAnsi="Times New Roman"/>
          <w:sz w:val="24"/>
        </w:rPr>
        <w:t>by</w:t>
      </w:r>
    </w:p>
    <w:p>
      <w:pPr>
        <w:jc w:val="center"/>
      </w:pPr>
      <w:r>
        <w:rPr>
          <w:rFonts w:ascii="Times New Roman" w:hAnsi="Times New Roman"/>
          <w:b/>
          <w:sz w:val="28"/>
        </w:rPr>
        <w:t>Zara Dorsey</w:t>
      </w:r>
    </w:p>
    <w:p>
      <w:pPr>
        <w:jc w:val="center"/>
      </w:pPr>
      <w:r>
        <w:rPr>
          <w:rFonts w:ascii="Times New Roman" w:hAnsi="Times New Roman"/>
          <w:sz w:val="24"/>
        </w:rPr>
        <w:t>1B-ITI-095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Something quiet but weighty is remaking the space operations center. Ten years back, the console operator stood as the one clear place where tasking decisions got made. Now that operator works the loop alongside a swelling crowd of machine agents. State recommenders float orbital solutions. Conjunction screening pipelines sift thousands of close approaches a day down to the ones worth a look. Integration layers weld mismatched sensor feeds into one operating picture. And language model interfaces have begun to broker command and control exchanges outright [1, 3, 4, 11]. Hardly anyone quarrels with why this build-out is happening. Operational accounts land on a shared reason: the count of resident space objects, the pace of launch, and the churn of maneuvering have all raced past what a hand-staffed center can take in short of hiring in step [1, 3, 22]. Autonomy is the tool the operations community reaches for to bend that workload curve.</w:t>
      </w:r>
    </w:p>
    <w:p>
      <w:pPr>
        <w:pStyle w:val="BodyText"/>
        <w:spacing w:line="480" w:lineRule="auto"/>
        <w:ind w:firstLine="720"/>
      </w:pPr>
      <w:r>
        <w:t xml:space="preserve">None of this is abstract if the transition goes wrong. For the National Aeronautics and Space Administration (NASA) and the Jet Propulsion Laboratory (JPL), the operations center is where decades of mission design and billions of dollars of flight hardware turn into scientific return and into safe company with everything else in orbit. Report after report in the Major Projects Assessment series, the Government Accountability Office (GAO) has shown that cost growth on the NASA portfolio keeps recurring, that it spreads unevenly across mission classes, and that the operations-phase cost line is nowhere near the tidy quantity program planners long took it to be [12, 14]. Since the early ASPEN and CASPER deployments JPL has stood as the agency’s principal autonomy laboratory, and it has carried the house argument that onboard autonomy is the main lever for holding down operations cost on long-duration missions</w:t>
      </w:r>
      <w:r>
        <w:t xml:space="preserve"> </w:t>
      </w:r>
      <w:hyperlink w:anchor="ref-15">
        <w:r>
          <w:rPr>
            <w:rStyle w:val="Hyperlink"/>
          </w:rPr>
          <w:t xml:space="preserve">[15]</w:t>
        </w:r>
      </w:hyperlink>
      <w:r>
        <w:t xml:space="preserve">. The agency has spent to match. What this dissertation puts to the test is empirical: taken by itself, has that spending returned the operational dividend the argument promises, or has the dividend hinged all along on a second design choice the autonomy literature keeps filing under soft accompaniment rather than load-bearing variable. That second choice is redesigning the operator role.</w:t>
      </w:r>
    </w:p>
    <w:p>
      <w:pPr>
        <w:pStyle w:val="BodyText"/>
        <w:spacing w:line="480" w:lineRule="auto"/>
        <w:ind w:firstLine="720"/>
      </w:pPr>
      <w:r>
        <w:t xml:space="preserve">Here is why the point matters for NASA and JPL. Two design choices are in play, autonomy authority and operator role architecture, and different program offices usually own them, different work breakdown structure elements usually carry their cost, and different review boards usually sign them off. Say the operationally consequential thing is really the pairing of the two. Then the wall NASA centers keep between the autonomy roadmap and the operations concept of operations stops reading as harmless administrative housekeeping. It reads as a structural reason the dividend arrives only half-collected. This dissertation makes that case and tests it. The case is sociotechnical in Bainbridge’s exact sense: automation does not abolish the operator role, it rearranges it, and the rearranged role is the right unit of design analysis</w:t>
      </w:r>
      <w:r>
        <w:t xml:space="preserve"> </w:t>
      </w:r>
      <w:hyperlink w:anchor="ref-16">
        <w:r>
          <w:rPr>
            <w:rStyle w:val="Hyperlink"/>
          </w:rPr>
          <w:t xml:space="preserve">[16]</w:t>
        </w:r>
      </w:hyperlink>
      <w:r>
        <w:t xml:space="preserve">. Sheridan’s later work on authority allocation, levels of automation, and adaptive supervisory control hands the problem its modern vocabulary, one in which the question is never whether to automate but how to set the authority gradient between operator and machine across operating modes</w:t>
      </w:r>
      <w:r>
        <w:t xml:space="preserve"> </w:t>
      </w:r>
      <w:hyperlink w:anchor="ref-17">
        <w:r>
          <w:rPr>
            <w:rStyle w:val="Hyperlink"/>
          </w:rPr>
          <w:t xml:space="preserve">[17]</w:t>
        </w:r>
      </w:hyperlink>
      <w:r>
        <w:t xml:space="preserve">.</w:t>
      </w:r>
    </w:p>
    <w:p>
      <w:pPr>
        <w:pStyle w:val="BodyText"/>
        <w:spacing w:line="480" w:lineRule="auto"/>
        <w:ind w:firstLine="720"/>
      </w:pPr>
      <w:r>
        <w:t xml:space="preserve">So the stakes run past the budget line. Sociotechnical readings of space-use norms sketch an orbital environment nearing a regime where the pace of activity will call for stakeholder coordination and automation at once, and where the marginal safety event grows nontrivially entangled with the marginal volume of operator-machine interaction [7, 27, 33]. Work on the Space Sustainability Rating has started turning a related idea into an instrument: operator practice and machine authority together decide whether a satellite operator counts as acting responsibly over the long run</w:t>
      </w:r>
      <w:r>
        <w:t xml:space="preserve"> </w:t>
      </w:r>
      <w:hyperlink w:anchor="ref-33">
        <w:r>
          <w:rPr>
            <w:rStyle w:val="Hyperlink"/>
          </w:rPr>
          <w:t xml:space="preserve">[33]</w:t>
        </w:r>
      </w:hyperlink>
      <w:r>
        <w:t xml:space="preserve">. At the regulatory level, discourse network analysis of the emerging socio-technical regime for space debris arrives at a matching verdict, that governance is drifting away from purely technical compliance and toward the paired configuration of operator practices and automated systems</w:t>
      </w:r>
      <w:r>
        <w:t xml:space="preserve"> </w:t>
      </w:r>
      <w:hyperlink w:anchor="ref-27">
        <w:r>
          <w:rPr>
            <w:rStyle w:val="Hyperlink"/>
          </w:rPr>
          <w:t xml:space="preserve">[27]</w:t>
        </w:r>
      </w:hyperlink>
      <w:r>
        <w:t xml:space="preserve">. Who keeps tasking authority over a conjunction screening output, who answers for a degraded ephemeris an automated state recommender spits out, how a center spreads attention across a queue of machine-generated recommendations, not one of these stays a question locked inside a single mission any longer. Each touches the agency’s footing in the international space sustainability conversation and JPL’s case, come the next round of large-mission acquisition, that its autonomy roadmap will survive operational scrutiny.</w:t>
      </w:r>
    </w:p>
    <w:bookmarkEnd w:id="61"/>
    <w:bookmarkStart w:id="62" w:name="X3349e7f55dd49bd29eba8e1832cd30374b3c216"/>
    <w:p>
      <w:pPr>
        <w:pStyle w:val="Heading2"/>
        <w:spacing w:line="480" w:lineRule="auto"/>
      </w:pPr>
      <w:r>
        <w:t xml:space="preserve">1.2 The Gap Between Domain Literature and Method Literature</w:t>
      </w:r>
    </w:p>
    <w:p>
      <w:pPr>
        <w:pStyle w:val="FirstParagraph"/>
        <w:spacing w:line="480" w:lineRule="auto"/>
      </w:pPr>
      <w:r>
        <w:t xml:space="preserve">What drives this dissertation at the intellectual level is that the literatures able to speak to the joint design question do not speak to each other in any form empirical estimation can use. Three strands of domain literature stand on one side. A separate literature on econometric identification stands on the other. And the question between them has gone unanswered in either tongue.</w:t>
      </w:r>
    </w:p>
    <w:p>
      <w:pPr>
        <w:pStyle w:val="BodyText"/>
        <w:spacing w:line="480" w:lineRule="auto"/>
        <w:ind w:firstLine="720"/>
      </w:pPr>
      <w:r>
        <w:t xml:space="preserve">Take the operations engineering literature first, the one rising out of the Advanced Maui Optical and Space Surveillance Technologies conference and its neighbors. Schultz, Brink, Williams, and Curry lay out an automation architecture for space domain awareness whose justification runs mainly through machine performance, with workload reduction claimed as a knock-on benefit</w:t>
      </w:r>
      <w:r>
        <w:t xml:space="preserve"> </w:t>
      </w:r>
      <w:hyperlink w:anchor="ref-1">
        <w:r>
          <w:rPr>
            <w:rStyle w:val="Hyperlink"/>
          </w:rPr>
          <w:t xml:space="preserve">[1]</w:t>
        </w:r>
      </w:hyperlink>
      <w:r>
        <w:t xml:space="preserve">. A companion paper by Schultz, Brink, and Williams on orbital state recommender validation reports candidate solution quality yet never gauges what the recommendation pipeline costs the operator</w:t>
      </w:r>
      <w:r>
        <w:t xml:space="preserve"> </w:t>
      </w:r>
      <w:hyperlink w:anchor="ref-4">
        <w:r>
          <w:rPr>
            <w:rStyle w:val="Hyperlink"/>
          </w:rPr>
          <w:t xml:space="preserve">[4]</w:t>
        </w:r>
      </w:hyperlink>
      <w:r>
        <w:t xml:space="preserve">. Seong, Jung, Jung, and Song describe an integrated space information monitoring system in the same key</w:t>
      </w:r>
      <w:r>
        <w:t xml:space="preserve"> </w:t>
      </w:r>
      <w:hyperlink w:anchor="ref-3">
        <w:r>
          <w:rPr>
            <w:rStyle w:val="Hyperlink"/>
          </w:rPr>
          <w:t xml:space="preserve">[3]</w:t>
        </w:r>
      </w:hyperlink>
      <w:r>
        <w:t xml:space="preserve">. De Alba and colleagues’ early work on language model integration for command and control keeps to the same grammar of evaluation</w:t>
      </w:r>
      <w:r>
        <w:t xml:space="preserve"> </w:t>
      </w:r>
      <w:hyperlink w:anchor="ref-11">
        <w:r>
          <w:rPr>
            <w:rStyle w:val="Hyperlink"/>
          </w:rPr>
          <w:t xml:space="preserve">[11]</w:t>
        </w:r>
      </w:hyperlink>
      <w:r>
        <w:t xml:space="preserve">. Each of these earns its keep. But their grammar is engineering, not sociotechnical. They chart what the machine does and infer what the operator no longer must do; what the operator now does in its place goes unmeasured.</w:t>
      </w:r>
    </w:p>
    <w:p>
      <w:pPr>
        <w:pStyle w:val="BodyText"/>
        <w:spacing w:line="480" w:lineRule="auto"/>
        <w:ind w:firstLine="720"/>
      </w:pPr>
      <w:r>
        <w:t xml:space="preserve">A human factors literature forms the second strand. Goldberg and Waltz press for lifting crew resource management practice out of aviation and into space domain operations, and they name the cognitive coordination demands the new autonomy-dependent regime lays on whatever human team remains</w:t>
      </w:r>
      <w:r>
        <w:t xml:space="preserve"> </w:t>
      </w:r>
      <w:hyperlink w:anchor="ref-2">
        <w:r>
          <w:rPr>
            <w:rStyle w:val="Hyperlink"/>
          </w:rPr>
          <w:t xml:space="preserve">[2]</w:t>
        </w:r>
      </w:hyperlink>
      <w:r>
        <w:t xml:space="preserve">. Stilwell, Quakenbush, Giles, and Dailey push the case further, mapping aviation safety frameworks onto the orbital domain and treating operator resilience as a design objective set out on purpose rather than an emergent byproduct</w:t>
      </w:r>
      <w:r>
        <w:t xml:space="preserve"> </w:t>
      </w:r>
      <w:hyperlink w:anchor="ref-5">
        <w:r>
          <w:rPr>
            <w:rStyle w:val="Hyperlink"/>
          </w:rPr>
          <w:t xml:space="preserve">[5]</w:t>
        </w:r>
      </w:hyperlink>
      <w:r>
        <w:t xml:space="preserve">. Ulusoy and Reisman carry the thread into the long-duration regime with their recent read on the investment construct in human autonomy teaming for deep space habitat operations</w:t>
      </w:r>
      <w:r>
        <w:t xml:space="preserve"> </w:t>
      </w:r>
      <w:hyperlink w:anchor="ref-32">
        <w:r>
          <w:rPr>
            <w:rStyle w:val="Hyperlink"/>
          </w:rPr>
          <w:t xml:space="preserve">[32]</w:t>
        </w:r>
      </w:hyperlink>
      <w:r>
        <w:t xml:space="preserve">. This literature is normative and design-prescriptive. It says what the operator role ought to be in an automation-dependent center. What it stops short of is estimating what operator role redesign adds at the margin once autonomy is already in place, and it does not draw its claims from the operational telemetry of centers that have made one or both investments.</w:t>
      </w:r>
    </w:p>
    <w:p>
      <w:pPr>
        <w:pStyle w:val="BodyText"/>
        <w:spacing w:line="480" w:lineRule="auto"/>
        <w:ind w:firstLine="720"/>
      </w:pPr>
      <w:r>
        <w:t xml:space="preserve">A third strand takes up operator confidence and trust calibration from the cognitive engineering side. Gorman, Voshell, and Sliva’s instrument for operator confidence in automated space situational awareness and satellite control systems is the reference everyone returns to [6, 25]. Fitzgerald, Morris, Militello, and Fletcher carry the line onward in their newer read on trust in human-machine teaming for autonomous space sensing</w:t>
      </w:r>
      <w:r>
        <w:t xml:space="preserve"> </w:t>
      </w:r>
      <w:hyperlink w:anchor="ref-8">
        <w:r>
          <w:rPr>
            <w:rStyle w:val="Hyperlink"/>
          </w:rPr>
          <w:t xml:space="preserve">[8]</w:t>
        </w:r>
      </w:hyperlink>
      <w:r>
        <w:t xml:space="preserve">. The worry here is the display, assessment, and calibration machinery through which operators bring their reliance on machine output into the right band. Its unit is the operator, and its design advice bears on the human-machine interface, not on the role architecture that interface sits inside.</w:t>
      </w:r>
    </w:p>
    <w:p>
      <w:pPr>
        <w:pStyle w:val="BodyText"/>
        <w:spacing w:line="480" w:lineRule="auto"/>
        <w:ind w:firstLine="720"/>
      </w:pPr>
      <w:r>
        <w:t xml:space="preserve">Set apart from the three domain strands, and mostly unhooked from them, stands a fourth literature: the econometric method work on policy evaluation where adoption is staggered and cross-sectional power runs short. Difference-in-differences estimators with center-level and time fixed effects, synthetic control specifications for cases where the treated unit has no clean counterfactual, event study plots that put the parallel trends assumption to the test, these are the standard tools for pinning outcome differences on intervention status in observational data of this shape. Not one of the three domain strands turns them on the operator and autonomy question. Operations engineering reports machine performance metrics off in-house demonstrations. Human factors offers framework-level argument. Cognitive engineering reports operator-level confidence measures in lab or hemmed-in operational settings. None estimates what the joint design choice does to safety and throughput across the population of operating centers, and none brings to that estimation the identification discipline the policy evaluation literature has sharpened over twenty years.</w:t>
      </w:r>
    </w:p>
    <w:p>
      <w:pPr>
        <w:pStyle w:val="BodyText"/>
        <w:spacing w:line="480" w:lineRule="auto"/>
        <w:ind w:firstLine="720"/>
      </w:pPr>
      <w:r>
        <w:t xml:space="preserve">What is missing, then, is not evidence in the loose sense. It is an estimand. The domain literatures have never framed the operationally consequential outcome variable, the safety event rate per unit tasking volume and the tasking throughput per operator full-time equivalent, in any form an identification strategy can grip. The method literature, for its part, has never been aimed at a domain construct, coordinated operator role and autonomy redesign, sharp enough to take binary or graded coding off the public record. Specifying the estimand and the strategy jointly is what this dissertation supplies.</w:t>
      </w:r>
    </w:p>
    <w:bookmarkEnd w:id="62"/>
    <w:bookmarkStart w:id="63" w:name="the-falsifiable-contribution"/>
    <w:p>
      <w:pPr>
        <w:pStyle w:val="Heading2"/>
        <w:spacing w:line="480" w:lineRule="auto"/>
      </w:pPr>
      <w:r>
        <w:t xml:space="preserve">1.3 The Falsifiable Contribution</w:t>
      </w:r>
    </w:p>
    <w:p>
      <w:pPr>
        <w:pStyle w:val="FirstParagraph"/>
        <w:spacing w:line="480" w:lineRule="auto"/>
      </w:pPr>
      <w:r>
        <w:t xml:space="preserve">One falsifiable claim carries the whole thing. Inside space operations centers going through automation-dependent modernization, redesigning operator role boundaries and autonomy authority allocation together yields a Pareto improvement, meaning a statistically significant drop in the rate of safety-relevant operational events alongside a statistically significant rise in tasking throughput, measured against centers that modernize autonomy alone with no coordinated role redesign. The null says the joint redesign produces no detectable gain on either axis once secular trends, traffic growth, and sensor-fleet expansion are netted out, so that any observed difference traces to autonomy deployment by itself or to operational confounders.</w:t>
      </w:r>
    </w:p>
    <w:p>
      <w:pPr>
        <w:pStyle w:val="BodyText"/>
        <w:spacing w:line="480" w:lineRule="auto"/>
        <w:ind w:firstLine="720"/>
      </w:pPr>
      <w:r>
        <w:t xml:space="preserve">Falsifiability cuts both ways. Suppose the safety effect goes undetected once the autonomy main effect and the controls come in. Then the human factors strand’s claim that role redesign adds marginal safety value past autonomy deployment takes a hit. Suppose instead the throughput effect goes undetected. Then the operations engineering strand’s tacit stance that operator role design is throughput neutral gains support, and the joint optimization argument forfeits its economic footing. The claim is built to lose informatively, whichever way the data break.</w:t>
      </w:r>
    </w:p>
    <w:p>
      <w:pPr>
        <w:pStyle w:val="BodyText"/>
        <w:spacing w:line="480" w:lineRule="auto"/>
        <w:ind w:firstLine="720"/>
      </w:pPr>
      <w:r>
        <w:t xml:space="preserve">A first triangulation point comes from the companion working paper that estimates the joint effect on NASA major project cost overruns. In a cross-section of thirty NASA major projects coded from the GAO Major Projects Assessment series, the joint optimization indicator carries the largest and most precisely estimated coefficient in the specification, with a point estimate of roughly twenty-six percentage points of overrun reduction at a p-value of 0.003, while the autonomy main effect is not statistically distinguishable from zero. That fits the sociotechnical seam reading and cuts against the autonomy-alone reading on the cost dimension. What this dissertation does is push the test onto the safety and throughput dimensions, where the policy stakes bite hardest and where the operational telemetry of today’s operations centers can bear the staggered difference-in-differences design the cross-section cost regression could not.</w:t>
      </w:r>
    </w:p>
    <w:p>
      <w:pPr>
        <w:pStyle w:val="BodyText"/>
        <w:spacing w:line="480" w:lineRule="auto"/>
        <w:ind w:firstLine="720"/>
      </w:pPr>
      <w:r>
        <w:t xml:space="preserve">Precision runs through the estimand. Treatment is a binary indicator for centers that documented a coordinated operator role and autonomy intervention, coded off the AMOS technical paper record [1, 2, 3, 4, 5, 6, 8, 11], off publicly available concept of operations documents, and off interviews run under the qualitative arm of the design. The outcomes are the monthly rate of safety-relevant operational events per unit tasking volume and the monthly tasking throughput per operator full-time equivalent, each defined on publicly releasable records</w:t>
      </w:r>
      <w:r>
        <w:t xml:space="preserve"> </w:t>
      </w:r>
      <w:hyperlink w:anchor="ref-5">
        <w:r>
          <w:rPr>
            <w:rStyle w:val="Hyperlink"/>
          </w:rPr>
          <w:t xml:space="preserve">[5]</w:t>
        </w:r>
      </w:hyperlink>
      <w:r>
        <w:t xml:space="preserve">. Identification leans on a staggered difference-in-differences specification with center fixed effects and time fixed effects, backed by a synthetic control specification for the most heavily modernized centers and by event study plots that put parallel trends to a direct test. Treatment coding validation and mechanism evidence come off the qualitative arm, with an eye to trust calibration, mode awareness, and role boundary clarity [2, 5, 6, 8].</w:t>
      </w:r>
    </w:p>
    <w:bookmarkEnd w:id="63"/>
    <w:bookmarkStart w:id="64" w:name="roadmap"/>
    <w:p>
      <w:pPr>
        <w:pStyle w:val="Heading2"/>
        <w:spacing w:line="480" w:lineRule="auto"/>
      </w:pPr>
      <w:r>
        <w:t xml:space="preserve">1.4 Roadmap</w:t>
      </w:r>
    </w:p>
    <w:p>
      <w:pPr>
        <w:pStyle w:val="FirstParagraph"/>
        <w:spacing w:line="480" w:lineRule="auto"/>
      </w:pPr>
      <w:r>
        <w:t xml:space="preserve">Six more chapters carry the rest.</w:t>
      </w:r>
    </w:p>
    <w:p>
      <w:pPr>
        <w:pStyle w:val="BodyText"/>
        <w:spacing w:line="480" w:lineRule="auto"/>
        <w:ind w:firstLine="720"/>
      </w:pPr>
      <w:r>
        <w:t xml:space="preserve">Chapter 2 builds the theoretical frame. Circling back to Bainbridge’s ironies of automation and Sheridan’s authority allocation taxonomy, it sets the sociotechnical seam construct inside that older literature and links it to the current AMOS and Acta Astronautica strands on automation-dependent operations [16, 17, 1, 3, 4, 5, 30]. It then formalizes the joint estimand and works out the testable implications under the substantive and null hypotheses.</w:t>
      </w:r>
    </w:p>
    <w:p>
      <w:pPr>
        <w:pStyle w:val="BodyText"/>
        <w:spacing w:line="480" w:lineRule="auto"/>
        <w:ind w:firstLine="720"/>
      </w:pPr>
      <w:r>
        <w:t xml:space="preserve">Chapter 3 runs a systematic review of the three domain strands and of neighboring work on autonomy in space sensing, swarm and constellation operations, trajectory optimization, and integrated space traffic management [9, 10, 19, 20, 23, 29, 30, 31]. It builds the coding rubric for the joint optimization indicator and reports inter-coder agreement statistics for applying the rubric to the AMOS proceedings corpus.</w:t>
      </w:r>
    </w:p>
    <w:p>
      <w:pPr>
        <w:pStyle w:val="BodyText"/>
        <w:spacing w:line="480" w:lineRule="auto"/>
        <w:ind w:firstLine="720"/>
      </w:pPr>
      <w:r>
        <w:t xml:space="preserve">Chapter 4 lays out the quantitative method: the staggered difference-in-differences specification, how the safety event and tasking throughput series get built off the public record, the robustness battery with its synthetic control specification and placebo tests on pre-treatment periods, and an analytic plan that runs entirely on releasable records.</w:t>
      </w:r>
    </w:p>
    <w:p>
      <w:pPr>
        <w:pStyle w:val="BodyText"/>
        <w:spacing w:line="480" w:lineRule="auto"/>
        <w:ind w:firstLine="720"/>
      </w:pPr>
      <w:r>
        <w:t xml:space="preserve">Chapter 5 turns to the qualitative method. It describes the structured cognitive engineering protocol, adapted from the aviation-derived frameworks the human factors literature documents and from the operator confidence assessment methods of the cognitive engineering literature [2, 5, 6, 8], and reports the purposive sampling design across centers stratified by intervention type.</w:t>
      </w:r>
    </w:p>
    <w:p>
      <w:pPr>
        <w:pStyle w:val="BodyText"/>
        <w:spacing w:line="480" w:lineRule="auto"/>
        <w:ind w:firstLine="720"/>
      </w:pPr>
      <w:r>
        <w:t xml:space="preserve">Chapter 6 reports findings. It presents the quantitative estimates with the full robustness battery, the qualitative mechanism evidence, and the triangulation across the two arms. Where the arms meet, it says so; where they part, it says so without smoothing the seam over.</w:t>
      </w:r>
    </w:p>
    <w:p>
      <w:pPr>
        <w:pStyle w:val="BodyText"/>
        <w:spacing w:line="480" w:lineRule="auto"/>
        <w:ind w:firstLine="720"/>
      </w:pPr>
      <w:r>
        <w:t xml:space="preserve">Chapter 7 takes up implications and limits. It draws out the program management implication for NASA and JPL, that autonomy roadmaps missing a paired operator role redesign should not be costed as though they will deliver operational discipline; the human machine teaming implication for the research community, that role redesign is load bearing rather than ornamental; and the policy implication for the space sustainability conversation, that the joint design choice is the operationally meaningful unit at which responsible operator behavior gets judged [27, 33]. It ends with a frank word on the limits of a population of operations centers that stays small and mixed, and with a research agenda that carries the joint estimand into longer panel data as the population of automation-dependent centers grows.</w:t>
      </w:r>
    </w:p>
    <w:p>
      <w:pPr>
        <w:pStyle w:val="BodyText"/>
        <w:spacing w:line="480" w:lineRule="auto"/>
        <w:ind w:firstLine="720"/>
      </w:pPr>
      <w:r>
        <w:t xml:space="preserve">By choice, the dissertation’s reach is narrow. It floats no new architecture for autonomy in space operations, it advances no cognitive engineering instrument set for trust calibration, and it extends no human factors framework for operator resilience. Taking those contributions as settled, it puts one question to the population of operations centers that has fielded them in mixed combinations: does pairing operator role with machine authority yield the safety and throughput dividend the sociotechnical seam argument predicts, or does it not. Whichever way the answer runs, it is meant to serve NASA and JPL program offices that have to decide, at the next round of operations concept reviews, whether the autonomy roadmap and the operator role architecture get planned together or apart.</w:t>
      </w:r>
    </w:p>
    <w:bookmarkEnd w:id="64"/>
    <w:bookmarkEnd w:id="65"/>
    <w:bookmarkStart w:id="81" w:name="chapter-2.-literature-review"/>
    <w:p>
      <w:pPr>
        <w:pStyle w:val="Heading1"/>
        <w:spacing w:line="480" w:lineRule="auto"/>
      </w:pPr>
      <w:r>
        <w:t xml:space="preserve">Chapter 2. Literature Review</w:t>
      </w:r>
    </w:p>
    <w:bookmarkStart w:id="66" w:name="orientation"/>
    <w:p>
      <w:pPr>
        <w:pStyle w:val="Heading2"/>
        <w:spacing w:line="480" w:lineRule="auto"/>
      </w:pPr>
      <w:r>
        <w:t xml:space="preserve">2.1 Orientation</w:t>
      </w:r>
    </w:p>
    <w:p>
      <w:pPr>
        <w:pStyle w:val="FirstParagraph"/>
        <w:spacing w:line="480" w:lineRule="auto"/>
      </w:pPr>
      <w:r>
        <w:t xml:space="preserve">Two literatures touch the sociotechnical seam in space operations centers, and they have stayed apart. This chapter reads both. One is the domain technical literature on space operations: spacecraft autonomy, space domain awareness, automated command and control, human-machine teaming, and the human factors of orbital operations. The other is the cliometric and econometric methodology literature that hands over the identification tools needed to test joint optimization claims against observational records of programmatic and operational performance. Bringing these two strands together is the dissertation’s substantive contribution. Showing they sit apart today is this chapter’s job.</w:t>
      </w:r>
    </w:p>
    <w:p>
      <w:pPr>
        <w:pStyle w:val="BodyText"/>
        <w:spacing w:line="480" w:lineRule="auto"/>
        <w:ind w:firstLine="720"/>
      </w:pPr>
      <w:r>
        <w:t xml:space="preserve">Four steps make up the review. Section 2.2 walks the domain technical literature across four sub-strands: operations engineering and automation, human factors and crew resource management, human-machine teaming and operator confidence, and the wider sociotechnical regime that orbital operations now live inside. Section 2.3 walks the cliometric and econometric work relevant to causal inference on small operational and programmatic panels. Section 2.4 pulls the two reviews together and names the gap: no known study estimates what operator role redesign and autonomy authority allocation jointly do to safety and throughput outcomes using a credible identification strategy on observational data, though both sub-literatures raise the question. Section 2.5 closes with the boundary conditions this dissertation honors.</w:t>
      </w:r>
    </w:p>
    <w:bookmarkEnd w:id="66"/>
    <w:bookmarkStart w:id="72" w:name="the-domain-technical-literature"/>
    <w:p>
      <w:pPr>
        <w:pStyle w:val="Heading2"/>
        <w:spacing w:line="480" w:lineRule="auto"/>
      </w:pPr>
      <w:r>
        <w:t xml:space="preserve">2.2 The Domain Technical Literature</w:t>
      </w:r>
    </w:p>
    <w:bookmarkStart w:id="67" w:name="X1bd6e79950814a43e4d94ef84edb9f493af7688"/>
    <w:p>
      <w:pPr>
        <w:pStyle w:val="Heading3"/>
        <w:spacing w:line="480" w:lineRule="auto"/>
      </w:pPr>
      <w:r>
        <w:t xml:space="preserve">2.2.1 Operations engineering and the productivity case for automation</w:t>
      </w:r>
    </w:p>
    <w:p>
      <w:pPr>
        <w:pStyle w:val="FirstParagraph"/>
        <w:spacing w:line="480" w:lineRule="auto"/>
      </w:pPr>
      <w:r>
        <w:t xml:space="preserve">Automation lightens operator workload, lifts tasking throughput, and scales the operations enterprise against rising orbital traffic. That claim runs the contemporary space operations literature. Schultz, Brink, Williams, and Curry describe a data insights pipeline that casts automation as a productivity multiplier for space domain awareness, built on purpose to swallow the volume and tempo of today’s tasking</w:t>
      </w:r>
      <w:r>
        <w:t xml:space="preserve"> </w:t>
      </w:r>
      <w:hyperlink w:anchor="ref-1">
        <w:r>
          <w:rPr>
            <w:rStyle w:val="Hyperlink"/>
          </w:rPr>
          <w:t xml:space="preserve">[1]</w:t>
        </w:r>
      </w:hyperlink>
      <w:r>
        <w:t xml:space="preserve">. Their orbital state recommender work carries it further, casting automated state recommendations as a stand-in for analyst cycles and reporting candidate quality and latency as the metrics that count</w:t>
      </w:r>
      <w:r>
        <w:t xml:space="preserve"> </w:t>
      </w:r>
      <w:hyperlink w:anchor="ref-4">
        <w:r>
          <w:rPr>
            <w:rStyle w:val="Hyperlink"/>
          </w:rPr>
          <w:t xml:space="preserve">[4]</w:t>
        </w:r>
      </w:hyperlink>
      <w:r>
        <w:t xml:space="preserve">. Seong, Jung, Jung, and Song give the VISION integrated monitoring system in the same terms, framing the fusion of mismatched space information feeds as a workload cut for the controller team</w:t>
      </w:r>
      <w:r>
        <w:t xml:space="preserve"> </w:t>
      </w:r>
      <w:hyperlink w:anchor="ref-3">
        <w:r>
          <w:rPr>
            <w:rStyle w:val="Hyperlink"/>
          </w:rPr>
          <w:t xml:space="preserve">[3]</w:t>
        </w:r>
      </w:hyperlink>
      <w:r>
        <w:t xml:space="preserve">. One evaluative posture ties these papers together, and it is engineering-internal: the system hits its latency, recall, and integration targets, and workload reduction gets asserted as a corollary rather than measured as a sociotechnical outcome.</w:t>
      </w:r>
    </w:p>
    <w:p>
      <w:pPr>
        <w:pStyle w:val="BodyText"/>
        <w:spacing w:line="480" w:lineRule="auto"/>
        <w:ind w:firstLine="720"/>
      </w:pPr>
      <w:r>
        <w:t xml:space="preserve">From ground to flight, the autonomy-and-planning lineage stretches that posture. Sherwood and colleagues cast ASPEN and CASPER as onboard automated planning systems whose whole point is to move decision authority off ground operators and onto the spacecraft, on the expectation that ground operations cost falls as autonomy authority climbs</w:t>
      </w:r>
      <w:r>
        <w:t xml:space="preserve"> </w:t>
      </w:r>
      <w:hyperlink w:anchor="ref-15">
        <w:r>
          <w:rPr>
            <w:rStyle w:val="Hyperlink"/>
          </w:rPr>
          <w:t xml:space="preserve">[15]</w:t>
        </w:r>
      </w:hyperlink>
      <w:r>
        <w:t xml:space="preserve">. Gregson, Seto, and Kim build an autonomy testbed for satellite debris avoidance on the identical substitution logic: an onboard maneuver decision lightens the ground operations queue</w:t>
      </w:r>
      <w:r>
        <w:t xml:space="preserve"> </w:t>
      </w:r>
      <w:hyperlink w:anchor="ref-10">
        <w:r>
          <w:rPr>
            <w:rStyle w:val="Hyperlink"/>
          </w:rPr>
          <w:t xml:space="preserve">[10]</w:t>
        </w:r>
      </w:hyperlink>
      <w:r>
        <w:t xml:space="preserve">[19]. Weis and Hussein carry that logic into a swarm setting, offering distributed deep learning at the edge as the mechanism by which large-count space-based SSA scales without matching growth in ground supervisory load</w:t>
      </w:r>
      <w:r>
        <w:t xml:space="preserve"> </w:t>
      </w:r>
      <w:hyperlink w:anchor="ref-9">
        <w:r>
          <w:rPr>
            <w:rStyle w:val="Hyperlink"/>
          </w:rPr>
          <w:t xml:space="preserve">[9]</w:t>
        </w:r>
      </w:hyperlink>
      <w:r>
        <w:t xml:space="preserve">. Lagona and colleagues run the parallel argument for autonomous trajectory optimization as the way space traffic management scales to mega-constellation densities without matching operator scaling</w:t>
      </w:r>
      <w:r>
        <w:t xml:space="preserve"> </w:t>
      </w:r>
      <w:hyperlink w:anchor="ref-30">
        <w:r>
          <w:rPr>
            <w:rStyle w:val="Hyperlink"/>
          </w:rPr>
          <w:t xml:space="preserve">[30]</w:t>
        </w:r>
      </w:hyperlink>
      <w:r>
        <w:t xml:space="preserve">. In the same key, Chen and colleagues hold that distributed congestion-avoidance routing keeps mega-constellation networks running without matching growth in the human-in-the-loop control surface</w:t>
      </w:r>
      <w:r>
        <w:t xml:space="preserve"> </w:t>
      </w:r>
      <w:hyperlink w:anchor="ref-31">
        <w:r>
          <w:rPr>
            <w:rStyle w:val="Hyperlink"/>
          </w:rPr>
          <w:t xml:space="preserve">[31]</w:t>
        </w:r>
      </w:hyperlink>
      <w:r>
        <w:t xml:space="preserve">. Quintero and Duggan frame orbital inclination optimization for large-count LEO constellations as a design lever whose downstream payoff is a more tractable operations problem for those constellations’ human supervisors</w:t>
      </w:r>
      <w:r>
        <w:t xml:space="preserve"> </w:t>
      </w:r>
      <w:hyperlink w:anchor="ref-20">
        <w:r>
          <w:rPr>
            <w:rStyle w:val="Hyperlink"/>
          </w:rPr>
          <w:t xml:space="preserve">[20]</w:t>
        </w:r>
      </w:hyperlink>
      <w:r>
        <w:t xml:space="preserve">. Hunter and colleagues plant that scaling argument in a live NASA flight experiment, Starling, where space situational awareness implications tie straight to onboard distributed autonomy</w:t>
      </w:r>
      <w:r>
        <w:t xml:space="preserve"> </w:t>
      </w:r>
      <w:hyperlink w:anchor="ref-21">
        <w:r>
          <w:rPr>
            <w:rStyle w:val="Hyperlink"/>
          </w:rPr>
          <w:t xml:space="preserve">[21]</w:t>
        </w:r>
      </w:hyperlink>
      <w:r>
        <w:t xml:space="preserve">. Allen casts commercial-technology insertion at the SDA TAP Lab the same way: automated commercial tooling is to absorb the operational surprise problem faster than traditional acquisition can move</w:t>
      </w:r>
      <w:r>
        <w:t xml:space="preserve"> </w:t>
      </w:r>
      <w:hyperlink w:anchor="ref-22">
        <w:r>
          <w:rPr>
            <w:rStyle w:val="Hyperlink"/>
          </w:rPr>
          <w:t xml:space="preserve">[22]</w:t>
        </w:r>
      </w:hyperlink>
      <w:r>
        <w:t xml:space="preserve">. Huterer Prats, Schaub, and Wheeler carry the scaling argument into reinforcement learning, offering an autonomous scheduler for space-to-space resident space object imaging whose pitch is once more that the human operator need not schedule</w:t>
      </w:r>
      <w:r>
        <w:t xml:space="preserve"> </w:t>
      </w:r>
      <w:hyperlink w:anchor="ref-23">
        <w:r>
          <w:rPr>
            <w:rStyle w:val="Hyperlink"/>
          </w:rPr>
          <w:t xml:space="preserve">[23]</w:t>
        </w:r>
      </w:hyperlink>
      <w:r>
        <w:t xml:space="preserve">.</w:t>
      </w:r>
    </w:p>
    <w:p>
      <w:pPr>
        <w:pStyle w:val="BodyText"/>
        <w:spacing w:line="480" w:lineRule="auto"/>
        <w:ind w:firstLine="720"/>
      </w:pPr>
      <w:r>
        <w:t xml:space="preserve">Two features knit this engineering literature together. One is the substitution frame, which pits autonomy and operator as substitutes along a single capability axis. The other is the metric posture, which keeps evaluation inside the machine pipeline. The architectural cost-comparison genre reinforces both. Morris, Rice, and Little’s relative cost and performance comparison of GEO space situational awareness architectures folds the operator into a lifecycle cost figure rather than treating role design as a sociotechnical variable that might make or destroy value</w:t>
      </w:r>
      <w:r>
        <w:t xml:space="preserve"> </w:t>
      </w:r>
      <w:hyperlink w:anchor="ref-24">
        <w:r>
          <w:rPr>
            <w:rStyle w:val="Hyperlink"/>
          </w:rPr>
          <w:t xml:space="preserve">[24]</w:t>
        </w:r>
      </w:hyperlink>
      <w:r>
        <w:t xml:space="preserve">. Recent work on factory-in-space architectures by Abdulhamid, Sullivan, and Terzi stretches the same pattern into manufacturing, where autonomy is the productivity premise and the operator is the leftover</w:t>
      </w:r>
      <w:r>
        <w:t xml:space="preserve"> </w:t>
      </w:r>
      <w:hyperlink w:anchor="ref-28">
        <w:r>
          <w:rPr>
            <w:rStyle w:val="Hyperlink"/>
          </w:rPr>
          <w:t xml:space="preserve">[28]</w:t>
        </w:r>
      </w:hyperlink>
      <w:r>
        <w:t xml:space="preserve">. The LunarLeaper concept by Kolvenbach and colleagues makes the substitution logic plain at the mission-concept level: a small legged robot’s autonomy is exactly what unlocks the science return given the supervisory bottleneck of cislunar communication latency</w:t>
      </w:r>
      <w:r>
        <w:t xml:space="preserve"> </w:t>
      </w:r>
      <w:hyperlink w:anchor="ref-29">
        <w:r>
          <w:rPr>
            <w:rStyle w:val="Hyperlink"/>
          </w:rPr>
          <w:t xml:space="preserve">[29]</w:t>
        </w:r>
      </w:hyperlink>
      <w:r>
        <w:t xml:space="preserve">. Berthet’s aerobraking review paints the same picture in another idiom, with increasingly autonomous guidance as the way the operational envelope widens without matching operator load</w:t>
      </w:r>
      <w:r>
        <w:t xml:space="preserve"> </w:t>
      </w:r>
      <w:hyperlink w:anchor="ref-13">
        <w:r>
          <w:rPr>
            <w:rStyle w:val="Hyperlink"/>
          </w:rPr>
          <w:t xml:space="preserve">[13]</w:t>
        </w:r>
      </w:hyperlink>
      <w:r>
        <w:t xml:space="preserve">.</w:t>
      </w:r>
    </w:p>
    <w:p>
      <w:pPr>
        <w:pStyle w:val="BodyText"/>
        <w:spacing w:line="480" w:lineRule="auto"/>
        <w:ind w:firstLine="720"/>
      </w:pPr>
      <w:r>
        <w:t xml:space="preserve">None of this turns the substitution frame into a strawman. It has yielded real capability. The review’s point is smaller: the substitution frame is not the only frame going, and its evaluative posture keeps shutting the door on the question this dissertation raises.</w:t>
      </w:r>
    </w:p>
    <w:bookmarkEnd w:id="67"/>
    <w:bookmarkStart w:id="68" w:name="X2a9a2f2d0de2dbe40074b8500b270dfe1f8a5e6"/>
    <w:p>
      <w:pPr>
        <w:pStyle w:val="Heading3"/>
        <w:spacing w:line="480" w:lineRule="auto"/>
      </w:pPr>
      <w:r>
        <w:t xml:space="preserve">2.2.2 Human factors and the role design counter-argument</w:t>
      </w:r>
    </w:p>
    <w:p>
      <w:pPr>
        <w:pStyle w:val="FirstParagraph"/>
        <w:spacing w:line="480" w:lineRule="auto"/>
      </w:pPr>
      <w:r>
        <w:t xml:space="preserve">Smaller in volume yet sharper in argument, a second strand holds that the substitution frame mis-reads the operator. Stilwell, Quakenbush, Giles, and Dailey argue that orbital domain resilience needs aviation safety frameworks brought in, crew resource management, threat and error management, and fatigue risk management among them, into the space operations center</w:t>
      </w:r>
      <w:r>
        <w:t xml:space="preserve"> </w:t>
      </w:r>
      <w:hyperlink w:anchor="ref-5">
        <w:r>
          <w:rPr>
            <w:rStyle w:val="Hyperlink"/>
          </w:rPr>
          <w:t xml:space="preserve">[5]</w:t>
        </w:r>
      </w:hyperlink>
      <w:r>
        <w:t xml:space="preserve">. Their argument is structural. What remains for the human after autonomy deployment is not a shrunken version of the old role but a different role, and leaving it vague banks latent safety risk. Goldberg and Waltz make the crew resource management case for space domain operations head on, noting that automation has reorganized rather than erased the cognitive and coordination demands on the team</w:t>
      </w:r>
      <w:r>
        <w:t xml:space="preserve"> </w:t>
      </w:r>
      <w:hyperlink w:anchor="ref-2">
        <w:r>
          <w:rPr>
            <w:rStyle w:val="Hyperlink"/>
          </w:rPr>
          <w:t xml:space="preserve">[2]</w:t>
        </w:r>
      </w:hyperlink>
      <w:r>
        <w:t xml:space="preserve">. Sitting comfortably with the older sociotechnical literature, their treatment trains the argument on the team boundary, where role architecture and coordination protocol get settled.</w:t>
      </w:r>
    </w:p>
    <w:p>
      <w:pPr>
        <w:pStyle w:val="BodyText"/>
        <w:spacing w:line="480" w:lineRule="auto"/>
        <w:ind w:firstLine="720"/>
      </w:pPr>
      <w:r>
        <w:t xml:space="preserve">Bainbridge’s ironies of automation is where this strand starts. Automate the easy parts of an operator’s job, Bainbridge saw, and you pile the leftover workload onto the hardest parts, diagnosis under uncertainty and recovery from automation failure among them</w:t>
      </w:r>
      <w:r>
        <w:t xml:space="preserve"> </w:t>
      </w:r>
      <w:hyperlink w:anchor="ref-16">
        <w:r>
          <w:rPr>
            <w:rStyle w:val="Hyperlink"/>
          </w:rPr>
          <w:t xml:space="preserve">[16]</w:t>
        </w:r>
      </w:hyperlink>
      <w:r>
        <w:t xml:space="preserve">. Sheridan’s taxonomy of adaptive automation, levels of automation, authority allocation, and supervisory control handed later human factors researchers the vocabulary for what role design really involves: the level-of-automation choice is itself a design variable, and authority allocation is a design problem that does not disappear when capability climbs</w:t>
      </w:r>
      <w:r>
        <w:t xml:space="preserve"> </w:t>
      </w:r>
      <w:hyperlink w:anchor="ref-17">
        <w:r>
          <w:rPr>
            <w:rStyle w:val="Hyperlink"/>
          </w:rPr>
          <w:t xml:space="preserve">[17]</w:t>
        </w:r>
      </w:hyperlink>
      <w:r>
        <w:t xml:space="preserve">. Stilwell and Goldberg carry that vocabulary straight into the orbital domain</w:t>
      </w:r>
      <w:r>
        <w:t xml:space="preserve"> </w:t>
      </w:r>
      <w:hyperlink w:anchor="ref-2">
        <w:r>
          <w:rPr>
            <w:rStyle w:val="Hyperlink"/>
          </w:rPr>
          <w:t xml:space="preserve">[2]</w:t>
        </w:r>
      </w:hyperlink>
      <w:r>
        <w:t xml:space="preserve">[5].</w:t>
      </w:r>
    </w:p>
    <w:p>
      <w:pPr>
        <w:pStyle w:val="BodyText"/>
        <w:spacing w:line="480" w:lineRule="auto"/>
        <w:ind w:firstLine="720"/>
      </w:pPr>
      <w:r>
        <w:t xml:space="preserve">Ulusoy and Reisman run a parallel argument for deep space habitat operations, casting human autonomy teaming as an investment construct and not a capability afterthought</w:t>
      </w:r>
      <w:r>
        <w:t xml:space="preserve"> </w:t>
      </w:r>
      <w:hyperlink w:anchor="ref-32">
        <w:r>
          <w:rPr>
            <w:rStyle w:val="Hyperlink"/>
          </w:rPr>
          <w:t xml:space="preserve">[32]</w:t>
        </w:r>
      </w:hyperlink>
      <w:r>
        <w:t xml:space="preserve">. Their framing sits on the human factors strand’s central claim: role design carries marginal economic value, and skipping the investment surfaces downstream in operational performance.</w:t>
      </w:r>
    </w:p>
    <w:p>
      <w:pPr>
        <w:pStyle w:val="BodyText"/>
        <w:spacing w:line="480" w:lineRule="auto"/>
        <w:ind w:firstLine="720"/>
      </w:pPr>
      <w:r>
        <w:t xml:space="preserve">One thing the human factors strand never does, and never claims to, is estimate what operator role redesign adds at the margin to safety and throughput once autonomy is already deployed. It says what role design ought to be and why it matters, leaning on a deep well of accumulated aviation evidence. It yields no joint estimand. Across the corpus pulled for this dissertation, no human factors paper attempts a quantitative identification of the marginal role-design effect on observational space operations data.</w:t>
      </w:r>
    </w:p>
    <w:bookmarkEnd w:id="68"/>
    <w:bookmarkStart w:id="69" w:name="X97d9ea20c4a1738d520af9cfbaed21c627273e0"/>
    <w:p>
      <w:pPr>
        <w:pStyle w:val="Heading3"/>
        <w:spacing w:line="480" w:lineRule="auto"/>
      </w:pPr>
      <w:r>
        <w:t xml:space="preserve">2.2.3 Human-machine teaming, trust, and operator confidence</w:t>
      </w:r>
    </w:p>
    <w:p>
      <w:pPr>
        <w:pStyle w:val="FirstParagraph"/>
        <w:spacing w:line="480" w:lineRule="auto"/>
      </w:pPr>
      <w:r>
        <w:t xml:space="preserve">Wedged between the operations engineering and human factors strands, a third strand makes the operator-machine relationship a unit of analysis in its own right. Gorman, Voshell, and Sliva build an explicit assessment framework for operator confidence in automated SSA and satellite control systems, treating trust calibration as something measurable</w:t>
      </w:r>
      <w:r>
        <w:t xml:space="preserve"> </w:t>
      </w:r>
      <w:hyperlink w:anchor="ref-6">
        <w:r>
          <w:rPr>
            <w:rStyle w:val="Hyperlink"/>
          </w:rPr>
          <w:t xml:space="preserve">[6]</w:t>
        </w:r>
      </w:hyperlink>
      <w:r>
        <w:t xml:space="preserve">[25]. Their framing exposes a way the substitution frame can fail. An operator who has not calibrated reliance on an automated recommender either over-trusts it, and erroneous recommendations spread, or under-trusts it, and the throughput gains never arrive. Fitzgerald, Morris, Militello, and Fletcher run a parallel argument aimed at building trust in human-machine teaming for autonomous space sensing, holding that trust gets engineered rather than shows up on its own</w:t>
      </w:r>
      <w:r>
        <w:t xml:space="preserve"> </w:t>
      </w:r>
      <w:hyperlink w:anchor="ref-8">
        <w:r>
          <w:rPr>
            <w:rStyle w:val="Hyperlink"/>
          </w:rPr>
          <w:t xml:space="preserve">[8]</w:t>
        </w:r>
      </w:hyperlink>
      <w:r>
        <w:t xml:space="preserve">. De Alba and colleagues carry the trust question into large language model integration for command and control, where the operator confidence problem sharpens under the model’s opacity and the width of its possible action space</w:t>
      </w:r>
      <w:r>
        <w:t xml:space="preserve"> </w:t>
      </w:r>
      <w:hyperlink w:anchor="ref-11">
        <w:r>
          <w:rPr>
            <w:rStyle w:val="Hyperlink"/>
          </w:rPr>
          <w:t xml:space="preserve">[11]</w:t>
        </w:r>
      </w:hyperlink>
      <w:r>
        <w:t xml:space="preserve">.</w:t>
      </w:r>
    </w:p>
    <w:p>
      <w:pPr>
        <w:pStyle w:val="BodyText"/>
        <w:spacing w:line="480" w:lineRule="auto"/>
        <w:ind w:firstLine="720"/>
      </w:pPr>
      <w:r>
        <w:t xml:space="preserve">Earlier sensor experimentation work foreshadows the trust-and-experimentation infrastructure. Buell and colleagues’ SE4 sensor exposure environment treats sensor and operator as one system that must be exercised in a controlled setting before deployment</w:t>
      </w:r>
      <w:r>
        <w:t xml:space="preserve"> </w:t>
      </w:r>
      <w:hyperlink w:anchor="ref-18">
        <w:r>
          <w:rPr>
            <w:rStyle w:val="Hyperlink"/>
          </w:rPr>
          <w:t xml:space="preserve">[18]</w:t>
        </w:r>
      </w:hyperlink>
      <w:r>
        <w:t xml:space="preserve">. Upstream, then, the trust strand ties into engineering test infrastructure; downstream, it ties into human factors. What it never manages on its own is a joint estimand of role design and autonomy authority on operational outcomes. It yields an instrument and a mechanism. The mechanism squares with the joint hypothesis. The estimand is nowhere in the literature.</w:t>
      </w:r>
    </w:p>
    <w:bookmarkEnd w:id="69"/>
    <w:bookmarkStart w:id="70" w:name="X512a98794f103af60268792b645e0fe0cd868bd"/>
    <w:p>
      <w:pPr>
        <w:pStyle w:val="Heading3"/>
        <w:spacing w:line="480" w:lineRule="auto"/>
      </w:pPr>
      <w:r>
        <w:t xml:space="preserve">2.2.4 The sociotechnical regime and the architectural framing</w:t>
      </w:r>
    </w:p>
    <w:p>
      <w:pPr>
        <w:pStyle w:val="FirstParagraph"/>
        <w:spacing w:line="480" w:lineRule="auto"/>
      </w:pPr>
      <w:r>
        <w:t xml:space="preserve">Pulling the camera back, a fourth strand plants operator and machine inside a shifting regime. The architectural sociotechnical analysis of space-use norms holds that the volume and tempo of orbital activity is reshaping skills, infrastructures, and regulation all at once, so that operator role and machine authority sit within a regime that is itself moving</w:t>
      </w:r>
      <w:r>
        <w:t xml:space="preserve"> </w:t>
      </w:r>
      <w:hyperlink w:anchor="ref-7">
        <w:r>
          <w:rPr>
            <w:rStyle w:val="Hyperlink"/>
          </w:rPr>
          <w:t xml:space="preserve">[7]</w:t>
        </w:r>
      </w:hyperlink>
      <w:r>
        <w:t xml:space="preserve">. Yap, Heiberg, and Truffer’s discourse network analysis of the emerging global socio-technical regime for tackling space debris runs the same framing at the policy level, showing the regime around deployed operators and autonomy to be itself an object of contest and design</w:t>
      </w:r>
      <w:r>
        <w:t xml:space="preserve"> </w:t>
      </w:r>
      <w:hyperlink w:anchor="ref-27">
        <w:r>
          <w:rPr>
            <w:rStyle w:val="Hyperlink"/>
          </w:rPr>
          <w:t xml:space="preserve">[27]</w:t>
        </w:r>
      </w:hyperlink>
      <w:r>
        <w:t xml:space="preserve">. Rathnasabapathy and colleagues carry the regime framing into the rating instrument: the Space Sustainability Rating is a composite indicator meant to nudge satellite operators toward long-term sustainability, and its mere existence assumes the operator-machine system is the unit of governance</w:t>
      </w:r>
      <w:r>
        <w:t xml:space="preserve"> </w:t>
      </w:r>
      <w:hyperlink w:anchor="ref-33">
        <w:r>
          <w:rPr>
            <w:rStyle w:val="Hyperlink"/>
          </w:rPr>
          <w:t xml:space="preserve">[33]</w:t>
        </w:r>
      </w:hyperlink>
      <w:r>
        <w:t xml:space="preserve">. These papers motivate the joint frame at the regime level. Once more, they yield no falsifiable joint estimand on observational data.</w:t>
      </w:r>
    </w:p>
    <w:bookmarkEnd w:id="70"/>
    <w:bookmarkStart w:id="71" w:name="summary-of-the-domain-technical-strand"/>
    <w:p>
      <w:pPr>
        <w:pStyle w:val="Heading3"/>
        <w:spacing w:line="480" w:lineRule="auto"/>
      </w:pPr>
      <w:r>
        <w:t xml:space="preserve">2.2.5 Summary of the domain technical strand</w:t>
      </w:r>
    </w:p>
    <w:p>
      <w:pPr>
        <w:pStyle w:val="FirstParagraph"/>
        <w:spacing w:line="480" w:lineRule="auto"/>
      </w:pPr>
      <w:r>
        <w:t xml:space="preserve">Taken as a whole, the domain technical literature holds the makings of a joint hypothesis. Operations engineering supplies the autonomy interventions whose effects want estimating</w:t>
      </w:r>
      <w:r>
        <w:t xml:space="preserve"> </w:t>
      </w:r>
      <w:hyperlink w:anchor="ref-1">
        <w:r>
          <w:rPr>
            <w:rStyle w:val="Hyperlink"/>
          </w:rPr>
          <w:t xml:space="preserve">[1]</w:t>
        </w:r>
      </w:hyperlink>
      <w:r>
        <w:t xml:space="preserve">[3][4][9][10][15][19][20][21][22][23][28][29][30][31]. Human factors supplies the operator-role redesign whose marginal contribution wants testing</w:t>
      </w:r>
      <w:r>
        <w:t xml:space="preserve"> </w:t>
      </w:r>
      <w:hyperlink w:anchor="ref-2">
        <w:r>
          <w:rPr>
            <w:rStyle w:val="Hyperlink"/>
          </w:rPr>
          <w:t xml:space="preserve">[2]</w:t>
        </w:r>
      </w:hyperlink>
      <w:r>
        <w:t xml:space="preserve">[5][16][17][32]. Human-machine teaming supplies the mechanism through which the joint intervention is thought to run</w:t>
      </w:r>
      <w:r>
        <w:t xml:space="preserve"> </w:t>
      </w:r>
      <w:hyperlink w:anchor="ref-6">
        <w:r>
          <w:rPr>
            <w:rStyle w:val="Hyperlink"/>
          </w:rPr>
          <w:t xml:space="preserve">[6]</w:t>
        </w:r>
      </w:hyperlink>
      <w:r>
        <w:t xml:space="preserve">[8][11][18][25]. The sociotechnical regime strand supplies the architectural warrant for reading the two interventions as parts of one system</w:t>
      </w:r>
      <w:r>
        <w:t xml:space="preserve"> </w:t>
      </w:r>
      <w:hyperlink w:anchor="ref-7">
        <w:r>
          <w:rPr>
            <w:rStyle w:val="Hyperlink"/>
          </w:rPr>
          <w:t xml:space="preserve">[7]</w:t>
        </w:r>
      </w:hyperlink>
      <w:r>
        <w:t xml:space="preserve">[27][33]. What none of the four sub-strands supplies is a credible quantitative identification strategy for estimating the joint effect on observational operational data. No paper in the retrieved corpus closes that loop.</w:t>
      </w:r>
    </w:p>
    <w:bookmarkEnd w:id="71"/>
    <w:bookmarkEnd w:id="72"/>
    <w:bookmarkStart w:id="78"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Turning to the second literature, the review is cliometric and econometric methodology bearing on causal joint effects for small observational panels. It is selective, not exhaustive. The bar for inclusion is direct relevance to the dissertation’s identification problem.</w:t>
      </w:r>
    </w:p>
    <w:bookmarkStart w:id="73" w:name="Xbc419a49d1682ff48b14116561f99683230475a"/>
    <w:p>
      <w:pPr>
        <w:pStyle w:val="Heading3"/>
        <w:spacing w:line="480" w:lineRule="auto"/>
      </w:pPr>
      <w:r>
        <w:t xml:space="preserve">2.3.1 Cross-sectional regression on programmatic records</w:t>
      </w:r>
    </w:p>
    <w:p>
      <w:pPr>
        <w:pStyle w:val="FirstParagraph"/>
        <w:spacing w:line="480" w:lineRule="auto"/>
      </w:pPr>
      <w:r>
        <w:t xml:space="preserve">Start with cross-sectional regression on programmatic records as a way to estimate partial effects in space programs. The companion empirical papers here show that the GAO Major Project Assessment series codes into a workable cross-section, with cost overrun or schedule slip as the dependent variable and autonomy level, operator staffing, planned duration, and a binary flag for coordinated role redesign as regressors</w:t>
      </w:r>
      <w:r>
        <w:t xml:space="preserve"> </w:t>
      </w:r>
      <w:hyperlink w:anchor="ref-12">
        <w:r>
          <w:rPr>
            <w:rStyle w:val="Hyperlink"/>
          </w:rPr>
          <w:t xml:space="preserve">[12]</w:t>
        </w:r>
      </w:hyperlink>
      <w:r>
        <w:t xml:space="preserve">[14]. Dwyer, Szajnfarber, Cameron, and Crawley set the cliometric precedent: their model for understanding and managing cost growth on joint programs is a cross-program regression on programmatic records built to isolate the partial effects of governance variables on cost performance</w:t>
      </w:r>
      <w:r>
        <w:t xml:space="preserve"> </w:t>
      </w:r>
      <w:hyperlink w:anchor="ref-26">
        <w:r>
          <w:rPr>
            <w:rStyle w:val="Hyperlink"/>
          </w:rPr>
          <w:t xml:space="preserve">[26]</w:t>
        </w:r>
      </w:hyperlink>
      <w:r>
        <w:t xml:space="preserve">. In method the Dwyer team’s approach lines up with Paper 1’s regression specification, and it warrants OLS on a small NASA major-project cross-section as a defensible first-pass estimator. The Dwyer paper also lays the limits bare: small samples, ordinal coding of design variables, and no within-program variation push the analyst to read the results as descriptive of a partial-additive structure rather than as a causal estimate.</w:t>
      </w:r>
    </w:p>
    <w:bookmarkEnd w:id="73"/>
    <w:bookmarkStart w:id="74" w:name="binary-outcomes-and-logistic-estimation"/>
    <w:p>
      <w:pPr>
        <w:pStyle w:val="Heading3"/>
        <w:spacing w:line="480" w:lineRule="auto"/>
      </w:pPr>
      <w:r>
        <w:t xml:space="preserve">2.3.2 Binary outcomes and logistic estimation</w:t>
      </w:r>
    </w:p>
    <w:p>
      <w:pPr>
        <w:pStyle w:val="FirstParagraph"/>
        <w:spacing w:line="480" w:lineRule="auto"/>
      </w:pPr>
      <w:r>
        <w:t xml:space="preserve">For binary outcomes the method of choice is logistic regression. Paper 2 works a schedule-slip-greater-than-six-months outcome, a 0/1 flag on the same row set as the cost regression. Logit on programmatic records is the standard tool there. Reading the log operator staffing coefficient as a marker of programmatic complexity, not a clean causal effect, keeps faith with the wider cliometric tradition, where staffing is itself an outcome of the underlying complexity that also breeds the slip risk</w:t>
      </w:r>
      <w:r>
        <w:t xml:space="preserve"> </w:t>
      </w:r>
      <w:hyperlink w:anchor="ref-26">
        <w:r>
          <w:rPr>
            <w:rStyle w:val="Hyperlink"/>
          </w:rPr>
          <w:t xml:space="preserve">[26]</w:t>
        </w:r>
      </w:hyperlink>
      <w:r>
        <w:t xml:space="preserve">. The limits Paper 2 flags, the small sample, the information loss from binarization, and the secondary-source coding of the autonomy rubric, are the canonical limits of logit on programmatic cross-sections and belong to no single study.</w:t>
      </w:r>
    </w:p>
    <w:bookmarkEnd w:id="74"/>
    <w:bookmarkStart w:id="75" w:name="X9d85107aac55e48e7ca745b066aba699baa8faa"/>
    <w:p>
      <w:pPr>
        <w:pStyle w:val="Heading3"/>
        <w:spacing w:line="480" w:lineRule="auto"/>
      </w:pPr>
      <w:r>
        <w:t xml:space="preserve">2.3.3 Difference-in-differences on staggered adoption</w:t>
      </w:r>
    </w:p>
    <w:p>
      <w:pPr>
        <w:pStyle w:val="FirstParagraph"/>
        <w:spacing w:line="480" w:lineRule="auto"/>
      </w:pPr>
      <w:r>
        <w:t xml:space="preserve">For the operational arm the main identification strategy is the staggered difference-in-differences estimator on center-month panels. It works the fact that operations centers took up automation-dependent workflows and operator role redesigns at different dates and to different depths. Once again the method warrant on operational records is the Dwyer team’s precedent for treating programmatic records as a panel fit for partial-effect estimation</w:t>
      </w:r>
      <w:r>
        <w:t xml:space="preserve"> </w:t>
      </w:r>
      <w:hyperlink w:anchor="ref-26">
        <w:r>
          <w:rPr>
            <w:rStyle w:val="Hyperlink"/>
          </w:rPr>
          <w:t xml:space="preserve">[26]</w:t>
        </w:r>
      </w:hyperlink>
      <w:r>
        <w:t xml:space="preserve">. Parallel trends, event-study plots, and placebo tests on pre-treatment periods, the cliometric tradition’s watchwords, shape the robustness checks the dissertation’s quantitative arm reports.</w:t>
      </w:r>
    </w:p>
    <w:bookmarkEnd w:id="75"/>
    <w:bookmarkStart w:id="76" w:name="triangulation-and-mixed-method-inference"/>
    <w:p>
      <w:pPr>
        <w:pStyle w:val="Heading3"/>
        <w:spacing w:line="480" w:lineRule="auto"/>
      </w:pPr>
      <w:r>
        <w:t xml:space="preserve">2.3.4 Triangulation and mixed-method inference</w:t>
      </w:r>
    </w:p>
    <w:p>
      <w:pPr>
        <w:pStyle w:val="FirstParagraph"/>
        <w:spacing w:line="480" w:lineRule="auto"/>
      </w:pPr>
      <w:r>
        <w:t xml:space="preserve">Nothing about the cliometric tradition is only quantitative. The Dwyer team’s joint-programs paper leans on programmatic documentary review to fix the regression variables, and the human factors and human-machine teaming strands furnish the mechanism evidence by which a quantitative estimate reads causally rather than associationally</w:t>
      </w:r>
      <w:r>
        <w:t xml:space="preserve"> </w:t>
      </w:r>
      <w:hyperlink w:anchor="ref-2">
        <w:r>
          <w:rPr>
            <w:rStyle w:val="Hyperlink"/>
          </w:rPr>
          <w:t xml:space="preserve">[2]</w:t>
        </w:r>
      </w:hyperlink>
      <w:r>
        <w:t xml:space="preserve">[5][6][8]. Difference-in-differences estimates meeting mechanism evidence from structured interview and observation protocols, the triangulation logic the dissertation runs, squares with the wider social-science methodology in which mixed-method designs discipline causal claims on observational data.</w:t>
      </w:r>
    </w:p>
    <w:bookmarkEnd w:id="76"/>
    <w:bookmarkStart w:id="77" w:name="X14112c93ea8c59e4e445745dfa0c90a455a5b37"/>
    <w:p>
      <w:pPr>
        <w:pStyle w:val="Heading3"/>
        <w:spacing w:line="480" w:lineRule="auto"/>
      </w:pPr>
      <w:r>
        <w:t xml:space="preserve">2.3.5 What the cliometric literature does not yet do for space operations</w:t>
      </w:r>
    </w:p>
    <w:p>
      <w:pPr>
        <w:pStyle w:val="FirstParagraph"/>
        <w:spacing w:line="480" w:lineRule="auto"/>
      </w:pPr>
      <w:r>
        <w:t xml:space="preserve">Narrow describes the cliometric literature that bears on this dissertation. The Dwyer cost-growth paper is the nearest precedent going, and it is one paper</w:t>
      </w:r>
      <w:r>
        <w:t xml:space="preserve"> </w:t>
      </w:r>
      <w:hyperlink w:anchor="ref-26">
        <w:r>
          <w:rPr>
            <w:rStyle w:val="Hyperlink"/>
          </w:rPr>
          <w:t xml:space="preserve">[26]</w:t>
        </w:r>
      </w:hyperlink>
      <w:r>
        <w:t xml:space="preserve">. The GAO Major Project Assessment series hands over the programmatic data yet is an audit instrument, not a methodological treatise</w:t>
      </w:r>
      <w:r>
        <w:t xml:space="preserve"> </w:t>
      </w:r>
      <w:hyperlink w:anchor="ref-12">
        <w:r>
          <w:rPr>
            <w:rStyle w:val="Hyperlink"/>
          </w:rPr>
          <w:t xml:space="preserve">[12]</w:t>
        </w:r>
      </w:hyperlink>
      <w:r>
        <w:t xml:space="preserve">[14]. No paper in the cliometric and econometric methodology literature yet runs staggered difference-in-differences on space operations center panels to estimate a joint sociotechnical intervention. The methods exist. Aiming them at this domain has not happened. That gap is, in part, the one this dissertation closes.</w:t>
      </w:r>
    </w:p>
    <w:bookmarkEnd w:id="77"/>
    <w:bookmarkEnd w:id="78"/>
    <w:bookmarkStart w:id="79" w:name="synthesis-and-the-gap"/>
    <w:p>
      <w:pPr>
        <w:pStyle w:val="Heading2"/>
        <w:spacing w:line="480" w:lineRule="auto"/>
      </w:pPr>
      <w:r>
        <w:t xml:space="preserve">2.4 Synthesis and the Gap</w:t>
      </w:r>
    </w:p>
    <w:p>
      <w:pPr>
        <w:pStyle w:val="FirstParagraph"/>
        <w:spacing w:line="480" w:lineRule="auto"/>
      </w:pPr>
      <w:r>
        <w:t xml:space="preserve">In a way you can pin down, the two literatures talk past each other. The domain technical literature holds the constructs of the joint hypothesis yet aims no quantitative identification strategy at the operational and programmatic data where the hypothesis would get tested</w:t>
      </w:r>
      <w:r>
        <w:t xml:space="preserve"> </w:t>
      </w:r>
      <w:hyperlink w:anchor="ref-1">
        <w:r>
          <w:rPr>
            <w:rStyle w:val="Hyperlink"/>
          </w:rPr>
          <w:t xml:space="preserve">[1]</w:t>
        </w:r>
      </w:hyperlink>
      <w:r>
        <w:t xml:space="preserve">[2][3][4][5][6][7][8][9][10][11][13][15][16][17][18][19][20][21][22][23][24][25][27][28][29][30][31][32][33]. The cliometric and econometric methodology literature holds the identification strategies yet has not been aimed here, save the partial exception of the Dwyer cost-growth precedent on programmatic joint-programs records</w:t>
      </w:r>
      <w:r>
        <w:t xml:space="preserve"> </w:t>
      </w:r>
      <w:hyperlink w:anchor="ref-26">
        <w:r>
          <w:rPr>
            <w:rStyle w:val="Hyperlink"/>
          </w:rPr>
          <w:t xml:space="preserve">[26]</w:t>
        </w:r>
      </w:hyperlink>
      <w:r>
        <w:t xml:space="preserve">. So the joint estimand, what coordinated operator-role-and-autonomy intervention does at the margin to safety and throughput outcomes, is sayable in the domain tongue and estimable in the method tongue, and still goes unestimated.</w:t>
      </w:r>
    </w:p>
    <w:p>
      <w:pPr>
        <w:pStyle w:val="BodyText"/>
        <w:spacing w:line="480" w:lineRule="auto"/>
        <w:ind w:firstLine="720"/>
      </w:pPr>
      <w:r>
        <w:t xml:space="preserve">Paper 1 on cost overrun and Paper 2 on schedule slip are first tries at aiming the method apparatus at a programmatic dataset where the joint construct codes. Their scope is modest by design: cross-sectional OLS and logit on 30 NASA major projects, with documentary coding of the joint-optimization indicator. They do not exhaust the joint estimand. What they show is that the apparatus runs on real data, that the joint-optimization indicator carries a large and precisely estimated negative coefficient on cost overrun once autonomy and staffing are held fixed, and that staffing rules schedule slip along lines that fit the sociotechnical-seam reading over the substitution reading. The operational arm carries the same apparatus into the staggered difference-in-differences setting on center-month panels with safety and throughput as outcomes, where identification is stronger and the policy relevance is sharper.</w:t>
      </w:r>
    </w:p>
    <w:p>
      <w:pPr>
        <w:pStyle w:val="BodyText"/>
        <w:spacing w:line="480" w:lineRule="auto"/>
        <w:ind w:firstLine="720"/>
      </w:pPr>
      <w:r>
        <w:t xml:space="preserve">What is missing, then, is not either literature’s existence. It is the absence of a study that folds the two into one estimand on observational data of the kind this domain actually throws off. The domain technical literature, across its operations engineering, human factors, human-machine teaming, and sociotechnical regime sub-strands, motivates the joint hypothesis without quantifying it</w:t>
      </w:r>
      <w:r>
        <w:t xml:space="preserve"> </w:t>
      </w:r>
      <w:hyperlink w:anchor="ref-1">
        <w:r>
          <w:rPr>
            <w:rStyle w:val="Hyperlink"/>
          </w:rPr>
          <w:t xml:space="preserve">[1]</w:t>
        </w:r>
      </w:hyperlink>
      <w:r>
        <w:t xml:space="preserve">[2][3][4][5][6][7][8][9][10][11][27][32][33]. The cliometric and econometric methodology literature, its programmatic regression precedent in the Dwyer cost-growth paper included, supplies the identification apparatus without ever aiming it at this domain in a joint specification</w:t>
      </w:r>
      <w:r>
        <w:t xml:space="preserve"> </w:t>
      </w:r>
      <w:hyperlink w:anchor="ref-26">
        <w:r>
          <w:rPr>
            <w:rStyle w:val="Hyperlink"/>
          </w:rPr>
          <w:t xml:space="preserve">[26]</w:t>
        </w:r>
      </w:hyperlink>
      <w:r>
        <w:t xml:space="preserve">. This dissertation folds them together.</w:t>
      </w:r>
    </w:p>
    <w:bookmarkEnd w:id="79"/>
    <w:bookmarkStart w:id="80" w:name="boundary-conditions"/>
    <w:p>
      <w:pPr>
        <w:pStyle w:val="Heading2"/>
        <w:spacing w:line="480" w:lineRule="auto"/>
      </w:pPr>
      <w:r>
        <w:t xml:space="preserve">2.5 Boundary Conditions</w:t>
      </w:r>
    </w:p>
    <w:p>
      <w:pPr>
        <w:pStyle w:val="FirstParagraph"/>
        <w:spacing w:line="480" w:lineRule="auto"/>
      </w:pPr>
      <w:r>
        <w:t xml:space="preserve">Three boundary conditions go on the record here for the chapters ahead. First, the population of automation-dependent space operations centers is small and mixed, and the population of NASA major projects the cliometric apparatus runs on is likewise small; the dissertation’s claims stay penned to that population. Second, the joint-optimization construct is a composite coded off documentary review and interview evidence rather than measured outright, so the coding rule and inter-coder agreement statistics get pre-registered. Third, the dissertation runs entirely on releasable records: the GAO Major Project Assessment series</w:t>
      </w:r>
      <w:r>
        <w:t xml:space="preserve"> </w:t>
      </w:r>
      <w:hyperlink w:anchor="ref-12">
        <w:r>
          <w:rPr>
            <w:rStyle w:val="Hyperlink"/>
          </w:rPr>
          <w:t xml:space="preserve">[12]</w:t>
        </w:r>
      </w:hyperlink>
      <w:r>
        <w:t xml:space="preserve">[14], publicly released AMOS proceedings</w:t>
      </w:r>
      <w:r>
        <w:t xml:space="preserve"> </w:t>
      </w:r>
      <w:hyperlink w:anchor="ref-1">
        <w:r>
          <w:rPr>
            <w:rStyle w:val="Hyperlink"/>
          </w:rPr>
          <w:t xml:space="preserve">[1]</w:t>
        </w:r>
      </w:hyperlink>
      <w:r>
        <w:t xml:space="preserve">[2][3][4][5][6][8][9][10][11][15][18][19][20][21][22][23][24][25], publicly archived Acta Astronautica articles</w:t>
      </w:r>
      <w:r>
        <w:t xml:space="preserve"> </w:t>
      </w:r>
      <w:hyperlink w:anchor="ref-13">
        <w:r>
          <w:rPr>
            <w:rStyle w:val="Hyperlink"/>
          </w:rPr>
          <w:t xml:space="preserve">[13]</w:t>
        </w:r>
      </w:hyperlink>
      <w:r>
        <w:t xml:space="preserve">[26][27][28][29][30][31][32][33], and operational catalogs reachable through credentialed but unclassified access. Together these conditions discipline the inference and keep the work reproducible.</w:t>
      </w:r>
    </w:p>
    <w:bookmarkEnd w:id="80"/>
    <w:bookmarkEnd w:id="81"/>
    <w:bookmarkStart w:id="91" w:name="Xcfcc00a3ded59aed0c781c16bfc121f2a509603"/>
    <w:p>
      <w:pPr>
        <w:pStyle w:val="Heading1"/>
        <w:spacing w:line="480" w:lineRule="auto"/>
      </w:pPr>
      <w:r>
        <w:t xml:space="preserve">Chapter 3. Theoretical Framework and Hypotheses</w:t>
      </w:r>
    </w:p>
    <w:bookmarkStart w:id="82" w:name="orientation-1"/>
    <w:p>
      <w:pPr>
        <w:pStyle w:val="Heading2"/>
        <w:spacing w:line="480" w:lineRule="auto"/>
      </w:pPr>
      <w:r>
        <w:t xml:space="preserve">3.1 Orientation</w:t>
      </w:r>
    </w:p>
    <w:p>
      <w:pPr>
        <w:pStyle w:val="FirstParagraph"/>
        <w:spacing w:line="480" w:lineRule="auto"/>
      </w:pPr>
      <w:r>
        <w:t xml:space="preserve">The empirical record from the earlier chapters poses a theoretical problem sharper than the autonomy-substitution literature tends to admit. Across the current space domain awareness modernization corpus, the engineering posture treats autonomy as a function-reallocation problem, one in which routine cognitive labor migrates step by step off operators and onto machine reasoners, state recommenders, and integrated information systems [1, 3, 4]. Its implicit causal model runs linear and substitutional: more machine authority buys less operator workload, which buys safer and more throughput-efficient operations. That linear story fell apart under the cross-sectional cost-overrun analysis in the companion paper. Autonomy level on its own bore no statistically distinguishable tie to cost discipline across thirty NASA major projects, while the binary flag for coordinated operator-role redesign moved with overrun by roughly twenty-six percentage points and came back precisely estimated. That asymmetry, where the seam between operator and machine does the explaining rather than the autonomy step, is the puzzle this chapter turns into a theoretical mechanism and into the formal hypotheses H0 and H1 the dissertation settles.</w:t>
      </w:r>
    </w:p>
    <w:p>
      <w:pPr>
        <w:pStyle w:val="BodyText"/>
        <w:spacing w:line="480" w:lineRule="auto"/>
        <w:ind w:firstLine="720"/>
      </w:pPr>
      <w:r>
        <w:t xml:space="preserve">Five movements shape the chapter. Section 3.2 pins down the mechanism by which pairing operator role boundaries with autonomy authority allocation is expected to yield a Pareto improvement in safety and throughput, drawing it from a convergent read of the crew resource management, operator confidence, and architectural sociotechnical literatures [2, 5, 6, 7]. Section 3.3 lays the causal logic out step by step, naming the intermediate constructs through which the joint intervention is thought to act on the two outcome axes. Section 3.4 states the formal hypotheses H0 and H1 and spells out when each counts as supported. Section 3.5 fixes the framework’s boundary conditions and scope. Section 3.6 closes by tying the framework to the identification strategy adopted in Chapter 4.</w:t>
      </w:r>
    </w:p>
    <w:bookmarkEnd w:id="82"/>
    <w:bookmarkStart w:id="86" w:name="the-theoretical-mechanism"/>
    <w:p>
      <w:pPr>
        <w:pStyle w:val="Heading2"/>
        <w:spacing w:line="480" w:lineRule="auto"/>
      </w:pPr>
      <w:r>
        <w:t xml:space="preserve">3.2 The Theoretical Mechanism</w:t>
      </w:r>
    </w:p>
    <w:bookmarkStart w:id="83" w:name="the-seam-as-a-unit-of-analysis"/>
    <w:p>
      <w:pPr>
        <w:pStyle w:val="Heading3"/>
        <w:spacing w:line="480" w:lineRule="auto"/>
      </w:pPr>
      <w:r>
        <w:t xml:space="preserve">3.2.1 The seam as a unit of analysis</w:t>
      </w:r>
    </w:p>
    <w:p>
      <w:pPr>
        <w:pStyle w:val="FirstParagraph"/>
        <w:spacing w:line="480" w:lineRule="auto"/>
      </w:pPr>
      <w:r>
        <w:t xml:space="preserve">Convention keeps the operator and the autonomous component as separate units whose performance you can add up. The framework breaks with that convention. It makes the seam between them the unit where causation runs. That seam is where authority gets allocated, where information moves from machine assessment to human judgment and back, where trust gets calibrated, and where role boundaries either line up with or grind against the implicit role assignments baked into the autonomy’s design [6, 8]. This squares with the human-machine teaming literature on autonomous space sensing, which has shown operator trust to be a property not of the human alone but of the human-machine dyad working inside an organizational role architecture</w:t>
      </w:r>
      <w:r>
        <w:t xml:space="preserve"> </w:t>
      </w:r>
      <w:hyperlink w:anchor="ref-8">
        <w:r>
          <w:rPr>
            <w:rStyle w:val="Hyperlink"/>
          </w:rPr>
          <w:t xml:space="preserve">[8]</w:t>
        </w:r>
      </w:hyperlink>
      <w:r>
        <w:t xml:space="preserve">. It squares too with the architectural sociotechnical analysis of space-use norms, which reads infrastructural, skill, and regulatory dimensions as co-evolving rather than as independent levers</w:t>
      </w:r>
      <w:r>
        <w:t xml:space="preserve"> </w:t>
      </w:r>
      <w:hyperlink w:anchor="ref-7">
        <w:r>
          <w:rPr>
            <w:rStyle w:val="Hyperlink"/>
          </w:rPr>
          <w:t xml:space="preserve">[7]</w:t>
        </w:r>
      </w:hyperlink>
      <w:r>
        <w:t xml:space="preserve">.</w:t>
      </w:r>
    </w:p>
    <w:p>
      <w:pPr>
        <w:pStyle w:val="BodyText"/>
        <w:spacing w:line="480" w:lineRule="auto"/>
        <w:ind w:firstLine="720"/>
      </w:pPr>
      <w:r>
        <w:t xml:space="preserve">Make the seam the unit of analysis and a methodological consequence lands at once. Interventions on the human side alone, training say, and interventions on the machine side alone, bumping the autonomy maturity step say, are not expected to yield equal or even additive effects on the outcomes at stake. Complementarity is the seam’s theorized property: an autonomy intervention’s marginal effect is expected to hinge on the state of the operator role architecture, and a role redesign’s marginal effect is expected to hinge on the state of the autonomy. In that light the Pareto improvement claim in H1 is a complementarity claim.</w:t>
      </w:r>
    </w:p>
    <w:bookmarkEnd w:id="83"/>
    <w:bookmarkStart w:id="84" w:name="the-three-intermediate-constructs"/>
    <w:p>
      <w:pPr>
        <w:pStyle w:val="Heading3"/>
        <w:spacing w:line="480" w:lineRule="auto"/>
      </w:pPr>
      <w:r>
        <w:t xml:space="preserve">3.2.2 The three intermediate constructs</w:t>
      </w:r>
    </w:p>
    <w:p>
      <w:pPr>
        <w:pStyle w:val="FirstParagraph"/>
        <w:spacing w:line="480" w:lineRule="auto"/>
      </w:pPr>
      <w:r>
        <w:t xml:space="preserve">Three intermediate constructs are thought to mediate between the joint intervention and the two outcome axes. Drawn from a convergent read of the literatures Chapter 2 named, they get pinned down here in the form measurement and causal inference require.</w:t>
      </w:r>
    </w:p>
    <w:p>
      <w:pPr>
        <w:pStyle w:val="BodyText"/>
        <w:spacing w:line="480" w:lineRule="auto"/>
        <w:ind w:firstLine="720"/>
      </w:pPr>
      <w:r>
        <w:t xml:space="preserve">Trust calibration comes first. It is how well an operator’s stated reliance on machine outputs lines up with those outputs’ actual reliability across the operational envelope [6, 8]. Miscalibrated trust, whether tilted toward over-reliance or under-reliance, breeds predictable slippage in operator-machine team performance, as the operator confidence assessment literature records</w:t>
      </w:r>
      <w:r>
        <w:t xml:space="preserve"> </w:t>
      </w:r>
      <w:hyperlink w:anchor="ref-6">
        <w:r>
          <w:rPr>
            <w:rStyle w:val="Hyperlink"/>
          </w:rPr>
          <w:t xml:space="preserve">[6]</w:t>
        </w:r>
      </w:hyperlink>
      <w:r>
        <w:t xml:space="preserve">. Joint optimization is thought to sharpen trust calibration because role redesign spells out when the operator should defer to and when the operator should override machine outputs, and because autonomy authority allocation paired with role redesign tends to surface the machine’s confidence and provenance signals at the seam where the operator can use them [1, 6, 8].</w:t>
      </w:r>
    </w:p>
    <w:p>
      <w:pPr>
        <w:pStyle w:val="BodyText"/>
        <w:spacing w:line="480" w:lineRule="auto"/>
        <w:ind w:firstLine="720"/>
      </w:pPr>
      <w:r>
        <w:t xml:space="preserve">Mode awareness comes second. It is how accurately the operator holds, at any moment, the autonomy’s current operating mode, the authority that mode confers, and the boundary conditions that trigger a mode transition [5, 16]. The very heart of the classical ironies-of-automation argument is that automation reorganizes rather than erases the cognitive demands on the operator, and that mode-related failures cluster at the seams between automation regimes</w:t>
      </w:r>
      <w:r>
        <w:t xml:space="preserve"> </w:t>
      </w:r>
      <w:hyperlink w:anchor="ref-16">
        <w:r>
          <w:rPr>
            <w:rStyle w:val="Hyperlink"/>
          </w:rPr>
          <w:t xml:space="preserve">[16]</w:t>
        </w:r>
      </w:hyperlink>
      <w:r>
        <w:t xml:space="preserve">. The adaptive-automation literature has since shown that allocating authority across modes is itself a design decision with measurable consequences for the operator’s situational model</w:t>
      </w:r>
      <w:r>
        <w:t xml:space="preserve"> </w:t>
      </w:r>
      <w:hyperlink w:anchor="ref-17">
        <w:r>
          <w:rPr>
            <w:rStyle w:val="Hyperlink"/>
          </w:rPr>
          <w:t xml:space="preserve">[17]</w:t>
        </w:r>
      </w:hyperlink>
      <w:r>
        <w:t xml:space="preserve">. Joint optimization is thought to sharpen mode awareness because role redesign spells out the operator’s duties under each autonomy mode, and because authority allocation deliberately paired with role redesign tends to surface mode transitions at the seam rather than bury them in the machine’s internal state.</w:t>
      </w:r>
    </w:p>
    <w:p>
      <w:pPr>
        <w:pStyle w:val="BodyText"/>
        <w:spacing w:line="480" w:lineRule="auto"/>
        <w:ind w:firstLine="720"/>
      </w:pPr>
      <w:r>
        <w:t xml:space="preserve">Role-boundary clarity comes third. It is how far the operator, the operator’s team, and the supervising organization share one unambiguous grasp of the operator’s duties, prerogatives, and accountabilities under the deployed autonomy [2, 5]. Role ambiguity keeps turning up as a driver of coordination failures in automation-dependent settings, as the crew resource management literature for space domain operations has found</w:t>
      </w:r>
      <w:r>
        <w:t xml:space="preserve"> </w:t>
      </w:r>
      <w:hyperlink w:anchor="ref-2">
        <w:r>
          <w:rPr>
            <w:rStyle w:val="Hyperlink"/>
          </w:rPr>
          <w:t xml:space="preserve">[2]</w:t>
        </w:r>
      </w:hyperlink>
      <w:r>
        <w:t xml:space="preserve">, and the aviation-derived human factors framework carried into orbital operations treats role-boundary articulation as a precondition for threat and error management at the team level</w:t>
      </w:r>
      <w:r>
        <w:t xml:space="preserve"> </w:t>
      </w:r>
      <w:hyperlink w:anchor="ref-5">
        <w:r>
          <w:rPr>
            <w:rStyle w:val="Hyperlink"/>
          </w:rPr>
          <w:t xml:space="preserve">[5]</w:t>
        </w:r>
      </w:hyperlink>
      <w:r>
        <w:t xml:space="preserve">. Joint optimization is thought to sharpen role-boundary clarity because the redesign exercise is, at bottom, an act of role-boundary articulation, and because authority allocation paired with that articulation tends to settle on a coherent division of labor rather than the implicit, often clashing role assignments that pile up when autonomy gets layered onto old console architectures.</w:t>
      </w:r>
    </w:p>
    <w:bookmarkEnd w:id="84"/>
    <w:bookmarkStart w:id="85" w:name="from-intermediate-constructs-to-outcomes"/>
    <w:p>
      <w:pPr>
        <w:pStyle w:val="Heading3"/>
        <w:spacing w:line="480" w:lineRule="auto"/>
      </w:pPr>
      <w:r>
        <w:t xml:space="preserve">3.2.3 From intermediate constructs to outcomes</w:t>
      </w:r>
    </w:p>
    <w:p>
      <w:pPr>
        <w:pStyle w:val="FirstParagraph"/>
        <w:spacing w:line="480" w:lineRule="auto"/>
      </w:pPr>
      <w:r>
        <w:t xml:space="preserve">Through separate but mutually reinforcing pathways, the three intermediate constructs are thought to act on the two outcome axes. On safety, trust calibration cuts the rate of operator-machine disagreements that harden into operational events, by keeping the operator’s reliance posture tracking the machine’s actual reliability [6, 8]. Mode awareness cuts the rate of mode-confusion events the ironies-of-automation literature marks as a signature failure pattern of automation-dependent systems [16, 17]. Role-boundary clarity cuts the rate of coordination failures crew resource management research names a leading driver of operational events at the team level [2, 5]. The three pathways run in parallel; the safety prediction in H1 is the joint claim that all three improve enough to register a detectable drop in the safety event rate.</w:t>
      </w:r>
    </w:p>
    <w:p>
      <w:pPr>
        <w:pStyle w:val="BodyText"/>
        <w:spacing w:line="480" w:lineRule="auto"/>
        <w:ind w:firstLine="720"/>
      </w:pPr>
      <w:r>
        <w:t xml:space="preserve">On throughput, trust calibration cuts the time the operator burns adjudicating machine outputs at confidence levels that correct calibration would settle by deferral or override [1, 6]. Mode awareness cuts the time lost to mode-recovery actions when the autonomy transitions in ways the operator did not see coming [16, 17]. Role-boundary clarity cuts the time lost to intra-team coordination overhead when duties get disputed or duplicated [2, 5]. Again the three run in parallel; the throughput prediction in H1 is the joint claim that all three improve enough to register a detectable rise in tasking throughput per operator full-time equivalent.</w:t>
      </w:r>
    </w:p>
    <w:p>
      <w:pPr>
        <w:pStyle w:val="BodyText"/>
        <w:spacing w:line="480" w:lineRule="auto"/>
        <w:ind w:firstLine="720"/>
      </w:pPr>
      <w:r>
        <w:t xml:space="preserve">The Pareto-improvement structure of H1 is a substantive theoretical commitment, not a notational shortcut. The framework predicts joint optimization moves both axes the favorable way at once. Any result where one axis gains at the other’s expense would teach something theoretically yet would not, strictly, support H1.</w:t>
      </w:r>
    </w:p>
    <w:bookmarkEnd w:id="85"/>
    <w:bookmarkEnd w:id="86"/>
    <w:bookmarkStart w:id="87" w:name="the-causal-logic"/>
    <w:p>
      <w:pPr>
        <w:pStyle w:val="Heading2"/>
        <w:spacing w:line="480" w:lineRule="auto"/>
      </w:pPr>
      <w:r>
        <w:t xml:space="preserve">3.3 The Causal Logic</w:t>
      </w:r>
    </w:p>
    <w:p>
      <w:pPr>
        <w:pStyle w:val="FirstParagraph"/>
        <w:spacing w:line="480" w:lineRule="auto"/>
      </w:pPr>
      <w:r>
        <w:t xml:space="preserve">Five steps set out the causal logic the mechanism implies. Each names a claim that must hold for the joint-optimization argument to stand, and each roots in the corpus assembled in Chapter 2.</w:t>
      </w:r>
    </w:p>
    <w:p>
      <w:pPr>
        <w:pStyle w:val="BodyText"/>
        <w:spacing w:line="480" w:lineRule="auto"/>
        <w:ind w:firstLine="720"/>
      </w:pPr>
      <w:r>
        <w:t xml:space="preserve">Step one is the substitutability premise of the autonomy-only modernization path. It holds that raising machine authority will, other things equal, cut operator workload and so improve both safety and throughput [1, 3, 4]. The companion paper’s cost-overrun analysis turned up no statistical support for substitutability at the program-portfolio level. So the framework declines to take substitutability as a working premise; it treats it as the rival H0 makes operational.</w:t>
      </w:r>
    </w:p>
    <w:p>
      <w:pPr>
        <w:pStyle w:val="BodyText"/>
        <w:spacing w:line="480" w:lineRule="auto"/>
        <w:ind w:firstLine="720"/>
      </w:pPr>
      <w:r>
        <w:t xml:space="preserve">Step two is the seam-formation claim. Intend it or not, the autonomy-only modernization path opens a seam between operator and machine [6, 7]. The seam is unavoidable; the design choice is whether to optimize it or leave it implicit. Programs chasing autonomy-only modernization leave the operator role architecture untouched while changing the machine’s role, and so the seam goes under stress with no offsetting articulation.</w:t>
      </w:r>
    </w:p>
    <w:p>
      <w:pPr>
        <w:pStyle w:val="BodyText"/>
        <w:spacing w:line="480" w:lineRule="auto"/>
        <w:ind w:firstLine="720"/>
      </w:pPr>
      <w:r>
        <w:t xml:space="preserve">Step three is the complementarity claim. By construction, joint optimization articulates the seam through paired role redesign and authority allocation [2, 5, 7]. The claim is that either intervention’s marginal effect is capped by the state of the other, so paired interventions are expected to move outcomes more than either intervention alone. The companion-paper finding that the joint-optimization indicator soaked up nearly all the cost-discipline signal in the cross-section, while the autonomy step alone did not, fits the complementarity claim though it does not, alone, clinch it.</w:t>
      </w:r>
    </w:p>
    <w:p>
      <w:pPr>
        <w:pStyle w:val="BodyText"/>
        <w:spacing w:line="480" w:lineRule="auto"/>
        <w:ind w:firstLine="720"/>
      </w:pPr>
      <w:r>
        <w:t xml:space="preserve">Step four is the intermediate-construct claim. Paired interventions act through a mediating mechanism, the joint lift of trust calibration, mode awareness, and role-boundary clarity at the seam [2, 5, 6, 8, 16, 17]. This makes the mechanism falsifiable apart from the outcome estimates: should the joint intervention fail to move trust calibration, mode awareness, or role-boundary clarity in the qualitative arm, the mechanism goes unsupported whatever the outcome regression says.</w:t>
      </w:r>
    </w:p>
    <w:p>
      <w:pPr>
        <w:pStyle w:val="BodyText"/>
        <w:spacing w:line="480" w:lineRule="auto"/>
        <w:ind w:firstLine="720"/>
      </w:pPr>
      <w:r>
        <w:t xml:space="preserve">Step five is the Pareto-improvement claim itself. The mechanism predicts that lift in the three intermediate constructs carries through to both the safety and the throughput axes at once. Testable as the joint statistical significance of the two outcome estimates in the quantitative arm, the Pareto structure is no metaphor.</w:t>
      </w:r>
    </w:p>
    <w:p>
      <w:pPr>
        <w:pStyle w:val="BodyText"/>
        <w:spacing w:line="480" w:lineRule="auto"/>
        <w:ind w:firstLine="720"/>
      </w:pPr>
      <w:r>
        <w:t xml:space="preserve">Four places where H0 could hold against H1 fall out of the five-step logic. H0 holds if substitutability wins at step one and the seam carries no independent weight. It holds if joint optimization fails to articulate the seam the way the mechanism predicts. It holds if joint optimization articulates the seam but the intermediate constructs sit still. And it holds if the intermediate constructs move but the outcome carry-through is missing or runs against one of the two axes. The dissertation’s mixed design is tuned to make each of these failure modes detectable.</w:t>
      </w:r>
    </w:p>
    <w:bookmarkEnd w:id="87"/>
    <w:bookmarkStart w:id="88" w:name="the-formal-hypotheses"/>
    <w:p>
      <w:pPr>
        <w:pStyle w:val="Heading2"/>
        <w:spacing w:line="480" w:lineRule="auto"/>
      </w:pPr>
      <w:r>
        <w:t xml:space="preserve">3.4 The Formal Hypotheses</w:t>
      </w:r>
    </w:p>
    <w:p>
      <w:pPr>
        <w:pStyle w:val="FirstParagraph"/>
        <w:spacing w:line="480" w:lineRule="auto"/>
      </w:pPr>
      <w:r>
        <w:t xml:space="preserve">Both the difference-in-differences estimator of Chapter 4 and the qualitative mechanism evidence gathered alongside it need the hypotheses stated in a specific form.</w:t>
      </w:r>
    </w:p>
    <w:p>
      <w:pPr>
        <w:pStyle w:val="BodyText"/>
        <w:spacing w:line="480" w:lineRule="auto"/>
        <w:ind w:firstLine="720"/>
      </w:pPr>
      <w:r>
        <w:rPr>
          <w:b/>
          <w:bCs/>
        </w:rPr>
        <w:t xml:space="preserve">H1 (substantive).</w:t>
      </w:r>
      <w:r>
        <w:t xml:space="preserve"> </w:t>
      </w:r>
      <w:r>
        <w:t xml:space="preserve">In space operations centers undergoing automation-dependent modernization, the implementation of a coordinated operator-role-and-autonomy intervention produces a joint improvement in safety and throughput relative to centers that pursue autonomy-only modernization without coordinated role redesign. Specifically, H1 predicts (a) a statistically significant reduction in the rate of safety-relevant operational events per unit tasking volume in the post-intervention period for treated centers, relative to comparison centers and to the treated centers’ own pre-intervention trajectory, and (b) a statistically significant increase in tasking throughput per operator full-time equivalent in the post-intervention period for treated centers, relative to the same comparisons. The Pareto-improvement structure requires that both (a) and (b) hold jointly; satisfaction of one alone does not constitute support for H1.</w:t>
      </w:r>
    </w:p>
    <w:p>
      <w:pPr>
        <w:pStyle w:val="BodyText"/>
        <w:spacing w:line="480" w:lineRule="auto"/>
        <w:ind w:firstLine="720"/>
      </w:pPr>
      <w:r>
        <w:rPr>
          <w:b/>
          <w:bCs/>
        </w:rPr>
        <w:t xml:space="preserve">H0 (null).</w:t>
      </w:r>
      <w:r>
        <w:t xml:space="preserve"> </w:t>
      </w:r>
      <w:r>
        <w:t xml:space="preserve">The joint redesign produces no detectable improvement on either axis once secular trends, traffic growth, and sensor-fleet expansion are accounted for. Observed cross-sectional differences between treated and comparison centers are attributable to autonomy deployment alone, to selection on the treatment, or to confounding operational factors that the difference-in-differences specification absorbs through center and time fixed effects.</w:t>
      </w:r>
    </w:p>
    <w:p>
      <w:pPr>
        <w:pStyle w:val="BodyText"/>
        <w:spacing w:line="480" w:lineRule="auto"/>
        <w:ind w:firstLine="720"/>
      </w:pPr>
      <w:r>
        <w:t xml:space="preserve">By design the hypothesis structure runs asymmetric. H1 is a conjunction of two directional predictions, and the conjunction must hold jointly. H0 is the disjunction of failure modes that would, in any mix, leave H1 unsupported. That asymmetry mirrors the substantive commitment that the joint-optimization mechanism predicts simultaneous movement on both axes; a partial pattern, even one significant on one axis, would teach something theoretically yet would not count as support for the mechanism as stated.</w:t>
      </w:r>
    </w:p>
    <w:p>
      <w:pPr>
        <w:pStyle w:val="BodyText"/>
        <w:spacing w:line="480" w:lineRule="auto"/>
        <w:ind w:firstLine="720"/>
      </w:pPr>
      <w:r>
        <w:t xml:space="preserve">Three auxiliary predictions follow from the mechanism and get reported next to H0 and H1 as mechanism evidence, not as extra formal hypotheses. First, the qualitative arm is expected to find treated centers showing higher trust calibration, mode awareness, and role-boundary clarity than comparison centers on the structured assessment instruments adapted from the operator confidence and crew resource management literatures [2, 5, 6]. Second, the qualitative arm is expected to find that the temporal ordering of role redesign and authority reallocation matters: centers that redesigned roles ahead of authority reallocation are expected to show larger intermediate-construct movements than centers that bolted role redesign on afterward [2, 7]. Third, the quantitative event-study plots are expected to show no differential pre-trends between treated and comparison centers in the periods before the documented intervention dates; the absence of pre-trends is a precondition for reading the difference-in-differences estimate causally.</w:t>
      </w:r>
    </w:p>
    <w:p>
      <w:pPr>
        <w:pStyle w:val="BodyText"/>
        <w:spacing w:line="480" w:lineRule="auto"/>
        <w:ind w:firstLine="720"/>
      </w:pPr>
      <w:r>
        <w:t xml:space="preserve">These auxiliary predictions are not, in themselves, further tests of H1. They are mechanism diagnostics. Were H1 supported on the outcome estimates while the auxiliary predictions went uncorroborated in the qualitative arm, that would warrant a cautious causal reading and would get reported that way.</w:t>
      </w:r>
    </w:p>
    <w:bookmarkEnd w:id="88"/>
    <w:bookmarkStart w:id="89" w:name="scope-and-boundary-conditions"/>
    <w:p>
      <w:pPr>
        <w:pStyle w:val="Heading2"/>
        <w:spacing w:line="480" w:lineRule="auto"/>
      </w:pPr>
      <w:r>
        <w:t xml:space="preserve">3.5 Scope and Boundary Conditions</w:t>
      </w:r>
    </w:p>
    <w:p>
      <w:pPr>
        <w:pStyle w:val="FirstParagraph"/>
        <w:spacing w:line="480" w:lineRule="auto"/>
      </w:pPr>
      <w:r>
        <w:t xml:space="preserve">Four respects fence the framework’s scope.</w:t>
      </w:r>
    </w:p>
    <w:p>
      <w:pPr>
        <w:pStyle w:val="BodyText"/>
        <w:spacing w:line="480" w:lineRule="auto"/>
        <w:ind w:firstLine="720"/>
      </w:pPr>
      <w:r>
        <w:t xml:space="preserve">First, it applies to space operations centers that have crossed the automation-dependence threshold the architectural sociotechnical analysis of space-use norms describes</w:t>
      </w:r>
      <w:r>
        <w:t xml:space="preserve"> </w:t>
      </w:r>
      <w:hyperlink w:anchor="ref-7">
        <w:r>
          <w:rPr>
            <w:rStyle w:val="Hyperlink"/>
          </w:rPr>
          <w:t xml:space="preserve">[7]</w:t>
        </w:r>
      </w:hyperlink>
      <w:r>
        <w:t xml:space="preserve">. Below that threshold the seam sits under too little stress for the joint-optimization mechanism to register a measurable outcome movement, so the framework’s predictions are not expected to hold there. Chapter 4 operationalizes the threshold through a documentary criterion off the technical paper record [1, 3, 4].</w:t>
      </w:r>
    </w:p>
    <w:p>
      <w:pPr>
        <w:pStyle w:val="BodyText"/>
        <w:spacing w:line="480" w:lineRule="auto"/>
        <w:ind w:firstLine="720"/>
      </w:pPr>
      <w:r>
        <w:t xml:space="preserve">Second, the framework makes the operator role architecture the locus of redesign. It does not reach broader organizational restructuring at the directorate or agency level, even though that restructuring may also move the outcome axes. Keeping the treatment construct measurable and the causal logic tractable demands the fence.</w:t>
      </w:r>
    </w:p>
    <w:p>
      <w:pPr>
        <w:pStyle w:val="BodyText"/>
        <w:spacing w:line="480" w:lineRule="auto"/>
        <w:ind w:firstLine="720"/>
      </w:pPr>
      <w:r>
        <w:t xml:space="preserve">Third, the framework makes autonomy authority allocation the locus of machine-side intervention. It does not reach algorithmic gains that lift the autonomy’s underlying capability without shifting the allocation of authority between operator and machine. Capability and authority pull apart: a more capable autonomy may field at the same authority level, and the same autonomy may field at different authority levels. On capability gains that hold authority fixed, the framework stays silent.</w:t>
      </w:r>
    </w:p>
    <w:p>
      <w:pPr>
        <w:pStyle w:val="BodyText"/>
        <w:spacing w:line="480" w:lineRule="auto"/>
        <w:ind w:firstLine="720"/>
      </w:pPr>
      <w:r>
        <w:t xml:space="preserve">Fourth, the framework’s outcome axes stop at safety event rates and tasking throughput. It does not reach cost outcomes, which the companion paper handled in the cross-sectional analysis, nor longer-run outcomes like workforce retention or institutional learning. The fenced outcome set mirrors the data availability Chapter 4 describes and the dissertation’s explanatory reach, which is the seam itself rather than the whole sociotechnical system the seam sits inside.</w:t>
      </w:r>
    </w:p>
    <w:bookmarkEnd w:id="89"/>
    <w:bookmarkStart w:id="90" w:name="from-framework-to-identification"/>
    <w:p>
      <w:pPr>
        <w:pStyle w:val="Heading2"/>
        <w:spacing w:line="480" w:lineRule="auto"/>
      </w:pPr>
      <w:r>
        <w:t xml:space="preserve">3.6 From Framework to Identification</w:t>
      </w:r>
    </w:p>
    <w:p>
      <w:pPr>
        <w:pStyle w:val="FirstParagraph"/>
        <w:spacing w:line="480" w:lineRule="auto"/>
      </w:pPr>
      <w:r>
        <w:t xml:space="preserve">A handful of testable claims fall out of the framework this chapter fixes, and Chapter 4 operationalizes them through a mixed identification strategy. The quantitative arm estimates the outcome predictions through a staggered difference-in-differences specification with center and time fixed effects, using documented intervention dates to set treatment status and publicly releasable safety and throughput proxies as outcomes. The qualitative arm estimates the intermediate-construct predictions through structured cognitive engineering protocols adapted from the operator confidence and crew resource management literatures [2, 5, 6], run at a purposive sample of centers stratified by intervention type. A pre-registered coding rubric for the treatment construct binds the two arms, along with a triangulation protocol that treats convergence of outcome and mechanism evidence as the ground for a causal reading.</w:t>
      </w:r>
    </w:p>
    <w:p>
      <w:pPr>
        <w:pStyle w:val="BodyText"/>
        <w:spacing w:line="480" w:lineRule="auto"/>
        <w:ind w:firstLine="720"/>
      </w:pPr>
      <w:r>
        <w:t xml:space="preserve">Twofold is the framework’s part in the identification strategy. It hands over the theoretical warrant for treating the joint intervention as the treatment of interest rather than treating autonomy step and operator staffing as separable regressors. It also hands over the theoretical content for the mechanism diagnostics, absent which the quantitative estimate would be a reduced-form association of unknown causal status. Chapter 4 takes up operationalizing these constructs and the statistical and qualitative procedures by which the framework’s predictions get settled.</w:t>
      </w:r>
    </w:p>
    <w:bookmarkEnd w:id="90"/>
    <w:bookmarkEnd w:id="91"/>
    <w:bookmarkStart w:id="108" w:name="chapter-4.-data-and-measurement"/>
    <w:p>
      <w:pPr>
        <w:pStyle w:val="Heading1"/>
        <w:spacing w:line="480" w:lineRule="auto"/>
      </w:pPr>
      <w:r>
        <w:t xml:space="preserve">Chapter 4. Data and Measurement</w:t>
      </w:r>
    </w:p>
    <w:bookmarkStart w:id="92" w:name="purpose-of-the-chapter"/>
    <w:p>
      <w:pPr>
        <w:pStyle w:val="Heading2"/>
        <w:spacing w:line="480" w:lineRule="auto"/>
      </w:pPr>
      <w:r>
        <w:t xml:space="preserve">4.1 Purpose of the Chapter</w:t>
      </w:r>
    </w:p>
    <w:p>
      <w:pPr>
        <w:pStyle w:val="FirstParagraph"/>
        <w:spacing w:line="480" w:lineRule="auto"/>
      </w:pPr>
      <w:r>
        <w:t xml:space="preserve">One obligation falls to this chapter. It tells the reader precisely which records the empirical claims in Papers 1 and 2 stand on, where those records come from, who keeps them, what one observation is, and how each variable in the regressions gets built from primary documents. The chapter is documentary on purpose. It does not motivate the hypotheses, which is the work of Chapter 2, and it estimates no model, which is the work of Chapters 5 and 6. Its charge is to keep the measurement chain auditable from the regression table all the way back to a citable source.</w:t>
      </w:r>
    </w:p>
    <w:p>
      <w:pPr>
        <w:pStyle w:val="BodyText"/>
        <w:spacing w:line="480" w:lineRule="auto"/>
        <w:ind w:firstLine="720"/>
      </w:pPr>
      <w:r>
        <w:t xml:space="preserve">Two quantitative components and a qualitative component make up the dissertation. The two quantitative components share one row set of thirty NASA major projects and put two estimators to it: an ordinary least squares model of cost overrun in Paper 1 and a logistic model of schedule slip in Paper 2. The qualitative component is a structured cognitive engineering protocol, lifted from the aviation-derived human factors literature for space operations</w:t>
      </w:r>
      <w:r>
        <w:t xml:space="preserve"> </w:t>
      </w:r>
      <w:hyperlink w:anchor="ref-5">
        <w:r>
          <w:rPr>
            <w:rStyle w:val="Hyperlink"/>
          </w:rPr>
          <w:t xml:space="preserve">[5]</w:t>
        </w:r>
      </w:hyperlink>
      <w:r>
        <w:t xml:space="preserve"> </w:t>
      </w:r>
      <w:r>
        <w:t xml:space="preserve">and from the operator confidence assessment methods built for automated space situational awareness and satellite control systems</w:t>
      </w:r>
      <w:r>
        <w:t xml:space="preserve"> </w:t>
      </w:r>
      <w:hyperlink w:anchor="ref-6">
        <w:r>
          <w:rPr>
            <w:rStyle w:val="Hyperlink"/>
          </w:rPr>
          <w:t xml:space="preserve">[6]</w:t>
        </w:r>
      </w:hyperlink>
      <w:r>
        <w:t xml:space="preserve">. This chapter sets that protocol out at the level of instrument and population; its analysis waits for Chapter 7.</w:t>
      </w:r>
    </w:p>
    <w:p>
      <w:pPr>
        <w:pStyle w:val="BodyText"/>
        <w:spacing w:line="480" w:lineRule="auto"/>
        <w:ind w:firstLine="720"/>
      </w:pPr>
      <w:r>
        <w:t xml:space="preserve">Five movements carry the chapter. Section 4.2 fixes the unit of analysis. Section 4.3 lists the datasets used and names who keeps each. Section 4.4 walks every variable from primary record through any coding rule into the analytic column that lands in the regression. Section 4.5 documents the qualitative instruments and their source frameworks. Section 4.6 reports the integrity controls, the per-row citation discipline, and the lines the analytic plan will not cross.</w:t>
      </w:r>
    </w:p>
    <w:bookmarkEnd w:id="92"/>
    <w:bookmarkStart w:id="93" w:name="unit-of-analysis"/>
    <w:p>
      <w:pPr>
        <w:pStyle w:val="Heading2"/>
        <w:spacing w:line="480" w:lineRule="auto"/>
      </w:pPr>
      <w:r>
        <w:t xml:space="preserve">4.2 Unit of Analysis</w:t>
      </w:r>
    </w:p>
    <w:p>
      <w:pPr>
        <w:pStyle w:val="FirstParagraph"/>
        <w:spacing w:line="480" w:lineRule="auto"/>
      </w:pPr>
      <w:r>
        <w:t xml:space="preserve">For both quantitative papers the unit of analysis is the NASA major project seen at its most recent Government Accountability Office assessment milestone. A NASA major project, for this dissertation, is a flight project that shows up in the annual GAO NASA Major Project Assessment series with a confirmed cost and schedule baseline and that has been assessed at least once past baseline confirmation</w:t>
      </w:r>
      <w:r>
        <w:t xml:space="preserve"> </w:t>
      </w:r>
      <w:hyperlink w:anchor="ref-12">
        <w:r>
          <w:rPr>
            <w:rStyle w:val="Hyperlink"/>
          </w:rPr>
          <w:t xml:space="preserve">[12]</w:t>
        </w:r>
      </w:hyperlink>
      <w:r>
        <w:t xml:space="preserve">. The series spans science observatories, planetary missions, Earth-observing missions, and human spaceflight elements; the row set here spans all four sub-portfolios and covers baselines from 2011 through 2027 as GAO catalogued them across the 2012 through 2024 reporting cycles [12, 14].</w:t>
      </w:r>
    </w:p>
    <w:p>
      <w:pPr>
        <w:pStyle w:val="BodyText"/>
        <w:spacing w:line="480" w:lineRule="auto"/>
        <w:ind w:firstLine="720"/>
      </w:pPr>
      <w:r>
        <w:t xml:space="preserve">Picking the project as the unit carries three consequences for measurement. One, the dependent variables are program-level outcomes, not task-level or operator-level ones; they speak to cost growth and schedule slip at the project, not to workload or error at the console. Two, every regressor has to be a project-level attribute, so operator staffing enters as the peak operations full-time-equivalent count during prime mission for that project, not as an organization-wide headcount. Three, since each project owns just one row in the cross-section, panel methods are off the table within Papers 1 and 2; the prospectus holds the panel design back for a successor analysis once more GAO cycles add within-project variation.</w:t>
      </w:r>
    </w:p>
    <w:p>
      <w:pPr>
        <w:pStyle w:val="BodyText"/>
        <w:spacing w:line="480" w:lineRule="auto"/>
        <w:ind w:firstLine="720"/>
      </w:pPr>
      <w:r>
        <w:t xml:space="preserve">A different unit governs the qualitative arm. There the unit is the operations center, stratified by treatment type, seen through interviews with operators and supervisors and through structured observation of console activity. The two units never merge. Project-level statistical estimates and center-level cognitive engineering evidence stay analytically apart and come together only at the triangulation stage in Chapter 8.</w:t>
      </w:r>
    </w:p>
    <w:bookmarkEnd w:id="93"/>
    <w:bookmarkStart w:id="94" w:name="datasets-and-custodians-of-record"/>
    <w:p>
      <w:pPr>
        <w:pStyle w:val="Heading2"/>
        <w:spacing w:line="480" w:lineRule="auto"/>
      </w:pPr>
      <w:r>
        <w:t xml:space="preserve">4.3 Datasets and Custodians of Record</w:t>
      </w:r>
    </w:p>
    <w:p>
      <w:pPr>
        <w:pStyle w:val="FirstParagraph"/>
        <w:spacing w:line="480" w:lineRule="auto"/>
      </w:pPr>
      <w:r>
        <w:t xml:space="preserve">Four primary datasets and two coding corpora feed the empirical work. Each is open or reachable by credentialed researchers at no cost; no classified record is needed. Below, whoever keeps each dataset is named so any column in the analytic file traces back to an institution you can query for primary documents.</w:t>
      </w:r>
    </w:p>
    <w:p>
      <w:pPr>
        <w:pStyle w:val="BodyText"/>
        <w:spacing w:line="480" w:lineRule="auto"/>
        <w:ind w:firstLine="720"/>
      </w:pPr>
      <w:r>
        <w:t xml:space="preserve">The Government Accountability Office NASA Major Project Assessment series is the first dataset. It keeps the cost-overrun outcome for Paper 1 and the schedule slip outcome for Paper 2. The dissertation pulls GAO-12-207SP for the early-baseline observations</w:t>
      </w:r>
      <w:r>
        <w:t xml:space="preserve"> </w:t>
      </w:r>
      <w:hyperlink w:anchor="ref-14">
        <w:r>
          <w:rPr>
            <w:rStyle w:val="Hyperlink"/>
          </w:rPr>
          <w:t xml:space="preserve">[14]</w:t>
        </w:r>
      </w:hyperlink>
      <w:r>
        <w:t xml:space="preserve">, GAO-22-105212 for the post-Artemis-Confirmation portfolio</w:t>
      </w:r>
      <w:r>
        <w:t xml:space="preserve"> </w:t>
      </w:r>
      <w:hyperlink w:anchor="ref-12">
        <w:r>
          <w:rPr>
            <w:rStyle w:val="Hyperlink"/>
          </w:rPr>
          <w:t xml:space="preserve">[12]</w:t>
        </w:r>
      </w:hyperlink>
      <w:r>
        <w:t xml:space="preserve">, GAO-23-106021 for the Artemis programmatic detail, GAO-24-106767 for the most recent stable baseline, and the GAO-25-107591 release for the most current observed milestone wherever the project has been re-assessed inside the analytic horizon. Public and named by report number, the GAO documents each hand a row its baseline and current values, cited to a specific report and page reference.</w:t>
      </w:r>
    </w:p>
    <w:p>
      <w:pPr>
        <w:pStyle w:val="BodyText"/>
        <w:spacing w:line="480" w:lineRule="auto"/>
        <w:ind w:firstLine="720"/>
      </w:pPr>
      <w:r>
        <w:t xml:space="preserve">The NASA Technical Reports Server is the second dataset, keeping mission press kits, operations concept documents, and after-action reports cited in coding the autonomy and operator staffing variables. NTRS records run open and NASA-indexed. Any number that starts in a mission press kit gets checked against NTRS, so no autonomy-level coding leans on a public-affairs document alone.</w:t>
      </w:r>
    </w:p>
    <w:p>
      <w:pPr>
        <w:pStyle w:val="BodyText"/>
        <w:spacing w:line="480" w:lineRule="auto"/>
        <w:ind w:firstLine="720"/>
      </w:pPr>
      <w:r>
        <w:t xml:space="preserve">Third is the Space-Track.org public catalog and the paired Conjunction Data Message issuance record the United States Space Force 18th Space Defense Squadron administers. Space-Track keeps the throughput proxy the prospectus and the qualitative-arm scoping work use. CDM issuance volumes make the definitionally stable throughput measure that disciplines center-level claims about tasking volume in the qualitative arm, and they are the throughput series the prospectus names as the orbital analog to the FAA Aviation Safety Information Analysis and Sharing program’s safety-event series.</w:t>
      </w:r>
    </w:p>
    <w:p>
      <w:pPr>
        <w:pStyle w:val="BodyText"/>
        <w:spacing w:line="480" w:lineRule="auto"/>
        <w:ind w:firstLine="720"/>
      </w:pPr>
      <w:r>
        <w:t xml:space="preserve">The Advanced Maui Optical and Space Surveillance Technologies (AMOS) Conference proceedings corpus is the fourth dataset. The AMOS proceedings keep the operations-engineering descriptions of automation features the dissertation uses to code whether a given operations center has fielded a coordinated operator-role-and-autonomy intervention. The relevant slice here takes in the data insights and pedigree work of Schultz and colleagues</w:t>
      </w:r>
      <w:r>
        <w:t xml:space="preserve"> </w:t>
      </w:r>
      <w:hyperlink w:anchor="ref-1">
        <w:r>
          <w:rPr>
            <w:rStyle w:val="Hyperlink"/>
          </w:rPr>
          <w:t xml:space="preserve">[1]</w:t>
        </w:r>
      </w:hyperlink>
      <w:r>
        <w:t xml:space="preserve">, the VISION integrated information monitoring system Seong and colleagues describe</w:t>
      </w:r>
      <w:r>
        <w:t xml:space="preserve"> </w:t>
      </w:r>
      <w:hyperlink w:anchor="ref-3">
        <w:r>
          <w:rPr>
            <w:rStyle w:val="Hyperlink"/>
          </w:rPr>
          <w:t xml:space="preserve">[3]</w:t>
        </w:r>
      </w:hyperlink>
      <w:r>
        <w:t xml:space="preserve">, the orbital state recommender validation work</w:t>
      </w:r>
      <w:r>
        <w:t xml:space="preserve"> </w:t>
      </w:r>
      <w:hyperlink w:anchor="ref-4">
        <w:r>
          <w:rPr>
            <w:rStyle w:val="Hyperlink"/>
          </w:rPr>
          <w:t xml:space="preserve">[4]</w:t>
        </w:r>
      </w:hyperlink>
      <w:r>
        <w:t xml:space="preserve">, the human factors framework for space operators Stilwell, Quakenbush, Giles, and Dailey built</w:t>
      </w:r>
      <w:r>
        <w:t xml:space="preserve"> </w:t>
      </w:r>
      <w:hyperlink w:anchor="ref-5">
        <w:r>
          <w:rPr>
            <w:rStyle w:val="Hyperlink"/>
          </w:rPr>
          <w:t xml:space="preserve">[5]</w:t>
        </w:r>
      </w:hyperlink>
      <w:r>
        <w:t xml:space="preserve">, the operator confidence assessment work of Gorman, Voshell, and Sliva</w:t>
      </w:r>
      <w:r>
        <w:t xml:space="preserve"> </w:t>
      </w:r>
      <w:hyperlink w:anchor="ref-6">
        <w:r>
          <w:rPr>
            <w:rStyle w:val="Hyperlink"/>
          </w:rPr>
          <w:t xml:space="preserve">[6]</w:t>
        </w:r>
      </w:hyperlink>
      <w:r>
        <w:t xml:space="preserve">, the crew resource management training argument Goldberg and Waltz advanced</w:t>
      </w:r>
      <w:r>
        <w:t xml:space="preserve"> </w:t>
      </w:r>
      <w:hyperlink w:anchor="ref-2">
        <w:r>
          <w:rPr>
            <w:rStyle w:val="Hyperlink"/>
          </w:rPr>
          <w:t xml:space="preserve">[2]</w:t>
        </w:r>
      </w:hyperlink>
      <w:r>
        <w:t xml:space="preserve">, and the human machine teaming work of Fitzgerald, Morris, Militello, and Fletcher on autonomous space sensing</w:t>
      </w:r>
      <w:r>
        <w:t xml:space="preserve"> </w:t>
      </w:r>
      <w:hyperlink w:anchor="ref-8">
        <w:r>
          <w:rPr>
            <w:rStyle w:val="Hyperlink"/>
          </w:rPr>
          <w:t xml:space="preserve">[8]</w:t>
        </w:r>
      </w:hyperlink>
      <w:r>
        <w:t xml:space="preserve">.</w:t>
      </w:r>
    </w:p>
    <w:p>
      <w:pPr>
        <w:pStyle w:val="BodyText"/>
        <w:spacing w:line="480" w:lineRule="auto"/>
        <w:ind w:firstLine="720"/>
      </w:pPr>
      <w:r>
        <w:t xml:space="preserve">Two coding corpora, not primary datasets, round out the supporting sources. The Acta Astronautica literature grounds the sociotechnical-seam construct and the operator-role redesign coding rule, with Ulusoy and Reisman’s investment construct for human autonomy teaming in deep space habitat operations</w:t>
      </w:r>
      <w:r>
        <w:t xml:space="preserve"> </w:t>
      </w:r>
      <w:hyperlink w:anchor="ref-32">
        <w:r>
          <w:rPr>
            <w:rStyle w:val="Hyperlink"/>
          </w:rPr>
          <w:t xml:space="preserve">[32]</w:t>
        </w:r>
      </w:hyperlink>
      <w:r>
        <w:t xml:space="preserve"> </w:t>
      </w:r>
      <w:r>
        <w:t xml:space="preserve">and Dwyer, Szajnfarber, Cameron, and Crawley’s model for cost growth on joint programs</w:t>
      </w:r>
      <w:r>
        <w:t xml:space="preserve"> </w:t>
      </w:r>
      <w:hyperlink w:anchor="ref-26">
        <w:r>
          <w:rPr>
            <w:rStyle w:val="Hyperlink"/>
          </w:rPr>
          <w:t xml:space="preserve">[26]</w:t>
        </w:r>
      </w:hyperlink>
      <w:r>
        <w:t xml:space="preserve"> </w:t>
      </w:r>
      <w:r>
        <w:t xml:space="preserve">pulling particular weight in the coding rubric. The Space Economy Papers corpus supplies the architectural sociotechnical analysis of space-use norms that sets the scope condition for which centers fall within population for the study</w:t>
      </w:r>
      <w:r>
        <w:t xml:space="preserve"> </w:t>
      </w:r>
      <w:hyperlink w:anchor="ref-7">
        <w:r>
          <w:rPr>
            <w:rStyle w:val="Hyperlink"/>
          </w:rPr>
          <w:t xml:space="preserve">[7]</w:t>
        </w:r>
      </w:hyperlink>
      <w:r>
        <w:t xml:space="preserve">.</w:t>
      </w:r>
    </w:p>
    <w:bookmarkEnd w:id="94"/>
    <w:bookmarkStart w:id="104" w:name="X4d68ae530fb50ff27d1ffe4ee4ca61bfe9c6755"/>
    <w:p>
      <w:pPr>
        <w:pStyle w:val="Heading2"/>
        <w:spacing w:line="480" w:lineRule="auto"/>
      </w:pPr>
      <w:r>
        <w:t xml:space="preserve">4.4 Variable Construction from Primary Records</w:t>
      </w:r>
    </w:p>
    <w:p>
      <w:pPr>
        <w:pStyle w:val="FirstParagraph"/>
        <w:spacing w:line="480" w:lineRule="auto"/>
      </w:pPr>
      <w:r>
        <w:t xml:space="preserve">Every analytic variable gets walked here from primary record into the column that lands in the regression. The aim is a construction clear enough that an independent reader can rebuild the column from the cited sources.</w:t>
      </w:r>
    </w:p>
    <w:bookmarkStart w:id="95" w:name="cost-overrun"/>
    <w:p>
      <w:pPr>
        <w:pStyle w:val="Heading3"/>
        <w:spacing w:line="480" w:lineRule="auto"/>
      </w:pPr>
      <w:r>
        <w:t xml:space="preserve">4.4.1 Cost Overrun</w:t>
      </w:r>
    </w:p>
    <w:p>
      <w:pPr>
        <w:pStyle w:val="FirstParagraph"/>
        <w:spacing w:line="480" w:lineRule="auto"/>
      </w:pPr>
      <w:r>
        <w:t xml:space="preserve">Cost overrun in percentage points from confirmed baseline is Paper 1’s dependent variable. The GAO project entry is its primary record. Each GAO assessment reports the confirmed baseline cost in then-year dollars and the current life-cycle cost estimate in then-year dollars. The variable builds as the percentage difference between the current life-cycle cost estimate at the most recent assessment milestone and the confirmed baseline cost, in percentage points, signed positive for growth. Where a project’s baseline has been re-baselined under formal NASA acquisition policy, the original confirmed baseline stays the denominator, so the variable catches cumulative cost growth against the program’s first commitment rather than the moving target re-baselining creates. Which GAO cycle fed each row’s numerator and denominator goes in the per-row citation field of the analytic file [12, 14].</w:t>
      </w:r>
    </w:p>
    <w:bookmarkEnd w:id="95"/>
    <w:bookmarkStart w:id="96" w:name="schedule-slip-indicator"/>
    <w:p>
      <w:pPr>
        <w:pStyle w:val="Heading3"/>
        <w:spacing w:line="480" w:lineRule="auto"/>
      </w:pPr>
      <w:r>
        <w:t xml:space="preserve">4.4.2 Schedule Slip Indicator</w:t>
      </w:r>
    </w:p>
    <w:p>
      <w:pPr>
        <w:pStyle w:val="FirstParagraph"/>
        <w:spacing w:line="480" w:lineRule="auto"/>
      </w:pPr>
      <w:r>
        <w:t xml:space="preserve">A binary flag for schedule slip greater than six months is Paper 2’s dependent variable. Its primary record is the same GAO entry that feeds cost overrun, plus tracking for projects whose launch readiness date has shifted across assessment cycles. The variable equals one if the confirmed-baseline launch or comparable milestone date has moved more than six months at the most recent GAO assessment, zero otherwise [12, 14]. The six-month cut comes from the prospectus and applies uniformly across the row set. Where a project has been formally re-baselined, the slip variable computes against the original confirmed baseline, mirroring the cost variable. Each row’s citation column logs the GAO cycle and page reference that justified the call.</w:t>
      </w:r>
    </w:p>
    <w:bookmarkEnd w:id="96"/>
    <w:bookmarkStart w:id="97" w:name="autonomy-level"/>
    <w:p>
      <w:pPr>
        <w:pStyle w:val="Heading3"/>
        <w:spacing w:line="480" w:lineRule="auto"/>
      </w:pPr>
      <w:r>
        <w:t xml:space="preserve">4.4.3 Autonomy Level</w:t>
      </w:r>
    </w:p>
    <w:p>
      <w:pPr>
        <w:pStyle w:val="FirstParagraph"/>
        <w:spacing w:line="480" w:lineRule="auto"/>
      </w:pPr>
      <w:r>
        <w:t xml:space="preserve">An ordinal variable on the five-step NASA autonomy maturity rubric, running from one (ground-commanded) to five (goal-directed onboard reasoning), is the autonomy regressor. Its primary records are the mission press kit and the NTRS technical report record; backup corroboration comes from AMOS papers describing autonomy capabilities for the relevant mission class [10, 15]. Here is the coding rule. A project scores one if its concept of operations is ground-commanded with no onboard autonomous decision authority, two if it is ground-commanded with onboard fault detection and safing, three if it carries onboard sequence management and limited reactive decision-making, four if it carries onboard goal-driven planning over multi-orbit horizons, and five if its publicly described concept of operations carries onboard goal-directed reasoning with adaptive replanning. Where press kit and NTRS record clash, the lower rung wins. Each row’s coding citation names the press kit and the NTRS document used.</w:t>
      </w:r>
    </w:p>
    <w:bookmarkEnd w:id="97"/>
    <w:bookmarkStart w:id="98" w:name="operator-staffing"/>
    <w:p>
      <w:pPr>
        <w:pStyle w:val="Heading3"/>
        <w:spacing w:line="480" w:lineRule="auto"/>
      </w:pPr>
      <w:r>
        <w:t xml:space="preserve">4.4.4 Operator Staffing</w:t>
      </w:r>
    </w:p>
    <w:p>
      <w:pPr>
        <w:pStyle w:val="FirstParagraph"/>
        <w:spacing w:line="480" w:lineRule="auto"/>
      </w:pPr>
      <w:r>
        <w:t xml:space="preserve">Peak operations full-time-equivalent count during prime mission is how operator staffing enters the cost regression of Paper 1, while Paper 2 takes the natural logarithm of that same column to tame the right-skew common to mission-operations rosters. The primary record is the operations plan the GAO assessment references for that project, with corroborating values from NTRS where the operations plan gets summarized in a technical memorandum. Where the operations plan splits prime and extended mission values, the prime-mission value holds, to keep the variable comparable across projects whose extended missions vary in scope. Each row’s citation field names the operations plan or technical memorandum the FTE value came from.</w:t>
      </w:r>
    </w:p>
    <w:bookmarkEnd w:id="98"/>
    <w:bookmarkStart w:id="99" w:name="coordinated-operator-role-redesign"/>
    <w:p>
      <w:pPr>
        <w:pStyle w:val="Heading3"/>
        <w:spacing w:line="480" w:lineRule="auto"/>
      </w:pPr>
      <w:r>
        <w:t xml:space="preserve">4.4.5 Coordinated Operator-Role Redesign</w:t>
      </w:r>
    </w:p>
    <w:p>
      <w:pPr>
        <w:pStyle w:val="FirstParagraph"/>
        <w:spacing w:line="480" w:lineRule="auto"/>
      </w:pPr>
      <w:r>
        <w:t xml:space="preserve">Carrying the substantive theoretical weight of both papers, the joint-optimization indicator is a binary flag equal to one if the project’s program-level documentation shows that operator role boundaries and autonomy authority allocation were redesigned in coordination as part of the autonomy deployment, zero otherwise. Three literatures ground its coding rule. Trust calibration around a redesigned operator role comes off the cognitive engineering literature on operator confidence in automated SSA and satellite control systems</w:t>
      </w:r>
      <w:r>
        <w:t xml:space="preserve"> </w:t>
      </w:r>
      <w:hyperlink w:anchor="ref-6">
        <w:r>
          <w:rPr>
            <w:rStyle w:val="Hyperlink"/>
          </w:rPr>
          <w:t xml:space="preserve">[6]</w:t>
        </w:r>
      </w:hyperlink>
      <w:r>
        <w:t xml:space="preserve">. The role-architecture construct at the team level comes off the crew resource management literature for space domain operations</w:t>
      </w:r>
      <w:r>
        <w:t xml:space="preserve"> </w:t>
      </w:r>
      <w:hyperlink w:anchor="ref-2">
        <w:r>
          <w:rPr>
            <w:rStyle w:val="Hyperlink"/>
          </w:rPr>
          <w:t xml:space="preserve">[2]</w:t>
        </w:r>
      </w:hyperlink>
      <w:r>
        <w:t xml:space="preserve">. The authority-allocation construct at the seam between operator and machine comes off the human-machine teaming literature on autonomous space sensing</w:t>
      </w:r>
      <w:r>
        <w:t xml:space="preserve"> </w:t>
      </w:r>
      <w:hyperlink w:anchor="ref-8">
        <w:r>
          <w:rPr>
            <w:rStyle w:val="Hyperlink"/>
          </w:rPr>
          <w:t xml:space="preserve">[8]</w:t>
        </w:r>
      </w:hyperlink>
      <w:r>
        <w:t xml:space="preserve">. And the scope condition under which the joint construct means anything comes off the architectural sociotechnical analysis of space-use norms</w:t>
      </w:r>
      <w:r>
        <w:t xml:space="preserve"> </w:t>
      </w:r>
      <w:hyperlink w:anchor="ref-7">
        <w:r>
          <w:rPr>
            <w:rStyle w:val="Hyperlink"/>
          </w:rPr>
          <w:t xml:space="preserve">[7]</w:t>
        </w:r>
      </w:hyperlink>
      <w:r>
        <w:t xml:space="preserve">.</w:t>
      </w:r>
    </w:p>
    <w:p>
      <w:pPr>
        <w:pStyle w:val="BodyText"/>
        <w:spacing w:line="480" w:lineRule="auto"/>
        <w:ind w:firstLine="720"/>
      </w:pPr>
      <w:r>
        <w:t xml:space="preserve">A project scores one if and only if its operations directorate documentation shows, at the time of autonomy deployment, all three of the following: a written redefinition of operator role boundaries on the affected console; a documented authority allocation stating which decisions the autonomy executes, which it recommends to an operator, and which stay operator-initiated; and a training or qualification artifact tying the redesigned role to the new authority allocation. Projects that fielded autonomy without one or more of the three score zero. Inter-coder agreement statistics land in Chapter 7 and are pre-registered. Each row’s citation field names the operations directorate document and any corroborating AMOS or NTRS sources used in the coding.</w:t>
      </w:r>
    </w:p>
    <w:bookmarkEnd w:id="99"/>
    <w:bookmarkStart w:id="100" w:name="planned-mission-duration"/>
    <w:p>
      <w:pPr>
        <w:pStyle w:val="Heading3"/>
        <w:spacing w:line="480" w:lineRule="auto"/>
      </w:pPr>
      <w:r>
        <w:t xml:space="preserve">4.4.6 Planned Mission Duration</w:t>
      </w:r>
    </w:p>
    <w:p>
      <w:pPr>
        <w:pStyle w:val="FirstParagraph"/>
        <w:spacing w:line="480" w:lineRule="auto"/>
      </w:pPr>
      <w:r>
        <w:t xml:space="preserve">Prime-mission duration in months from confirmed baseline is planned mission duration. The GAO baseline entry is its primary record, checked where needed against the project’s published mission concept document. The variable runs continuous and enters both regressions as a control. Where extended-mission durations show up, they do not join the planned-duration column; the variable holds to the prime mission to stay comparable across projects whose extended missions got variously authorized</w:t>
      </w:r>
      <w:r>
        <w:t xml:space="preserve"> </w:t>
      </w:r>
      <w:hyperlink w:anchor="ref-12">
        <w:r>
          <w:rPr>
            <w:rStyle w:val="Hyperlink"/>
          </w:rPr>
          <w:t xml:space="preserve">[12]</w:t>
        </w:r>
      </w:hyperlink>
      <w:r>
        <w:t xml:space="preserve">.</w:t>
      </w:r>
    </w:p>
    <w:bookmarkEnd w:id="100"/>
    <w:bookmarkStart w:id="101" w:name="time-and-cohort-controls"/>
    <w:p>
      <w:pPr>
        <w:pStyle w:val="Heading3"/>
        <w:spacing w:line="480" w:lineRule="auto"/>
      </w:pPr>
      <w:r>
        <w:t xml:space="preserve">4.4.7 Time and Cohort Controls</w:t>
      </w:r>
    </w:p>
    <w:p>
      <w:pPr>
        <w:pStyle w:val="FirstParagraph"/>
        <w:spacing w:line="480" w:lineRule="auto"/>
      </w:pPr>
      <w:r>
        <w:t xml:space="preserve">Because the two papers work a cross-section at the most recent assessment milestone, they carry no calendar-time fixed effects in the analytic file. The prospectus reserves staggered difference-in-differences and synthetic control specifications for the operations-center-level analysis, where calendar time and cohort fixed effects do enter. In the project-level analytic file, the GAO assessment cycle each row was drawn from sits in a metadata column so sensitivity analyses can hold the assessment cycle fixed.</w:t>
      </w:r>
    </w:p>
    <w:bookmarkEnd w:id="101"/>
    <w:bookmarkStart w:id="102" w:name="tasking-throughput-proxy"/>
    <w:p>
      <w:pPr>
        <w:pStyle w:val="Heading3"/>
        <w:spacing w:line="480" w:lineRule="auto"/>
      </w:pPr>
      <w:r>
        <w:t xml:space="preserve">4.4.8 Tasking Throughput Proxy</w:t>
      </w:r>
    </w:p>
    <w:p>
      <w:pPr>
        <w:pStyle w:val="FirstParagraph"/>
        <w:spacing w:line="480" w:lineRule="auto"/>
      </w:pPr>
      <w:r>
        <w:t xml:space="preserve">Introduced in the prospectus and used to discipline the qualitative arm’s center-level claims, the throughput series is the monthly count of conjunction data messages issued through Space-Track.org for the centers in the qualitative-arm sample. The variable builds by summing CDM issuance records by issuing center and by month across the observation window. Its primary record is Space-Track.org’s CDM issuance log open to credentialed researchers. The throughput proxy stays out of the project-level regressions in Papers 1 and 2; it enters the center-level descriptive statistics in the qualitative chapter as the throughput axis the safety event rate plots against.</w:t>
      </w:r>
    </w:p>
    <w:bookmarkEnd w:id="102"/>
    <w:bookmarkStart w:id="103" w:name="safety-event-rate-definition"/>
    <w:p>
      <w:pPr>
        <w:pStyle w:val="Heading3"/>
        <w:spacing w:line="480" w:lineRule="auto"/>
      </w:pPr>
      <w:r>
        <w:t xml:space="preserve">4.4.9 Safety Event Rate Definition</w:t>
      </w:r>
    </w:p>
    <w:p>
      <w:pPr>
        <w:pStyle w:val="FirstParagraph"/>
        <w:spacing w:line="480" w:lineRule="auto"/>
      </w:pPr>
      <w:r>
        <w:t xml:space="preserve">Described in the prospectus, the safety-event measure is the monthly rate of safety-relevant operational events per unit tasking volume at the center. Its primary record is the publicly released anomaly and conjunction-event documentation tied to the 18th Space Defense Squadron’s public catalog and Space-Track.org operational releases, mapped into a definition drawn from the FAA Aviation Safety Information Analysis and Sharing program through the human factors framework for space operators Stilwell and colleagues built</w:t>
      </w:r>
      <w:r>
        <w:t xml:space="preserve"> </w:t>
      </w:r>
      <w:hyperlink w:anchor="ref-5">
        <w:r>
          <w:rPr>
            <w:rStyle w:val="Hyperlink"/>
          </w:rPr>
          <w:t xml:space="preserve">[5]</w:t>
        </w:r>
      </w:hyperlink>
      <w:r>
        <w:t xml:space="preserve">. The event categories admitted into the numerator are pre-registered. The denominator is the CDM throughput proxy of 4.4.8. This rate lands in the center-level analysis, not the project-level regressions, and gets reported in Chapter 7.</w:t>
      </w:r>
    </w:p>
    <w:bookmarkEnd w:id="103"/>
    <w:bookmarkEnd w:id="104"/>
    <w:bookmarkStart w:id="105" w:name="qualitative-instruments"/>
    <w:p>
      <w:pPr>
        <w:pStyle w:val="Heading2"/>
        <w:spacing w:line="480" w:lineRule="auto"/>
      </w:pPr>
      <w:r>
        <w:t xml:space="preserve">4.5 Qualitative Instruments</w:t>
      </w:r>
    </w:p>
    <w:p>
      <w:pPr>
        <w:pStyle w:val="FirstParagraph"/>
        <w:spacing w:line="480" w:lineRule="auto"/>
      </w:pPr>
      <w:r>
        <w:t xml:space="preserve">Two instruments serve the qualitative arm, each grounded in a documented framework. First is a semi-structured interview protocol for operators, supervisors, and operations directorate staff. Lifted from the operator confidence assessment work for automated SSA and satellite control systems</w:t>
      </w:r>
      <w:r>
        <w:t xml:space="preserve"> </w:t>
      </w:r>
      <w:hyperlink w:anchor="ref-6">
        <w:r>
          <w:rPr>
            <w:rStyle w:val="Hyperlink"/>
          </w:rPr>
          <w:t xml:space="preserve">[6]</w:t>
        </w:r>
      </w:hyperlink>
      <w:r>
        <w:t xml:space="preserve"> </w:t>
      </w:r>
      <w:r>
        <w:t xml:space="preserve">and stretched along the human-machine teaming dimensions built for autonomous space sensing</w:t>
      </w:r>
      <w:r>
        <w:t xml:space="preserve"> </w:t>
      </w:r>
      <w:hyperlink w:anchor="ref-8">
        <w:r>
          <w:rPr>
            <w:rStyle w:val="Hyperlink"/>
          </w:rPr>
          <w:t xml:space="preserve">[8]</w:t>
        </w:r>
      </w:hyperlink>
      <w:r>
        <w:t xml:space="preserve">, the protocol covers trust calibration around machine recommendations, mode awareness across automation modes, perceived clarity of role boundaries on the redesigned console, and recall of training that tied the redesigned role to the new authority allocation. It runs under a pre-registered consent script.</w:t>
      </w:r>
    </w:p>
    <w:p>
      <w:pPr>
        <w:pStyle w:val="BodyText"/>
        <w:spacing w:line="480" w:lineRule="auto"/>
        <w:ind w:firstLine="720"/>
      </w:pPr>
      <w:r>
        <w:t xml:space="preserve">Second is a structured observation protocol for console activity in the operations centers within the qualitative sample. Lifted from the crew resource management training literature for space domain operations</w:t>
      </w:r>
      <w:r>
        <w:t xml:space="preserve"> </w:t>
      </w:r>
      <w:hyperlink w:anchor="ref-2">
        <w:r>
          <w:rPr>
            <w:rStyle w:val="Hyperlink"/>
          </w:rPr>
          <w:t xml:space="preserve">[2]</w:t>
        </w:r>
      </w:hyperlink>
      <w:r>
        <w:t xml:space="preserve"> </w:t>
      </w:r>
      <w:r>
        <w:t xml:space="preserve">and from the human factors framework</w:t>
      </w:r>
      <w:r>
        <w:t xml:space="preserve"> </w:t>
      </w:r>
      <w:hyperlink w:anchor="ref-5">
        <w:r>
          <w:rPr>
            <w:rStyle w:val="Hyperlink"/>
          </w:rPr>
          <w:t xml:space="preserve">[5]</w:t>
        </w:r>
      </w:hyperlink>
      <w:r>
        <w:t xml:space="preserve">, the observation protocol has the observer log, at fixed intervals, the share of console actions starting with the operator, the share starting with the autonomy, and the share that are operator confirmations of autonomy-initiated actions. That observation record backs the interview-based account of authority allocation and validates the joint-optimization coding for the centers in the qualitative sample.</w:t>
      </w:r>
    </w:p>
    <w:p>
      <w:pPr>
        <w:pStyle w:val="BodyText"/>
        <w:spacing w:line="480" w:lineRule="auto"/>
        <w:ind w:firstLine="720"/>
      </w:pPr>
      <w:r>
        <w:t xml:space="preserve">Purposive and stratified by intervention type, sampling at the center level sets the strata as autonomy-only modernization, role-only modernization, coordinated joint modernization, and unmodernized comparison. The qualitative arm does not chase a representative sample of the population of centers and estimates no effects on its evidence; it supplies mechanism evidence and treatment validation for the project-level statistical estimates.</w:t>
      </w:r>
    </w:p>
    <w:bookmarkEnd w:id="105"/>
    <w:bookmarkStart w:id="106" w:name="data-integrity-controls"/>
    <w:p>
      <w:pPr>
        <w:pStyle w:val="Heading2"/>
        <w:spacing w:line="480" w:lineRule="auto"/>
      </w:pPr>
      <w:r>
        <w:t xml:space="preserve">4.6 Data Integrity Controls</w:t>
      </w:r>
    </w:p>
    <w:p>
      <w:pPr>
        <w:pStyle w:val="FirstParagraph"/>
        <w:spacing w:line="480" w:lineRule="auto"/>
      </w:pPr>
      <w:r>
        <w:t xml:space="preserve">Three integrity controls govern the analytic file. First is per-row citation. Every numeric cell carries a citation to the primary document that produced it. The cost-overrun cell cites the GAO report and page that fed baseline and current life-cycle cost. The autonomy-level cell cites the press kit and NTRS document behind the rubric assignment. The operator-staffing cell cites the operations plan that fed the FTE count. The joint-optimization cell cites the operations directorate document behind the binary call. No cell goes in without a citation.</w:t>
      </w:r>
    </w:p>
    <w:p>
      <w:pPr>
        <w:pStyle w:val="BodyText"/>
        <w:spacing w:line="480" w:lineRule="auto"/>
        <w:ind w:firstLine="720"/>
      </w:pPr>
      <w:r>
        <w:t xml:space="preserve">Second is non-fabrication. Where the primary record is missing or out of reach, the cell stays blank and the project stays out of the row set. The dissertation interpolates, imputes, and estimates nothing for cost overrun, schedule slip, autonomy level, or joint optimization. Projects that cannot be coded against the primary record on all four drop from the analytic sample. The upshot is a smaller row set than the GAO portfolio in any given year, and that smallness gets owned as a constraint on statistical power in both papers’ discussion sections.</w:t>
      </w:r>
    </w:p>
    <w:p>
      <w:pPr>
        <w:pStyle w:val="BodyText"/>
        <w:spacing w:line="480" w:lineRule="auto"/>
        <w:ind w:firstLine="720"/>
      </w:pPr>
      <w:r>
        <w:t xml:space="preserve">Third is double-blind coding for the joint-optimization variable. Because it carries the substantive theoretical weight, two coders code it independently off the same primary documents and the same coding rubric. Inter-coder agreement gets reported as Cohen’s kappa in Chapter 7. Disagreements get settled by discussion and logged in a coding adjudication log that rides with the analytic file.</w:t>
      </w:r>
    </w:p>
    <w:p>
      <w:pPr>
        <w:pStyle w:val="BodyText"/>
        <w:spacing w:line="480" w:lineRule="auto"/>
        <w:ind w:firstLine="720"/>
      </w:pPr>
      <w:r>
        <w:t xml:space="preserve">Two lines the analytic plan will not cross deserve stating outright. First, no classified record enters. Where a project’s autonomy concept is partly classified, the project gets coded on the publicly released portion of the concept of operations and any uncertainty goes in the coding citation field. Second, no proprietary commercial data enter. Vendor descriptions of autonomy products come in only where they surface in publicly released AMOS proceedings or publicly released NASA documents. Together these lines keep the analytic file reproducible from open sources by any independent researcher holding Space-Track credentials and access to the GAO, NTRS, and AMOS document corpora.</w:t>
      </w:r>
    </w:p>
    <w:bookmarkEnd w:id="106"/>
    <w:bookmarkStart w:id="107" w:name="summary-of-the-measurement-chain"/>
    <w:p>
      <w:pPr>
        <w:pStyle w:val="Heading2"/>
        <w:spacing w:line="480" w:lineRule="auto"/>
      </w:pPr>
      <w:r>
        <w:t xml:space="preserve">4.7 Summary of the Measurement Chain</w:t>
      </w:r>
    </w:p>
    <w:p>
      <w:pPr>
        <w:pStyle w:val="FirstParagraph"/>
        <w:spacing w:line="480" w:lineRule="auto"/>
      </w:pPr>
      <w:r>
        <w:t xml:space="preserve">Here is how the measurement chain runs. The unit of analysis is the NASA major project at its most recent GAO milestone. Cost overrun and schedule slip come straight off GAO assessments [12, 14]. Autonomy level gets coded off press kits and NTRS records against the five-step NASA autonomy maturity rubric, with AMOS corroboration where the proceedings describe the autonomy concept [10, 15]. Operator staffing comes off the operations plans the GAO assessments reference. The joint-optimization indicator gets coded off operations directorate documentation against a three-element rubric grounded in the operator confidence, crew resource management, and human-machine teaming literatures [2, 6, 8] and fenced by the sociotechnical scope condition the architectural analysis of space-use norms supplies</w:t>
      </w:r>
      <w:r>
        <w:t xml:space="preserve"> </w:t>
      </w:r>
      <w:hyperlink w:anchor="ref-7">
        <w:r>
          <w:rPr>
            <w:rStyle w:val="Hyperlink"/>
          </w:rPr>
          <w:t xml:space="preserve">[7]</w:t>
        </w:r>
      </w:hyperlink>
      <w:r>
        <w:t xml:space="preserve">. Planned mission duration comes off GAO baseline entries. The throughput proxy and safety event rate that discipline the qualitative arm come off Space-Track.org and 18th Space Defense Squadron public releases, with the safety measure framed by the human factors adaptation of aviation safety frameworks for space operators</w:t>
      </w:r>
      <w:r>
        <w:t xml:space="preserve"> </w:t>
      </w:r>
      <w:hyperlink w:anchor="ref-5">
        <w:r>
          <w:rPr>
            <w:rStyle w:val="Hyperlink"/>
          </w:rPr>
          <w:t xml:space="preserve">[5]</w:t>
        </w:r>
      </w:hyperlink>
      <w:r>
        <w:t xml:space="preserve">.</w:t>
      </w:r>
    </w:p>
    <w:p>
      <w:pPr>
        <w:pStyle w:val="BodyText"/>
        <w:spacing w:line="480" w:lineRule="auto"/>
        <w:ind w:firstLine="720"/>
      </w:pPr>
      <w:r>
        <w:t xml:space="preserve">Every variable in the regressions of Papers 1 and 2 traces from the analytic column back to a citable primary record. That traceability is the ground the estimation chapters ahead are built on.</w:t>
      </w:r>
    </w:p>
    <w:bookmarkEnd w:id="107"/>
    <w:bookmarkEnd w:id="108"/>
    <w:bookmarkStart w:id="128" w:name="chapter-5.-methods-and-identification"/>
    <w:p>
      <w:pPr>
        <w:pStyle w:val="Heading1"/>
        <w:spacing w:line="480" w:lineRule="auto"/>
      </w:pPr>
      <w:r>
        <w:t xml:space="preserve">Chapter 5. Methods and Identification</w:t>
      </w:r>
    </w:p>
    <w:bookmarkStart w:id="109" w:name="overview-and-logic-of-inference"/>
    <w:p>
      <w:pPr>
        <w:pStyle w:val="Heading2"/>
        <w:spacing w:line="480" w:lineRule="auto"/>
      </w:pPr>
      <w:r>
        <w:t xml:space="preserve">5.1 Overview and Logic of Inference</w:t>
      </w:r>
    </w:p>
    <w:p>
      <w:pPr>
        <w:pStyle w:val="FirstParagraph"/>
        <w:spacing w:line="480" w:lineRule="auto"/>
      </w:pPr>
      <w:r>
        <w:t xml:space="preserve">This chapter fixes the estimators, the identification strategy, and the threats to validity for the dissertation’s central test of the sociotechnical seam hypothesis. Under test is one substantive claim: that pairing operator role design with autonomy authority allocation yields a Pareto improvement in safety event rates and tasking throughput in automation-dependent space operations centers, over autonomy-only modernization</w:t>
      </w:r>
      <w:r>
        <w:t xml:space="preserve"> </w:t>
      </w:r>
      <w:hyperlink w:anchor="ref-1">
        <w:r>
          <w:rPr>
            <w:rStyle w:val="Hyperlink"/>
          </w:rPr>
          <w:t xml:space="preserve">[1]</w:t>
        </w:r>
      </w:hyperlink>
      <w:r>
        <w:t xml:space="preserve">[3][4][5]. The estimands aim at causation and the design runs mixed and sequential, but any causal reading rests on a chain of assumptions this chapter names outright and probes empirically wherever the public data allow.</w:t>
      </w:r>
    </w:p>
    <w:p>
      <w:pPr>
        <w:pStyle w:val="BodyText"/>
        <w:spacing w:line="480" w:lineRule="auto"/>
        <w:ind w:firstLine="720"/>
      </w:pPr>
      <w:r>
        <w:t xml:space="preserve">Three questions frame the chapter. One, what are the estimators and why do they fit the shape of the available data. Two, what identifying variation does each estimator work, and what assumption carries the causal load in each case. Three, what threats to validity survive the design, how do they get bounded, and what would falsification look like under each.</w:t>
      </w:r>
    </w:p>
    <w:p>
      <w:pPr>
        <w:pStyle w:val="BodyText"/>
        <w:spacing w:line="480" w:lineRule="auto"/>
        <w:ind w:firstLine="720"/>
      </w:pPr>
      <w:r>
        <w:t xml:space="preserve">Two quantitative estimators run beside a qualitative cognitive engineering protocol. The first is a staggered difference-in-differences specification on a panel of operations centers and operations-bearing programs, with center fixed effects, time fixed effects, and event-time leads and lags. The second is a portfolio-level cross-sectional estimator that works the GAO NASA major-projects record to test the cost and schedule consequences of the paired configuration, building on the ordinary least squares and logistic specifications the two companion papers developed</w:t>
      </w:r>
      <w:r>
        <w:t xml:space="preserve"> </w:t>
      </w:r>
      <w:hyperlink w:anchor="ref-12">
        <w:r>
          <w:rPr>
            <w:rStyle w:val="Hyperlink"/>
          </w:rPr>
          <w:t xml:space="preserve">[12]</w:t>
        </w:r>
      </w:hyperlink>
      <w:r>
        <w:t xml:space="preserve">[14]. Construct validation for the treatment coding and mechanism evidence on how role redesign and authority allocation play against operator trust, mode awareness, and role-boundary clarity come off the qualitative arm</w:t>
      </w:r>
      <w:r>
        <w:t xml:space="preserve"> </w:t>
      </w:r>
      <w:hyperlink w:anchor="ref-2">
        <w:r>
          <w:rPr>
            <w:rStyle w:val="Hyperlink"/>
          </w:rPr>
          <w:t xml:space="preserve">[2]</w:t>
        </w:r>
      </w:hyperlink>
      <w:r>
        <w:t xml:space="preserve">[5][6][8].</w:t>
      </w:r>
    </w:p>
    <w:bookmarkEnd w:id="109"/>
    <w:bookmarkStart w:id="114" w:name="estimators"/>
    <w:p>
      <w:pPr>
        <w:pStyle w:val="Heading2"/>
        <w:spacing w:line="480" w:lineRule="auto"/>
      </w:pPr>
      <w:r>
        <w:t xml:space="preserve">5.2 Estimators</w:t>
      </w:r>
    </w:p>
    <w:bookmarkStart w:id="110" w:name="Xda6dc9200beff3d7283dbec1a49e77b91f60ba4"/>
    <w:p>
      <w:pPr>
        <w:pStyle w:val="Heading3"/>
        <w:spacing w:line="480" w:lineRule="auto"/>
      </w:pPr>
      <w:r>
        <w:t xml:space="preserve">5.2.1 Staggered Difference-in-Differences on Operations Telemetry</w:t>
      </w:r>
    </w:p>
    <w:p>
      <w:pPr>
        <w:pStyle w:val="FirstParagraph"/>
        <w:spacing w:line="480" w:lineRule="auto"/>
      </w:pPr>
      <w:r>
        <w:t xml:space="preserve">A staggered difference-in-differences specification on a center-month panel is the lead estimator. Let i index operations centers and t index months. The outcomes of interest are the monthly rate of safety-relevant operational events normalized by tasking volume, denoted Y^S_{it}, and the monthly tasking throughput per operator full-time equivalent, denoted Y^T_{it}. The treatment indicator D_{it} equals one in months on and after the date at which center i adopted a coordinated operator-role-and-autonomy intervention, and zero otherwise. Coding the intervention draws on public technical papers in the AMOS proceedings corpus and on operations concept documents the centers and their sponsors released, with the construct grounded in the human factors literature for space operators</w:t>
      </w:r>
      <w:r>
        <w:t xml:space="preserve"> </w:t>
      </w:r>
      <w:hyperlink w:anchor="ref-2">
        <w:r>
          <w:rPr>
            <w:rStyle w:val="Hyperlink"/>
          </w:rPr>
          <w:t xml:space="preserve">[2]</w:t>
        </w:r>
      </w:hyperlink>
      <w:r>
        <w:t xml:space="preserve">[5] and in the operator confidence literature</w:t>
      </w:r>
      <w:r>
        <w:t xml:space="preserve"> </w:t>
      </w:r>
      <w:hyperlink w:anchor="ref-6">
        <w:r>
          <w:rPr>
            <w:rStyle w:val="Hyperlink"/>
          </w:rPr>
          <w:t xml:space="preserve">[6]</w:t>
        </w:r>
      </w:hyperlink>
      <w:r>
        <w:t xml:space="preserve">[8].</w:t>
      </w:r>
    </w:p>
    <w:p>
      <w:pPr>
        <w:pStyle w:val="BodyText"/>
        <w:spacing w:line="480" w:lineRule="auto"/>
        <w:ind w:firstLine="720"/>
      </w:pPr>
      <w:r>
        <w:t xml:space="preserve">For outcome k in {S, T} the estimating equation is</w:t>
      </w:r>
    </w:p>
    <w:p>
      <w:pPr>
        <w:pStyle w:val="BodyText"/>
        <w:spacing w:line="480" w:lineRule="auto"/>
        <w:ind w:firstLine="720"/>
      </w:pPr>
      <w:r>
        <w:t xml:space="preserve">Y^k_{it} = alpha_i + lambda_t + beta D_{it} + X_{it} gamma + epsilon_{it},</w:t>
      </w:r>
    </w:p>
    <w:p>
      <w:pPr>
        <w:pStyle w:val="BodyText"/>
        <w:spacing w:line="480" w:lineRule="auto"/>
        <w:ind w:firstLine="720"/>
      </w:pPr>
      <w:r>
        <w:t xml:space="preserve">where alpha_i is a center fixed effect, lambda_t is a month fixed effect, X_{it} is a vector of time-varying controls including tasking volume, sensor-fleet size, and a binary indicator for major catalog or sensor-network expansions, and epsilon_{it} is an idiosyncratic error term. The parameter beta is the average treatment effect on the treated under the parallel-trends assumption. Standard errors are clustered at the center level to accommodate within-center serial correlation.</w:t>
      </w:r>
    </w:p>
    <w:p>
      <w:pPr>
        <w:pStyle w:val="BodyText"/>
        <w:spacing w:line="480" w:lineRule="auto"/>
        <w:ind w:firstLine="720"/>
      </w:pPr>
      <w:r>
        <w:t xml:space="preserve">Because adoption runs staggered and the treatment effect is plausibly heterogeneous across cohorts, the average beta the two-way fixed effects regression returns can get contaminated by forbidden comparisons between later-treated and already-treated centers. To meet that head on, the dissertation reports, next to the two-way fixed effects beta, an event-study specification</w:t>
      </w:r>
    </w:p>
    <w:p>
      <w:pPr>
        <w:pStyle w:val="BodyText"/>
        <w:spacing w:line="480" w:lineRule="auto"/>
        <w:ind w:firstLine="720"/>
      </w:pPr>
      <w:r>
        <w:t xml:space="preserve">Y^k_{it} = alpha_i + lambda_t + sum_{tau = -L}^{H} mu_tau 1{t - T_i = tau} + X_{it} gamma + epsilon_{it},</w:t>
      </w:r>
    </w:p>
    <w:p>
      <w:pPr>
        <w:pStyle w:val="BodyText"/>
        <w:spacing w:line="480" w:lineRule="auto"/>
        <w:ind w:firstLine="720"/>
      </w:pPr>
      <w:r>
        <w:t xml:space="preserve">where T_i is the adoption date for center i and the coefficients mu_tau trace out the dynamic path of the outcome relative to adoption. The pre-treatment coefficients mu_tau for tau less than zero are reported as a direct test of parallel pre-trends. The post-treatment coefficients are reported as the dynamic treatment effect.</w:t>
      </w:r>
    </w:p>
    <w:bookmarkEnd w:id="110"/>
    <w:bookmarkStart w:id="111" w:name="Xfd37a4a7eb2df1490286bb61e9bf3a0f415436f"/>
    <w:p>
      <w:pPr>
        <w:pStyle w:val="Heading3"/>
        <w:spacing w:line="480" w:lineRule="auto"/>
      </w:pPr>
      <w:r>
        <w:t xml:space="preserve">5.2.2 Synthetic Control for Heavily Modernized Centers</w:t>
      </w:r>
    </w:p>
    <w:p>
      <w:pPr>
        <w:pStyle w:val="FirstParagraph"/>
        <w:spacing w:line="480" w:lineRule="auto"/>
      </w:pPr>
      <w:r>
        <w:t xml:space="preserve">A subset of centers chased an unusually deep, well-documented coordinated intervention. For that subset the dissertation reports a synthetic control specification, building each treated center’s counterfactual trajectory from a convex combination of donor centers that skipped the coordinated intervention. The synthetic control rounds out the difference-in-differences design by trading the parallel-trends assumption for a pre-treatment fit on outcome levels and covariates. Inference runs by permutation across donor centers. Agreement between the difference-in-differences and synthetic control estimates gets reported as a robustness check, not as a separate test.</w:t>
      </w:r>
    </w:p>
    <w:bookmarkEnd w:id="111"/>
    <w:bookmarkStart w:id="112" w:name="Xd1aa46575bb07265bf1f713f83bf9dd29a7f6c2"/>
    <w:p>
      <w:pPr>
        <w:pStyle w:val="Heading3"/>
        <w:spacing w:line="480" w:lineRule="auto"/>
      </w:pPr>
      <w:r>
        <w:t xml:space="preserve">5.2.3 Portfolio-Level Cross-Sectional Estimators on the GAO Record</w:t>
      </w:r>
    </w:p>
    <w:p>
      <w:pPr>
        <w:pStyle w:val="FirstParagraph"/>
        <w:spacing w:line="480" w:lineRule="auto"/>
      </w:pPr>
      <w:r>
        <w:t xml:space="preserve">Two portfolio-level specifications on the GAO NASA major-projects record also get estimated. They are the empirical backbone of the companion papers, reproduced and stretched here with one new control. The first is an ordinary least squares regression of percentage cost overrun on autonomy level, operator staffing, a binary indicator for coordinated operator-role redesign, planned mission duration, and the new control for ground-segment automation depth coded off operations concept documents</w:t>
      </w:r>
      <w:r>
        <w:t xml:space="preserve"> </w:t>
      </w:r>
      <w:hyperlink w:anchor="ref-12">
        <w:r>
          <w:rPr>
            <w:rStyle w:val="Hyperlink"/>
          </w:rPr>
          <w:t xml:space="preserve">[12]</w:t>
        </w:r>
      </w:hyperlink>
      <w:r>
        <w:t xml:space="preserve">[14][15]. The second is a logistic regression whose outcome is a binary indicator for schedule slip greater than six months, carrying the same right-hand-side variables</w:t>
      </w:r>
      <w:r>
        <w:t xml:space="preserve"> </w:t>
      </w:r>
      <w:hyperlink w:anchor="ref-12">
        <w:r>
          <w:rPr>
            <w:rStyle w:val="Hyperlink"/>
          </w:rPr>
          <w:t xml:space="preserve">[12]</w:t>
        </w:r>
      </w:hyperlink>
      <w:r>
        <w:t xml:space="preserve">[14][16][17]. The portfolio specifications cannot pin the within-center dynamics the panel design targets. What they can do is discipline the central seam claim against a real, public outcome program managers care about, and hand over an out-of-sample check on the operations-telemetry result through a different data-generating process.</w:t>
      </w:r>
    </w:p>
    <w:bookmarkEnd w:id="112"/>
    <w:bookmarkStart w:id="113" w:name="Xa91c7c656b31d22d8844a755ceddf17cf2f1a10"/>
    <w:p>
      <w:pPr>
        <w:pStyle w:val="Heading3"/>
        <w:spacing w:line="480" w:lineRule="auto"/>
      </w:pPr>
      <w:r>
        <w:t xml:space="preserve">5.2.4 Qualitative Cognitive Engineering Protocol</w:t>
      </w:r>
    </w:p>
    <w:p>
      <w:pPr>
        <w:pStyle w:val="FirstParagraph"/>
        <w:spacing w:line="480" w:lineRule="auto"/>
      </w:pPr>
      <w:r>
        <w:t xml:space="preserve">A structured cognitive engineering protocol serves the qualitative arm, lifted from the aviation-derived human factors frameworks carried into space operations</w:t>
      </w:r>
      <w:r>
        <w:t xml:space="preserve"> </w:t>
      </w:r>
      <w:hyperlink w:anchor="ref-2">
        <w:r>
          <w:rPr>
            <w:rStyle w:val="Hyperlink"/>
          </w:rPr>
          <w:t xml:space="preserve">[2]</w:t>
        </w:r>
      </w:hyperlink>
      <w:r>
        <w:t xml:space="preserve">[5] and from the operator confidence assessment methods built for automated space situational awareness and satellite control systems</w:t>
      </w:r>
      <w:r>
        <w:t xml:space="preserve"> </w:t>
      </w:r>
      <w:hyperlink w:anchor="ref-6">
        <w:r>
          <w:rPr>
            <w:rStyle w:val="Hyperlink"/>
          </w:rPr>
          <w:t xml:space="preserve">[6]</w:t>
        </w:r>
      </w:hyperlink>
      <w:r>
        <w:t xml:space="preserve">[25]. Semi-structured interviews and structured observation run at a purposive sample of centers stratified by intervention type and modernization depth. The protocol probes role-boundary clarity, authority allocation, trust calibration, and mode awareness, and it operationalizes the human-machine teaming constructs that frame today’s autonomous space sensing programs</w:t>
      </w:r>
      <w:r>
        <w:t xml:space="preserve"> </w:t>
      </w:r>
      <w:hyperlink w:anchor="ref-8">
        <w:r>
          <w:rPr>
            <w:rStyle w:val="Hyperlink"/>
          </w:rPr>
          <w:t xml:space="preserve">[8]</w:t>
        </w:r>
      </w:hyperlink>
      <w:r>
        <w:t xml:space="preserve">[11]. Two jobs fall to the qualitative arm in the identification strategy: it yields the rubric and inter-coder agreement statistics for the binary treatment indicator the quantitative arm uses, and it surfaces mechanism evidence on how the joint intervention does or does not produce the estimated effects.</w:t>
      </w:r>
    </w:p>
    <w:bookmarkEnd w:id="113"/>
    <w:bookmarkEnd w:id="114"/>
    <w:bookmarkStart w:id="118" w:name="identification-strategy"/>
    <w:p>
      <w:pPr>
        <w:pStyle w:val="Heading2"/>
        <w:spacing w:line="480" w:lineRule="auto"/>
      </w:pPr>
      <w:r>
        <w:t xml:space="preserve">5.3 Identification Strategy</w:t>
      </w:r>
    </w:p>
    <w:bookmarkStart w:id="115" w:name="the-identifying-variation"/>
    <w:p>
      <w:pPr>
        <w:pStyle w:val="Heading3"/>
        <w:spacing w:line="480" w:lineRule="auto"/>
      </w:pPr>
      <w:r>
        <w:t xml:space="preserve">5.3.1 The Identifying Variation</w:t>
      </w:r>
    </w:p>
    <w:p>
      <w:pPr>
        <w:pStyle w:val="FirstParagraph"/>
        <w:spacing w:line="480" w:lineRule="auto"/>
      </w:pPr>
      <w:r>
        <w:t xml:space="preserve">In the panel estimator the identifying variation is the staggered timing of coordinated operator-role-and-autonomy interventions across centers, conditional on center and time fixed effects. The dissertation makes no claim that adoption is random. Its claim is that, once time-invariant center heterogeneity and aggregate shocks common to all centers in a month are absorbed, the leftover variation in adoption timing runs unrelated to potential outcomes. Probing that claim are the event-study leads, the placebo tests on pre-adoption periods, and triangulation with the qualitative arm’s account of why centers adopted when they did.</w:t>
      </w:r>
    </w:p>
    <w:p>
      <w:pPr>
        <w:pStyle w:val="BodyText"/>
        <w:spacing w:line="480" w:lineRule="auto"/>
        <w:ind w:firstLine="720"/>
      </w:pPr>
      <w:r>
        <w:t xml:space="preserve">In the portfolio specifications the identifying variation is cross-program variation at the most recent GAO-assessed milestone. The companion papers report that autonomy’s main effect cannot be told from zero in the cross-section while the joint-optimization indicator carries a large and precisely estimated coefficient on cost overrun, and that the autonomy term takes the predicted sign yet never breaks from zero on the schedule outcome while log operator staffing rules</w:t>
      </w:r>
      <w:r>
        <w:t xml:space="preserve"> </w:t>
      </w:r>
      <w:hyperlink w:anchor="ref-12">
        <w:r>
          <w:rPr>
            <w:rStyle w:val="Hyperlink"/>
          </w:rPr>
          <w:t xml:space="preserve">[12]</w:t>
        </w:r>
      </w:hyperlink>
      <w:r>
        <w:t xml:space="preserve">[14][16][17]. The dissertation reads the portfolio results as descriptive at the program level and as corroborating the seam reading, not as decisive identification of the joint estimand.</w:t>
      </w:r>
    </w:p>
    <w:bookmarkEnd w:id="115"/>
    <w:bookmarkStart w:id="116" w:name="what-each-assumption-is-doing"/>
    <w:p>
      <w:pPr>
        <w:pStyle w:val="Heading3"/>
        <w:spacing w:line="480" w:lineRule="auto"/>
      </w:pPr>
      <w:r>
        <w:t xml:space="preserve">5.3.2 What Each Assumption is Doing</w:t>
      </w:r>
    </w:p>
    <w:p>
      <w:pPr>
        <w:pStyle w:val="FirstParagraph"/>
        <w:spacing w:line="480" w:lineRule="auto"/>
      </w:pPr>
      <w:r>
        <w:t xml:space="preserve">Three identifying assumptions carry the causal load, and each gets named outright. First is the parallel-trends assumption for the difference-in-differences design. Second is the convex-hull pre-treatment fit assumption for the synthetic control. Third is the exogeneity-conditional-on-controls assumption for the portfolio cross-section. None is testable in the strict sense, yet each throws an observable shadow the dissertation reports and treats as the empirical anchor for the assumption.</w:t>
      </w:r>
    </w:p>
    <w:bookmarkEnd w:id="116"/>
    <w:bookmarkStart w:id="117" w:name="coding-the-treatment"/>
    <w:p>
      <w:pPr>
        <w:pStyle w:val="Heading3"/>
        <w:spacing w:line="480" w:lineRule="auto"/>
      </w:pPr>
      <w:r>
        <w:t xml:space="preserve">5.3.3 Coding the Treatment</w:t>
      </w:r>
    </w:p>
    <w:p>
      <w:pPr>
        <w:pStyle w:val="FirstParagraph"/>
        <w:spacing w:line="480" w:lineRule="auto"/>
      </w:pPr>
      <w:r>
        <w:t xml:space="preserve">Most consequential of the coded variables is the treatment indicator, and the dissertation pre-registers its coding rubric. A center-month gets coded treated if and only if the public record shows, on or before that month, both an operator-role redesign and a coordinated change in autonomy authority allocation, where coordination shows up as joint documentation, joint training cycles, or joint concept-of-operations updates</w:t>
      </w:r>
      <w:r>
        <w:t xml:space="preserve"> </w:t>
      </w:r>
      <w:hyperlink w:anchor="ref-2">
        <w:r>
          <w:rPr>
            <w:rStyle w:val="Hyperlink"/>
          </w:rPr>
          <w:t xml:space="preserve">[2]</w:t>
        </w:r>
      </w:hyperlink>
      <w:r>
        <w:t xml:space="preserve">[5][6][8]. Inter-coder agreement gets reported via Cohen’s kappa across two independent coders, against a pre-registered threshold for acceptable agreement. Borderline cases get settled by reference to the qualitative arm’s interview record where available and otherwise get coded conservatively as untreated.</w:t>
      </w:r>
    </w:p>
    <w:bookmarkEnd w:id="117"/>
    <w:bookmarkEnd w:id="118"/>
    <w:bookmarkStart w:id="126"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This section walks the threats that survive the design, takes each on its own terms, and explains what caps the inferential damage in each case.</w:t>
      </w:r>
    </w:p>
    <w:bookmarkStart w:id="119" w:name="selection-on-the-treatment"/>
    <w:p>
      <w:pPr>
        <w:pStyle w:val="Heading3"/>
        <w:spacing w:line="480" w:lineRule="auto"/>
      </w:pPr>
      <w:r>
        <w:t xml:space="preserve">5.4.1 Selection on the Treatment</w:t>
      </w:r>
    </w:p>
    <w:p>
      <w:pPr>
        <w:pStyle w:val="FirstParagraph"/>
        <w:spacing w:line="480" w:lineRule="auto"/>
      </w:pPr>
      <w:r>
        <w:t xml:space="preserve">Centers that chased coordinated role redesign may differ systematically from centers that chased autonomy-only modernization in ways tied to both safety and throughput outcomes. The most natural worry is that the same organizational capacity behind the coordinated intervention also drove the better operational outcomes through pathways the dissertation cannot see.</w:t>
      </w:r>
    </w:p>
    <w:p>
      <w:pPr>
        <w:pStyle w:val="BodyText"/>
        <w:spacing w:line="480" w:lineRule="auto"/>
        <w:ind w:firstLine="720"/>
      </w:pPr>
      <w:r>
        <w:t xml:space="preserve">Soaking up all time-invariant differences across centers, the stable organizational-capacity differences included, is the job of the staggered difference-in-differences specification with center fixed effects. The event-study leads test for differential pre-trends that would flag selection on the gain, and the synthetic control specification for the most heavily modernized centers hands over an alternative counterfactual that needs no parallel trends in levels. The qualitative arm characterizes the leftover selection by logging the actual reasons centers gave for the timing of their intervention, telling capability-pull apart from leadership-push apart from sponsor mandate. None of these moves wipes the threat out. The dissertation caps it by reporting it openly and by treating any split between the difference-in-differences estimate, the synthetic control estimate, and the qualitative mechanism account as a falsification signal rather than a reconciliation chore</w:t>
      </w:r>
      <w:r>
        <w:t xml:space="preserve"> </w:t>
      </w:r>
      <w:hyperlink w:anchor="ref-16">
        <w:r>
          <w:rPr>
            <w:rStyle w:val="Hyperlink"/>
          </w:rPr>
          <w:t xml:space="preserve">[16]</w:t>
        </w:r>
      </w:hyperlink>
      <w:r>
        <w:t xml:space="preserve">[17].</w:t>
      </w:r>
    </w:p>
    <w:bookmarkEnd w:id="119"/>
    <w:bookmarkStart w:id="120" w:name="outcome-measurement"/>
    <w:p>
      <w:pPr>
        <w:pStyle w:val="Heading3"/>
        <w:spacing w:line="480" w:lineRule="auto"/>
      </w:pPr>
      <w:r>
        <w:t xml:space="preserve">5.4.2 Outcome Measurement</w:t>
      </w:r>
    </w:p>
    <w:p>
      <w:pPr>
        <w:pStyle w:val="FirstParagraph"/>
        <w:spacing w:line="480" w:lineRule="auto"/>
      </w:pPr>
      <w:r>
        <w:t xml:space="preserve">Reporting culture shapes safety-event rates, and definitional drift across centers shapes tasking throughput. A center that brings in a coordinated intervention may at the same time raise its reporting threshold, which would mechanically pull its safety event rate down with no real safety gain. A center that opens a new reporting channel as part of its role redesign may push its measured event rate up even as the underlying safety state improves.</w:t>
      </w:r>
    </w:p>
    <w:p>
      <w:pPr>
        <w:pStyle w:val="BodyText"/>
        <w:spacing w:line="480" w:lineRule="auto"/>
        <w:ind w:firstLine="720"/>
      </w:pPr>
      <w:r>
        <w:t xml:space="preserve">To cap this, the dissertation pre-registers the operational definitions, leans on the aviation safety reporting framework carried into space operations</w:t>
      </w:r>
      <w:r>
        <w:t xml:space="preserve"> </w:t>
      </w:r>
      <w:hyperlink w:anchor="ref-5">
        <w:r>
          <w:rPr>
            <w:rStyle w:val="Hyperlink"/>
          </w:rPr>
          <w:t xml:space="preserve">[5]</w:t>
        </w:r>
      </w:hyperlink>
      <w:r>
        <w:t xml:space="preserve"> </w:t>
      </w:r>
      <w:r>
        <w:t xml:space="preserve">for the safety measure, and uses conjunction data message issuance volumes open through Space-Track.org as a definitionally stable throughput proxy</w:t>
      </w:r>
      <w:r>
        <w:t xml:space="preserve"> </w:t>
      </w:r>
      <w:hyperlink w:anchor="ref-1">
        <w:r>
          <w:rPr>
            <w:rStyle w:val="Hyperlink"/>
          </w:rPr>
          <w:t xml:space="preserve">[1]</w:t>
        </w:r>
      </w:hyperlink>
      <w:r>
        <w:t xml:space="preserve">[3][4]. Reporting-culture change gets probed head on through the interview protocol, and any center reporting a discontinuous shift in reporting practice around the intervention gets flagged in the panel and re-estimated as a robustness check with that center dropped. The cap here is how steady the estimated beta stays across the with- and without-flagged-center samples; a beta that survives the drop is more credible.</w:t>
      </w:r>
    </w:p>
    <w:bookmarkEnd w:id="120"/>
    <w:bookmarkStart w:id="121" w:name="construct-validity-of-the-treatment"/>
    <w:p>
      <w:pPr>
        <w:pStyle w:val="Heading3"/>
        <w:spacing w:line="480" w:lineRule="auto"/>
      </w:pPr>
      <w:r>
        <w:t xml:space="preserve">5.4.3 Construct Validity of the Treatment</w:t>
      </w:r>
    </w:p>
    <w:p>
      <w:pPr>
        <w:pStyle w:val="FirstParagraph"/>
        <w:spacing w:line="480" w:lineRule="auto"/>
      </w:pPr>
      <w:r>
        <w:t xml:space="preserve">Coordinated operator-role-and-autonomy redesign is a composite construct. A binary indicator has to squash depth of redesign, degree of authority shift, and quality of implementation into a single zero-or-one. The danger is that the indicator grabs the easy half of the construct, the visible documentation, and drops the load-bearing half, the actual change in operator practice and machine authority.</w:t>
      </w:r>
    </w:p>
    <w:p>
      <w:pPr>
        <w:pStyle w:val="BodyText"/>
        <w:spacing w:line="480" w:lineRule="auto"/>
        <w:ind w:firstLine="720"/>
      </w:pPr>
      <w:r>
        <w:t xml:space="preserve">To meet that danger, the dissertation formalizes the construct via a coding rubric grounded in the crew resource management literature for the space domain</w:t>
      </w:r>
      <w:r>
        <w:t xml:space="preserve"> </w:t>
      </w:r>
      <w:hyperlink w:anchor="ref-2">
        <w:r>
          <w:rPr>
            <w:rStyle w:val="Hyperlink"/>
          </w:rPr>
          <w:t xml:space="preserve">[2]</w:t>
        </w:r>
      </w:hyperlink>
      <w:r>
        <w:t xml:space="preserve">, the human factors framework for orbital operators</w:t>
      </w:r>
      <w:r>
        <w:t xml:space="preserve"> </w:t>
      </w:r>
      <w:hyperlink w:anchor="ref-5">
        <w:r>
          <w:rPr>
            <w:rStyle w:val="Hyperlink"/>
          </w:rPr>
          <w:t xml:space="preserve">[5]</w:t>
        </w:r>
      </w:hyperlink>
      <w:r>
        <w:t xml:space="preserve">, the operator confidence literature</w:t>
      </w:r>
      <w:r>
        <w:t xml:space="preserve"> </w:t>
      </w:r>
      <w:hyperlink w:anchor="ref-6">
        <w:r>
          <w:rPr>
            <w:rStyle w:val="Hyperlink"/>
          </w:rPr>
          <w:t xml:space="preserve">[6]</w:t>
        </w:r>
      </w:hyperlink>
      <w:r>
        <w:t xml:space="preserve">[25], and the human-machine teaming literature on autonomous space sensing</w:t>
      </w:r>
      <w:r>
        <w:t xml:space="preserve"> </w:t>
      </w:r>
      <w:hyperlink w:anchor="ref-8">
        <w:r>
          <w:rPr>
            <w:rStyle w:val="Hyperlink"/>
          </w:rPr>
          <w:t xml:space="preserve">[8]</w:t>
        </w:r>
      </w:hyperlink>
      <w:r>
        <w:t xml:space="preserve">[11]. The rubric gets pre-registered, inter-coder agreement gets reported, and the qualitative arm hands over depth ratings that feed two sensitivity analyses. The first re-estimates the panel with a graded treatment variable in place of the binary indicator. The second drops centers whose qualitative depth rating falls under a pre-registered threshold and re-estimates. A beta that survives both reads as more credible as an estimate of the joint construct.</w:t>
      </w:r>
    </w:p>
    <w:bookmarkEnd w:id="121"/>
    <w:bookmarkStart w:id="122" w:name="external-validity"/>
    <w:p>
      <w:pPr>
        <w:pStyle w:val="Heading3"/>
        <w:spacing w:line="480" w:lineRule="auto"/>
      </w:pPr>
      <w:r>
        <w:t xml:space="preserve">5.4.4 External Validity</w:t>
      </w:r>
    </w:p>
    <w:p>
      <w:pPr>
        <w:pStyle w:val="FirstParagraph"/>
        <w:spacing w:line="480" w:lineRule="auto"/>
      </w:pPr>
      <w:r>
        <w:t xml:space="preserve">Small and mixed runs the population of automation-dependent space operations centers, and the GAO portfolio stops at NASA major projects. Findings will not carry cleanly to centers running below the automation-dependence threshold the sociotechnical analysis of space-use norms defines</w:t>
      </w:r>
      <w:r>
        <w:t xml:space="preserve"> </w:t>
      </w:r>
      <w:hyperlink w:anchor="ref-7">
        <w:r>
          <w:rPr>
            <w:rStyle w:val="Hyperlink"/>
          </w:rPr>
          <w:t xml:space="preserve">[7]</w:t>
        </w:r>
      </w:hyperlink>
      <w:r>
        <w:t xml:space="preserve">, to commercial operators outside the GAO record, or to allied partner-agency operations the public record does not document.</w:t>
      </w:r>
    </w:p>
    <w:p>
      <w:pPr>
        <w:pStyle w:val="BodyText"/>
        <w:spacing w:line="480" w:lineRule="auto"/>
        <w:ind w:firstLine="720"/>
      </w:pPr>
      <w:r>
        <w:t xml:space="preserve">The dissertation reports findings with explicit scope conditions, names the population of inference, and refuses to stretch to centers or programs outside it. Where the portfolio specifications throw off effect sizes far larger than the operations-telemetry sample can plausibly carry, the dissertation reports the gap and declines to pool the two. Honesty about the population is the cap on external-validity damage.</w:t>
      </w:r>
    </w:p>
    <w:bookmarkEnd w:id="122"/>
    <w:bookmarkStart w:id="123" w:name="reverse-causation-and-simultaneity"/>
    <w:p>
      <w:pPr>
        <w:pStyle w:val="Heading3"/>
        <w:spacing w:line="480" w:lineRule="auto"/>
      </w:pPr>
      <w:r>
        <w:t xml:space="preserve">5.4.5 Reverse Causation and Simultaneity</w:t>
      </w:r>
    </w:p>
    <w:p>
      <w:pPr>
        <w:pStyle w:val="FirstParagraph"/>
        <w:spacing w:line="480" w:lineRule="auto"/>
      </w:pPr>
      <w:r>
        <w:t xml:space="preserve">Subtler is the worry that high-performing centers draw the modernization investments that yield the coordinated intervention, rather than the intervention yielding the high performance. In the portfolio specifications, the program-management literature on cost growth on joint programs suggests complexity and performance co-evolve in ways the cross-section cannot fully separate</w:t>
      </w:r>
      <w:r>
        <w:t xml:space="preserve"> </w:t>
      </w:r>
      <w:hyperlink w:anchor="ref-26">
        <w:r>
          <w:rPr>
            <w:rStyle w:val="Hyperlink"/>
          </w:rPr>
          <w:t xml:space="preserve">[26]</w:t>
        </w:r>
      </w:hyperlink>
      <w:r>
        <w:t xml:space="preserve">. In the panel, the event-study pre-period stands as this worry’s empirical shadow. Performance climbing in the months just before treatment would flag the intervention following improvement rather than driving it. The dissertation pre-registers inspecting the four pre-treatment quarters as the operational form of this test.</w:t>
      </w:r>
    </w:p>
    <w:bookmarkEnd w:id="123"/>
    <w:bookmarkStart w:id="124" w:name="mechanism-misattribution"/>
    <w:p>
      <w:pPr>
        <w:pStyle w:val="Heading3"/>
        <w:spacing w:line="480" w:lineRule="auto"/>
      </w:pPr>
      <w:r>
        <w:t xml:space="preserve">5.4.6 Mechanism Misattribution</w:t>
      </w:r>
    </w:p>
    <w:p>
      <w:pPr>
        <w:pStyle w:val="FirstParagraph"/>
        <w:spacing w:line="480" w:lineRule="auto"/>
      </w:pPr>
      <w:r>
        <w:t xml:space="preserve">Even a credible joint beta out of the panel and portfolio estimators leaves open that the mechanism is not the one the dissertation predicts. The estimated effect could run through trust recalibration on the operator side</w:t>
      </w:r>
      <w:r>
        <w:t xml:space="preserve"> </w:t>
      </w:r>
      <w:hyperlink w:anchor="ref-6">
        <w:r>
          <w:rPr>
            <w:rStyle w:val="Hyperlink"/>
          </w:rPr>
          <w:t xml:space="preserve">[6]</w:t>
        </w:r>
      </w:hyperlink>
      <w:r>
        <w:t xml:space="preserve">[8], through changed machine authority that trims mode confusion</w:t>
      </w:r>
      <w:r>
        <w:t xml:space="preserve"> </w:t>
      </w:r>
      <w:hyperlink w:anchor="ref-11">
        <w:r>
          <w:rPr>
            <w:rStyle w:val="Hyperlink"/>
          </w:rPr>
          <w:t xml:space="preserve">[11]</w:t>
        </w:r>
      </w:hyperlink>
      <w:r>
        <w:t xml:space="preserve">, through reorganized crew coordination that lightens the cognitive load of automation-dependent work</w:t>
      </w:r>
      <w:r>
        <w:t xml:space="preserve"> </w:t>
      </w:r>
      <w:hyperlink w:anchor="ref-2">
        <w:r>
          <w:rPr>
            <w:rStyle w:val="Hyperlink"/>
          </w:rPr>
          <w:t xml:space="preserve">[2]</w:t>
        </w:r>
      </w:hyperlink>
      <w:r>
        <w:t xml:space="preserve">[5], or through some blend. Misreading the mechanism would not sink the seam claim but would soften the program-management implications drawn from it.</w:t>
      </w:r>
    </w:p>
    <w:p>
      <w:pPr>
        <w:pStyle w:val="BodyText"/>
        <w:spacing w:line="480" w:lineRule="auto"/>
        <w:ind w:firstLine="720"/>
      </w:pPr>
      <w:r>
        <w:t xml:space="preserve">The empirical instrument for mechanism attribution is the qualitative arm. The protocol asks operators to say, in their own words, what changed in their work after the intervention and what they would change next. That interview record gets coded against the predicted mechanisms and against alternatives out of the wider autonomy literature, the long-standing warning about the ironies of automation</w:t>
      </w:r>
      <w:r>
        <w:t xml:space="preserve"> </w:t>
      </w:r>
      <w:hyperlink w:anchor="ref-16">
        <w:r>
          <w:rPr>
            <w:rStyle w:val="Hyperlink"/>
          </w:rPr>
          <w:t xml:space="preserve">[16]</w:t>
        </w:r>
      </w:hyperlink>
      <w:r>
        <w:t xml:space="preserve"> </w:t>
      </w:r>
      <w:r>
        <w:t xml:space="preserve">and the supervisory control literature on level-of-automation allocation</w:t>
      </w:r>
      <w:r>
        <w:t xml:space="preserve"> </w:t>
      </w:r>
      <w:hyperlink w:anchor="ref-17">
        <w:r>
          <w:rPr>
            <w:rStyle w:val="Hyperlink"/>
          </w:rPr>
          <w:t xml:space="preserve">[17]</w:t>
        </w:r>
      </w:hyperlink>
      <w:r>
        <w:t xml:space="preserve"> </w:t>
      </w:r>
      <w:r>
        <w:t xml:space="preserve">included. A mechanism story gets reported only where the qualitative evidence lines up across at least two centers and runs uncontradicted by the quantitative pattern.</w:t>
      </w:r>
    </w:p>
    <w:bookmarkEnd w:id="124"/>
    <w:bookmarkStart w:id="125" w:name="data-provenance-and-reproducibility"/>
    <w:p>
      <w:pPr>
        <w:pStyle w:val="Heading3"/>
        <w:spacing w:line="480" w:lineRule="auto"/>
      </w:pPr>
      <w:r>
        <w:t xml:space="preserve">5.4.7 Data Provenance and Reproducibility</w:t>
      </w:r>
    </w:p>
    <w:p>
      <w:pPr>
        <w:pStyle w:val="FirstParagraph"/>
        <w:spacing w:line="480" w:lineRule="auto"/>
      </w:pPr>
      <w:r>
        <w:t xml:space="preserve">Statistical and substantive threats are the ones weighed so far. A last threat is operational. The dissertation rests on public records and on access to Space-Track.org for credentialed researchers, on openly published AMOS proceedings, and on the FAA aviation safety reporting framework carried into the orbital domain</w:t>
      </w:r>
      <w:r>
        <w:t xml:space="preserve"> </w:t>
      </w:r>
      <w:hyperlink w:anchor="ref-1">
        <w:r>
          <w:rPr>
            <w:rStyle w:val="Hyperlink"/>
          </w:rPr>
          <w:t xml:space="preserve">[1]</w:t>
        </w:r>
      </w:hyperlink>
      <w:r>
        <w:t xml:space="preserve">[3][4][5]. Provenance for every coded variable gets documented at the row level, and the analysis plan is built to run entirely on releasable records. No classified data are needed. The code, the coding rubric, the inter-coder agreement statistics, and the per-row provenance citations get archived for replication. The cap here is that any reader can rerun the panel and the portfolio specifications against the same record.</w:t>
      </w:r>
    </w:p>
    <w:bookmarkEnd w:id="125"/>
    <w:bookmarkEnd w:id="126"/>
    <w:bookmarkStart w:id="127" w:name="what-falsification-would-look-like"/>
    <w:p>
      <w:pPr>
        <w:pStyle w:val="Heading2"/>
        <w:spacing w:line="480" w:lineRule="auto"/>
      </w:pPr>
      <w:r>
        <w:t xml:space="preserve">5.5 What Falsification Would Look Like</w:t>
      </w:r>
    </w:p>
    <w:p>
      <w:pPr>
        <w:pStyle w:val="FirstParagraph"/>
        <w:spacing w:line="480" w:lineRule="auto"/>
      </w:pPr>
      <w:r>
        <w:t xml:space="preserve">Up front, the dissertation commits to the patterns that would falsify its central claim. A null result on the panel beta for the safety outcome would sink the human factors strand’s claim that role redesign carries marginal safety value past autonomy deployment</w:t>
      </w:r>
      <w:r>
        <w:t xml:space="preserve"> </w:t>
      </w:r>
      <w:hyperlink w:anchor="ref-2">
        <w:r>
          <w:rPr>
            <w:rStyle w:val="Hyperlink"/>
          </w:rPr>
          <w:t xml:space="preserve">[2]</w:t>
        </w:r>
      </w:hyperlink>
      <w:r>
        <w:t xml:space="preserve">[5][6][8]. A null result on the panel beta for the throughput outcome would back the operations-engineering strand’s tacit claim that operator role design runs throughput-neutral and would strip the joint-optimization argument of its economic footing</w:t>
      </w:r>
      <w:r>
        <w:t xml:space="preserve"> </w:t>
      </w:r>
      <w:hyperlink w:anchor="ref-1">
        <w:r>
          <w:rPr>
            <w:rStyle w:val="Hyperlink"/>
          </w:rPr>
          <w:t xml:space="preserve">[1]</w:t>
        </w:r>
      </w:hyperlink>
      <w:r>
        <w:t xml:space="preserve">[3][4]. Should the event-study pre-period refuse to lie statistically flat, that flags selection on the gain and leaves the panel beta unreadable as a causal estimate, in which case the dissertation reports the descriptive pattern and withholds the causal claim outright. A split between the panel beta and the portfolio specifications, on a scale bigger than measurement-model differences can plausibly explain, would flag the seam mechanism running differently at the program level than at the operations-center level, and the dissertation would carry that split as substantive evidence to report rather than a problem to reconcile.</w:t>
      </w:r>
    </w:p>
    <w:p>
      <w:pPr>
        <w:pStyle w:val="BodyText"/>
        <w:spacing w:line="480" w:lineRule="auto"/>
        <w:ind w:firstLine="720"/>
      </w:pPr>
      <w:r>
        <w:t xml:space="preserve">Each of these falsification patterns is detectable in the public record, which is exactly how the estimators and the identification strategy of this chapter got designed. The chapter that follows puts them to work.</w:t>
      </w:r>
    </w:p>
    <w:bookmarkEnd w:id="127"/>
    <w:bookmarkEnd w:id="128"/>
    <w:bookmarkStart w:id="134" w:name="chapter-6.-results"/>
    <w:p>
      <w:pPr>
        <w:pStyle w:val="Heading1"/>
        <w:spacing w:line="480" w:lineRule="auto"/>
      </w:pPr>
      <w:r>
        <w:t xml:space="preserve">Chapter 6. Results</w:t>
      </w:r>
    </w:p>
    <w:p>
      <w:pPr>
        <w:pStyle w:val="FirstParagraph"/>
        <w:spacing w:line="480" w:lineRule="auto"/>
      </w:pPr>
      <w:r>
        <w:t xml:space="preserve">This chapter lays out what the two estimators found. They form the quantitative spine of the dissertation. Paper 1 regresses cost overrun on four things: autonomy level, operator full time equivalents, a binary flag for coordinated operator role redesign, and planned mission duration. It fits by ordinary least squares across a cross section of thirty NASA major projects. Paper 2 takes the same thirty rows and fits a logistic regression, this time predicting a binary schedule slip flag from autonomy level, log operator staffing, and planned mission duration. The two ask related but separate questions. One asks how much cost overrun a program runs up given its sociotechnical setup. The other asks how likely that program is to blow past its confirmed baseline by more than six months. Together they test the sociotechnical seam hypothesis that the prospectus advanced and that Chapters 4 and 5 built out</w:t>
      </w:r>
      <w:r>
        <w:t xml:space="preserve"> </w:t>
      </w:r>
      <w:hyperlink w:anchor="ref-1">
        <w:r>
          <w:rPr>
            <w:rStyle w:val="Hyperlink"/>
          </w:rPr>
          <w:t xml:space="preserve">[1]</w:t>
        </w:r>
      </w:hyperlink>
      <w:r>
        <w:t xml:space="preserve">[2][5].</w:t>
      </w:r>
    </w:p>
    <w:p>
      <w:pPr>
        <w:pStyle w:val="BodyText"/>
        <w:spacing w:line="480" w:lineRule="auto"/>
        <w:ind w:firstLine="720"/>
      </w:pPr>
      <w:r>
        <w:t xml:space="preserve">The layout runs across five sections. Section 6.1 gives the omnibus fit of the cost overrun model. Section 6.2 takes that model’s coefficients one at a time, weighing magnitude, standard error, p value, and meaning. Section 6.3 gives the omnibus fit of the slip probability model. Section 6.4 walks its coefficients. Section 6.5 reads both estimators side by side, marking where they agree, where they part, and what each pattern says about the seam argument. Tables, formulas, and the raw cell-level data live in Appendix A; nothing here paraphrases them numerically past what the estimators actually returned.</w:t>
      </w:r>
    </w:p>
    <w:bookmarkStart w:id="129" w:name="X7e562a02b0241bf7cf7acdc4fe22d91c3eca523"/>
    <w:p>
      <w:pPr>
        <w:pStyle w:val="Heading2"/>
        <w:spacing w:line="480" w:lineRule="auto"/>
      </w:pPr>
      <w:r>
        <w:t xml:space="preserve">6.1 Paper 1 Model Fit: Cost Overrun on Thirty NASA Major Projects</w:t>
      </w:r>
    </w:p>
    <w:p>
      <w:pPr>
        <w:pStyle w:val="FirstParagraph"/>
        <w:spacing w:line="480" w:lineRule="auto"/>
      </w:pPr>
      <w:r>
        <w:t xml:space="preserve">Paper 1 casts percentage cost overrun against confirmed baseline as a linear function of four regressors. They are autonomy level on the five step NASA autonomy maturity rubric, peak operator full time equivalents during prime mission, a binary joint optimization flag marking whether a program paired autonomy deployment with a documented operator role redesign, and planned prime mission duration in months. Ordinary least squares does the fitting, with robust HC1 standard errors. Thirty NASA major projects make up the sample, pulled from the Government Accountability Office major project assessment series for fiscal years 2012 through 2024</w:t>
      </w:r>
      <w:r>
        <w:t xml:space="preserve"> </w:t>
      </w:r>
      <w:hyperlink w:anchor="ref-12">
        <w:r>
          <w:rPr>
            <w:rStyle w:val="Hyperlink"/>
          </w:rPr>
          <w:t xml:space="preserve">[12]</w:t>
        </w:r>
      </w:hyperlink>
      <w:r>
        <w:t xml:space="preserve">[14], and coded by the autonomy and joint optimization rubrics of Chapter 5, which rest on the autonomy and human machine teaming literature</w:t>
      </w:r>
      <w:r>
        <w:t xml:space="preserve"> </w:t>
      </w:r>
      <w:hyperlink w:anchor="ref-8">
        <w:r>
          <w:rPr>
            <w:rStyle w:val="Hyperlink"/>
          </w:rPr>
          <w:t xml:space="preserve">[8]</w:t>
        </w:r>
      </w:hyperlink>
      <w:r>
        <w:t xml:space="preserve">[15][16][17].</w:t>
      </w:r>
    </w:p>
    <w:p>
      <w:pPr>
        <w:pStyle w:val="BodyText"/>
        <w:spacing w:line="480" w:lineRule="auto"/>
        <w:ind w:firstLine="720"/>
      </w:pPr>
      <w:r>
        <w:t xml:space="preserve">The fit comes back with an R squared of 0.5903 and an adjusted R squared of 0.5248. Its F statistic is 5.2378, carrying a p value of 0.0033. Three things ride on these numbers. To begin, the four regressor model accounts for close to fifty nine percent of the cross sectional spread in percentage cost overrun across the thirty projects, a hefty share for an organizational dataset pieced together from public assessment documents. Next, roughly six and a half percentage points separate R squared from adjusted R squared, the toll the adjustment charges for four regressors against thirty observations. Since the adjusted figure of 0.5248 holds, the explanatory power clears the small sample toll and is no overfitting artifact of four predictors. Last, the F test of joint significance lands a p value comfortably under the usual 0.01 line, which licenses reading the regressors as genuinely tied to the outcome rather than as sampling noise. So the omnibus fit opens the door to the coefficient by coefficient reading below. Judged as an engineered measurement the fit is loose; judged as organizational cost data it is solid, and it is sharp enough to say which of the four regressors bears the explanatory weight.</w:t>
      </w:r>
    </w:p>
    <w:bookmarkEnd w:id="129"/>
    <w:bookmarkStart w:id="130" w:name="X6d877387902f36a716ebc786ae6c4e2fc65e00b"/>
    <w:p>
      <w:pPr>
        <w:pStyle w:val="Heading2"/>
        <w:spacing w:line="480" w:lineRule="auto"/>
      </w:pPr>
      <w:r>
        <w:t xml:space="preserve">6.2 Paper 1 Coefficient by Coefficient Interpretation</w:t>
      </w:r>
    </w:p>
    <w:p>
      <w:pPr>
        <w:pStyle w:val="FirstParagraph"/>
        <w:spacing w:line="480" w:lineRule="auto"/>
      </w:pPr>
      <w:r>
        <w:t xml:space="preserve">Take the intercept first. It comes in at minus 4.1505 percentage points, robust standard error 16.1889, p value 0.7977. No direct substantive meaning attaches to it here, since none of the regressors is centered and a project scoring zero on autonomy, zero operators, zero joint optimization, and zero planned duration falls outside the sample’s support. A wide standard error and a p value near 0.80 just confirm a poorly pinned intercept, which is what you expect once the regressors carry the weight away from the origin. The intercept rides along as bookkeeping, not as substance.</w:t>
      </w:r>
    </w:p>
    <w:p>
      <w:pPr>
        <w:pStyle w:val="BodyText"/>
        <w:spacing w:line="480" w:lineRule="auto"/>
        <w:ind w:firstLine="720"/>
      </w:pPr>
      <w:r>
        <w:t xml:space="preserve">Autonomy level lands at 6.1341 percentage points of overrun per step on the five point rubric, robust standard error 4.6204, p value 0.1843. Three things stand out. The sign is positive, which flips what the substitution view of autonomy would predict. On that view, more onboard authority ought to lighten operator burden, trim ground rehearsal cycles, and thereby cut overrun, with a negative and detectable coefficient. What the estimator hands back instead is a positive point estimate implying, read literally, that a one-step climb up the rubric goes with about six more percentage points of overrun, other regressors held fixed. The standard error is wide enough that the coefficient never clears zero at conventional lines, its p value nearing but not passing 0.20. Read honestly, the autonomy main effect cannot be told apart from zero in this thirty project cross section, and the point estimate’s sign runs against the substitution prediction. Both matter. The first sinks any strong claim that autonomy delivers cost discipline unaided. The second hints, softly, that absent a coordinated operator role redesign, autonomy spending may even move together with the kind of architectural ambition that breeds overrun</w:t>
      </w:r>
      <w:r>
        <w:t xml:space="preserve"> </w:t>
      </w:r>
      <w:hyperlink w:anchor="ref-16">
        <w:r>
          <w:rPr>
            <w:rStyle w:val="Hyperlink"/>
          </w:rPr>
          <w:t xml:space="preserve">[16]</w:t>
        </w:r>
      </w:hyperlink>
      <w:r>
        <w:t xml:space="preserve">[17].</w:t>
      </w:r>
    </w:p>
    <w:p>
      <w:pPr>
        <w:pStyle w:val="BodyText"/>
        <w:spacing w:line="480" w:lineRule="auto"/>
        <w:ind w:firstLine="720"/>
      </w:pPr>
      <w:r>
        <w:t xml:space="preserve">Operator FTE sits at essentially nothing. Its point estimate is minus 0.0155 percentage points of overrun per added operator full time equivalent, robust standard error 0.1002, p value 0.8773. The reading is straightforward. Treated as flat headcount rather than a complexity proxy, operator staffing shows no detectable link to percentage cost overrun here. That p value of 0.88 is the flattest non result among the four regressors, and it licenses the conclusion that, holding autonomy level, joint optimization, and planned duration fixed, dialing staffing up or down does not shift cost overrun. The finding earns its place on its own. Program management talk often uses operator headcount as shorthand for how sophisticated an operations concept is. The estimator rejects that shorthand. Sociotechnical sophistication lives in the binary joint optimization flag in this model, and once that flag is in, the staffing variable says nothing.</w:t>
      </w:r>
    </w:p>
    <w:p>
      <w:pPr>
        <w:pStyle w:val="BodyText"/>
        <w:spacing w:line="480" w:lineRule="auto"/>
        <w:ind w:firstLine="720"/>
      </w:pPr>
      <w:r>
        <w:t xml:space="preserve">The joint optimization flag anchors the Paper 1 model. Its estimate is minus 25.9596 percentage points of cost overrun for projects coded as pairing a coordinated operator role redesign with their autonomy deployment, robust standard error 8.8151, p value 0.0032. Four properties earn notice. First, the magnitude is big. Roughly twenty six percentage points off cost overrun, other regressors held fixed, is an effect that reads as operationally real on the scale of NASA major project budgets</w:t>
      </w:r>
      <w:r>
        <w:t xml:space="preserve"> </w:t>
      </w:r>
      <w:hyperlink w:anchor="ref-12">
        <w:r>
          <w:rPr>
            <w:rStyle w:val="Hyperlink"/>
          </w:rPr>
          <w:t xml:space="preserve">[12]</w:t>
        </w:r>
      </w:hyperlink>
      <w:r>
        <w:t xml:space="preserve">[14]. Second, the standard error is tight enough that the effect is precisely estimated for an organizational dataset this size, the lower bound of an approximate ninety five percent confidence interval still sitting well under zero. Third, the p value of 0.0032 falls under the 0.005 line that some methodological reformers float as the new cutoff for a real association in small samples, and it clears the usual 0.05 line by any reading. Fourth, and this is the one that counts most, the joint optimization estimate holds up once autonomy level, operator FTE, and the duration control are all in the model, which is the test H2 demands in the Paper 1 design. The seam variable is not poaching variance that belongs to the autonomy or staffing main effects. It carries explanatory weight those main effects do not. This is the fingerprint the sociotechnical seam hypothesis predicted</w:t>
      </w:r>
      <w:r>
        <w:t xml:space="preserve"> </w:t>
      </w:r>
      <w:hyperlink w:anchor="ref-1">
        <w:r>
          <w:rPr>
            <w:rStyle w:val="Hyperlink"/>
          </w:rPr>
          <w:t xml:space="preserve">[1]</w:t>
        </w:r>
      </w:hyperlink>
      <w:r>
        <w:t xml:space="preserve">[2][5][7].</w:t>
      </w:r>
    </w:p>
    <w:p>
      <w:pPr>
        <w:pStyle w:val="BodyText"/>
        <w:spacing w:line="480" w:lineRule="auto"/>
        <w:ind w:firstLine="720"/>
      </w:pPr>
      <w:r>
        <w:t xml:space="preserve">Mission duration comes in at 0.2235 percentage points of cost overrun per month of planned prime mission, robust standard error 0.1344, p value 0.0962. The sign is positive, matching the cost growth literature’s usual direction: longer planned missions tend to soak up more overrun against their confirmed baselines</w:t>
      </w:r>
      <w:r>
        <w:t xml:space="preserve"> </w:t>
      </w:r>
      <w:hyperlink w:anchor="ref-12">
        <w:r>
          <w:rPr>
            <w:rStyle w:val="Hyperlink"/>
          </w:rPr>
          <w:t xml:space="preserve">[12]</w:t>
        </w:r>
      </w:hyperlink>
      <w:r>
        <w:t xml:space="preserve">[14]. A p value of 0.10 sits right on the conventional edge, the fitting place to report duration as a real but secondary control. Substantively, duration behaves as expected, taking up a modest slice of the cross sectional spread and leaving the seam effect to shoulder the main explanatory load.</w:t>
      </w:r>
    </w:p>
    <w:p>
      <w:pPr>
        <w:pStyle w:val="BodyText"/>
        <w:spacing w:line="480" w:lineRule="auto"/>
        <w:ind w:firstLine="720"/>
      </w:pPr>
      <w:r>
        <w:t xml:space="preserve">Put together, the Paper 1 coefficients back H2 and leave H1 unsupported in the sense H1 carried for the cost overrun model. Autonomy’s main effect cannot be told from zero and points the wrong way for substitution. The joint optimization flag is big, precisely estimated, and signed the way the seam hypothesis needs. In this sample the cost discipline sits on the seam variable, not on the autonomy step.</w:t>
      </w:r>
    </w:p>
    <w:bookmarkEnd w:id="130"/>
    <w:bookmarkStart w:id="131" w:name="X763a3f20fc8d66a3f5076ac6697fec1a0e0f8d6"/>
    <w:p>
      <w:pPr>
        <w:pStyle w:val="Heading2"/>
        <w:spacing w:line="480" w:lineRule="auto"/>
      </w:pPr>
      <w:r>
        <w:t xml:space="preserve">6.3 Paper 2 Model Fit: Logistic Estimation of Slip Probability</w:t>
      </w:r>
    </w:p>
    <w:p>
      <w:pPr>
        <w:pStyle w:val="FirstParagraph"/>
        <w:spacing w:line="480" w:lineRule="auto"/>
      </w:pPr>
      <w:r>
        <w:t xml:space="preserve">Paper 2 casts the probability that a NASA major project overshoots its confirmed baseline launch or milestone date by more than six months as a logistic function of three regressors: autonomy level on the same five step rubric, the natural logarithm of peak operator full time equivalents, and planned prime mission duration in months. Maximum likelihood logistic regression does the fitting, with Newton Raphson updating and the usual inverse Hessian standard errors. The sample is the same thirty NASA major projects from Paper 1, its binary outcome coded off the same GAO assessment record</w:t>
      </w:r>
      <w:r>
        <w:t xml:space="preserve"> </w:t>
      </w:r>
      <w:hyperlink w:anchor="ref-12">
        <w:r>
          <w:rPr>
            <w:rStyle w:val="Hyperlink"/>
          </w:rPr>
          <w:t xml:space="preserve">[12]</w:t>
        </w:r>
      </w:hyperlink>
      <w:r>
        <w:t xml:space="preserve">[14].</w:t>
      </w:r>
    </w:p>
    <w:p>
      <w:pPr>
        <w:pStyle w:val="BodyText"/>
        <w:spacing w:line="480" w:lineRule="auto"/>
        <w:ind w:firstLine="720"/>
      </w:pPr>
      <w:r>
        <w:t xml:space="preserve">Across thirty observations the fit converges at a McFadden pseudo R squared of 0.2838 and a log likelihood of minus 14.8451. On the McFadden scale a pseudo R squared near 0.28 marks a real improvement of the fitted model over the constant only baseline. That statistic runs between zero and one but lacks the proportion of variance meaning the ordinary least squares R squared carries. Readers conventionally take McFadden values from 0.20 to 0.40 as a model with genuine predictive content that stops short of claiming an unrealistically high level of explained risk. The log likelihood of minus 14.85 is the yardstick any nested specification would meet in a likelihood ratio test. So the omnibus fit is softer than Paper 1’s, yet it matches what a thirty observation logit on a binary outcome with three covariates can be expected to yield. Its main lesson is that the model behaves well enough to license a coefficient by coefficient reading, and that one of the three covariates ought to carry most of the predictive weight given where the pseudo R squared sits.</w:t>
      </w:r>
    </w:p>
    <w:bookmarkEnd w:id="131"/>
    <w:bookmarkStart w:id="132" w:name="X24fec2a8fae21276c93acb858c02b393c4213f2"/>
    <w:p>
      <w:pPr>
        <w:pStyle w:val="Heading2"/>
        <w:spacing w:line="480" w:lineRule="auto"/>
      </w:pPr>
      <w:r>
        <w:t xml:space="preserve">6.4 Paper 2 Coefficient by Coefficient Interpretation</w:t>
      </w:r>
    </w:p>
    <w:p>
      <w:pPr>
        <w:pStyle w:val="FirstParagraph"/>
        <w:spacing w:line="480" w:lineRule="auto"/>
      </w:pPr>
      <w:r>
        <w:t xml:space="preserve">Begin again with the intercept, at minus 8.2812, standard error 6.2703, p value 0.1866. As in Paper 1, it carries no direct substantive meaning because the regressors are uncentered. Its negative point estimate and wide standard error reflect that, at zero autonomy and at the zero of log operator staffing, the linear index gets shoved deep into the lower tail of the logistic CDF, where baseline slip probability all but vanishes. A p value of 0.19 says the intercept is not precisely pinned, which is expected when the staffing covariate carries the predictive weight.</w:t>
      </w:r>
    </w:p>
    <w:p>
      <w:pPr>
        <w:pStyle w:val="BodyText"/>
        <w:spacing w:line="480" w:lineRule="auto"/>
        <w:ind w:firstLine="720"/>
      </w:pPr>
      <w:r>
        <w:t xml:space="preserve">Autonomy level comes in at minus 0.6658, standard error 0.7312, p value 0.3625. Its sign is negative, matching the substitution prediction that more onboard autonomy should track with fewer schedule slips, and reversing the sign on the autonomy coefficient in the Paper 1 cost model. So in substantive direction the effect lines up with H1 of Paper 2</w:t>
      </w:r>
      <w:r>
        <w:t xml:space="preserve"> </w:t>
      </w:r>
      <w:hyperlink w:anchor="ref-15">
        <w:r>
          <w:rPr>
            <w:rStyle w:val="Hyperlink"/>
          </w:rPr>
          <w:t xml:space="preserve">[15]</w:t>
        </w:r>
      </w:hyperlink>
      <w:r>
        <w:t xml:space="preserve">. The standard error dwarfs the point estimate, and a p value of 0.36 sits well past any conventional line. Honestly read, the autonomy term here has the predicted sign but never clears zero. It is suggestive to describe and silent to infer from. Translate the point estimate and a one step climb up the rubric scales the odds of a slip greater than six months by roughly exp of minus 0.67, about a factor of 0.51; but the wide confidence interval spans both real cuts in odds and modest rises, so the coefficient’s substantive content stays thin. H1 of Paper 2 fails in the strict statistical sense, even as the directional pattern survives.</w:t>
      </w:r>
    </w:p>
    <w:p>
      <w:pPr>
        <w:pStyle w:val="BodyText"/>
        <w:spacing w:line="480" w:lineRule="auto"/>
        <w:ind w:firstLine="720"/>
      </w:pPr>
      <w:r>
        <w:t xml:space="preserve">Log operator FTE runs the Paper 2 model. Its point estimate is 3.1564, standard error 1.8637, p value 0.0903. Three properties earn notice. First, the sign is positive, meaning programs with heavier operations footprints slip more often, autonomy and duration held fixed. Second, the magnitude is operationally large. A one unit rise in log operator FTE is roughly a factor of e in raw staffing, and a coefficient of 3.16 on that scale swings the logistic linear index by enough that, depending on the baseline, it can carry slip probability across the half-probability line. Translate it: a one log unit step in staffing scales the odds of a slip greater than six months by roughly exp of 3.16, on the order of twenty four. Third, the p value of 0.09 is the lone Paper 2 coefficient that nears a conventional line, straddling the boundary between a precisely estimated and a merely suggestive result. This term holds the predictive content the pseudo R squared of 0.28 promised would surface somewhere. Substantively it lines up with H2 of Paper 2: staffing scale tracks the underlying complexity behind slips, and the staffing coefficient is what moves with slip risk in the cross section.</w:t>
      </w:r>
    </w:p>
    <w:p>
      <w:pPr>
        <w:pStyle w:val="BodyText"/>
        <w:spacing w:line="480" w:lineRule="auto"/>
        <w:ind w:firstLine="720"/>
      </w:pPr>
      <w:r>
        <w:t xml:space="preserve">Mission duration comes in at minus 0.0026, standard error 0.0188, p value 0.8910. On the logit scale the point estimate is essentially zero, and a p value of 0.89 confirms that duration bears no link to slip probability once autonomy level and log operator staffing are in. That departs from Paper 1, where duration entered with a small positive coefficient near the conventional line. The tidiest reading of the gap is that Paper 2’s binary slip outcome throws away the slip-magnitude variance a continuous outcome would keep, and that Paper 2’s log operator staffing covariate soaks up much of the complexity load duration carries in the Paper 1 cost model. Duration’s coefficient in Paper 2 is thus a null that teaches about model structure rather than a finding about duration itself.</w:t>
      </w:r>
    </w:p>
    <w:p>
      <w:pPr>
        <w:pStyle w:val="BodyText"/>
        <w:spacing w:line="480" w:lineRule="auto"/>
        <w:ind w:firstLine="720"/>
      </w:pPr>
      <w:r>
        <w:t xml:space="preserve">Put together, the Paper 2 coefficients back H2 descriptively and leave H1 unsupported in the strict inferential sense. Autonomy is small in absolute value, correctly signed for substitution, and statistically mute. Log operator staffing is large in absolute value, signed the way the seam reading wants, and nears a conventional line. Duration is null. Slip probability in this cross section turns mostly on the operations footprint, not on the onboard autonomy step.</w:t>
      </w:r>
    </w:p>
    <w:bookmarkEnd w:id="132"/>
    <w:bookmarkStart w:id="133" w:name="Xac6ca1e2542c2bfd8f4c7fe9f34ab48807ef68f"/>
    <w:p>
      <w:pPr>
        <w:pStyle w:val="Heading2"/>
        <w:spacing w:line="480" w:lineRule="auto"/>
      </w:pPr>
      <w:r>
        <w:t xml:space="preserve">6.5 Joint Reading and Triangulation Across the Two Estimators</w:t>
      </w:r>
    </w:p>
    <w:p>
      <w:pPr>
        <w:pStyle w:val="FirstParagraph"/>
        <w:spacing w:line="480" w:lineRule="auto"/>
      </w:pPr>
      <w:r>
        <w:t xml:space="preserve">The two estimators were built apart and answer two separate outcomes, yet they share a row set and the dissertation’s sociotechnical seam frame. Reading their coefficients together is the right next move, and three patterns surface.</w:t>
      </w:r>
    </w:p>
    <w:p>
      <w:pPr>
        <w:pStyle w:val="BodyText"/>
        <w:spacing w:line="480" w:lineRule="auto"/>
        <w:ind w:firstLine="720"/>
      </w:pPr>
      <w:r>
        <w:t xml:space="preserve">The first is that no autonomy main effect holds on either outcome. Paper 1 puts autonomy at 6.13, p value 0.18, positive and wrong signed for substitution. Paper 2 puts it at minus 0.67, p value 0.36, negative and correctly signed for substitution but statistically mute. Across the two the point estimates disagree even on sign, and neither breaks free of zero. Most defensibly, the autonomy rubric taken as a standalone main effect at the program level bears no stable predictive tie to either cost overrun or slip probability in this sample. The substitution view, on which more onboard authority mechanically buys back cost or schedule margin at the program level, does not show up in the public record of major projects as this dataset encodes it</w:t>
      </w:r>
      <w:r>
        <w:t xml:space="preserve"> </w:t>
      </w:r>
      <w:hyperlink w:anchor="ref-15">
        <w:r>
          <w:rPr>
            <w:rStyle w:val="Hyperlink"/>
          </w:rPr>
          <w:t xml:space="preserve">[15]</w:t>
        </w:r>
      </w:hyperlink>
      <w:r>
        <w:t xml:space="preserve">[16][17].</w:t>
      </w:r>
    </w:p>
    <w:p>
      <w:pPr>
        <w:pStyle w:val="BodyText"/>
        <w:spacing w:line="480" w:lineRule="auto"/>
        <w:ind w:firstLine="720"/>
      </w:pPr>
      <w:r>
        <w:t xml:space="preserve">The second is that a sociotechnical variable does carry explanatory weight on each side. Paper 1’s joint optimization flag is big, precisely estimated, and signed the way the seam hypothesis predicts, at minus 25.96 percentage points, p value 0.0032. Paper 2’s log operator staffing coefficient is big, suggestively estimated, and signed the way the seam hypothesis predicts, at 3.16, p value 0.09. The two are not one construct. The joint optimization flag records whether a program coordinated its operator role design with its autonomy deployment. The log operator staffing covariate records the scale of the operations footprint. One is a deliberate design choice; the other is a complexity proxy</w:t>
      </w:r>
      <w:r>
        <w:t xml:space="preserve"> </w:t>
      </w:r>
      <w:hyperlink w:anchor="ref-1">
        <w:r>
          <w:rPr>
            <w:rStyle w:val="Hyperlink"/>
          </w:rPr>
          <w:t xml:space="preserve">[1]</w:t>
        </w:r>
      </w:hyperlink>
      <w:r>
        <w:t xml:space="preserve">[2][5][7]. That both, distinct as they are, carry the weight the autonomy main effect does not is the seam reading’s fingerprint. Whether the seam was designed tracks cost discipline. How heavy the operations side of the seam runs tracks slip risk.</w:t>
      </w:r>
    </w:p>
    <w:p>
      <w:pPr>
        <w:pStyle w:val="BodyText"/>
        <w:spacing w:line="480" w:lineRule="auto"/>
        <w:ind w:firstLine="720"/>
      </w:pPr>
      <w:r>
        <w:t xml:space="preserve">The third is the duration control’s steadiness. Paper 1 has duration entering with a small positive coefficient of 0.2235 percentage points per month, p value 0.0962, the conventional direction at a borderline level. Paper 2 has duration essentially zero on the logit scale, p value 0.89. No tension there. In Paper 1 duration takes up a slice of the continuous overrun variance a continuous outcome can register. In Paper 2 the staffing covariate dominates duration, soaking up the complexity signal duration would otherwise carry on a binary outcome. So the duration control acts as expected across both estimators and leaves the seam interpretation standing</w:t>
      </w:r>
      <w:r>
        <w:t xml:space="preserve"> </w:t>
      </w:r>
      <w:hyperlink w:anchor="ref-12">
        <w:r>
          <w:rPr>
            <w:rStyle w:val="Hyperlink"/>
          </w:rPr>
          <w:t xml:space="preserve">[12]</w:t>
        </w:r>
      </w:hyperlink>
      <w:r>
        <w:t xml:space="preserve">[14].</w:t>
      </w:r>
    </w:p>
    <w:p>
      <w:pPr>
        <w:pStyle w:val="BodyText"/>
        <w:spacing w:line="480" w:lineRule="auto"/>
        <w:ind w:firstLine="720"/>
      </w:pPr>
      <w:r>
        <w:t xml:space="preserve">A fourth observation is methodological and ties back to the mixed method design the prospectus set out and the earlier work developed in Chapter 4. The quantitative arm here estimates how much the seam variables add, conditional on autonomy and duration controls, on a thirty observation cross section. The qualitative arm, in Chapter 7, spells out the mechanism by which a coordinated operator role redesign yields the cost discipline Paper 1 catches, and the mechanism by which staffing scale tracks complexity and so produces the slip risk Paper 2 catches</w:t>
      </w:r>
      <w:r>
        <w:t xml:space="preserve"> </w:t>
      </w:r>
      <w:hyperlink w:anchor="ref-2">
        <w:r>
          <w:rPr>
            <w:rStyle w:val="Hyperlink"/>
          </w:rPr>
          <w:t xml:space="preserve">[2]</w:t>
        </w:r>
      </w:hyperlink>
      <w:r>
        <w:t xml:space="preserve">[6]. The prospectus’s triangulation logic asks both arms to meet on the seam reading before any causal interpretation is earned. Paper 1 and Paper 2 together supply the quantitative half of that warrant. Alone they license no strong causal claim, and the chapter takes care to make none</w:t>
      </w:r>
      <w:r>
        <w:t xml:space="preserve"> </w:t>
      </w:r>
      <w:hyperlink w:anchor="ref-16">
        <w:r>
          <w:rPr>
            <w:rStyle w:val="Hyperlink"/>
          </w:rPr>
          <w:t xml:space="preserve">[16]</w:t>
        </w:r>
      </w:hyperlink>
      <w:r>
        <w:t xml:space="preserve">[17].</w:t>
      </w:r>
    </w:p>
    <w:p>
      <w:pPr>
        <w:pStyle w:val="BodyText"/>
        <w:spacing w:line="480" w:lineRule="auto"/>
        <w:ind w:firstLine="720"/>
      </w:pPr>
      <w:r>
        <w:t xml:space="preserve">Two limits of this chapter fall out of the estimator output and are noted here rather than reserved for the discussion in Chapter 8. First, a thirty observation cross section leaves the autonomy main effect thin on statistical power, and the directional split between the Paper 1 and Paper 2 autonomy coefficients is just what a larger sample with within program variation would settle. The right next analytic move, flagged in the prospectus, is a longer panel with program fixed effects that can soak up time invariant heterogeneity and isolate the autonomy effect within program across the modernization window</w:t>
      </w:r>
      <w:r>
        <w:t xml:space="preserve"> </w:t>
      </w:r>
      <w:hyperlink w:anchor="ref-12">
        <w:r>
          <w:rPr>
            <w:rStyle w:val="Hyperlink"/>
          </w:rPr>
          <w:t xml:space="preserve">[12]</w:t>
        </w:r>
      </w:hyperlink>
      <w:r>
        <w:t xml:space="preserve">[14]. Second, Paper 1’s joint optimization flag is a binary stand-in for a construct that is really continuous. Chapters 5 and 7 report the coding rubric, the inter coder agreement, and the qualitative validation of the construct</w:t>
      </w:r>
      <w:r>
        <w:t xml:space="preserve"> </w:t>
      </w:r>
      <w:hyperlink w:anchor="ref-2">
        <w:r>
          <w:rPr>
            <w:rStyle w:val="Hyperlink"/>
          </w:rPr>
          <w:t xml:space="preserve">[2]</w:t>
        </w:r>
      </w:hyperlink>
      <w:r>
        <w:t xml:space="preserve">[6]. Read the size of the joint optimization coefficient in light of that construct validity case, not as a free standing parameter.</w:t>
      </w:r>
    </w:p>
    <w:p>
      <w:pPr>
        <w:pStyle w:val="BodyText"/>
        <w:spacing w:line="480" w:lineRule="auto"/>
        <w:ind w:firstLine="720"/>
      </w:pPr>
      <w:r>
        <w:t xml:space="preserve">The chapter closes on the empirical headline. Across the two estimators, on the thirty NASA major projects in the sample, the variable moving with cost overrun is the joint optimization flag, at minus 25.96 percentage points, p value 0.0032, in a model with a robust R squared of 0.5903. The variable moving with the probability of a schedule slip greater than six months is the log of peak operator full time equivalents, at 3.16, p value 0.0903, in a logit with a McFadden pseudo R squared of 0.2838. Autonomy’s main effect breaks free of zero on neither outcome and holds no consistent sign across the two. In this sample the cost and schedule signals sit on the sociotechnical variables, not on the autonomy step, which is the pattern the sociotechnical seam frame predicts and which Chapter 7 will read against the qualitative mechanism evidence</w:t>
      </w:r>
      <w:r>
        <w:t xml:space="preserve"> </w:t>
      </w:r>
      <w:hyperlink w:anchor="ref-1">
        <w:r>
          <w:rPr>
            <w:rStyle w:val="Hyperlink"/>
          </w:rPr>
          <w:t xml:space="preserve">[1]</w:t>
        </w:r>
      </w:hyperlink>
      <w:r>
        <w:t xml:space="preserve">[2][5][7].</w:t>
      </w:r>
    </w:p>
    <w:bookmarkEnd w:id="133"/>
    <w:bookmarkEnd w:id="134"/>
    <w:bookmarkStart w:id="142" w:name="X21322cb5e29cbf4eb576afddcad42f86ace4e0d"/>
    <w:p>
      <w:pPr>
        <w:pStyle w:val="Heading1"/>
        <w:spacing w:line="480" w:lineRule="auto"/>
      </w:pPr>
      <w:r>
        <w:t xml:space="preserve">Chapter 7. Discussion and Governance Implications</w:t>
      </w:r>
    </w:p>
    <w:bookmarkStart w:id="135" w:name="overview"/>
    <w:p>
      <w:pPr>
        <w:pStyle w:val="Heading2"/>
        <w:spacing w:line="480" w:lineRule="auto"/>
      </w:pPr>
      <w:r>
        <w:t xml:space="preserve">7.1 Overview</w:t>
      </w:r>
    </w:p>
    <w:p>
      <w:pPr>
        <w:pStyle w:val="FirstParagraph"/>
        <w:spacing w:line="480" w:lineRule="auto"/>
      </w:pPr>
      <w:r>
        <w:t xml:space="preserve">NASA and the Jet Propulsion Laboratory (JPL) face a real budgetary choice. They must pick among autonomy investments, operator role redesigns, and the paired versions of both. This chapter reads the dissertation’s two empirical estimands against that choice. Paper 1 measured how much a coordinated operator-role-and-autonomy intervention shaved off percentage cost overrun across thirty NASA major projects. Its tool was ordinary least squares, with autonomy level, peak operations staffing, and planned mission duration entered as covariates. Paper 2 measured the odds of a schedule slip greater than six months on the same row set, and it used a logistic specification carrying the same regressors. One finding ran through both papers. The dissertation calls it the sociotechnical seam. Capability-side autonomy investment, standing alone, fails to predict cost or schedule discipline in the observable record of NASA major projects. What predicts them is the paired configuration of machine authority and operator role architecture. The rest of this chapter unpacks what that means for program-management practice, for JPL decision-making, and for the next round of acquisition policy at the agency level, then weighs it against the evidence’s limits and the moves the next phase of work should make.</w:t>
      </w:r>
    </w:p>
    <w:p>
      <w:pPr>
        <w:pStyle w:val="BodyText"/>
        <w:spacing w:line="480" w:lineRule="auto"/>
        <w:ind w:firstLine="720"/>
      </w:pPr>
      <w:r>
        <w:t xml:space="preserve">Five sections follow. Section 7.2 reconciles the two estimands and reads the pattern that the cost regression and the schedule logit produce together. Section 7.3 works out what the seam evidence means for NASA, from gate reviews to autonomy roadmaps to the costing of human-machine teaming work packages. Section 7.4 carries the same logic to JPL, where much of the agency’s onboard autonomy has grown up over the years, with an eye to the recompete and to how FFRDC integrators can surface seam costs that incumbent operators would rather leave buried. Section 7.5 lists the evidence’s limits with the plainness the doctoral register asks for. Section 7.6 sketches the research the findings open up.</w:t>
      </w:r>
    </w:p>
    <w:bookmarkEnd w:id="135"/>
    <w:bookmarkStart w:id="136" w:name="reconciling-the-two-estimands"/>
    <w:p>
      <w:pPr>
        <w:pStyle w:val="Heading2"/>
        <w:spacing w:line="480" w:lineRule="auto"/>
      </w:pPr>
      <w:r>
        <w:t xml:space="preserve">7.2 Reconciling the Two Estimands</w:t>
      </w:r>
    </w:p>
    <w:p>
      <w:pPr>
        <w:pStyle w:val="FirstParagraph"/>
        <w:spacing w:line="480" w:lineRule="auto"/>
      </w:pPr>
      <w:r>
        <w:t xml:space="preserve">The two estimands are not independent. Both read the same project-level row set, only through different statistical lenses, and they earn their interpretation on those terms. Paper 1’s ordinary least squares fit returned an adjusted R-squared of 0.525 and an F-statistic significant at p equal to 0.003, with the joint-optimization indicator landing at roughly minus 26.0 percentage points of overrun at a p-value of 0.003. Autonomy’s main effect pointed the way the theory predicted yet never pulled clear of zero, and operator staffing sat indistinguishable from zero once cost was the outcome. Paper 2’s logit, fit to the binary slip outcome, settled on the same thirty observations at a McFadden pseudo R-squared of 0.28. There the autonomy coefficient came out negative, as the substitution view would have it, but it too missed conventional significance. Log operator staffing ran the show on slip probability, which fits a reading in which staffing simply scales with the complexity that drives slips to begin with.</w:t>
      </w:r>
    </w:p>
    <w:p>
      <w:pPr>
        <w:pStyle w:val="BodyText"/>
        <w:spacing w:line="480" w:lineRule="auto"/>
        <w:ind w:firstLine="720"/>
      </w:pPr>
      <w:r>
        <w:t xml:space="preserve">Put the two together and one message surfaces. Autonomy level, on its own, buys neither cost discipline nor schedule discipline anywhere the NASA major-projects record can see it. Cost discipline, once you hold the autonomy step fixed, comes instead from pairing operator roles with autonomy authority. Schedule discipline tracks the underlying complexity, and staffing is that complexity’s early warning. Taken jointly rather than one at a time, both estimands back the dissertation’s core claim: what caps the payoff from autonomy investment is the sociotechnical seam joining operator role design to autonomy authority allocation. The human factors literature has been making exactly this case to the orbital domain through the crew resource management and aviation safety frameworks</w:t>
      </w:r>
      <w:r>
        <w:t xml:space="preserve"> </w:t>
      </w:r>
      <w:hyperlink w:anchor="ref-2">
        <w:r>
          <w:rPr>
            <w:rStyle w:val="Hyperlink"/>
          </w:rPr>
          <w:t xml:space="preserve">[2]</w:t>
        </w:r>
      </w:hyperlink>
      <w:r>
        <w:t xml:space="preserve">[5]. So has the cognitive engineering literature on operator confidence in automated SSA and satellite control systems, pressing it from the assessment side</w:t>
      </w:r>
      <w:r>
        <w:t xml:space="preserve"> </w:t>
      </w:r>
      <w:hyperlink w:anchor="ref-6">
        <w:r>
          <w:rPr>
            <w:rStyle w:val="Hyperlink"/>
          </w:rPr>
          <w:t xml:space="preserve">[6]</w:t>
        </w:r>
      </w:hyperlink>
      <w:r>
        <w:t xml:space="preserve">[8][25]. This dissertation adds one thing they lacked: it runs that logic against the GAO record</w:t>
      </w:r>
      <w:r>
        <w:t xml:space="preserve"> </w:t>
      </w:r>
      <w:hyperlink w:anchor="ref-12">
        <w:r>
          <w:rPr>
            <w:rStyle w:val="Hyperlink"/>
          </w:rPr>
          <w:t xml:space="preserve">[12]</w:t>
        </w:r>
      </w:hyperlink>
      <w:r>
        <w:t xml:space="preserve">[14] and estimates, on data anyone can inspect, how much coordinated role redesign contributes once autonomy capability is held constant.</w:t>
      </w:r>
    </w:p>
    <w:p>
      <w:pPr>
        <w:pStyle w:val="BodyText"/>
        <w:spacing w:line="480" w:lineRule="auto"/>
        <w:ind w:firstLine="720"/>
      </w:pPr>
      <w:r>
        <w:t xml:space="preserve">A wider framing from the prospectus sharpens the reading further. It treated automation-dependent space operations centers as the norm now, not the exception</w:t>
      </w:r>
      <w:r>
        <w:t xml:space="preserve"> </w:t>
      </w:r>
      <w:hyperlink w:anchor="ref-1">
        <w:r>
          <w:rPr>
            <w:rStyle w:val="Hyperlink"/>
          </w:rPr>
          <w:t xml:space="preserve">[1]</w:t>
        </w:r>
      </w:hyperlink>
      <w:r>
        <w:t xml:space="preserve">[3][7]. Grant that automation dependence is simply the standing condition. Then asking whether autonomy replaces the operator is asking the wrong thing. The live question is whether autonomy arrives alongside a role architecture that lets the leftover human work get done well. On cost, the two estimands say the answer carries weight. On schedule, the staffing footprint the seam throws off is the clearer tell.</w:t>
      </w:r>
    </w:p>
    <w:bookmarkEnd w:id="136"/>
    <w:bookmarkStart w:id="137" w:name="program-management-implications-for-nasa"/>
    <w:p>
      <w:pPr>
        <w:pStyle w:val="Heading2"/>
        <w:spacing w:line="480" w:lineRule="auto"/>
      </w:pPr>
      <w:r>
        <w:t xml:space="preserve">7.3 Program-Management Implications for NASA</w:t>
      </w:r>
    </w:p>
    <w:p>
      <w:pPr>
        <w:pStyle w:val="FirstParagraph"/>
        <w:spacing w:line="480" w:lineRule="auto"/>
      </w:pPr>
      <w:r>
        <w:t xml:space="preserve">Start with costing. An autonomy roadmap that omits a paired operator-role redesign should not be priced as though it will hold overruns down. Paper 1 puts the cost-discipline signal squarely on the joint-optimization indicator, never on the autonomy step by itself. Price a program on the tacit substitution assumption, expecting autonomy to retire operations cost with no matching spend on operator role architecture, and you plant a baseline error the GAO record eventually harvests as an overrun</w:t>
      </w:r>
      <w:r>
        <w:t xml:space="preserve"> </w:t>
      </w:r>
      <w:hyperlink w:anchor="ref-12">
        <w:r>
          <w:rPr>
            <w:rStyle w:val="Hyperlink"/>
          </w:rPr>
          <w:t xml:space="preserve">[12]</w:t>
        </w:r>
      </w:hyperlink>
      <w:r>
        <w:t xml:space="preserve">[14]. For the agency’s independent cost estimating function the lesson is blunt: the paired configuration belongs on the cost line, not in the unfunded fine print of a capability roadmap.</w:t>
      </w:r>
    </w:p>
    <w:p>
      <w:pPr>
        <w:pStyle w:val="BodyText"/>
        <w:spacing w:line="480" w:lineRule="auto"/>
        <w:ind w:firstLine="720"/>
      </w:pPr>
      <w:r>
        <w:t xml:space="preserve">Gate reviews come next. Operations staffing scale, the schedule logit hints, warns early of the complexity that breeds slips. A gate reviewer who reads staffing growth as a bookkeeping entry rather than a marker of integration risk misses the signal the data are sending. So confirmation gate reviews, and the annual operating reviews after them, ought to watch the operations staffing trajectory as an early indicator of the seam load a program will meet during late-stage flight software integration and operations rehearsal. This is no argument for cutting staff. Seam load has to land somewhere, and pretending it will evaporate is precisely the failure the human factors literature files under clumsy automation</w:t>
      </w:r>
      <w:r>
        <w:t xml:space="preserve"> </w:t>
      </w:r>
      <w:hyperlink w:anchor="ref-16">
        <w:r>
          <w:rPr>
            <w:rStyle w:val="Hyperlink"/>
          </w:rPr>
          <w:t xml:space="preserve">[16]</w:t>
        </w:r>
      </w:hyperlink>
      <w:r>
        <w:t xml:space="preserve">[17]. Read the staffing trajectory as a diagnostic, and review the role architecture it supports on the same cadence as the capability being built around it.</w:t>
      </w:r>
    </w:p>
    <w:p>
      <w:pPr>
        <w:pStyle w:val="BodyText"/>
        <w:spacing w:line="480" w:lineRule="auto"/>
        <w:ind w:firstLine="720"/>
      </w:pPr>
      <w:r>
        <w:t xml:space="preserve">Authority allocation is the third. Onboard executive logic in the orbital domain has grown mature enough that authority can now be set at several levels and shifted at run time</w:t>
      </w:r>
      <w:r>
        <w:t xml:space="preserve"> </w:t>
      </w:r>
      <w:hyperlink w:anchor="ref-15">
        <w:r>
          <w:rPr>
            <w:rStyle w:val="Hyperlink"/>
          </w:rPr>
          <w:t xml:space="preserve">[15]</w:t>
        </w:r>
      </w:hyperlink>
      <w:r>
        <w:t xml:space="preserve">[17]. What the record here implies is that choosing an authority allocation is a sociotechnical act, not a software-engineering one. Push authority up to the spacecraft without rebuilding the ground role around what the operator now handles and no longer handles, and the cost discipline the joint-optimization indicator captures never materializes. For a while now the orbital state recommender work</w:t>
      </w:r>
      <w:r>
        <w:t xml:space="preserve"> </w:t>
      </w:r>
      <w:hyperlink w:anchor="ref-1">
        <w:r>
          <w:rPr>
            <w:rStyle w:val="Hyperlink"/>
          </w:rPr>
          <w:t xml:space="preserve">[1]</w:t>
        </w:r>
      </w:hyperlink>
      <w:r>
        <w:t xml:space="preserve">[4] and the integrated monitoring work</w:t>
      </w:r>
      <w:r>
        <w:t xml:space="preserve"> </w:t>
      </w:r>
      <w:hyperlink w:anchor="ref-3">
        <w:r>
          <w:rPr>
            <w:rStyle w:val="Hyperlink"/>
          </w:rPr>
          <w:t xml:space="preserve">[3]</w:t>
        </w:r>
      </w:hyperlink>
      <w:r>
        <w:t xml:space="preserve"> </w:t>
      </w:r>
      <w:r>
        <w:t xml:space="preserve">have insisted that operators in automation-dependent centers do qualitatively different work than operators in command-and-control centers. The program-management corollary is plain: that new work belongs in the very document that spells out what the spacecraft will now do alone. This is the dissertation’s load-bearing recommendation for NASA program management.</w:t>
      </w:r>
    </w:p>
    <w:p>
      <w:pPr>
        <w:pStyle w:val="BodyText"/>
        <w:spacing w:line="480" w:lineRule="auto"/>
        <w:ind w:firstLine="720"/>
      </w:pPr>
      <w:r>
        <w:t xml:space="preserve">Trust calibration is the fourth. Operators in automation-dependent centers tune their reliance on machine outputs through particular display and assessment mechanisms, as the cognitive engineering literature on operator confidence in automated SSA and satellite control systems has shown</w:t>
      </w:r>
      <w:r>
        <w:t xml:space="preserve"> </w:t>
      </w:r>
      <w:hyperlink w:anchor="ref-6">
        <w:r>
          <w:rPr>
            <w:rStyle w:val="Hyperlink"/>
          </w:rPr>
          <w:t xml:space="preserve">[6]</w:t>
        </w:r>
      </w:hyperlink>
      <w:r>
        <w:t xml:space="preserve">[8][25]. The program-management reading is that trust calibration is program work, not training work. Display design, alert design, and the shape of the operator’s interaction with the autonomy stack all deserve specification at the program level and testing in operations rehearsal before launch. Push trust calibration into post-launch operations and you push the seam load into a window where retiring it costs an operational anomaly.</w:t>
      </w:r>
    </w:p>
    <w:p>
      <w:pPr>
        <w:pStyle w:val="BodyText"/>
        <w:spacing w:line="480" w:lineRule="auto"/>
        <w:ind w:firstLine="720"/>
      </w:pPr>
      <w:r>
        <w:t xml:space="preserve">Space domain awareness is the fifth. Autonomous tasking, autonomous scheduling, autonomous trajectory optimization, and early large-language-model integration for command and control have all matured fast in the orbital domain</w:t>
      </w:r>
      <w:r>
        <w:t xml:space="preserve"> </w:t>
      </w:r>
      <w:hyperlink w:anchor="ref-9">
        <w:r>
          <w:rPr>
            <w:rStyle w:val="Hyperlink"/>
          </w:rPr>
          <w:t xml:space="preserve">[9]</w:t>
        </w:r>
      </w:hyperlink>
      <w:r>
        <w:t xml:space="preserve">[11][23][30]. Nothing in the dissertation’s findings counsels against these investments. The findings counsel that each be paired with an explicit operator role design accounting for what the operator now holds in the loop and what the operator hands off. Emerging integrated mission concepts, factory-in-space and lunar subsurface autonomy among them</w:t>
      </w:r>
      <w:r>
        <w:t xml:space="preserve"> </w:t>
      </w:r>
      <w:hyperlink w:anchor="ref-28">
        <w:r>
          <w:rPr>
            <w:rStyle w:val="Hyperlink"/>
          </w:rPr>
          <w:t xml:space="preserve">[28]</w:t>
        </w:r>
      </w:hyperlink>
      <w:r>
        <w:t xml:space="preserve">[29], will meet the same seam load the SSA literature has started to expose, and the program-management answer should not change.</w:t>
      </w:r>
    </w:p>
    <w:bookmarkEnd w:id="137"/>
    <w:bookmarkStart w:id="138" w:name="Xed4f4e52527c6c43b7aa66a129338c296633b6a"/>
    <w:p>
      <w:pPr>
        <w:pStyle w:val="Heading2"/>
        <w:spacing w:line="480" w:lineRule="auto"/>
      </w:pPr>
      <w:r>
        <w:t xml:space="preserve">7.4 JPL Decision-Making and the FFRDC Integrator Role</w:t>
      </w:r>
    </w:p>
    <w:p>
      <w:pPr>
        <w:pStyle w:val="FirstParagraph"/>
        <w:spacing w:line="480" w:lineRule="auto"/>
      </w:pPr>
      <w:r>
        <w:t xml:space="preserve">JPL is where much of the agency’s onboard autonomy came of age, running from ASPEN and CASPER through the goal-directed reasoning that the AMOS proceedings keep advancing</w:t>
      </w:r>
      <w:r>
        <w:t xml:space="preserve"> </w:t>
      </w:r>
      <w:hyperlink w:anchor="ref-15">
        <w:r>
          <w:rPr>
            <w:rStyle w:val="Hyperlink"/>
          </w:rPr>
          <w:t xml:space="preserve">[15]</w:t>
        </w:r>
      </w:hyperlink>
      <w:r>
        <w:t xml:space="preserve">[19]. Specific consequences for JPL decision-making land during the recompete and across the next decade of mission formulation.</w:t>
      </w:r>
    </w:p>
    <w:p>
      <w:pPr>
        <w:pStyle w:val="BodyText"/>
        <w:spacing w:line="480" w:lineRule="auto"/>
        <w:ind w:firstLine="720"/>
      </w:pPr>
      <w:r>
        <w:t xml:space="preserve">The first is a necessary-versus-sufficient point. JPL’s autonomy capability makes the seam tractable; it does not by itself retire the seam. Field onboard executive maturity with no coordinated operations-side role redesign and the cost-discipline signal the dissertation estimated stays out of reach. So JPL formulation should treat operations-side role design as a formulation-phase deliverable, not an operations-phase afterthought. The Starling-class missions</w:t>
      </w:r>
      <w:r>
        <w:t xml:space="preserve"> </w:t>
      </w:r>
      <w:hyperlink w:anchor="ref-21">
        <w:r>
          <w:rPr>
            <w:rStyle w:val="Hyperlink"/>
          </w:rPr>
          <w:t xml:space="preserve">[21]</w:t>
        </w:r>
      </w:hyperlink>
      <w:r>
        <w:t xml:space="preserve"> </w:t>
      </w:r>
      <w:r>
        <w:t xml:space="preserve">and the coming distributed and swarm-architecture missions</w:t>
      </w:r>
      <w:r>
        <w:t xml:space="preserve"> </w:t>
      </w:r>
      <w:hyperlink w:anchor="ref-9">
        <w:r>
          <w:rPr>
            <w:rStyle w:val="Hyperlink"/>
          </w:rPr>
          <w:t xml:space="preserve">[9]</w:t>
        </w:r>
      </w:hyperlink>
      <w:r>
        <w:t xml:space="preserve"> </w:t>
      </w:r>
      <w:r>
        <w:t xml:space="preserve">will pile on seam load unless the operations role architecture is fixed during formulation.</w:t>
      </w:r>
    </w:p>
    <w:p>
      <w:pPr>
        <w:pStyle w:val="BodyText"/>
        <w:spacing w:line="480" w:lineRule="auto"/>
        <w:ind w:firstLine="720"/>
      </w:pPr>
      <w:r>
        <w:t xml:space="preserve">The second turns on architecture shape. Distributed and swarm designs, space-based SSA swarms and large-count LEO constellations included</w:t>
      </w:r>
      <w:r>
        <w:t xml:space="preserve"> </w:t>
      </w:r>
      <w:hyperlink w:anchor="ref-9">
        <w:r>
          <w:rPr>
            <w:rStyle w:val="Hyperlink"/>
          </w:rPr>
          <w:t xml:space="preserve">[9]</w:t>
        </w:r>
      </w:hyperlink>
      <w:r>
        <w:t xml:space="preserve">[20], demand an operations role architecture unlike the single-spacecraft model JPL operations grew up around. The right doctrinal footing for that architecture comes from the cognitive engineering literature on operator confidence and on human-machine teaming for autonomous space sensing</w:t>
      </w:r>
      <w:r>
        <w:t xml:space="preserve"> </w:t>
      </w:r>
      <w:hyperlink w:anchor="ref-8">
        <w:r>
          <w:rPr>
            <w:rStyle w:val="Hyperlink"/>
          </w:rPr>
          <w:t xml:space="preserve">[8]</w:t>
        </w:r>
      </w:hyperlink>
      <w:r>
        <w:t xml:space="preserve">[25]. The dissertation’s findings put the role architecture work on the critical path for cost discipline, not on some parallel track a program can postpone.</w:t>
      </w:r>
    </w:p>
    <w:p>
      <w:pPr>
        <w:pStyle w:val="BodyText"/>
        <w:spacing w:line="480" w:lineRule="auto"/>
        <w:ind w:firstLine="720"/>
      </w:pPr>
      <w:r>
        <w:t xml:space="preserve">The third bears on the recompete and the integrating FFRDC. The recompete has forced questions about which capabilities are institutional, which travel, and which are integration-side capabilities an FFRDC integrator can surface better than an incumbent operator. The seam evidence speaks straight to that. Capability-side autonomy work travels and shows. The role architecture work, the trust calibration work, the operations rehearsal work, and the gate-review discipline the seam demands are integration-side capabilities incumbents are tempted to under-cost, since naming their price exposes a baseline risk the incumbent then owns. Run credibly, the FFRDC integrator role is how seam load gets made visible at gate reviews and priced into the baseline instead of swallowed by the overrun.</w:t>
      </w:r>
    </w:p>
    <w:p>
      <w:pPr>
        <w:pStyle w:val="BodyText"/>
        <w:spacing w:line="480" w:lineRule="auto"/>
        <w:ind w:firstLine="720"/>
      </w:pPr>
      <w:r>
        <w:t xml:space="preserve">The fourth touches commercial integration. Commercial SSA architectures, commercial battle-management architectures, and commercial autonomy testbeds have all matured quickly in the orbital domain</w:t>
      </w:r>
      <w:r>
        <w:t xml:space="preserve"> </w:t>
      </w:r>
      <w:hyperlink w:anchor="ref-10">
        <w:r>
          <w:rPr>
            <w:rStyle w:val="Hyperlink"/>
          </w:rPr>
          <w:t xml:space="preserve">[10]</w:t>
        </w:r>
      </w:hyperlink>
      <w:r>
        <w:t xml:space="preserve">[22][24]. JPL formulation leans on commercial elements more each cycle, and the seam load rides in with those elements as they enter a mission architecture. So JPL’s job of surfacing the seam costs of commercial integration is load-bearing, not value-added.</w:t>
      </w:r>
    </w:p>
    <w:p>
      <w:pPr>
        <w:pStyle w:val="BodyText"/>
        <w:spacing w:line="480" w:lineRule="auto"/>
        <w:ind w:firstLine="720"/>
      </w:pPr>
      <w:r>
        <w:t xml:space="preserve">The fifth ties back to the long-running cost-growth literature on joint programs</w:t>
      </w:r>
      <w:r>
        <w:t xml:space="preserve"> </w:t>
      </w:r>
      <w:hyperlink w:anchor="ref-26">
        <w:r>
          <w:rPr>
            <w:rStyle w:val="Hyperlink"/>
          </w:rPr>
          <w:t xml:space="preserve">[26]</w:t>
        </w:r>
      </w:hyperlink>
      <w:r>
        <w:t xml:space="preserve">. The findings sit comfortably with that literature’s reading that joint programs soak up cost growth at the seams between the institutions in them. The sociotechnical seam between operator and autonomy is one such seam. The institutional seam between FFRDC integrator and incumbent operator is another. During the recompete JPL should carry both as priced elements of the formulation baseline.</w:t>
      </w:r>
    </w:p>
    <w:bookmarkEnd w:id="138"/>
    <w:bookmarkStart w:id="139" w:name="limitations"/>
    <w:p>
      <w:pPr>
        <w:pStyle w:val="Heading2"/>
        <w:spacing w:line="480" w:lineRule="auto"/>
      </w:pPr>
      <w:r>
        <w:t xml:space="preserve">7.5 Limitations</w:t>
      </w:r>
    </w:p>
    <w:p>
      <w:pPr>
        <w:pStyle w:val="FirstParagraph"/>
        <w:spacing w:line="480" w:lineRule="auto"/>
      </w:pPr>
      <w:r>
        <w:t xml:space="preserve">The dissertation carries several limits, and they warrant plain statement. Both papers rest on thirty NASA major projects. That figure is the whole population of GAO-assessed major projects inside the observation window, not a convenience grab, yet it stays small by the standards of econometric inference. Paper 1’s point estimate on the joint-optimization indicator runs large, and large effects on small samples earn caution until they replicate on adjacent portfolios or on a longer panel. Paper 2’s pseudo R-squared, and the autonomy coefficient’s failure to reach conventional significance, tell the same small-sample story.</w:t>
      </w:r>
    </w:p>
    <w:p>
      <w:pPr>
        <w:pStyle w:val="BodyText"/>
        <w:spacing w:line="480" w:lineRule="auto"/>
        <w:ind w:firstLine="720"/>
      </w:pPr>
      <w:r>
        <w:t xml:space="preserve">A second limit: the joint-optimization indicator is a binary stand-in for a continuous construct. The qualitative arm, built on the structured cognitive engineering protocols in</w:t>
      </w:r>
      <w:r>
        <w:t xml:space="preserve"> </w:t>
      </w:r>
      <w:hyperlink w:anchor="ref-2">
        <w:r>
          <w:rPr>
            <w:rStyle w:val="Hyperlink"/>
          </w:rPr>
          <w:t xml:space="preserve">[2]</w:t>
        </w:r>
      </w:hyperlink>
      <w:r>
        <w:t xml:space="preserve">[5][6], pins the construct down with a coding rubric, but collapsing it to zero-or-one throws away information a graded instrument would keep. A third: the autonomy coding leans on an ordinal rubric read off documentary sources, so it inherits whatever ambiguity those sources carry</w:t>
      </w:r>
      <w:r>
        <w:t xml:space="preserve"> </w:t>
      </w:r>
      <w:hyperlink w:anchor="ref-15">
        <w:r>
          <w:rPr>
            <w:rStyle w:val="Hyperlink"/>
          </w:rPr>
          <w:t xml:space="preserve">[15]</w:t>
        </w:r>
      </w:hyperlink>
      <w:r>
        <w:t xml:space="preserve">. A fourth: the operator full-time-equivalent measure captures only peak operations staffing during prime mission, a blunt summary of a staffing profile that shifts over time.</w:t>
      </w:r>
    </w:p>
    <w:p>
      <w:pPr>
        <w:pStyle w:val="BodyText"/>
        <w:spacing w:line="480" w:lineRule="auto"/>
        <w:ind w:firstLine="720"/>
      </w:pPr>
      <w:r>
        <w:t xml:space="preserve">Fifth is external validity. NASA major projects are the population. Do not stretch the findings to commercial space operations centers, to partner-agency programs, or to autonomy domains beyond the orbital and deep-space mission set the GAO record covers. The prospectus says so outright, and the chapter says it again</w:t>
      </w:r>
      <w:r>
        <w:t xml:space="preserve"> </w:t>
      </w:r>
      <w:hyperlink w:anchor="ref-12">
        <w:r>
          <w:rPr>
            <w:rStyle w:val="Hyperlink"/>
          </w:rPr>
          <w:t xml:space="preserve">[12]</w:t>
        </w:r>
      </w:hyperlink>
      <w:r>
        <w:t xml:space="preserve">[14]. The sociotechnical analysis of space-use norms</w:t>
      </w:r>
      <w:r>
        <w:t xml:space="preserve"> </w:t>
      </w:r>
      <w:hyperlink w:anchor="ref-7">
        <w:r>
          <w:rPr>
            <w:rStyle w:val="Hyperlink"/>
          </w:rPr>
          <w:t xml:space="preserve">[7]</w:t>
        </w:r>
      </w:hyperlink>
      <w:r>
        <w:t xml:space="preserve"> </w:t>
      </w:r>
      <w:r>
        <w:t xml:space="preserve">motivates the joint frame in concept and lends a presumption that the seam logic travels across automation-dependent contexts, yet the empirical warrant here stops at the sample edge.</w:t>
      </w:r>
    </w:p>
    <w:p>
      <w:pPr>
        <w:pStyle w:val="BodyText"/>
        <w:spacing w:line="480" w:lineRule="auto"/>
        <w:ind w:firstLine="720"/>
      </w:pPr>
      <w:r>
        <w:t xml:space="preserve">Sixth is the slip logit’s waste of information. A binary slip outcome files a seven-month slip and a forty-month slip under the same event. A duration model on slip-months as a survival outcome, right-censoring the projects still pre-launch when observed, would work the same row set through a lens that keeps far more, and it is the obvious next step.</w:t>
      </w:r>
    </w:p>
    <w:p>
      <w:pPr>
        <w:pStyle w:val="BodyText"/>
        <w:spacing w:line="480" w:lineRule="auto"/>
        <w:ind w:firstLine="720"/>
      </w:pPr>
      <w:r>
        <w:t xml:space="preserve">Seventh is cost-side measurement. Percentage growth from confirmed baseline is GAO’s measure of record, but it moves with the baseline rebasing decisions the agency has taken on individual programs across the observation window. The dissertation leaves those rebasings intact, so read the cost regression’s estimates as conditional on the GAO reporting convention.</w:t>
      </w:r>
    </w:p>
    <w:p>
      <w:pPr>
        <w:pStyle w:val="BodyText"/>
        <w:spacing w:line="480" w:lineRule="auto"/>
        <w:ind w:firstLine="720"/>
      </w:pPr>
      <w:r>
        <w:t xml:space="preserve">Eighth is construct overlap. Programs that pair autonomy with role redesign may also be the programs with the strongest program managers, the most senior chief engineers, and the most disciplined acquisition strategies. A thirty-project cross-section cannot pull those contributions apart. The qualitative arm is meant to characterize this risk, not banish it, and the chapter admits openly that the joint-optimization coefficient bundles sociotechnical effects rather than isolating a clean treatment effect.</w:t>
      </w:r>
    </w:p>
    <w:p>
      <w:pPr>
        <w:pStyle w:val="BodyText"/>
        <w:spacing w:line="480" w:lineRule="auto"/>
        <w:ind w:firstLine="720"/>
      </w:pPr>
      <w:r>
        <w:t xml:space="preserve">Ninth is the tie to the broader space-sustainability instrument set. The space sustainability rating literature has built composite indicators for orbital-environment behavior at the operator level</w:t>
      </w:r>
      <w:r>
        <w:t xml:space="preserve"> </w:t>
      </w:r>
      <w:hyperlink w:anchor="ref-33">
        <w:r>
          <w:rPr>
            <w:rStyle w:val="Hyperlink"/>
          </w:rPr>
          <w:t xml:space="preserve">[33]</w:t>
        </w:r>
      </w:hyperlink>
      <w:r>
        <w:t xml:space="preserve">. The dissertation’s outcomes capture no orbital-environment externalities, and the seam logic, as it stands, does not reach the externalities those rating instruments target.</w:t>
      </w:r>
    </w:p>
    <w:p>
      <w:pPr>
        <w:pStyle w:val="BodyText"/>
        <w:spacing w:line="480" w:lineRule="auto"/>
        <w:ind w:firstLine="720"/>
      </w:pPr>
      <w:r>
        <w:t xml:space="preserve">Tenth and last is the discourse setting in which space sustainability and space debris get adjudicated</w:t>
      </w:r>
      <w:r>
        <w:t xml:space="preserve"> </w:t>
      </w:r>
      <w:hyperlink w:anchor="ref-27">
        <w:r>
          <w:rPr>
            <w:rStyle w:val="Hyperlink"/>
          </w:rPr>
          <w:t xml:space="preserve">[27]</w:t>
        </w:r>
      </w:hyperlink>
      <w:r>
        <w:t xml:space="preserve">. The findings address operations-center performance and mission cost and schedule, not the wider governance argument over how the orbital commons ought to be regulated. The seam logic travels across automation-dependent operations contexts, but its weight inside a governance argument stops where the GAO record’s empirical scope stops.</w:t>
      </w:r>
    </w:p>
    <w:bookmarkEnd w:id="139"/>
    <w:bookmarkStart w:id="140" w:name="future-research"/>
    <w:p>
      <w:pPr>
        <w:pStyle w:val="Heading2"/>
        <w:spacing w:line="480" w:lineRule="auto"/>
      </w:pPr>
      <w:r>
        <w:t xml:space="preserve">7.6 Future Research</w:t>
      </w:r>
    </w:p>
    <w:p>
      <w:pPr>
        <w:pStyle w:val="FirstParagraph"/>
        <w:spacing w:line="480" w:lineRule="auto"/>
      </w:pPr>
      <w:r>
        <w:t xml:space="preserve">Four lines carry the research the findings open up.</w:t>
      </w:r>
    </w:p>
    <w:p>
      <w:pPr>
        <w:pStyle w:val="BodyText"/>
        <w:spacing w:line="480" w:lineRule="auto"/>
        <w:ind w:firstLine="720"/>
      </w:pPr>
      <w:r>
        <w:t xml:space="preserve">Replication on adjacent portfolios is the first. Paper 1’s point estimate on the joint-optimization indicator runs large enough that it almost certainly will not survive replication untouched. The natural targets are partner-agency major-program records, the commercial major-program record wherever it is publicly documented, and the next two GAO assessment cycles, which will grow the sample as Artemis-era projects mature. Recover a coefficient of similar sign and real magnitude on a non-overlapping sample and the seam reading gains ground; fail to recover it and the claim has met the disciplined test it deserves.</w:t>
      </w:r>
    </w:p>
    <w:p>
      <w:pPr>
        <w:pStyle w:val="BodyText"/>
        <w:spacing w:line="480" w:lineRule="auto"/>
        <w:ind w:firstLine="720"/>
      </w:pPr>
      <w:r>
        <w:t xml:space="preserve">A longer panel with within-program variation is the second. A cross-section cannot soak up the time-invariant program heterogeneity that program fixed effects would hold in a panel. The panel work should also chase an event-study specification around the role-redesign implementation date, wherever that date is observable, to probe the parallel-trends assumption a staggered difference-in-differences design leans on. The prospectus named this design; the future work should run it on a panel the next GAO cycles will feed.</w:t>
      </w:r>
    </w:p>
    <w:p>
      <w:pPr>
        <w:pStyle w:val="BodyText"/>
        <w:spacing w:line="480" w:lineRule="auto"/>
        <w:ind w:firstLine="720"/>
      </w:pPr>
      <w:r>
        <w:t xml:space="preserve">A duration model on slip-months is the third. Paper 2’s binary slip outcome discards what a survival specification would keep. A Cox proportional hazards model, or an accelerated failure time model, fit to slip-months with right-censoring for projects still pre-launch when observed, is the obvious next move. The same row set supports it; only the analytic lens changes.</w:t>
      </w:r>
    </w:p>
    <w:p>
      <w:pPr>
        <w:pStyle w:val="BodyText"/>
        <w:spacing w:line="480" w:lineRule="auto"/>
        <w:ind w:firstLine="720"/>
      </w:pPr>
      <w:r>
        <w:t xml:space="preserve">Qualitative mechanism work is the fourth. The mixed design already carries a structured cognitive engineering protocol drawn from the aviation-derived frameworks</w:t>
      </w:r>
      <w:r>
        <w:t xml:space="preserve"> </w:t>
      </w:r>
      <w:hyperlink w:anchor="ref-2">
        <w:r>
          <w:rPr>
            <w:rStyle w:val="Hyperlink"/>
          </w:rPr>
          <w:t xml:space="preserve">[2]</w:t>
        </w:r>
      </w:hyperlink>
      <w:r>
        <w:t xml:space="preserve">[5] and from the operator confidence assessment methods</w:t>
      </w:r>
      <w:r>
        <w:t xml:space="preserve"> </w:t>
      </w:r>
      <w:hyperlink w:anchor="ref-6">
        <w:r>
          <w:rPr>
            <w:rStyle w:val="Hyperlink"/>
          </w:rPr>
          <w:t xml:space="preserve">[6]</w:t>
        </w:r>
      </w:hyperlink>
      <w:r>
        <w:t xml:space="preserve">[8]. Run that work at a purposive sample of operations centers stratified by intervention type, and report it beside the quantitative replication. It should expose, above all, the trust calibration mechanisms by which role redesign turns into the cost-discipline signal the joint-optimization coefficient catches. Bring later work on adaptive automation and authority allocation</w:t>
      </w:r>
      <w:r>
        <w:t xml:space="preserve"> </w:t>
      </w:r>
      <w:hyperlink w:anchor="ref-17">
        <w:r>
          <w:rPr>
            <w:rStyle w:val="Hyperlink"/>
          </w:rPr>
          <w:t xml:space="preserve">[17]</w:t>
        </w:r>
      </w:hyperlink>
      <w:r>
        <w:t xml:space="preserve"> </w:t>
      </w:r>
      <w:r>
        <w:t xml:space="preserve">in as the protocol’s doctrinal footing.</w:t>
      </w:r>
    </w:p>
    <w:p>
      <w:pPr>
        <w:pStyle w:val="BodyText"/>
        <w:spacing w:line="480" w:lineRule="auto"/>
        <w:ind w:firstLine="720"/>
      </w:pPr>
      <w:r>
        <w:t xml:space="preserve">A fifth line, still emerging, concerns folding large language model capabilities into the command and control loop in space domain awareness</w:t>
      </w:r>
      <w:r>
        <w:t xml:space="preserve"> </w:t>
      </w:r>
      <w:hyperlink w:anchor="ref-11">
        <w:r>
          <w:rPr>
            <w:rStyle w:val="Hyperlink"/>
          </w:rPr>
          <w:t xml:space="preserve">[11]</w:t>
        </w:r>
      </w:hyperlink>
      <w:r>
        <w:t xml:space="preserve">. The seam logic here predicts that LLM integration lacking a paired role redesign will replay the cost-discipline pattern the major-projects record already shows. Testing that is out of reach today because the LLM integration record runs too short, yet it comes within reach inside two more assessment cycles, and the dissertation’s empirical strategy ports straight to it.</w:t>
      </w:r>
    </w:p>
    <w:p>
      <w:pPr>
        <w:pStyle w:val="BodyText"/>
        <w:spacing w:line="480" w:lineRule="auto"/>
        <w:ind w:firstLine="720"/>
      </w:pPr>
      <w:r>
        <w:t xml:space="preserve">A sixth line reaches the deep-space and partial-gravity operations domains where human autonomy teaming is being worked out for habitat operations</w:t>
      </w:r>
      <w:r>
        <w:t xml:space="preserve"> </w:t>
      </w:r>
      <w:hyperlink w:anchor="ref-32">
        <w:r>
          <w:rPr>
            <w:rStyle w:val="Hyperlink"/>
          </w:rPr>
          <w:t xml:space="preserve">[32]</w:t>
        </w:r>
      </w:hyperlink>
      <w:r>
        <w:t xml:space="preserve">. The seam logic built here for orbital operations centers deserves a test against the habitat operations record as that record fills in. Deep-space habitat operations frame the operator role quite differently from orbital operations centers, so the seam logic warrants testing rather than assumption.</w:t>
      </w:r>
    </w:p>
    <w:p>
      <w:pPr>
        <w:pStyle w:val="BodyText"/>
        <w:spacing w:line="480" w:lineRule="auto"/>
        <w:ind w:firstLine="720"/>
      </w:pPr>
      <w:r>
        <w:t xml:space="preserve">A seventh line reaches aerobraking and trajectory optimization, where autonomy authority and operator role design meet mission design decisions taken years ahead of launch</w:t>
      </w:r>
      <w:r>
        <w:t xml:space="preserve"> </w:t>
      </w:r>
      <w:hyperlink w:anchor="ref-13">
        <w:r>
          <w:rPr>
            <w:rStyle w:val="Hyperlink"/>
          </w:rPr>
          <w:t xml:space="preserve">[13]</w:t>
        </w:r>
      </w:hyperlink>
      <w:r>
        <w:t xml:space="preserve">[30]. The seam logic predicts that trajectory autonomy investments made without operations-side role design will miss the cost discipline the joint-optimization indicator picks up. Again the empirical test ports over.</w:t>
      </w:r>
    </w:p>
    <w:p>
      <w:pPr>
        <w:pStyle w:val="BodyText"/>
        <w:spacing w:line="480" w:lineRule="auto"/>
        <w:ind w:firstLine="720"/>
      </w:pPr>
      <w:r>
        <w:t xml:space="preserve">An eighth and final line reaches the governance interface. Discourse network analysis of the space debris regime</w:t>
      </w:r>
      <w:r>
        <w:t xml:space="preserve"> </w:t>
      </w:r>
      <w:hyperlink w:anchor="ref-27">
        <w:r>
          <w:rPr>
            <w:rStyle w:val="Hyperlink"/>
          </w:rPr>
          <w:t xml:space="preserve">[27]</w:t>
        </w:r>
      </w:hyperlink>
      <w:r>
        <w:t xml:space="preserve"> </w:t>
      </w:r>
      <w:r>
        <w:t xml:space="preserve">and the composite sustainability indicator work</w:t>
      </w:r>
      <w:r>
        <w:t xml:space="preserve"> </w:t>
      </w:r>
      <w:hyperlink w:anchor="ref-33">
        <w:r>
          <w:rPr>
            <w:rStyle w:val="Hyperlink"/>
          </w:rPr>
          <w:t xml:space="preserve">[33]</w:t>
        </w:r>
      </w:hyperlink>
      <w:r>
        <w:t xml:space="preserve"> </w:t>
      </w:r>
      <w:r>
        <w:t xml:space="preserve">together point to a governance environment maturing toward treating operations-center performance as an externalities question, not merely a programmatic one. Extend the seam logic to ask whether pairing operator roles with autonomy authority correlates with operator-level sustainability ratings, and the program-management argument built here links to the governance argument the orbital commons is now settling.</w:t>
      </w:r>
    </w:p>
    <w:bookmarkEnd w:id="140"/>
    <w:bookmarkStart w:id="141" w:name="closing-remark"/>
    <w:p>
      <w:pPr>
        <w:pStyle w:val="Heading2"/>
        <w:spacing w:line="480" w:lineRule="auto"/>
      </w:pPr>
      <w:r>
        <w:t xml:space="preserve">7.7 Closing Remark</w:t>
      </w:r>
    </w:p>
    <w:p>
      <w:pPr>
        <w:pStyle w:val="FirstParagraph"/>
        <w:spacing w:line="480" w:lineRule="auto"/>
      </w:pPr>
      <w:r>
        <w:t xml:space="preserve">The sample and the construct measurement the GAO record allows both bound this contribution, and inside those bounds the signal holds steady and sharp. Autonomy capability by itself does not predict cost or schedule discipline in the NASA major-projects record. Pairing operator role architecture with autonomy authority allocation does. For program management the corollary follows: autonomy roadmaps without paired operator-role redesigns should not be priced as though they will deliver a discipline the data never show them delivering. For JPL the corollary is that autonomy capability is necessary but short of sufficient, and the role architecture work rides the critical path. For future research the corollary is that the seam reading should be made to face replication, a longer panel, a survival specification on slip-months, and a mechanism program grounded in the cognitive engineering protocols the human factors literature has built for the orbital domain. The dissertation proposed the joint estimand and estimated it on data anyone can check. The work ahead is to make that estimand bear the weight the program-management environment needs it to bear.</w:t>
      </w:r>
    </w:p>
    <w:bookmarkEnd w:id="141"/>
    <w:bookmarkEnd w:id="142"/>
    <w:bookmarkStart w:id="200" w:name="chapter-8.-conclusion"/>
    <w:p>
      <w:pPr>
        <w:pStyle w:val="Heading1"/>
        <w:spacing w:line="480" w:lineRule="auto"/>
      </w:pPr>
      <w:r>
        <w:t xml:space="preserve">Chapter 8. Conclusion</w:t>
      </w:r>
    </w:p>
    <w:p>
      <w:pPr>
        <w:pStyle w:val="FirstParagraph"/>
        <w:spacing w:line="480" w:lineRule="auto"/>
      </w:pPr>
      <w:r>
        <w:t xml:space="preserve">This dissertation opened on a deceptively narrow question and closes on a finding that reaches wider than the question saw coming. The narrow question asked whether redesigning operator role boundaries and autonomy authority allocation together, in space operations centers, yields a measurable Pareto improvement in safety event rates and tasking throughput over autonomy-only modernization. The wider implication, which the empirical chapters earned and which this closing chapter now states in full, is that the substitution frame under which the modernization of operational space systems has been costed, planned, and defended is wrong in a particular and consequential way, and that the sociotechnical seam between operator and autonomy is no soft-side accompaniment to capability investment but a load-bearing structural piece of the program economics and the operational safety case</w:t>
      </w:r>
      <w:r>
        <w:t xml:space="preserve"> </w:t>
      </w:r>
      <w:hyperlink w:anchor="ref-1">
        <w:r>
          <w:rPr>
            <w:rStyle w:val="Hyperlink"/>
          </w:rPr>
          <w:t xml:space="preserve">[1]</w:t>
        </w:r>
      </w:hyperlink>
      <w:r>
        <w:t xml:space="preserve">[2][5].</w:t>
      </w:r>
    </w:p>
    <w:bookmarkStart w:id="143" w:name="synthesis-of-the-argument"/>
    <w:p>
      <w:pPr>
        <w:pStyle w:val="Heading2"/>
        <w:spacing w:line="480" w:lineRule="auto"/>
      </w:pPr>
      <w:r>
        <w:t xml:space="preserve">8.1 Synthesis of the Argument</w:t>
      </w:r>
    </w:p>
    <w:p>
      <w:pPr>
        <w:pStyle w:val="FirstParagraph"/>
        <w:spacing w:line="480" w:lineRule="auto"/>
      </w:pPr>
      <w:r>
        <w:t xml:space="preserve">Three movements carried the argument. The first, in Chapters 1 through 3, set the question inside three strands of literature that had been running in parallel without ever meeting on the joint estimand. Operations engineering documented automation features that measurably cut operator workload and lifted the latency, candidate quality, and data integration throughput of automated state recommenders, conjunction screening pipelines, and integrated monitoring systems</w:t>
      </w:r>
      <w:r>
        <w:t xml:space="preserve"> </w:t>
      </w:r>
      <w:hyperlink w:anchor="ref-1">
        <w:r>
          <w:rPr>
            <w:rStyle w:val="Hyperlink"/>
          </w:rPr>
          <w:t xml:space="preserve">[1]</w:t>
        </w:r>
      </w:hyperlink>
      <w:r>
        <w:t xml:space="preserve">[3][4]. That strand filed workload reduction as an asserted design benefit. Human factors argued, by transplant from aviation, that crew resource management, threat and error management, and fatigue risk management practices belong in the orbital domain, since the autonomy-only path leaves the operator role vague and the team-level coordination demand unaccounted</w:t>
      </w:r>
      <w:r>
        <w:t xml:space="preserve"> </w:t>
      </w:r>
      <w:hyperlink w:anchor="ref-2">
        <w:r>
          <w:rPr>
            <w:rStyle w:val="Hyperlink"/>
          </w:rPr>
          <w:t xml:space="preserve">[2]</w:t>
        </w:r>
      </w:hyperlink>
      <w:r>
        <w:t xml:space="preserve">[5]. The cognitive engineering strand on operator confidence and trust in automated space situational awareness and satellite control systems isolated the display and assessment machinery through which operators calibrate reliance on machine outputs and named the failure modes of miscalibration, mode confusion, and degraded situation awareness</w:t>
      </w:r>
      <w:r>
        <w:t xml:space="preserve"> </w:t>
      </w:r>
      <w:hyperlink w:anchor="ref-6">
        <w:r>
          <w:rPr>
            <w:rStyle w:val="Hyperlink"/>
          </w:rPr>
          <w:t xml:space="preserve">[6]</w:t>
        </w:r>
      </w:hyperlink>
      <w:r>
        <w:t xml:space="preserve">[8]. Architectural sociotechnical analyses of space-use norms motivated a joint frame in concept yet handed over no empirical identification strategy to turn the concept into a falsifiable test</w:t>
      </w:r>
      <w:r>
        <w:t xml:space="preserve"> </w:t>
      </w:r>
      <w:hyperlink w:anchor="ref-7">
        <w:r>
          <w:rPr>
            <w:rStyle w:val="Hyperlink"/>
          </w:rPr>
          <w:t xml:space="preserve">[7]</w:t>
        </w:r>
      </w:hyperlink>
      <w:r>
        <w:t xml:space="preserve">. Taken together, the three strands laid the ground for a joint estimand without producing one. Building the joint estimand and estimating it has been this dissertation’s contribution.</w:t>
      </w:r>
    </w:p>
    <w:p>
      <w:pPr>
        <w:pStyle w:val="BodyText"/>
        <w:spacing w:line="480" w:lineRule="auto"/>
        <w:ind w:firstLine="720"/>
      </w:pPr>
      <w:r>
        <w:t xml:space="preserve">The second movement, in Chapters 4 and 5, fixed the joint estimand and built the data infrastructure that could identify it. Treatment got defined as a binary indicator for programs that paired autonomy deployment with a documented operator role redesign, coded off the public assessment record and the open technical literature, with the coding rule pre-registered and inter-coder agreement reported. The comparison condition was the autonomy-only path. Two outcome families followed: a cost overrun measure off the Government Accountability Office major project assessment series</w:t>
      </w:r>
      <w:r>
        <w:t xml:space="preserve"> </w:t>
      </w:r>
      <w:hyperlink w:anchor="ref-12">
        <w:r>
          <w:rPr>
            <w:rStyle w:val="Hyperlink"/>
          </w:rPr>
          <w:t xml:space="preserve">[12]</w:t>
        </w:r>
      </w:hyperlink>
      <w:r>
        <w:t xml:space="preserve">[14] and a binary schedule slip indicator built against the same source. The autonomy maturity rubric was the five-step NASA scale, anchored to the long-running literature on onboard autonomy and supervisory control</w:t>
      </w:r>
      <w:r>
        <w:t xml:space="preserve"> </w:t>
      </w:r>
      <w:hyperlink w:anchor="ref-15">
        <w:r>
          <w:rPr>
            <w:rStyle w:val="Hyperlink"/>
          </w:rPr>
          <w:t xml:space="preserve">[15]</w:t>
        </w:r>
      </w:hyperlink>
      <w:r>
        <w:t xml:space="preserve">[16][17]. The operator role redesign construct rooted in the crew resource management literature for the space domain</w:t>
      </w:r>
      <w:r>
        <w:t xml:space="preserve"> </w:t>
      </w:r>
      <w:hyperlink w:anchor="ref-2">
        <w:r>
          <w:rPr>
            <w:rStyle w:val="Hyperlink"/>
          </w:rPr>
          <w:t xml:space="preserve">[2]</w:t>
        </w:r>
      </w:hyperlink>
      <w:r>
        <w:t xml:space="preserve"> </w:t>
      </w:r>
      <w:r>
        <w:t xml:space="preserve">and in the operator confidence literature</w:t>
      </w:r>
      <w:r>
        <w:t xml:space="preserve"> </w:t>
      </w:r>
      <w:hyperlink w:anchor="ref-6">
        <w:r>
          <w:rPr>
            <w:rStyle w:val="Hyperlink"/>
          </w:rPr>
          <w:t xml:space="preserve">[6]</w:t>
        </w:r>
      </w:hyperlink>
      <w:r>
        <w:t xml:space="preserve">[8]. The architectural backdrop, where automation-dependent workflows run continuous and tasking volume climbs under traffic and sensor fleet expansion, anchored in the sociotechnical analysis of space-use norms</w:t>
      </w:r>
      <w:r>
        <w:t xml:space="preserve"> </w:t>
      </w:r>
      <w:hyperlink w:anchor="ref-7">
        <w:r>
          <w:rPr>
            <w:rStyle w:val="Hyperlink"/>
          </w:rPr>
          <w:t xml:space="preserve">[7]</w:t>
        </w:r>
      </w:hyperlink>
      <w:r>
        <w:t xml:space="preserve"> </w:t>
      </w:r>
      <w:r>
        <w:t xml:space="preserve">and in the operational accounts of automated state recommendation and intelligent integration</w:t>
      </w:r>
      <w:r>
        <w:t xml:space="preserve"> </w:t>
      </w:r>
      <w:hyperlink w:anchor="ref-1">
        <w:r>
          <w:rPr>
            <w:rStyle w:val="Hyperlink"/>
          </w:rPr>
          <w:t xml:space="preserve">[1]</w:t>
        </w:r>
      </w:hyperlink>
      <w:r>
        <w:t xml:space="preserve">[3][4].</w:t>
      </w:r>
    </w:p>
    <w:p>
      <w:pPr>
        <w:pStyle w:val="BodyText"/>
        <w:spacing w:line="480" w:lineRule="auto"/>
        <w:ind w:firstLine="720"/>
      </w:pPr>
      <w:r>
        <w:t xml:space="preserve">The third movement, in Chapters 6 and 7, ran the empirical test. Paper 1 fit an ordinary least squares regression of percentage cost overrun on autonomy level, peak operator full time equivalents, the binary joint optimization indicator, and planned prime mission duration in months. Paper 2 fit a maximum likelihood logistic regression of the binary slip indicator on autonomy level, the natural logarithm of operator staffing, and planned duration. Two related questions about the same row set got answered: how much cost overrun a program runs up given its sociotechnical setup, and how likely a program is to overshoot its confirmed baseline by more than six months given the setup the autonomy and staffing variables jointly draw.</w:t>
      </w:r>
    </w:p>
    <w:p>
      <w:pPr>
        <w:pStyle w:val="BodyText"/>
        <w:spacing w:line="480" w:lineRule="auto"/>
        <w:ind w:firstLine="720"/>
      </w:pPr>
      <w:r>
        <w:t xml:space="preserve">The pattern of the results held across both estimators and forms the empirical core of the contribution. Autonomy’s main effect could not be told from zero in either model and carried a sign in the cost model pointing the opposite way from the substitution prediction. The operator staffing coefficient sat essentially at zero in the cost model and modestly positive in the slip model, a sign that headcount as flat staffing does not carry an operations concept’s sociotechnical sophistication. The joint optimization indicator in the cost model came out the largest and most precisely estimated coefficient in the regression, trimming percentage cost overrun by roughly twenty six percentage points other regressors held fixed, and holding up once the autonomy and staffing main effects were in. The duration controls acted as expected and took up a modest slice of the cross-sectional variance, leaving the seam variable to shoulder the main explanatory load in the cost specification and leaving autonomy and duration to split the load in the slip specification.</w:t>
      </w:r>
    </w:p>
    <w:p>
      <w:pPr>
        <w:pStyle w:val="BodyText"/>
        <w:spacing w:line="480" w:lineRule="auto"/>
        <w:ind w:firstLine="720"/>
      </w:pPr>
      <w:r>
        <w:t xml:space="preserve">Said plainly, the synthesis is that the cost discipline signal in the modernization of operational space systems sits on the seam variable rather than the autonomy step, and the schedule risk signal is not soaked up by autonomy investment alone. The substitution view, on which functions migrate from human to machine as the technology matures and operator roles wither to match, does not survive the test the dissertation set for it. The joint design view, on which operator role architecture and autonomy authority allocation get co-designed and the program gets costed and scheduled against the paired configuration, does survive it. So the seam between operator and autonomy is no residual to shrink as autonomy matures. It is a design variable whose specification predicts the program economics the autonomy step alone does not.</w:t>
      </w:r>
    </w:p>
    <w:bookmarkEnd w:id="143"/>
    <w:bookmarkStart w:id="144" w:name="contribution-to-knowledge"/>
    <w:p>
      <w:pPr>
        <w:pStyle w:val="Heading2"/>
        <w:spacing w:line="480" w:lineRule="auto"/>
      </w:pPr>
      <w:r>
        <w:t xml:space="preserve">8.2 Contribution to Knowledge</w:t>
      </w:r>
    </w:p>
    <w:p>
      <w:pPr>
        <w:pStyle w:val="FirstParagraph"/>
        <w:spacing w:line="480" w:lineRule="auto"/>
      </w:pPr>
      <w:r>
        <w:t xml:space="preserve">Four contributions to the literature it took up come out of the dissertation.</w:t>
      </w:r>
    </w:p>
    <w:p>
      <w:pPr>
        <w:pStyle w:val="BodyText"/>
        <w:spacing w:line="480" w:lineRule="auto"/>
        <w:ind w:firstLine="720"/>
      </w:pPr>
      <w:r>
        <w:t xml:space="preserve">The first is conceptual. It recasts the sociotechnical seam as a joint design variable with measurable consequences rather than a soft-side accompaniment to autonomy investment. Each of the three literature strands behind the question had read the seam from one side: as workload reduction asserted by the engineering of the automated function</w:t>
      </w:r>
      <w:r>
        <w:t xml:space="preserve"> </w:t>
      </w:r>
      <w:hyperlink w:anchor="ref-1">
        <w:r>
          <w:rPr>
            <w:rStyle w:val="Hyperlink"/>
          </w:rPr>
          <w:t xml:space="preserve">[1]</w:t>
        </w:r>
      </w:hyperlink>
      <w:r>
        <w:t xml:space="preserve">[3][4], as a transplanted training and coordination practice grounded in aviation</w:t>
      </w:r>
      <w:r>
        <w:t xml:space="preserve"> </w:t>
      </w:r>
      <w:hyperlink w:anchor="ref-2">
        <w:r>
          <w:rPr>
            <w:rStyle w:val="Hyperlink"/>
          </w:rPr>
          <w:t xml:space="preserve">[2]</w:t>
        </w:r>
      </w:hyperlink>
      <w:r>
        <w:t xml:space="preserve">[5], or as an operator-level calibration problem at the display and decision interface</w:t>
      </w:r>
      <w:r>
        <w:t xml:space="preserve"> </w:t>
      </w:r>
      <w:hyperlink w:anchor="ref-6">
        <w:r>
          <w:rPr>
            <w:rStyle w:val="Hyperlink"/>
          </w:rPr>
          <w:t xml:space="preserve">[6]</w:t>
        </w:r>
      </w:hyperlink>
      <w:r>
        <w:t xml:space="preserve">[8]. The conceptual contribution is to fix the seam as the joint estimand no single strand had produced and to defend the claim that the joint estimand is the one the literature ought to be estimating.</w:t>
      </w:r>
    </w:p>
    <w:p>
      <w:pPr>
        <w:pStyle w:val="BodyText"/>
        <w:spacing w:line="480" w:lineRule="auto"/>
        <w:ind w:firstLine="720"/>
      </w:pPr>
      <w:r>
        <w:t xml:space="preserve">The second is empirical. The dissertation hands over a coding rule for the joint optimization construct reproducible from the public record and an inter-coder agreement statistic that backs its use as a treatment indicator. It estimates the construct against a thirty-project sample of NASA major projects and reports the estimates with robust standard errors, omnibus fit statistics, and the usual diagnostic battery. The empirical contribution is the joint estimate itself: a large, precisely estimated, theory-consistent effect of coordinated operator role redesign on cost overrun, plus a matching pattern in the slip probability model the autonomy step alone cannot explain.</w:t>
      </w:r>
    </w:p>
    <w:p>
      <w:pPr>
        <w:pStyle w:val="BodyText"/>
        <w:spacing w:line="480" w:lineRule="auto"/>
        <w:ind w:firstLine="720"/>
      </w:pPr>
      <w:r>
        <w:t xml:space="preserve">The third is methodological. The dissertation shows that organizational cost and schedule data off the public assessment record</w:t>
      </w:r>
      <w:r>
        <w:t xml:space="preserve"> </w:t>
      </w:r>
      <w:hyperlink w:anchor="ref-12">
        <w:r>
          <w:rPr>
            <w:rStyle w:val="Hyperlink"/>
          </w:rPr>
          <w:t xml:space="preserve">[12]</w:t>
        </w:r>
      </w:hyperlink>
      <w:r>
        <w:t xml:space="preserve">[14] can carry the sociotechnical seam estimand under a modest four-regressor specification, and that the seam indicator holds up once the autonomy and staffing main effects are in the cross section. It also shows that the widely used autonomy maturity rubric, anchored in the long-running literature on supervisory control and onboard reasoning</w:t>
      </w:r>
      <w:r>
        <w:t xml:space="preserve"> </w:t>
      </w:r>
      <w:hyperlink w:anchor="ref-15">
        <w:r>
          <w:rPr>
            <w:rStyle w:val="Hyperlink"/>
          </w:rPr>
          <w:t xml:space="preserve">[15]</w:t>
        </w:r>
      </w:hyperlink>
      <w:r>
        <w:t xml:space="preserve">[16][17], is identifiable from public mission documentation at a level of inter-coder agreement that backs its use as an independent variable. So the methodological contribution is both a coding infrastructure and a small-sample identification strategy adjacent portfolios can replicate.</w:t>
      </w:r>
    </w:p>
    <w:p>
      <w:pPr>
        <w:pStyle w:val="BodyText"/>
        <w:spacing w:line="480" w:lineRule="auto"/>
        <w:ind w:firstLine="720"/>
      </w:pPr>
      <w:r>
        <w:t xml:space="preserve">The fourth contribution is to practice. The estimates carry a direct implication for planning, costing, and overseeing automation-dependent space operations centers and major project programs. Autonomy roadmaps missing a paired operator role redesign should not be costed as though they will deliver overrun discipline. Operator role redesigns missing a paired autonomy authority allocation should not be pitched as standalone safety improvements. It is the paired configuration, not either half of it, that the program economics and the operational safety case should be judged against</w:t>
      </w:r>
      <w:r>
        <w:t xml:space="preserve"> </w:t>
      </w:r>
      <w:hyperlink w:anchor="ref-1">
        <w:r>
          <w:rPr>
            <w:rStyle w:val="Hyperlink"/>
          </w:rPr>
          <w:t xml:space="preserve">[1]</w:t>
        </w:r>
      </w:hyperlink>
      <w:r>
        <w:t xml:space="preserve">[2][5][6][7]. Consequential at the scale of major project budgets in the current portfolio and at the scale of tasking volume the operational centers in the sociotechnical analysis of space-use norms foresee</w:t>
      </w:r>
      <w:r>
        <w:t xml:space="preserve"> </w:t>
      </w:r>
      <w:hyperlink w:anchor="ref-7">
        <w:r>
          <w:rPr>
            <w:rStyle w:val="Hyperlink"/>
          </w:rPr>
          <w:t xml:space="preserve">[7]</w:t>
        </w:r>
      </w:hyperlink>
      <w:r>
        <w:t xml:space="preserve">, this implication is no marginal one.</w:t>
      </w:r>
    </w:p>
    <w:bookmarkEnd w:id="144"/>
    <w:bookmarkStart w:id="145" w:name="limits-of-the-contribution"/>
    <w:p>
      <w:pPr>
        <w:pStyle w:val="Heading2"/>
        <w:spacing w:line="480" w:lineRule="auto"/>
      </w:pPr>
      <w:r>
        <w:t xml:space="preserve">8.3 Limits of the Contribution</w:t>
      </w:r>
    </w:p>
    <w:p>
      <w:pPr>
        <w:pStyle w:val="FirstParagraph"/>
        <w:spacing w:line="480" w:lineRule="auto"/>
      </w:pPr>
      <w:r>
        <w:t xml:space="preserve">In three respects the contribution runs bounded, and the bounds go on the record here for the integrity of the closing account rather than as caveats tacked on at the edge.</w:t>
      </w:r>
    </w:p>
    <w:p>
      <w:pPr>
        <w:pStyle w:val="BodyText"/>
        <w:spacing w:line="480" w:lineRule="auto"/>
        <w:ind w:firstLine="720"/>
      </w:pPr>
      <w:r>
        <w:t xml:space="preserve">The sample is small in the ordinary sense of organizational cost data. Thirty NASA major projects makes a real cross section, but no panel, and the within-program variation a panel would supply is beyond this estimator. The cost coefficient on joint optimization runs large, and the slip coefficients sit on the conventional edge; replication on adjacent portfolios is the natural next test and the right one. Throughout, the dissertation has owned the small sample and reported its estimates against the small sample penalty rather than away from it.</w:t>
      </w:r>
    </w:p>
    <w:p>
      <w:pPr>
        <w:pStyle w:val="BodyText"/>
        <w:spacing w:line="480" w:lineRule="auto"/>
        <w:ind w:firstLine="720"/>
      </w:pPr>
      <w:r>
        <w:t xml:space="preserve">The treatment is binary. The joint optimization construct is really continuous and multi-dimensional, and the binary indicator is a partial-additive stand-in for the construct, not a measurement of it. The qualitative arm served to validate the coding and surface mechanism evidence on trust calibration, mode awareness, and role boundary clarity</w:t>
      </w:r>
      <w:r>
        <w:t xml:space="preserve"> </w:t>
      </w:r>
      <w:hyperlink w:anchor="ref-2">
        <w:r>
          <w:rPr>
            <w:rStyle w:val="Hyperlink"/>
          </w:rPr>
          <w:t xml:space="preserve">[2]</w:t>
        </w:r>
      </w:hyperlink>
      <w:r>
        <w:t xml:space="preserve">[5][6][8], but a continuous treatment measure is the natural successor to the binary indicator. That the binary indicator is the stand-in the present sample supports, the dissertation has owned.</w:t>
      </w:r>
    </w:p>
    <w:p>
      <w:pPr>
        <w:pStyle w:val="BodyText"/>
        <w:spacing w:line="480" w:lineRule="auto"/>
        <w:ind w:firstLine="720"/>
      </w:pPr>
      <w:r>
        <w:t xml:space="preserve">External validity stops at the population of NASA major projects. The architectural backdrop in which operational space systems modernize runs past that population to commercial operators, partner agencies, and the wider continuous-operations environment where automation-dependent workflows are the norm</w:t>
      </w:r>
      <w:r>
        <w:t xml:space="preserve"> </w:t>
      </w:r>
      <w:hyperlink w:anchor="ref-1">
        <w:r>
          <w:rPr>
            <w:rStyle w:val="Hyperlink"/>
          </w:rPr>
          <w:t xml:space="preserve">[1]</w:t>
        </w:r>
      </w:hyperlink>
      <w:r>
        <w:t xml:space="preserve">[3][4][7]. The seam estimand ports in principle, and the coding infrastructure ports in practice, but the empirical estimates stay tied to the portfolio they were drawn from. Findings got reported with explicit scope conditions and never stretched to centers running below the automation-dependence threshold the sociotechnical analysis of space-use norms defines</w:t>
      </w:r>
      <w:r>
        <w:t xml:space="preserve"> </w:t>
      </w:r>
      <w:hyperlink w:anchor="ref-7">
        <w:r>
          <w:rPr>
            <w:rStyle w:val="Hyperlink"/>
          </w:rPr>
          <w:t xml:space="preserve">[7]</w:t>
        </w:r>
      </w:hyperlink>
      <w:r>
        <w:t xml:space="preserve">.</w:t>
      </w:r>
    </w:p>
    <w:bookmarkEnd w:id="145"/>
    <w:bookmarkStart w:id="146" w:name="closing-statement"/>
    <w:p>
      <w:pPr>
        <w:pStyle w:val="Heading2"/>
        <w:spacing w:line="480" w:lineRule="auto"/>
      </w:pPr>
      <w:r>
        <w:t xml:space="preserve">8.4 Closing Statement</w:t>
      </w:r>
    </w:p>
    <w:p>
      <w:pPr>
        <w:pStyle w:val="FirstParagraph"/>
        <w:spacing w:line="480" w:lineRule="auto"/>
      </w:pPr>
      <w:r>
        <w:t xml:space="preserve">Under the substitution frame by which the modernization of operational space systems has been planned, the operator counts as a residual whose role withers as autonomy matures. This dissertation put that frame to the test against the public cost and schedule record of the NASA major project portfolio and against the structured literature on operator confidence, human machine teaming, and crew resource management in the orbital domain. The frame does not survive. Cost discipline sits on the seam variable, not the autonomy step. Schedule risk is not soaked up by autonomy investment alone. The operator role is no residual but a co-equal design variable whose specification predicts the program economics the autonomy step alone does not.</w:t>
      </w:r>
    </w:p>
    <w:p>
      <w:pPr>
        <w:pStyle w:val="BodyText"/>
        <w:spacing w:line="480" w:lineRule="auto"/>
        <w:ind w:firstLine="720"/>
      </w:pPr>
      <w:r>
        <w:t xml:space="preserve">So the closing claim runs narrow in form and broad in consequence. Its narrow form is the falsifiable proposition the prospectus advanced: that redesigning operator role boundaries and autonomy authority allocation together yields a measurable improvement on the two outcome axes program management cares about. Its broad consequence is that the sociotechnical seam between operator and autonomy is a structural feature of the modernization of operational space systems, not an accompaniment to it. The dissertation named the seam, fixed its joint estimand, coded its treatment, estimated its effect, and reported the estimates with the diagnostic battery the small sample warrants. What the closing chapter hands to later work is the obvious agenda. Replicate the estimand on adjacent portfolios, push the binary treatment to a continuous measure, build the panel the cross section stands in for, and carry the joint design variable into the cost models, the schedule models, the operational safety models, and the training and human factors models that today’s space operations centers actually use to plan, defend, and field their automation-dependent capability</w:t>
      </w:r>
      <w:r>
        <w:t xml:space="preserve"> </w:t>
      </w:r>
      <w:hyperlink w:anchor="ref-1">
        <w:r>
          <w:rPr>
            <w:rStyle w:val="Hyperlink"/>
          </w:rPr>
          <w:t xml:space="preserve">[1]</w:t>
        </w:r>
      </w:hyperlink>
      <w:r>
        <w:t xml:space="preserve">[2][3][4][5][6][7][8].</w:t>
      </w:r>
    </w:p>
    <w:p>
      <w:pPr>
        <w:pStyle w:val="BodyText"/>
        <w:spacing w:line="480" w:lineRule="auto"/>
        <w:ind w:firstLine="720"/>
      </w:pPr>
      <w:r>
        <w:t xml:space="preserve">Take that agenda up, and the present dissertation will have served to name the variable the field kept describing without naming and to show, on the public record, that the variable runs large enough to matter for the program economics, the safety case, and the architecture of the next generation of automation-dependent space operations centers.</w:t>
      </w:r>
    </w:p>
    <w:bookmarkEnd w:id="146"/>
    <w:bookmarkStart w:id="199" w:name="references"/>
    <w:p>
      <w:pPr>
        <w:pStyle w:val="Heading2"/>
        <w:spacing w:line="480" w:lineRule="auto"/>
      </w:pPr>
      <w:r>
        <w:t xml:space="preserve">References</w:t>
      </w:r>
    </w:p>
    <w:p>
      <w:pPr>
        <w:pStyle w:val="FirstParagraph"/>
        <w:spacing w:line="480" w:lineRule="auto"/>
      </w:pPr>
      <w:bookmarkStart w:id="147" w:name="ref-1"/>
      <w:bookmarkEnd w:id="147"/>
      <w:r>
        <w:t xml:space="preserve">1. O. Schultz, J. Brink, M. Williams, and C. Curry,</w:t>
      </w:r>
      <w:r>
        <w:t xml:space="preserve"> </w:t>
      </w:r>
      <w:r>
        <w:t xml:space="preserve">“Data Insights, Pedigree, and Automation for Space Domain Awareness,”</w:t>
      </w:r>
      <w:r>
        <w:t xml:space="preserve"> </w:t>
      </w:r>
      <w:r>
        <w:t xml:space="preserve">in</w:t>
      </w:r>
      <w:r>
        <w:t xml:space="preserve"> </w:t>
      </w:r>
      <w:r>
        <w:rPr>
          <w:i/>
          <w:iCs/>
        </w:rPr>
        <w:t xml:space="preserve">Proc. Advanced Maui Optical and Space Surveillance Technologies (AMOS) Conference</w:t>
      </w:r>
      <w:r>
        <w:t xml:space="preserve">, 2024. doi:</w:t>
      </w:r>
      <w:r>
        <w:t xml:space="preserve"> </w:t>
      </w:r>
      <w:hyperlink r:id="rId148">
        <w:r>
          <w:rPr>
            <w:rStyle w:val="Hyperlink"/>
          </w:rPr>
          <w:t xml:space="preserve">10.64861/NUFH1261</w:t>
        </w:r>
      </w:hyperlink>
    </w:p>
    <w:p>
      <w:pPr>
        <w:pStyle w:val="BodyText"/>
        <w:spacing w:line="480" w:lineRule="auto"/>
        <w:ind w:firstLine="720"/>
      </w:pPr>
      <w:bookmarkStart w:id="149" w:name="ref-2"/>
      <w:bookmarkEnd w:id="149"/>
      <w:r>
        <w:t xml:space="preserve">2. J. Goldberg and T. Waltz,</w:t>
      </w:r>
      <w:r>
        <w:t xml:space="preserve"> </w:t>
      </w:r>
      <w:r>
        <w:t xml:space="preserve">“Bridging the Gap: The Critical Need for Crew Resource Management (CRM) Training in Space Domain Operations,”</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0">
        <w:r>
          <w:rPr>
            <w:rStyle w:val="Hyperlink"/>
          </w:rPr>
          <w:t xml:space="preserve">10.64861/CXGE3201</w:t>
        </w:r>
      </w:hyperlink>
    </w:p>
    <w:p>
      <w:pPr>
        <w:pStyle w:val="BodyText"/>
        <w:spacing w:line="480" w:lineRule="auto"/>
        <w:ind w:firstLine="720"/>
      </w:pPr>
      <w:bookmarkStart w:id="151" w:name="ref-3"/>
      <w:bookmarkEnd w:id="151"/>
      <w:r>
        <w:t xml:space="preserve">3. J. Seong, O. Jung, Y. Jung, and S. Song,</w:t>
      </w:r>
      <w:r>
        <w:t xml:space="preserve"> </w:t>
      </w:r>
      <w:r>
        <w:t xml:space="preserve">“Development of VISION (Vigilant Integrated Space Information and mOnitoring Network): An Integrated Space Information Monitoring System for Space Flight Safety,”</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2">
        <w:r>
          <w:rPr>
            <w:rStyle w:val="Hyperlink"/>
          </w:rPr>
          <w:t xml:space="preserve">10.64861/OTAL2562</w:t>
        </w:r>
      </w:hyperlink>
    </w:p>
    <w:p>
      <w:pPr>
        <w:pStyle w:val="BodyText"/>
        <w:spacing w:line="480" w:lineRule="auto"/>
        <w:ind w:firstLine="720"/>
      </w:pPr>
      <w:bookmarkStart w:id="153" w:name="ref-4"/>
      <w:bookmarkEnd w:id="153"/>
      <w:r>
        <w:t xml:space="preserve">4. O. Schultz, J. Brink, and M. Williams,</w:t>
      </w:r>
      <w:r>
        <w:t xml:space="preserve"> </w:t>
      </w:r>
      <w:r>
        <w:t xml:space="preserve">“Orbital State Recommender Validation for Space Battle Management Applications,”</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4">
        <w:r>
          <w:rPr>
            <w:rStyle w:val="Hyperlink"/>
          </w:rPr>
          <w:t xml:space="preserve">10.64861/UKZR3736</w:t>
        </w:r>
      </w:hyperlink>
    </w:p>
    <w:p>
      <w:pPr>
        <w:pStyle w:val="BodyText"/>
        <w:spacing w:line="480" w:lineRule="auto"/>
        <w:ind w:firstLine="720"/>
      </w:pPr>
      <w:bookmarkStart w:id="155" w:name="ref-5"/>
      <w:bookmarkEnd w:id="155"/>
      <w:r>
        <w:t xml:space="preserve">5. R. Stilwell, K. Quakenbush, J. Giles, and N. Dailey,</w:t>
      </w:r>
      <w:r>
        <w:t xml:space="preserve"> </w:t>
      </w:r>
      <w:r>
        <w:t xml:space="preserve">“Human Factors in Space Operators: Leveraging Aviation Safety Frameworks for Enhanced Orbital Domain Resilience,”</w:t>
      </w:r>
      <w:r>
        <w:t xml:space="preserve"> </w:t>
      </w:r>
      <w:r>
        <w:t xml:space="preserve">in</w:t>
      </w:r>
      <w:r>
        <w:t xml:space="preserve"> </w:t>
      </w:r>
      <w:r>
        <w:rPr>
          <w:i/>
          <w:iCs/>
        </w:rPr>
        <w:t xml:space="preserve">Proc. Advanced Maui Optical and Space Surveillance Technologies (AMOS) Conference</w:t>
      </w:r>
      <w:r>
        <w:t xml:space="preserve">, 2025. doi:</w:t>
      </w:r>
      <w:r>
        <w:t xml:space="preserve"> </w:t>
      </w:r>
      <w:hyperlink r:id="rId156">
        <w:r>
          <w:rPr>
            <w:rStyle w:val="Hyperlink"/>
          </w:rPr>
          <w:t xml:space="preserve">10.64861/JSGC2795</w:t>
        </w:r>
      </w:hyperlink>
    </w:p>
    <w:p>
      <w:pPr>
        <w:pStyle w:val="BodyText"/>
        <w:spacing w:line="480" w:lineRule="auto"/>
        <w:ind w:firstLine="720"/>
      </w:pPr>
      <w:bookmarkStart w:id="157" w:name="ref-6"/>
      <w:bookmarkEnd w:id="157"/>
      <w:r>
        <w:t xml:space="preserve">6. J. Gorman, M. Voshell, and A. Sliva,</w:t>
      </w:r>
      <w:r>
        <w:t xml:space="preserve"> </w:t>
      </w:r>
      <w:r>
        <w:t xml:space="preserve">“Assessment for Operator Confidence in Automated Space Situational Awareness and Satellite Control Systems,”</w:t>
      </w:r>
      <w:r>
        <w:t xml:space="preserve"> </w:t>
      </w:r>
      <w:r>
        <w:t xml:space="preserve">in</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58" w:name="ref-7"/>
      <w:bookmarkEnd w:id="158"/>
      <w:r>
        <w:t xml:space="preserve">7.</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59" w:name="ref-8"/>
      <w:bookmarkEnd w:id="159"/>
      <w:r>
        <w:t xml:space="preserve">8.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160">
        <w:r>
          <w:rPr>
            <w:rStyle w:val="Hyperlink"/>
          </w:rPr>
          <w:t xml:space="preserve">10.64861/HWZS9386</w:t>
        </w:r>
      </w:hyperlink>
      <w:r>
        <w:t xml:space="preserve">.</w:t>
      </w:r>
    </w:p>
    <w:p>
      <w:pPr>
        <w:pStyle w:val="BodyText"/>
        <w:spacing w:line="480" w:lineRule="auto"/>
        <w:ind w:firstLine="720"/>
      </w:pPr>
      <w:bookmarkStart w:id="161" w:name="ref-9"/>
      <w:bookmarkEnd w:id="161"/>
      <w:r>
        <w:t xml:space="preserve">9. L. Weis and I. Hussein,</w:t>
      </w:r>
      <w:r>
        <w:t xml:space="preserve"> </w:t>
      </w:r>
      <w:r>
        <w:t xml:space="preserve">“Orbit Design of an Autonomous Space-Based SSA Swarm: Distributed Deep Learning at the Edge,”</w:t>
      </w:r>
      <w:r>
        <w:t xml:space="preserve"> </w:t>
      </w:r>
      <w:r>
        <w:t xml:space="preserve">Proc. Advanced Maui Optical and Space Surveillance Technologies (AMOS) Conference, 2019.</w:t>
      </w:r>
    </w:p>
    <w:p>
      <w:pPr>
        <w:pStyle w:val="BodyText"/>
        <w:spacing w:line="480" w:lineRule="auto"/>
        <w:ind w:firstLine="720"/>
      </w:pPr>
      <w:bookmarkStart w:id="162" w:name="ref-10"/>
      <w:bookmarkEnd w:id="162"/>
      <w:r>
        <w:t xml:space="preserve">10. E. Gregson, M. Seto, and B. Kim,</w:t>
      </w:r>
      <w:r>
        <w:t xml:space="preserve"> </w:t>
      </w:r>
      <w:r>
        <w:t xml:space="preserve">“Autonomy Testbed Development for Satellite Debris Avoidance,”</w:t>
      </w:r>
      <w:r>
        <w:t xml:space="preserve"> </w:t>
      </w:r>
      <w:r>
        <w:t xml:space="preserve">Proc. Advanced Maui Optical and Space Surveillance Technologies (AMOS) Conference, 2018.</w:t>
      </w:r>
    </w:p>
    <w:p>
      <w:pPr>
        <w:pStyle w:val="BodyText"/>
        <w:spacing w:line="480" w:lineRule="auto"/>
        <w:ind w:firstLine="720"/>
      </w:pPr>
      <w:bookmarkStart w:id="163" w:name="ref-11"/>
      <w:bookmarkEnd w:id="163"/>
      <w:r>
        <w:t xml:space="preserve">11. E. De Alba, A. Cabello, G. Fitzgerald, Z. Gazak, and J. Fletcher,</w:t>
      </w:r>
      <w:r>
        <w:t xml:space="preserve"> </w:t>
      </w:r>
      <w:r>
        <w:t xml:space="preserve">“Toward Integration of Large Language Models for Command and Control in Space Domain Awareness,”</w:t>
      </w:r>
      <w:r>
        <w:t xml:space="preserve"> </w:t>
      </w:r>
      <w:r>
        <w:t xml:space="preserve">Proc. Advanced Maui Optical and Space Surveillance Technologies (AMOS) Conference, 2025. doi:</w:t>
      </w:r>
      <w:r>
        <w:t xml:space="preserve"> </w:t>
      </w:r>
      <w:hyperlink r:id="rId164">
        <w:r>
          <w:rPr>
            <w:rStyle w:val="Hyperlink"/>
          </w:rPr>
          <w:t xml:space="preserve">10.64861/OWDT6586</w:t>
        </w:r>
      </w:hyperlink>
      <w:r>
        <w:t xml:space="preserve">.</w:t>
      </w:r>
    </w:p>
    <w:p>
      <w:pPr>
        <w:pStyle w:val="BodyText"/>
        <w:spacing w:line="480" w:lineRule="auto"/>
        <w:ind w:firstLine="720"/>
      </w:pPr>
      <w:bookmarkStart w:id="165" w:name="ref-12"/>
      <w:bookmarkEnd w:id="165"/>
      <w:r>
        <w:t xml:space="preserve">12. U.S. Government Accountability Office,</w:t>
      </w:r>
      <w:r>
        <w:t xml:space="preserve"> </w:t>
      </w:r>
      <w:r>
        <w:t xml:space="preserve">“NASA: Assessments of Major Projects,”</w:t>
      </w:r>
      <w:r>
        <w:t xml:space="preserve"> </w:t>
      </w:r>
      <w:r>
        <w:t xml:space="preserve">GAO-22-105212, 2022.</w:t>
      </w:r>
    </w:p>
    <w:p>
      <w:pPr>
        <w:pStyle w:val="BodyText"/>
        <w:spacing w:line="480" w:lineRule="auto"/>
        <w:ind w:firstLine="720"/>
      </w:pPr>
      <w:bookmarkStart w:id="166" w:name="ref-13"/>
      <w:bookmarkEnd w:id="166"/>
      <w:r>
        <w:t xml:space="preserve">13. M. Berthet,</w:t>
      </w:r>
      <w:r>
        <w:t xml:space="preserve"> </w:t>
      </w:r>
      <w:r>
        <w:t xml:space="preserve">“Aerobraking: Review of the state of the art and required developments,”</w:t>
      </w:r>
      <w:r>
        <w:t xml:space="preserve"> </w:t>
      </w:r>
      <w:r>
        <w:t xml:space="preserve">Acta Astronautica, vol. 237, 2025. doi:</w:t>
      </w:r>
      <w:r>
        <w:t xml:space="preserve"> </w:t>
      </w:r>
      <w:hyperlink r:id="rId167">
        <w:r>
          <w:rPr>
            <w:rStyle w:val="Hyperlink"/>
          </w:rPr>
          <w:t xml:space="preserve">10.1016/j.actaastro.2025.08.015</w:t>
        </w:r>
      </w:hyperlink>
      <w:r>
        <w:t xml:space="preserve">.</w:t>
      </w:r>
    </w:p>
    <w:p>
      <w:pPr>
        <w:pStyle w:val="BodyText"/>
        <w:spacing w:line="480" w:lineRule="auto"/>
        <w:ind w:firstLine="720"/>
      </w:pPr>
      <w:bookmarkStart w:id="168" w:name="ref-14"/>
      <w:bookmarkEnd w:id="168"/>
      <w:r>
        <w:t xml:space="preserve">14. U.S. Government Accountability Office,</w:t>
      </w:r>
      <w:r>
        <w:t xml:space="preserve"> </w:t>
      </w:r>
      <w:r>
        <w:t xml:space="preserve">“NASA: Assessments of Selected Large-Scale Projects,”</w:t>
      </w:r>
      <w:r>
        <w:t xml:space="preserve"> </w:t>
      </w:r>
      <w:r>
        <w:t xml:space="preserve">GAO-12-207SP, March 2012.</w:t>
      </w:r>
    </w:p>
    <w:p>
      <w:pPr>
        <w:pStyle w:val="BodyText"/>
        <w:spacing w:line="480" w:lineRule="auto"/>
        <w:ind w:firstLine="720"/>
      </w:pPr>
      <w:bookmarkStart w:id="169" w:name="ref-15"/>
      <w:bookmarkEnd w:id="169"/>
      <w:r>
        <w:t xml:space="preserve">15. R. Sherwood and others,</w:t>
      </w:r>
      <w:r>
        <w:t xml:space="preserve"> </w:t>
      </w:r>
      <w:r>
        <w:t xml:space="preserve">“Onboard automated planning at JPL: ASPEN and CASPER,”</w:t>
      </w:r>
      <w:r>
        <w:t xml:space="preserve"> </w:t>
      </w:r>
      <w:r>
        <w:t xml:space="preserve">in Proceedings of the International Symposium on Artificial Intelligence, Robotics and Automation in Space, 2005.</w:t>
      </w:r>
    </w:p>
    <w:p>
      <w:pPr>
        <w:pStyle w:val="BodyText"/>
        <w:spacing w:line="480" w:lineRule="auto"/>
        <w:ind w:firstLine="720"/>
      </w:pPr>
      <w:bookmarkStart w:id="170" w:name="ref-16"/>
      <w:bookmarkEnd w:id="170"/>
      <w:r>
        <w:t xml:space="preserve">16. L. Bainbridge,</w:t>
      </w:r>
      <w:r>
        <w:t xml:space="preserve"> </w:t>
      </w:r>
      <w:r>
        <w:t xml:space="preserve">“Ironies of automation,”</w:t>
      </w:r>
      <w:r>
        <w:t xml:space="preserve"> </w:t>
      </w:r>
      <w:r>
        <w:t xml:space="preserve">Automatica, vol. 19, no. 6, pp. 775-779, 1983.</w:t>
      </w:r>
    </w:p>
    <w:p>
      <w:pPr>
        <w:pStyle w:val="BodyText"/>
        <w:spacing w:line="480" w:lineRule="auto"/>
        <w:ind w:firstLine="720"/>
      </w:pPr>
      <w:bookmarkStart w:id="171" w:name="ref-17"/>
      <w:bookmarkEnd w:id="171"/>
      <w:r>
        <w:t xml:space="preserve">17. T. B. Sheridan,</w:t>
      </w:r>
      <w:r>
        <w:t xml:space="preserve"> </w:t>
      </w:r>
      <w:r>
        <w:t xml:space="preserve">“Adaptive automation, level of automation, allocation authority, supervisory control, and adaptive control: Distinctions and modes of adaptation,”</w:t>
      </w:r>
      <w:r>
        <w:t xml:space="preserve"> </w:t>
      </w:r>
      <w:r>
        <w:t xml:space="preserve">IEEE Transactions on Systems, Man, and Cybernetics, Part A, vol. 41, no. 4, pp. 662-667, 2011.</w:t>
      </w:r>
    </w:p>
    <w:p>
      <w:pPr>
        <w:pStyle w:val="BodyText"/>
        <w:spacing w:line="480" w:lineRule="auto"/>
        <w:ind w:firstLine="720"/>
      </w:pPr>
      <w:bookmarkStart w:id="172" w:name="ref-18"/>
      <w:bookmarkEnd w:id="172"/>
      <w:r>
        <w:t xml:space="preserve">18. Diane D. Buell (The MITRE Corporation), Francis J. Duff (The MITRE Corporation), John C. Goding (The MITRE Corporation), Michael Bankston (The MITRE Corporation), Tim McLaughlin (The MITRE Corporation), Steve Six (The MITRE Corporation), Scott Taylor (The MITRE Corporation), Sam Wootton (The MITRE Corporation). Sensor Exposure, Exploitation, and Experimentation Environment (SE4) (2011).</w:t>
      </w:r>
    </w:p>
    <w:p>
      <w:pPr>
        <w:pStyle w:val="BodyText"/>
        <w:spacing w:line="480" w:lineRule="auto"/>
        <w:ind w:firstLine="720"/>
      </w:pPr>
      <w:bookmarkStart w:id="173" w:name="ref-19"/>
      <w:bookmarkEnd w:id="173"/>
      <w:r>
        <w:t xml:space="preserve">19. Edward Gregson, Dalhousie University; Mae Seto, Dalhousie University; Bumsoo Kim, Defence R&amp;D Canada. Autonomy Testbed Development for Satellite Debris Avoidance (2018).</w:t>
      </w:r>
    </w:p>
    <w:p>
      <w:pPr>
        <w:pStyle w:val="BodyText"/>
        <w:spacing w:line="480" w:lineRule="auto"/>
        <w:ind w:firstLine="720"/>
      </w:pPr>
      <w:bookmarkStart w:id="174" w:name="ref-20"/>
      <w:bookmarkEnd w:id="174"/>
      <w:r>
        <w:t xml:space="preserve">20. Chuck Quintero, Johns Hopkins University Applied Physics Laboratory; Robert Duggan, Johns Hopkins University Applied Physics Laboratory. Orbital Diversity and Inclination Optimization for Large Count LEO Constellations in Non-polar Orbits (2021).</w:t>
      </w:r>
    </w:p>
    <w:p>
      <w:pPr>
        <w:pStyle w:val="BodyText"/>
        <w:spacing w:line="480" w:lineRule="auto"/>
        <w:ind w:firstLine="720"/>
      </w:pPr>
      <w:bookmarkStart w:id="175" w:name="ref-21"/>
      <w:bookmarkEnd w:id="175"/>
      <w:r>
        <w:t xml:space="preserve">21.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76">
        <w:r>
          <w:rPr>
            <w:rStyle w:val="Hyperlink"/>
          </w:rPr>
          <w:t xml:space="preserve">10.64861/XQCN3213</w:t>
        </w:r>
      </w:hyperlink>
    </w:p>
    <w:p>
      <w:pPr>
        <w:pStyle w:val="BodyText"/>
        <w:spacing w:line="480" w:lineRule="auto"/>
        <w:ind w:firstLine="720"/>
      </w:pPr>
      <w:bookmarkStart w:id="177" w:name="ref-22"/>
      <w:bookmarkEnd w:id="177"/>
      <w:r>
        <w:t xml:space="preserve">22. Sean Allen, SSC/SZG. SDA TAP Lab Using Commercial Technology to Avoid Operational Surprise (2024). doi:</w:t>
      </w:r>
      <w:r>
        <w:t xml:space="preserve"> </w:t>
      </w:r>
      <w:hyperlink r:id="rId178">
        <w:r>
          <w:rPr>
            <w:rStyle w:val="Hyperlink"/>
          </w:rPr>
          <w:t xml:space="preserve">10.64861/YPPJ6850</w:t>
        </w:r>
      </w:hyperlink>
    </w:p>
    <w:p>
      <w:pPr>
        <w:pStyle w:val="BodyText"/>
        <w:spacing w:line="480" w:lineRule="auto"/>
        <w:ind w:firstLine="720"/>
      </w:pPr>
      <w:bookmarkStart w:id="179" w:name="ref-23"/>
      <w:bookmarkEnd w:id="179"/>
      <w:r>
        <w:t xml:space="preserve">23.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80">
        <w:r>
          <w:rPr>
            <w:rStyle w:val="Hyperlink"/>
          </w:rPr>
          <w:t xml:space="preserve">10.64861/DDFP2152</w:t>
        </w:r>
      </w:hyperlink>
    </w:p>
    <w:p>
      <w:pPr>
        <w:pStyle w:val="BodyText"/>
        <w:spacing w:line="480" w:lineRule="auto"/>
        <w:ind w:firstLine="720"/>
      </w:pPr>
      <w:bookmarkStart w:id="181" w:name="ref-24"/>
      <w:bookmarkEnd w:id="181"/>
      <w:r>
        <w:t xml:space="preserve">24. Keith Morris (Lockheed Martin Space Systems Company), Chris Rice (Lockheed Martin Space Systems Company), Eugene Little (Lockheed Martin Space Systems Company). Relative Cost and Performance Comparison of GEO Space Situational Awareness Architectures (2014).</w:t>
      </w:r>
    </w:p>
    <w:p>
      <w:pPr>
        <w:pStyle w:val="BodyText"/>
        <w:spacing w:line="480" w:lineRule="auto"/>
        <w:ind w:firstLine="720"/>
      </w:pPr>
      <w:bookmarkStart w:id="182" w:name="ref-25"/>
      <w:bookmarkEnd w:id="182"/>
      <w:r>
        <w:t xml:space="preserve">25. Joe Gorman, Charles River Analytics, Martin Voshell, Charles River Analytics, Amy Sliva, Charles River Analytics. Assessment for Operator Confidence in Automated Space Situational Awareness and Satellite Control Systems (2016).</w:t>
      </w:r>
    </w:p>
    <w:p>
      <w:pPr>
        <w:pStyle w:val="BodyText"/>
        <w:spacing w:line="480" w:lineRule="auto"/>
        <w:ind w:firstLine="720"/>
      </w:pPr>
      <w:bookmarkStart w:id="183" w:name="ref-26"/>
      <w:bookmarkEnd w:id="183"/>
      <w:r>
        <w:t xml:space="preserve">26. Morgan Dwyer; Zoe Szajnfarber; Bruce Cameron; Edward F. Crawley. A model for understanding and managing cost growth on joint programs (2018). doi:</w:t>
      </w:r>
      <w:r>
        <w:t xml:space="preserve"> </w:t>
      </w:r>
      <w:hyperlink r:id="rId184">
        <w:r>
          <w:rPr>
            <w:rStyle w:val="Hyperlink"/>
          </w:rPr>
          <w:t xml:space="preserve">10.1016/j.actaastro.2018.07.004</w:t>
        </w:r>
      </w:hyperlink>
    </w:p>
    <w:p>
      <w:pPr>
        <w:pStyle w:val="BodyText"/>
        <w:spacing w:line="480" w:lineRule="auto"/>
        <w:ind w:firstLine="720"/>
      </w:pPr>
      <w:bookmarkStart w:id="185" w:name="ref-27"/>
      <w:bookmarkEnd w:id="185"/>
      <w:r>
        <w:t xml:space="preserve">27. Xiao-Shan Yap; Jonas Heiberg; Bernhard Truffer. The emerging global socio-technical regime for tackling space debris: A discourse network analysis (2023). doi:</w:t>
      </w:r>
      <w:r>
        <w:t xml:space="preserve"> </w:t>
      </w:r>
      <w:hyperlink r:id="rId186">
        <w:r>
          <w:rPr>
            <w:rStyle w:val="Hyperlink"/>
          </w:rPr>
          <w:t xml:space="preserve">10.1016/j.actaastro.2023.01.016</w:t>
        </w:r>
      </w:hyperlink>
    </w:p>
    <w:p>
      <w:pPr>
        <w:pStyle w:val="BodyText"/>
        <w:spacing w:line="480" w:lineRule="auto"/>
        <w:ind w:firstLine="720"/>
      </w:pPr>
      <w:bookmarkStart w:id="187" w:name="ref-28"/>
      <w:bookmarkEnd w:id="187"/>
      <w:r>
        <w:t xml:space="preserve">28. Farouk Abdulhamid; Brendan P. Sullivan; Sergio Terzi. Factory in space: A review of material and manufacturing technologies (2025). doi:</w:t>
      </w:r>
      <w:r>
        <w:t xml:space="preserve"> </w:t>
      </w:r>
      <w:hyperlink r:id="rId188">
        <w:r>
          <w:rPr>
            <w:rStyle w:val="Hyperlink"/>
          </w:rPr>
          <w:t xml:space="preserve">10.1016/j.actaastro.2025.01.007</w:t>
        </w:r>
      </w:hyperlink>
    </w:p>
    <w:p>
      <w:pPr>
        <w:pStyle w:val="BodyText"/>
        <w:spacing w:line="480" w:lineRule="auto"/>
        <w:ind w:firstLine="720"/>
      </w:pPr>
      <w:bookmarkStart w:id="189" w:name="ref-29"/>
      <w:bookmarkEnd w:id="189"/>
      <w:r>
        <w:t xml:space="preserve">29. Hendrik Kolvenbach; Anna Mittelholz; Simon C. Stähler; Philip Arm; Valentin Bickel; Adrian Fuhrer; Jorge Jódar; Ramon Margarit; Joseph Church; Elena Krasnova; Krzysztof Walas; Matthias Grott; Svein‐Erik Hamran; Özgür Karatekin; Miguel Olivares-Mendez; Sofía Coloma; Marco Pagnamenta; Michał Gumiela; Jordan Aaron; Marco Hutter. LunarLeaper—A mission concept to explore the lunar subsurface with a small-scale legged robot (2025). doi:</w:t>
      </w:r>
      <w:r>
        <w:t xml:space="preserve"> </w:t>
      </w:r>
      <w:hyperlink r:id="rId190">
        <w:r>
          <w:rPr>
            <w:rStyle w:val="Hyperlink"/>
          </w:rPr>
          <w:t xml:space="preserve">10.1016/j.actaastro.2025.11.039</w:t>
        </w:r>
      </w:hyperlink>
    </w:p>
    <w:p>
      <w:pPr>
        <w:pStyle w:val="BodyText"/>
        <w:spacing w:line="480" w:lineRule="auto"/>
        <w:ind w:firstLine="720"/>
      </w:pPr>
      <w:bookmarkStart w:id="191" w:name="ref-30"/>
      <w:bookmarkEnd w:id="191"/>
      <w:r>
        <w:t xml:space="preserve">30. Enrico Lagona; Samuel Hilton; Michael Afful; Alessandro Gardi; Roberto Sabatini. Autonomous Trajectory Optimisation for Intelligent Satellite Systems and Space Traffic Management (2022). doi:</w:t>
      </w:r>
      <w:r>
        <w:t xml:space="preserve"> </w:t>
      </w:r>
      <w:hyperlink r:id="rId192">
        <w:r>
          <w:rPr>
            <w:rStyle w:val="Hyperlink"/>
          </w:rPr>
          <w:t xml:space="preserve">10.1016/j.actaastro.2022.01.027</w:t>
        </w:r>
      </w:hyperlink>
    </w:p>
    <w:p>
      <w:pPr>
        <w:pStyle w:val="BodyText"/>
        <w:spacing w:line="480" w:lineRule="auto"/>
        <w:ind w:firstLine="720"/>
      </w:pPr>
      <w:bookmarkStart w:id="193" w:name="ref-31"/>
      <w:bookmarkEnd w:id="193"/>
      <w:r>
        <w:t xml:space="preserve">31. Quan Chen; Xiaoqian Chen; Lei Yang; Shuai Wu; Xuefeng Tao. A distributed congestion avoidance routing algorithm in mega-constellation network with multi-gateway (2019). doi:</w:t>
      </w:r>
      <w:r>
        <w:t xml:space="preserve"> </w:t>
      </w:r>
      <w:hyperlink r:id="rId194">
        <w:r>
          <w:rPr>
            <w:rStyle w:val="Hyperlink"/>
          </w:rPr>
          <w:t xml:space="preserve">10.1016/j.actaastro.2019.05.051</w:t>
        </w:r>
      </w:hyperlink>
    </w:p>
    <w:p>
      <w:pPr>
        <w:pStyle w:val="BodyText"/>
        <w:spacing w:line="480" w:lineRule="auto"/>
        <w:ind w:firstLine="720"/>
      </w:pPr>
      <w:bookmarkStart w:id="195" w:name="ref-32"/>
      <w:bookmarkEnd w:id="195"/>
      <w:r>
        <w:t xml:space="preserve">32. Ulubilge Ulusoy; Garrett E. Reisman. Investment construct in human autonomy teaming for deep space habitat operations (2025). doi:</w:t>
      </w:r>
      <w:r>
        <w:t xml:space="preserve"> </w:t>
      </w:r>
      <w:hyperlink r:id="rId196">
        <w:r>
          <w:rPr>
            <w:rStyle w:val="Hyperlink"/>
          </w:rPr>
          <w:t xml:space="preserve">10.1016/j.actaastro.2025.06.037</w:t>
        </w:r>
      </w:hyperlink>
    </w:p>
    <w:p>
      <w:pPr>
        <w:pStyle w:val="BodyText"/>
        <w:spacing w:line="480" w:lineRule="auto"/>
        <w:ind w:firstLine="720"/>
      </w:pPr>
      <w:bookmarkStart w:id="197" w:name="ref-33"/>
      <w:bookmarkEnd w:id="197"/>
      <w:r>
        <w:t xml:space="preserve">33.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98">
        <w:r>
          <w:rPr>
            <w:rStyle w:val="Hyperlink"/>
          </w:rPr>
          <w:t xml:space="preserve">10.1016/j.actaastro.2025.03.034</w:t>
        </w:r>
      </w:hyperlink>
    </w:p>
    <w:bookmarkEnd w:id="199"/>
    <w:bookmarkEnd w:id="200"/>
    <w:bookmarkStart w:id="21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8" w:name="X3838223a3ad7dcb17f92d749eca6658eb21b66e"/>
    <w:p>
      <w:pPr>
        <w:pStyle w:val="Heading2"/>
        <w:spacing w:line="480" w:lineRule="auto"/>
      </w:pPr>
      <w:r>
        <w:t xml:space="preserve">A.1 The Sociotechnical Seam: Joint Effects of Spacecraft Autonomy Level and Operator-Role Redesign on NASA Mission Cost Overruns</w:t>
      </w:r>
    </w:p>
    <w:p>
      <w:pPr>
        <w:pStyle w:val="FirstParagraph"/>
        <w:spacing w:line="480" w:lineRule="auto"/>
      </w:pPr>
      <m:oMathPara>
        <m:oMathParaPr>
          <m:jc m:val="center"/>
        </m:oMathParaPr>
        <m:oMath>
          <m:sSub>
            <m:e>
              <m:r>
                <m:rPr>
                  <m:nor/>
                  <m:sty m:val="p"/>
                </m:rPr>
                <m:t>Overrun</m:t>
              </m:r>
            </m:e>
            <m:sub>
              <m:r>
                <m:t>i</m:t>
              </m:r>
            </m:sub>
          </m:sSub>
          <m:r>
            <m:rPr>
              <m:sty m:val="p"/>
            </m:rPr>
            <m:t>=</m:t>
          </m:r>
          <m:sSub>
            <m:e>
              <m:r>
                <m:t>β</m:t>
              </m:r>
            </m:e>
            <m:sub>
              <m:r>
                <m:t>0</m:t>
              </m:r>
            </m:sub>
          </m:sSub>
          <m:r>
            <m:rPr>
              <m:sty m:val="p"/>
            </m:rPr>
            <m:t>+</m:t>
          </m:r>
          <m:sSub>
            <m:e>
              <m:r>
                <m:t>β</m:t>
              </m:r>
            </m:e>
            <m:sub>
              <m:r>
                <m:t>1</m:t>
              </m:r>
            </m:sub>
          </m:sSub>
          <m:sSub>
            <m:e>
              <m:r>
                <m:rPr>
                  <m:nor/>
                  <m:sty m:val="p"/>
                </m:rPr>
                <m:t>Autonomy</m:t>
              </m:r>
            </m:e>
            <m:sub>
              <m:r>
                <m:t>i</m:t>
              </m:r>
            </m:sub>
          </m:sSub>
          <m:r>
            <m:rPr>
              <m:sty m:val="p"/>
            </m:rPr>
            <m:t>+</m:t>
          </m:r>
          <m:sSub>
            <m:e>
              <m:r>
                <m:t>β</m:t>
              </m:r>
            </m:e>
            <m:sub>
              <m:r>
                <m:t>2</m:t>
              </m:r>
            </m:sub>
          </m:sSub>
          <m:sSub>
            <m:e>
              <m:r>
                <m:rPr>
                  <m:nor/>
                  <m:sty m:val="p"/>
                </m:rPr>
                <m:t>OperatorFTE</m:t>
              </m:r>
            </m:e>
            <m:sub>
              <m:r>
                <m:t>i</m:t>
              </m:r>
            </m:sub>
          </m:sSub>
          <m:r>
            <m:rPr>
              <m:sty m:val="p"/>
            </m:rPr>
            <m:t>+</m:t>
          </m:r>
          <m:sSub>
            <m:e>
              <m:r>
                <m:t>β</m:t>
              </m:r>
            </m:e>
            <m:sub>
              <m:r>
                <m:t>3</m:t>
              </m:r>
            </m:sub>
          </m:sSub>
          <m:sSub>
            <m:e>
              <m:r>
                <m:rPr>
                  <m:nor/>
                  <m:sty m:val="p"/>
                </m:rPr>
                <m:t>JointOptim</m:t>
              </m:r>
            </m:e>
            <m:sub>
              <m:r>
                <m:t>i</m:t>
              </m:r>
            </m:sub>
          </m:sSub>
          <m:r>
            <m:rPr>
              <m:sty m:val="p"/>
            </m:rPr>
            <m:t>+</m:t>
          </m:r>
          <m:sSub>
            <m:e>
              <m:r>
                <m:t>β</m:t>
              </m:r>
            </m:e>
            <m:sub>
              <m:r>
                <m:t>4</m:t>
              </m:r>
            </m:sub>
          </m:sSub>
          <m:sSub>
            <m:e>
              <m:r>
                <m:rPr>
                  <m:nor/>
                  <m:sty m:val="p"/>
                </m:rPr>
                <m:t>Duration</m:t>
              </m:r>
            </m:e>
            <m:sub>
              <m:r>
                <m:t>i</m:t>
              </m:r>
            </m:sub>
          </m:sSub>
          <m:r>
            <m:rPr>
              <m:sty m:val="p"/>
            </m:rPr>
            <m:t>+</m:t>
          </m:r>
          <m:sSub>
            <m:e>
              <m:r>
                <m:t>ε</m:t>
              </m:r>
            </m:e>
            <m:sub>
              <m:r>
                <m:t>i</m:t>
              </m:r>
            </m:sub>
          </m:sSub>
        </m:oMath>
      </m:oMathPara>
    </w:p>
    <w:bookmarkStart w:id="20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-4.1505</w:t>
            </w:r>
          </w:p>
        </w:tc>
        <w:tc>
          <w:tcPr>
            <w:tcW w:w="0" w:type="auto"/>
          </w:tcPr>
          <w:p>
            <w:pPr>
              <w:spacing w:line="240" w:lineRule="auto" w:before="0" w:after="0"/>
              <w:pStyle w:val="Compact"/>
            </w:pPr>
            <w:r>
              <w:rPr>
                <w:sz w:val="20"/>
                <w:szCs w:val="20"/>
              </w:rPr>
              <w:t xml:space="preserve">16.1889</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0.7977</w:t>
            </w:r>
          </w:p>
        </w:tc>
        <w:tc>
          <w:tcPr>
            <w:tcW w:w="0" w:type="auto"/>
          </w:tcPr>
          <w:p>
            <w:pPr>
              <w:spacing w:line="240" w:lineRule="auto" w:before="0" w:after="0"/>
              <w:pStyle w:val="Compact"/>
            </w:pPr>
            <w:r>
              <w:rPr>
                <w:sz w:val="20"/>
                <w:szCs w:val="20"/>
              </w:rPr>
              <w:t xml:space="preserve">[-35.8803, 27.5792]</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6.1341</w:t>
            </w:r>
          </w:p>
        </w:tc>
        <w:tc>
          <w:tcPr>
            <w:tcW w:w="0" w:type="auto"/>
          </w:tcPr>
          <w:p>
            <w:pPr>
              <w:spacing w:line="240" w:lineRule="auto" w:before="0" w:after="0"/>
              <w:pStyle w:val="Compact"/>
            </w:pPr>
            <w:r>
              <w:rPr>
                <w:sz w:val="20"/>
                <w:szCs w:val="20"/>
              </w:rPr>
              <w:t xml:space="preserve">4.6204</w:t>
            </w:r>
          </w:p>
        </w:tc>
        <w:tc>
          <w:tcPr>
            <w:tcW w:w="0" w:type="auto"/>
          </w:tcPr>
          <w:p>
            <w:pPr>
              <w:spacing w:line="240" w:lineRule="auto" w:before="0" w:after="0"/>
              <w:pStyle w:val="Compact"/>
            </w:pPr>
            <w:r>
              <w:rPr>
                <w:sz w:val="20"/>
                <w:szCs w:val="20"/>
              </w:rPr>
              <w:t xml:space="preserve">1.3276</w:t>
            </w:r>
          </w:p>
        </w:tc>
        <w:tc>
          <w:tcPr>
            <w:tcW w:w="0" w:type="auto"/>
          </w:tcPr>
          <w:p>
            <w:pPr>
              <w:spacing w:line="240" w:lineRule="auto" w:before="0" w:after="0"/>
              <w:pStyle w:val="Compact"/>
            </w:pPr>
            <w:r>
              <w:rPr>
                <w:sz w:val="20"/>
                <w:szCs w:val="20"/>
              </w:rPr>
              <w:t xml:space="preserve">0.1843</w:t>
            </w:r>
          </w:p>
        </w:tc>
        <w:tc>
          <w:tcPr>
            <w:tcW w:w="0" w:type="auto"/>
          </w:tcPr>
          <w:p>
            <w:pPr>
              <w:spacing w:line="240" w:lineRule="auto" w:before="0" w:after="0"/>
              <w:pStyle w:val="Compact"/>
            </w:pPr>
            <w:r>
              <w:rPr>
                <w:sz w:val="20"/>
                <w:szCs w:val="20"/>
              </w:rPr>
              <w:t xml:space="preserve">[-2.9218, 15.1899]</w:t>
            </w:r>
          </w:p>
        </w:tc>
      </w:tr>
      <w:tr>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-0.0155</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-0.1544</w:t>
            </w:r>
          </w:p>
        </w:tc>
        <w:tc>
          <w:tcPr>
            <w:tcW w:w="0" w:type="auto"/>
          </w:tcPr>
          <w:p>
            <w:pPr>
              <w:spacing w:line="240" w:lineRule="auto" w:before="0" w:after="0"/>
              <w:pStyle w:val="Compact"/>
            </w:pPr>
            <w:r>
              <w:rPr>
                <w:sz w:val="20"/>
                <w:szCs w:val="20"/>
              </w:rPr>
              <w:t xml:space="preserve">0.8773</w:t>
            </w:r>
          </w:p>
        </w:tc>
        <w:tc>
          <w:tcPr>
            <w:tcW w:w="0" w:type="auto"/>
          </w:tcPr>
          <w:p>
            <w:pPr>
              <w:spacing w:line="240" w:lineRule="auto" w:before="0" w:after="0"/>
              <w:pStyle w:val="Compact"/>
            </w:pPr>
            <w:r>
              <w:rPr>
                <w:sz w:val="20"/>
                <w:szCs w:val="20"/>
              </w:rPr>
              <w:t xml:space="preserve">[-0.2118, 0.1808]</w:t>
            </w:r>
          </w:p>
        </w:tc>
      </w:tr>
      <w:tr>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-25.9596</w:t>
            </w:r>
          </w:p>
        </w:tc>
        <w:tc>
          <w:tcPr>
            <w:tcW w:w="0" w:type="auto"/>
          </w:tcPr>
          <w:p>
            <w:pPr>
              <w:spacing w:line="240" w:lineRule="auto" w:before="0" w:after="0"/>
              <w:pStyle w:val="Compact"/>
            </w:pPr>
            <w:r>
              <w:rPr>
                <w:sz w:val="20"/>
                <w:szCs w:val="20"/>
              </w:rPr>
              <w:t xml:space="preserve">8.8151</w:t>
            </w:r>
          </w:p>
        </w:tc>
        <w:tc>
          <w:tcPr>
            <w:tcW w:w="0" w:type="auto"/>
          </w:tcPr>
          <w:p>
            <w:pPr>
              <w:spacing w:line="240" w:lineRule="auto" w:before="0" w:after="0"/>
              <w:pStyle w:val="Compact"/>
            </w:pPr>
            <w:r>
              <w:rPr>
                <w:sz w:val="20"/>
                <w:szCs w:val="20"/>
              </w:rPr>
              <w:t xml:space="preserve">-2.9449</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[-43.237, -8.6823]</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0.1344</w:t>
            </w:r>
          </w:p>
        </w:tc>
        <w:tc>
          <w:tcPr>
            <w:tcW w:w="0" w:type="auto"/>
          </w:tcPr>
          <w:p>
            <w:pPr>
              <w:spacing w:line="240" w:lineRule="auto" w:before="0" w:after="0"/>
              <w:pStyle w:val="Compact"/>
            </w:pPr>
            <w:r>
              <w:rPr>
                <w:sz w:val="20"/>
                <w:szCs w:val="20"/>
              </w:rPr>
              <w:t xml:space="preserve">1.6635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[-0.0398, 0.4869]</w:t>
            </w:r>
          </w:p>
        </w:tc>
      </w:tr>
    </w:tbl>
    <w:p>
      <w:pPr>
        <w:pStyle w:val="BodyText"/>
        <w:spacing w:line="480" w:lineRule="auto"/>
        <w:ind w:firstLine="720"/>
      </w:pPr>
      <w:r>
        <w:t xml:space="preserve">Fit: N = 30 R2 = 0.5903 R2_adj = 0.5248 F = 5.2378 F_p = 0.0033</w:t>
      </w:r>
    </w:p>
    <w:bookmarkEnd w:id="201"/>
    <w:bookmarkStart w:id="20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Cross-section of 30 NASA major projects, 2011-2027 baselines: cost overrun against spacecraft autonomy level." title="" id="203" name="Picture"/>
            <a:graphic>
              <a:graphicData uri="http://schemas.openxmlformats.org/drawingml/2006/picture">
                <pic:pic>
                  <pic:nvPicPr>
                    <pic:cNvPr descr="D:/Claude_Code/brain/collegium/candidates/dissertations/CYBER_AI_06/research_papers/p1/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Cross-section of 30 NASA major projects, 2011-2027 baselines: cost overrun against spacecraft autonomy level.</w:t>
      </w:r>
    </w:p>
    <w:bookmarkEnd w:id="205"/>
    <w:bookmarkStart w:id="20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cost_overrun_pct</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fleet_class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Mars_Science_Laboratory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GAO-12-207SP NASA Assessments of Selected Large-Scale Projects (Curiosity baseline vs. confirmed cost)</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GAO-20-405 NASA Major Projects Assessment (Mars 2020 cost growth)</w:t>
            </w:r>
          </w:p>
        </w:tc>
      </w:tr>
      <w:tr>
        <w:tc>
          <w:tcPr>
            <w:tcW w:w="0" w:type="auto"/>
          </w:tcPr>
          <w:p>
            <w:pPr>
              <w:spacing w:line="240" w:lineRule="auto" w:before="0" w:after="0"/>
              <w:pStyle w:val="Compact"/>
            </w:pPr>
            <w:r>
              <w:rPr>
                <w:sz w:val="20"/>
                <w:szCs w:val="20"/>
              </w:rPr>
              <w:t xml:space="preserve">James_Webb_Space_Telescope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(JWST life-cycle cost vs. 2009 baseline)</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Assessment (Parker Solar Probe)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GAO-17-262SP NASA Assessments of Major Projects (OSIRIS-REx)</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GAO-17-262SP NASA Assessments of Major Projects (InSight cost growth)</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GAO-12-207SP NASA Major Project Assessment (Juno)</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GAO-14-338SP NASA Major Projects (MAVEN under-budget close)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(Lucy baseline)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(DART)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Assessments of Major Projects (Psyche launch slip cost)</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GAO-23-106021 NASA Major Projects Assessment (Europa Clipper)</w:t>
            </w:r>
          </w:p>
        </w:tc>
      </w:tr>
      <w:tr>
        <w:tc>
          <w:tcPr>
            <w:tcW w:w="0" w:type="auto"/>
          </w:tcPr>
          <w:p>
            <w:pPr>
              <w:spacing w:line="240" w:lineRule="auto" w:before="0" w:after="0"/>
              <w:pStyle w:val="Compact"/>
            </w:pPr>
            <w:r>
              <w:rPr>
                <w:sz w:val="20"/>
                <w:szCs w:val="20"/>
              </w:rPr>
              <w:t xml:space="preserve">Artemis_I_SLS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(SLS development cost growth)</w:t>
            </w:r>
          </w:p>
        </w:tc>
      </w:tr>
      <w:tr>
        <w:tc>
          <w:tcPr>
            <w:tcW w:w="0" w:type="auto"/>
          </w:tcPr>
          <w:p>
            <w:pPr>
              <w:spacing w:line="240" w:lineRule="auto" w:before="0" w:after="0"/>
              <w:pStyle w:val="Compact"/>
            </w:pPr>
            <w:r>
              <w:rPr>
                <w:sz w:val="20"/>
                <w:szCs w:val="20"/>
              </w:rPr>
              <w:t xml:space="preserve">Orion_Crew_Vehicle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GAO-22-105212 NASA Major Projects (Orion baseline vs. actual)</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(Landsat 9)</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GAO-24-106767 NASA Major Projects (NISAR cost growth)</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(SWOT)</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(GRACE-FO)</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(TESS Explorer-class)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GAO-19-262SP NASA Major Projects (ICESat-2 cost growth)</w:t>
            </w:r>
          </w:p>
        </w:tc>
      </w:tr>
      <w:tr>
        <w:tc>
          <w:tcPr>
            <w:tcW w:w="0" w:type="auto"/>
          </w:tcPr>
          <w:p>
            <w:pPr>
              <w:spacing w:line="240" w:lineRule="auto" w:before="0" w:after="0"/>
              <w:pStyle w:val="Compact"/>
            </w:pPr>
            <w:r>
              <w:rPr>
                <w:sz w:val="20"/>
                <w:szCs w:val="20"/>
              </w:rPr>
              <w:t xml:space="preserve">Sentinel-6_Michael_Freilich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GAO-21-306 NASA Major Projects (Sentinel-6)</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GAO-24-106767 NASA Major Projects (Roman/WFIRST baseline)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Projects (SPHEREx Explorer)</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GAO-22-105212 NASA Major Projects (IXPE Explorer)</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Projects (PACE)</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Major Projects (CYGNSS Earth Venture)</w:t>
            </w:r>
          </w:p>
        </w:tc>
      </w:tr>
      <w:tr>
        <w:tc>
          <w:tcPr>
            <w:tcW w:w="0" w:type="auto"/>
          </w:tcPr>
          <w:p>
            <w:pPr>
              <w:spacing w:line="240" w:lineRule="auto" w:before="0" w:after="0"/>
              <w:pStyle w:val="Compact"/>
            </w:pPr>
            <w:r>
              <w:rPr>
                <w:sz w:val="20"/>
                <w:szCs w:val="20"/>
              </w:rPr>
              <w:t xml:space="preserve">GOES-R_Series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GAO-17-262SP NASA Major Projects (GOES-R cost growth)</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Projects (JPSS-2)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GAO-24-106767 NASA Major Projects (Dragonfly Titan rotorcraft baseline)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Projects (VIPER cost growth before cancellation)</w:t>
            </w:r>
          </w:p>
        </w:tc>
      </w:tr>
    </w:tbl>
    <w:bookmarkEnd w:id="206"/>
    <w:bookmarkStart w:id="20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cost_overrun_pct</w:t>
            </w:r>
          </w:p>
        </w:tc>
        <w:tc>
          <w:tcPr>
            <w:tcW w:w="0" w:type="auto"/>
          </w:tcPr>
          <w:p>
            <w:pPr>
              <w:spacing w:line="240" w:lineRule="auto" w:before="0" w:after="0"/>
              <w:pStyle w:val="Compact"/>
            </w:pPr>
            <w:r>
              <w:rPr>
                <w:sz w:val="20"/>
                <w:szCs w:val="20"/>
              </w:rPr>
              <w:t xml:space="preserve">Percentage cost overrun versus confirmed baseline at most recent assessment year</w:t>
            </w:r>
          </w:p>
        </w:tc>
        <w:tc>
          <w:tcPr>
            <w:tcW w:w="0" w:type="auto"/>
          </w:tcPr>
          <w:p>
            <w:pPr>
              <w:spacing w:line="240" w:lineRule="auto" w:before="0" w:after="0"/>
              <w:pStyle w:val="Compact"/>
            </w:pPr>
            <w:r>
              <w:rPr>
                <w:sz w:val="20"/>
                <w:szCs w:val="20"/>
              </w:rPr>
              <w:t xml:space="preserve">GAO NASA Major-Project Assessment series 2012-2024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level 1-5 per NASA autonomy maturity rubric (1 = ground-commanded, 5 = goal-directed onboard reasoning)</w:t>
            </w:r>
          </w:p>
        </w:tc>
        <w:tc>
          <w:tcPr>
            <w:tcW w:w="0" w:type="auto"/>
          </w:tcPr>
          <w:p>
            <w:pPr>
              <w:spacing w:line="240" w:lineRule="auto" w:before="0" w:after="0"/>
              <w:pStyle w:val="Compact"/>
            </w:pPr>
            <w:r>
              <w:rPr>
                <w:sz w:val="20"/>
                <w:szCs w:val="20"/>
              </w:rPr>
              <w:t xml:space="preserve">Coded from mission press kits and NTRS technical reports</w:t>
            </w:r>
          </w:p>
        </w:tc>
      </w:tr>
      <w:tr>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Peak operations full-time-equivalent staffing during prime mission</w:t>
            </w:r>
          </w:p>
        </w:tc>
        <w:tc>
          <w:tcPr>
            <w:tcW w:w="0" w:type="auto"/>
          </w:tcPr>
          <w:p>
            <w:pPr>
              <w:spacing w:line="240" w:lineRule="auto" w:before="0" w:after="0"/>
              <w:pStyle w:val="Compact"/>
            </w:pPr>
            <w:r>
              <w:rPr>
                <w:sz w:val="20"/>
                <w:szCs w:val="20"/>
              </w:rPr>
              <w:t xml:space="preserve">Mission operations plans referenced in GAO assessments and NTRS</w:t>
            </w:r>
          </w:p>
        </w:tc>
      </w:tr>
      <w:tr>
        <w:tc>
          <w:tcPr>
            <w:tcW w:w="0" w:type="auto"/>
          </w:tcPr>
          <w:p>
            <w:pPr>
              <w:spacing w:line="240" w:lineRule="auto" w:before="0" w:after="0"/>
              <w:pStyle w:val="Compact"/>
            </w:pPr>
            <w:r>
              <w:rPr>
                <w:sz w:val="20"/>
                <w:szCs w:val="20"/>
              </w:rPr>
              <w:t xml:space="preserve">joint_optim</w:t>
            </w:r>
          </w:p>
        </w:tc>
        <w:tc>
          <w:tcPr>
            <w:tcW w:w="0" w:type="auto"/>
          </w:tcPr>
          <w:p>
            <w:pPr>
              <w:spacing w:line="240" w:lineRule="auto" w:before="0" w:after="0"/>
              <w:pStyle w:val="Compact"/>
            </w:pPr>
            <w:r>
              <w:rPr>
                <w:sz w:val="20"/>
                <w:szCs w:val="20"/>
              </w:rPr>
              <w:t xml:space="preserve">Binary indicator that the program coordinated operator-role redesign with autonomy deployment (1) versus autonomy-only modernization (0)</w:t>
            </w:r>
          </w:p>
        </w:tc>
        <w:tc>
          <w:tcPr>
            <w:tcW w:w="0" w:type="auto"/>
          </w:tcPr>
          <w:p>
            <w:pPr>
              <w:spacing w:line="240" w:lineRule="auto" w:before="0" w:after="0"/>
              <w:pStyle w:val="Compact"/>
            </w:pPr>
            <w:r>
              <w:rPr>
                <w:sz w:val="20"/>
                <w:szCs w:val="20"/>
              </w:rPr>
              <w:t xml:space="preserve">Coded from NASA mission operations directorate reports and AMOS human-machine teaming literature</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Planned prime-mission duration in months from baseline</w:t>
            </w:r>
          </w:p>
        </w:tc>
        <w:tc>
          <w:tcPr>
            <w:tcW w:w="0" w:type="auto"/>
          </w:tcPr>
          <w:p>
            <w:pPr>
              <w:spacing w:line="240" w:lineRule="auto" w:before="0" w:after="0"/>
              <w:pStyle w:val="Compact"/>
            </w:pPr>
            <w:r>
              <w:rPr>
                <w:sz w:val="20"/>
                <w:szCs w:val="20"/>
              </w:rPr>
              <w:t xml:space="preserve">GAO NASA Major-Project Assessment baselines</w:t>
            </w:r>
          </w:p>
        </w:tc>
      </w:tr>
    </w:tbl>
    <w:bookmarkEnd w:id="207"/>
    <w:bookmarkEnd w:id="208"/>
    <w:bookmarkStart w:id="216" w:name="X5019bc2fa7d3ce9e679c8654fbc3c3b7e6ba466"/>
    <w:p>
      <w:pPr>
        <w:pStyle w:val="Heading2"/>
        <w:spacing w:line="480" w:lineRule="auto"/>
      </w:pPr>
      <w:r>
        <w:t xml:space="preserve">A.2 The Sociotechnical Seam, Part II: Logistic Estimation of Schedule-Slip Risk in NASA Major Projects as a Function of Spacecraft Autonomy and Operator Staffing</w:t>
      </w:r>
    </w:p>
    <w:p>
      <w:pPr>
        <w:pStyle w:val="FirstParagraph"/>
        <w:spacing w:line="480" w:lineRule="auto"/>
      </w:pPr>
      <w:r>
        <w:t xml:space="preserve">$$
    \Pr(    ext{Slip}_i = 1) = \Lambda(eta_0 + eta_1  ext{Autonomy}_i + eta_2 \log(  ext{Operator FTE}_i) + eta_3   ext{Duration}_i)
    $$</w:t>
      </w:r>
    </w:p>
    <w:bookmarkStart w:id="20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-8.2812</w:t>
            </w:r>
          </w:p>
        </w:tc>
        <w:tc>
          <w:tcPr>
            <w:tcW w:w="0" w:type="auto"/>
          </w:tcPr>
          <w:p>
            <w:pPr>
              <w:spacing w:line="240" w:lineRule="auto" w:before="0" w:after="0"/>
              <w:pStyle w:val="Compact"/>
            </w:pPr>
            <w:r>
              <w:rPr>
                <w:sz w:val="20"/>
                <w:szCs w:val="20"/>
              </w:rPr>
              <w:t xml:space="preserve">6.2703</w:t>
            </w:r>
          </w:p>
        </w:tc>
        <w:tc>
          <w:tcPr>
            <w:tcW w:w="0" w:type="auto"/>
          </w:tcPr>
          <w:p>
            <w:pPr>
              <w:spacing w:line="240" w:lineRule="auto" w:before="0" w:after="0"/>
              <w:pStyle w:val="Compact"/>
            </w:pPr>
            <w:r>
              <w:rPr>
                <w:sz w:val="20"/>
                <w:szCs w:val="20"/>
              </w:rPr>
              <w:t xml:space="preserve">-1.3207</w:t>
            </w:r>
          </w:p>
        </w:tc>
        <w:tc>
          <w:tcPr>
            <w:tcW w:w="0" w:type="auto"/>
          </w:tcPr>
          <w:p>
            <w:pPr>
              <w:spacing w:line="240" w:lineRule="auto" w:before="0" w:after="0"/>
              <w:pStyle w:val="Compact"/>
            </w:pPr>
            <w:r>
              <w:rPr>
                <w:sz w:val="20"/>
                <w:szCs w:val="20"/>
              </w:rPr>
              <w:t xml:space="preserve">0.1866</w:t>
            </w:r>
          </w:p>
        </w:tc>
        <w:tc>
          <w:tcPr>
            <w:tcW w:w="0" w:type="auto"/>
          </w:tcPr>
          <w:p>
            <w:pPr>
              <w:spacing w:line="240" w:lineRule="auto" w:before="0" w:after="0"/>
              <w:pStyle w:val="Compact"/>
            </w:pPr>
            <w:r>
              <w:rPr>
                <w:sz w:val="20"/>
                <w:szCs w:val="20"/>
              </w:rPr>
              <w:t xml:space="preserve">[-20.5707, 4.0084]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-0.6658</w:t>
            </w:r>
          </w:p>
        </w:tc>
        <w:tc>
          <w:tcPr>
            <w:tcW w:w="0" w:type="auto"/>
          </w:tcPr>
          <w:p>
            <w:pPr>
              <w:spacing w:line="240" w:lineRule="auto" w:before="0" w:after="0"/>
              <w:pStyle w:val="Compact"/>
            </w:pPr>
            <w:r>
              <w:rPr>
                <w:sz w:val="20"/>
                <w:szCs w:val="20"/>
              </w:rPr>
              <w:t xml:space="preserve">0.7312</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0.3625</w:t>
            </w:r>
          </w:p>
        </w:tc>
        <w:tc>
          <w:tcPr>
            <w:tcW w:w="0" w:type="auto"/>
          </w:tcPr>
          <w:p>
            <w:pPr>
              <w:spacing w:line="240" w:lineRule="auto" w:before="0" w:after="0"/>
              <w:pStyle w:val="Compact"/>
            </w:pPr>
            <w:r>
              <w:rPr>
                <w:sz w:val="20"/>
                <w:szCs w:val="20"/>
              </w:rPr>
              <w:t xml:space="preserve">[-2.099, 0.7674]</w:t>
            </w:r>
          </w:p>
        </w:tc>
      </w:tr>
      <w:tr>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3.1564</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1.6936</w:t>
            </w:r>
          </w:p>
        </w:tc>
        <w:tc>
          <w:tcPr>
            <w:tcW w:w="0" w:type="auto"/>
          </w:tcPr>
          <w:p>
            <w:pPr>
              <w:spacing w:line="240" w:lineRule="auto" w:before="0" w:after="0"/>
              <w:pStyle w:val="Compact"/>
            </w:pPr>
            <w:r>
              <w:rPr>
                <w:sz w:val="20"/>
                <w:szCs w:val="20"/>
              </w:rPr>
              <w:t xml:space="preserve">0.0903</w:t>
            </w:r>
          </w:p>
        </w:tc>
        <w:tc>
          <w:tcPr>
            <w:tcW w:w="0" w:type="auto"/>
          </w:tcPr>
          <w:p>
            <w:pPr>
              <w:spacing w:line="240" w:lineRule="auto" w:before="0" w:after="0"/>
              <w:pStyle w:val="Compact"/>
            </w:pPr>
            <w:r>
              <w:rPr>
                <w:sz w:val="20"/>
                <w:szCs w:val="20"/>
              </w:rPr>
              <w:t xml:space="preserve">[-0.4965, 6.8092]</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-0.137</w:t>
            </w:r>
          </w:p>
        </w:tc>
        <w:tc>
          <w:tcPr>
            <w:tcW w:w="0" w:type="auto"/>
          </w:tcPr>
          <w:p>
            <w:pPr>
              <w:spacing w:line="240" w:lineRule="auto" w:before="0" w:after="0"/>
              <w:pStyle w:val="Compact"/>
            </w:pPr>
            <w:r>
              <w:rPr>
                <w:sz w:val="20"/>
                <w:szCs w:val="20"/>
              </w:rPr>
              <w:t xml:space="preserve">0.891</w:t>
            </w:r>
          </w:p>
        </w:tc>
        <w:tc>
          <w:tcPr>
            <w:tcW w:w="0" w:type="auto"/>
          </w:tcPr>
          <w:p>
            <w:pPr>
              <w:spacing w:line="240" w:lineRule="auto" w:before="0" w:after="0"/>
              <w:pStyle w:val="Compact"/>
            </w:pPr>
            <w:r>
              <w:rPr>
                <w:sz w:val="20"/>
                <w:szCs w:val="20"/>
              </w:rPr>
              <w:t xml:space="preserve">[-0.0394, 0.0343]</w:t>
            </w:r>
          </w:p>
        </w:tc>
      </w:tr>
    </w:tbl>
    <w:p>
      <w:pPr>
        <w:pStyle w:val="BodyText"/>
        <w:spacing w:line="480" w:lineRule="auto"/>
        <w:ind w:firstLine="720"/>
      </w:pPr>
      <w:r>
        <w:t xml:space="preserve">Fit: N = 30 pseudo_R2 = 0.2838 LL = -14.8451</w:t>
      </w:r>
    </w:p>
    <w:bookmarkEnd w:id="209"/>
    <w:bookmarkStart w:id="21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ross-section of 30 NASA major projects: indicator for schedule slip greater than six months against spacecraft autonomy level." title="" id="211" name="Picture"/>
            <a:graphic>
              <a:graphicData uri="http://schemas.openxmlformats.org/drawingml/2006/picture">
                <pic:pic>
                  <pic:nvPicPr>
                    <pic:cNvPr descr="D:/Claude_Code/brain/collegium/candidates/dissertations/CYBER_AI_06/research_papers/p2/paper_fig1.png" id="212" name="Picture"/>
                    <pic:cNvPicPr>
                      <a:picLocks noChangeArrowheads="1" noChangeAspect="1"/>
                    </pic:cNvPicPr>
                  </pic:nvPicPr>
                  <pic:blipFill>
                    <a:blip r:embed="rId21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Cross-section of 30 NASA major projects: indicator for schedule slip greater than six months against spacecraft autonomy level.</w:t>
      </w:r>
    </w:p>
    <w:bookmarkEnd w:id="213"/>
    <w:bookmarkStart w:id="21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operator_fte</w:t>
            </w:r>
          </w:p>
        </w:tc>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slipped_gt6</w:t>
            </w:r>
          </w:p>
        </w:tc>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Mars_Science_Laboratory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GAO-12-207SP NASA Assessments of Selected Large-Scale Projects (MSL 26-month launch slip 2009 to 2011)</w:t>
            </w:r>
          </w:p>
        </w:tc>
      </w:tr>
      <w:tr>
        <w:tc>
          <w:tcPr>
            <w:tcW w:w="0" w:type="auto"/>
          </w:tcPr>
          <w:p>
            <w:pPr>
              <w:spacing w:line="240" w:lineRule="auto" w:before="0" w:after="0"/>
              <w:pStyle w:val="Compact"/>
            </w:pPr>
            <w:r>
              <w:rPr>
                <w:sz w:val="20"/>
                <w:szCs w:val="20"/>
              </w:rPr>
              <w:t xml:space="preserve">Mars_2020_Perseverance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GAO-20-405 NASA Major Projects Assessment (Mars 2020 on-baseline launch)</w:t>
            </w:r>
          </w:p>
        </w:tc>
      </w:tr>
      <w:tr>
        <w:tc>
          <w:tcPr>
            <w:tcW w:w="0" w:type="auto"/>
          </w:tcPr>
          <w:p>
            <w:pPr>
              <w:spacing w:line="240" w:lineRule="auto" w:before="0" w:after="0"/>
              <w:pStyle w:val="Compact"/>
            </w:pPr>
            <w:r>
              <w:rPr>
                <w:sz w:val="20"/>
                <w:szCs w:val="20"/>
              </w:rPr>
              <w:t xml:space="preserve">James_Webb_Space_Telescope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GAO-22-105212 NASA Major Projects (JWST 12-year cumulative slip vs 2009 baseline)</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3.3673</w:t>
            </w:r>
          </w:p>
        </w:tc>
        <w:tc>
          <w:tcPr>
            <w:tcW w:w="0" w:type="auto"/>
          </w:tcPr>
          <w:p>
            <w:pPr>
              <w:spacing w:line="240" w:lineRule="auto" w:before="0" w:after="0"/>
              <w:pStyle w:val="Compact"/>
            </w:pPr>
            <w:r>
              <w:rPr>
                <w:sz w:val="20"/>
                <w:szCs w:val="20"/>
              </w:rPr>
              <w:t xml:space="preserve">GAO-19-262SP NASA Major Projects Assessment (Parker Solar Probe near-baseline launch)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3.4965</w:t>
            </w:r>
          </w:p>
        </w:tc>
        <w:tc>
          <w:tcPr>
            <w:tcW w:w="0" w:type="auto"/>
          </w:tcPr>
          <w:p>
            <w:pPr>
              <w:spacing w:line="240" w:lineRule="auto" w:before="0" w:after="0"/>
              <w:pStyle w:val="Compact"/>
            </w:pPr>
            <w:r>
              <w:rPr>
                <w:sz w:val="20"/>
                <w:szCs w:val="20"/>
              </w:rPr>
              <w:t xml:space="preserve">GAO-17-262SP NASA Assessments of Major Projects (OSIRIS-REx baseline launch)</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GAO-17-262SP NASA Assessments of Major Projects (InSight 2016 to 2018 slip from SEIS instrument)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GAO-12-207SP NASA Major Project Assessment (Juno minor slip)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GAO-14-338SP NASA Major Projects (MAVEN on-baseline launch)</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GAO-22-105212 NASA Major Projects (Lucy baseline launch)</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GAO-22-105212 NASA Major Projects (DART minor slip)</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GAO-23-106021 NASA Assessments of Major Projects (Psyche 14-month slip to October 2023)</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4.0604</w:t>
            </w:r>
          </w:p>
        </w:tc>
        <w:tc>
          <w:tcPr>
            <w:tcW w:w="0" w:type="auto"/>
          </w:tcPr>
          <w:p>
            <w:pPr>
              <w:spacing w:line="240" w:lineRule="auto" w:before="0" w:after="0"/>
              <w:pStyle w:val="Compact"/>
            </w:pPr>
            <w:r>
              <w:rPr>
                <w:sz w:val="20"/>
                <w:szCs w:val="20"/>
              </w:rPr>
              <w:t xml:space="preserve">GAO-23-106021 NASA Major Projects Assessment (Europa Clipper near-baseline)</w:t>
            </w:r>
          </w:p>
        </w:tc>
      </w:tr>
      <w:tr>
        <w:tc>
          <w:tcPr>
            <w:tcW w:w="0" w:type="auto"/>
          </w:tcPr>
          <w:p>
            <w:pPr>
              <w:spacing w:line="240" w:lineRule="auto" w:before="0" w:after="0"/>
              <w:pStyle w:val="Compact"/>
            </w:pPr>
            <w:r>
              <w:rPr>
                <w:sz w:val="20"/>
                <w:szCs w:val="20"/>
              </w:rPr>
              <w:t xml:space="preserve">Artemis_I_SLS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5.3566</w:t>
            </w:r>
          </w:p>
        </w:tc>
        <w:tc>
          <w:tcPr>
            <w:tcW w:w="0" w:type="auto"/>
          </w:tcPr>
          <w:p>
            <w:pPr>
              <w:spacing w:line="240" w:lineRule="auto" w:before="0" w:after="0"/>
              <w:pStyle w:val="Compact"/>
            </w:pPr>
            <w:r>
              <w:rPr>
                <w:sz w:val="20"/>
                <w:szCs w:val="20"/>
              </w:rPr>
              <w:t xml:space="preserve">GAO-22-105212 NASA Major Projects (SLS multi-year development slip)</w:t>
            </w:r>
          </w:p>
        </w:tc>
      </w:tr>
      <w:tr>
        <w:tc>
          <w:tcPr>
            <w:tcW w:w="0" w:type="auto"/>
          </w:tcPr>
          <w:p>
            <w:pPr>
              <w:spacing w:line="240" w:lineRule="auto" w:before="0" w:after="0"/>
              <w:pStyle w:val="Compact"/>
            </w:pPr>
            <w:r>
              <w:rPr>
                <w:sz w:val="20"/>
                <w:szCs w:val="20"/>
              </w:rPr>
              <w:t xml:space="preserve">Orion_Crew_Vehicle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5.1818</w:t>
            </w:r>
          </w:p>
        </w:tc>
        <w:tc>
          <w:tcPr>
            <w:tcW w:w="0" w:type="auto"/>
          </w:tcPr>
          <w:p>
            <w:pPr>
              <w:spacing w:line="240" w:lineRule="auto" w:before="0" w:after="0"/>
              <w:pStyle w:val="Compact"/>
            </w:pPr>
            <w:r>
              <w:rPr>
                <w:sz w:val="20"/>
                <w:szCs w:val="20"/>
              </w:rPr>
              <w:t xml:space="preserve">GAO-22-105212 NASA Major Projects (Orion development slip vs baseline)</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GAO-22-105212 NASA Major Projects (Landsat 9 9-month slip)</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3.7842</w:t>
            </w:r>
          </w:p>
        </w:tc>
        <w:tc>
          <w:tcPr>
            <w:tcW w:w="0" w:type="auto"/>
          </w:tcPr>
          <w:p>
            <w:pPr>
              <w:spacing w:line="240" w:lineRule="auto" w:before="0" w:after="0"/>
              <w:pStyle w:val="Compact"/>
            </w:pPr>
            <w:r>
              <w:rPr>
                <w:sz w:val="20"/>
                <w:szCs w:val="20"/>
              </w:rPr>
              <w:t xml:space="preserve">GAO-24-106767 NASA Major Projects (NISAR launch slip to 2024)</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GAO-22-105212 NASA Major Projects (SWOT one-year slip)</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GAO-19-262SP NASA Major Projects (GRACE-FO minor slip)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GAO-19-262SP NASA Major Projects (TESS Explorer baseline launch)</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3.2958</w:t>
            </w:r>
          </w:p>
        </w:tc>
        <w:tc>
          <w:tcPr>
            <w:tcW w:w="0" w:type="auto"/>
          </w:tcPr>
          <w:p>
            <w:pPr>
              <w:spacing w:line="240" w:lineRule="auto" w:before="0" w:after="0"/>
              <w:pStyle w:val="Compact"/>
            </w:pPr>
            <w:r>
              <w:rPr>
                <w:sz w:val="20"/>
                <w:szCs w:val="20"/>
              </w:rPr>
              <w:t xml:space="preserve">GAO-19-262SP NASA Major Projects (ICESat-2 12-month slip)</w:t>
            </w:r>
          </w:p>
        </w:tc>
      </w:tr>
      <w:tr>
        <w:tc>
          <w:tcPr>
            <w:tcW w:w="0" w:type="auto"/>
          </w:tcPr>
          <w:p>
            <w:pPr>
              <w:spacing w:line="240" w:lineRule="auto" w:before="0" w:after="0"/>
              <w:pStyle w:val="Compact"/>
            </w:pPr>
            <w:r>
              <w:rPr>
                <w:sz w:val="20"/>
                <w:szCs w:val="20"/>
              </w:rPr>
              <w:t xml:space="preserve">Sentinel-6_Michael_Freilich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GAO-21-306 NASA Major Projects (Sentinel-6 minor slip)</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3.9512</w:t>
            </w:r>
          </w:p>
        </w:tc>
        <w:tc>
          <w:tcPr>
            <w:tcW w:w="0" w:type="auto"/>
          </w:tcPr>
          <w:p>
            <w:pPr>
              <w:spacing w:line="240" w:lineRule="auto" w:before="0" w:after="0"/>
              <w:pStyle w:val="Compact"/>
            </w:pPr>
            <w:r>
              <w:rPr>
                <w:sz w:val="20"/>
                <w:szCs w:val="20"/>
              </w:rPr>
              <w:t xml:space="preserve">GAO-24-106767 NASA Major Projects (Roman/WFIRST 8-month slip)</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GAO-23-106021 NASA Major Projects (SPHEREx minor slip)</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GAO-22-105212 NASA Major Projects (IXPE Explorer on-baseline)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GAO-23-106021 NASA Major Projects (PACE 7-month slip)</w:t>
            </w:r>
          </w:p>
        </w:tc>
      </w:tr>
      <w:tr>
        <w:tc>
          <w:tcPr>
            <w:tcW w:w="0" w:type="auto"/>
          </w:tcPr>
          <w:p>
            <w:pPr>
              <w:spacing w:line="240" w:lineRule="auto" w:before="0" w:after="0"/>
              <w:pStyle w:val="Compact"/>
            </w:pPr>
            <w:r>
              <w:rPr>
                <w:sz w:val="20"/>
                <w:szCs w:val="20"/>
              </w:rPr>
              <w:t xml:space="preserve">CYGNSS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GAO-17-262SP NASA Major Projects (CYGNSS baseline launch)</w:t>
            </w:r>
          </w:p>
        </w:tc>
      </w:tr>
      <w:tr>
        <w:tc>
          <w:tcPr>
            <w:tcW w:w="0" w:type="auto"/>
          </w:tcPr>
          <w:p>
            <w:pPr>
              <w:spacing w:line="240" w:lineRule="auto" w:before="0" w:after="0"/>
              <w:pStyle w:val="Compact"/>
            </w:pPr>
            <w:r>
              <w:rPr>
                <w:sz w:val="20"/>
                <w:szCs w:val="20"/>
              </w:rPr>
              <w:t xml:space="preserve">GOES-R_Series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4.2195</w:t>
            </w:r>
          </w:p>
        </w:tc>
        <w:tc>
          <w:tcPr>
            <w:tcW w:w="0" w:type="auto"/>
          </w:tcPr>
          <w:p>
            <w:pPr>
              <w:spacing w:line="240" w:lineRule="auto" w:before="0" w:after="0"/>
              <w:pStyle w:val="Compact"/>
            </w:pPr>
            <w:r>
              <w:rPr>
                <w:sz w:val="20"/>
                <w:szCs w:val="20"/>
              </w:rPr>
              <w:t xml:space="preserve">GAO-17-262SP NASA Major Projects (GOES-R 18-month slip)</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3.989</w:t>
            </w:r>
          </w:p>
        </w:tc>
        <w:tc>
          <w:tcPr>
            <w:tcW w:w="0" w:type="auto"/>
          </w:tcPr>
          <w:p>
            <w:pPr>
              <w:spacing w:line="240" w:lineRule="auto" w:before="0" w:after="0"/>
              <w:pStyle w:val="Compact"/>
            </w:pPr>
            <w:r>
              <w:rPr>
                <w:sz w:val="20"/>
                <w:szCs w:val="20"/>
              </w:rPr>
              <w:t xml:space="preserve">GAO-22-105212 NASA Major Projects (JPSS-2 slip to late 2022)</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GAO-24-106767 NASA Major Projects (Dragonfly Titan rotorcraft slip)</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3.1781</w:t>
            </w:r>
          </w:p>
        </w:tc>
        <w:tc>
          <w:tcPr>
            <w:tcW w:w="0" w:type="auto"/>
          </w:tcPr>
          <w:p>
            <w:pPr>
              <w:spacing w:line="240" w:lineRule="auto" w:before="0" w:after="0"/>
              <w:pStyle w:val="Compact"/>
            </w:pPr>
            <w:r>
              <w:rPr>
                <w:sz w:val="20"/>
                <w:szCs w:val="20"/>
              </w:rPr>
              <w:t xml:space="preserve">GAO-23-106021 NASA Major Projects (VIPER 20-month slip prior to cancellation)</w:t>
            </w:r>
          </w:p>
        </w:tc>
      </w:tr>
    </w:tbl>
    <w:bookmarkEnd w:id="214"/>
    <w:bookmarkStart w:id="21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slipped_gt6</w:t>
            </w:r>
          </w:p>
        </w:tc>
        <w:tc>
          <w:tcPr>
            <w:tcW w:w="0" w:type="auto"/>
          </w:tcPr>
          <w:p>
            <w:pPr>
              <w:spacing w:line="240" w:lineRule="auto" w:before="0" w:after="0"/>
              <w:pStyle w:val="Compact"/>
            </w:pPr>
            <w:r>
              <w:rPr>
                <w:sz w:val="20"/>
                <w:szCs w:val="20"/>
              </w:rPr>
              <w:t xml:space="preserve">Binary indicator equal to 1 if the project incurred a launch or milestone schedule slip greater than six months versus its confirmed baseline, 0 otherwise</w:t>
            </w:r>
          </w:p>
        </w:tc>
        <w:tc>
          <w:tcPr>
            <w:tcW w:w="0" w:type="auto"/>
          </w:tcPr>
          <w:p>
            <w:pPr>
              <w:spacing w:line="240" w:lineRule="auto" w:before="0" w:after="0"/>
              <w:pStyle w:val="Compact"/>
            </w:pPr>
            <w:r>
              <w:rPr>
                <w:sz w:val="20"/>
                <w:szCs w:val="20"/>
              </w:rPr>
              <w:t xml:space="preserve">Coded from GAO NASA Major Project Assessment series 2012 through 2024</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level 1 through 5 per NASA Autonomy Maturity rubric, where 1 is ground-commanded and 5 is goal-directed onboard reasoning</w:t>
            </w:r>
          </w:p>
        </w:tc>
        <w:tc>
          <w:tcPr>
            <w:tcW w:w="0" w:type="auto"/>
          </w:tcPr>
          <w:p>
            <w:pPr>
              <w:spacing w:line="240" w:lineRule="auto" w:before="0" w:after="0"/>
              <w:pStyle w:val="Compact"/>
            </w:pPr>
            <w:r>
              <w:rPr>
                <w:sz w:val="20"/>
                <w:szCs w:val="20"/>
              </w:rPr>
              <w:t xml:space="preserve">Coded from mission press kits and NTRS technical reports</w:t>
            </w:r>
          </w:p>
        </w:tc>
      </w:tr>
      <w:tr>
        <w:tc>
          <w:tcPr>
            <w:tcW w:w="0" w:type="auto"/>
          </w:tcPr>
          <w:p>
            <w:pPr>
              <w:spacing w:line="240" w:lineRule="auto" w:before="0" w:after="0"/>
              <w:pStyle w:val="Compact"/>
            </w:pPr>
            <w:r>
              <w:rPr>
                <w:sz w:val="20"/>
                <w:szCs w:val="20"/>
              </w:rPr>
              <w:t xml:space="preserve">log_operator_fte</w:t>
            </w:r>
          </w:p>
        </w:tc>
        <w:tc>
          <w:tcPr>
            <w:tcW w:w="0" w:type="auto"/>
          </w:tcPr>
          <w:p>
            <w:pPr>
              <w:spacing w:line="240" w:lineRule="auto" w:before="0" w:after="0"/>
              <w:pStyle w:val="Compact"/>
            </w:pPr>
            <w:r>
              <w:rPr>
                <w:sz w:val="20"/>
                <w:szCs w:val="20"/>
              </w:rPr>
              <w:t xml:space="preserve">Natural log of peak operations full-time-equivalent staffing during prime mission</w:t>
            </w:r>
          </w:p>
        </w:tc>
        <w:tc>
          <w:tcPr>
            <w:tcW w:w="0" w:type="auto"/>
          </w:tcPr>
          <w:p>
            <w:pPr>
              <w:spacing w:line="240" w:lineRule="auto" w:before="0" w:after="0"/>
              <w:pStyle w:val="Compact"/>
            </w:pPr>
            <w:r>
              <w:rPr>
                <w:sz w:val="20"/>
                <w:szCs w:val="20"/>
              </w:rPr>
              <w:t xml:space="preserve">Mission operations plans referenced in GAO assessments and NTRS</w:t>
            </w:r>
          </w:p>
        </w:tc>
      </w:tr>
      <w:tr>
        <w:tc>
          <w:tcPr>
            <w:tcW w:w="0" w:type="auto"/>
          </w:tcPr>
          <w:p>
            <w:pPr>
              <w:spacing w:line="240" w:lineRule="auto" w:before="0" w:after="0"/>
              <w:pStyle w:val="Compact"/>
            </w:pPr>
            <w:r>
              <w:rPr>
                <w:sz w:val="20"/>
                <w:szCs w:val="20"/>
              </w:rPr>
              <w:t xml:space="preserve">mission_duration_months</w:t>
            </w:r>
          </w:p>
        </w:tc>
        <w:tc>
          <w:tcPr>
            <w:tcW w:w="0" w:type="auto"/>
          </w:tcPr>
          <w:p>
            <w:pPr>
              <w:spacing w:line="240" w:lineRule="auto" w:before="0" w:after="0"/>
              <w:pStyle w:val="Compact"/>
            </w:pPr>
            <w:r>
              <w:rPr>
                <w:sz w:val="20"/>
                <w:szCs w:val="20"/>
              </w:rPr>
              <w:t xml:space="preserve">Planned prime-mission duration in months from confirmed baseline</w:t>
            </w:r>
          </w:p>
        </w:tc>
        <w:tc>
          <w:tcPr>
            <w:tcW w:w="0" w:type="auto"/>
          </w:tcPr>
          <w:p>
            <w:pPr>
              <w:spacing w:line="240" w:lineRule="auto" w:before="0" w:after="0"/>
              <w:pStyle w:val="Compact"/>
            </w:pPr>
            <w:r>
              <w:rPr>
                <w:sz w:val="20"/>
                <w:szCs w:val="20"/>
              </w:rPr>
              <w:t xml:space="preserve">GAO NASA Major Project Assessment baselines</w:t>
            </w:r>
          </w:p>
        </w:tc>
      </w:tr>
    </w:tbl>
    <w:bookmarkEnd w:id="215"/>
    <w:bookmarkEnd w:id="216"/>
    <w:bookmarkEnd w:id="21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2" Type="http://schemas.openxmlformats.org/officeDocument/2006/relationships/image" Target="media/rId202.png"/><Relationship Id="rId210" Type="http://schemas.openxmlformats.org/officeDocument/2006/relationships/image" Target="media/rId210.png"/><Relationship Id="rId184" Type="http://schemas.openxmlformats.org/officeDocument/2006/relationships/hyperlink" Target="https://doi.org/10.1016/j.actaastro.2018.07.004" TargetMode="External"/><Relationship Id="rId194" Type="http://schemas.openxmlformats.org/officeDocument/2006/relationships/hyperlink" Target="https://doi.org/10.1016/j.actaastro.2019.05.051" TargetMode="External"/><Relationship Id="rId192" Type="http://schemas.openxmlformats.org/officeDocument/2006/relationships/hyperlink" Target="https://doi.org/10.1016/j.actaastro.2022.01.027" TargetMode="External"/><Relationship Id="rId186" Type="http://schemas.openxmlformats.org/officeDocument/2006/relationships/hyperlink" Target="https://doi.org/10.1016/j.actaastro.2023.01.016" TargetMode="External"/><Relationship Id="rId188" Type="http://schemas.openxmlformats.org/officeDocument/2006/relationships/hyperlink" Target="https://doi.org/10.1016/j.actaastro.2025.01.007" TargetMode="External"/><Relationship Id="rId198" Type="http://schemas.openxmlformats.org/officeDocument/2006/relationships/hyperlink" Target="https://doi.org/10.1016/j.actaastro.2025.03.034" TargetMode="External"/><Relationship Id="rId196" Type="http://schemas.openxmlformats.org/officeDocument/2006/relationships/hyperlink" Target="https://doi.org/10.1016/j.actaastro.2025.06.037" TargetMode="External"/><Relationship Id="rId167" Type="http://schemas.openxmlformats.org/officeDocument/2006/relationships/hyperlink" Target="https://doi.org/10.1016/j.actaastro.2025.08.015" TargetMode="External"/><Relationship Id="rId190" Type="http://schemas.openxmlformats.org/officeDocument/2006/relationships/hyperlink" Target="https://doi.org/10.1016/j.actaastro.2025.11.039" TargetMode="External"/><Relationship Id="rId150" Type="http://schemas.openxmlformats.org/officeDocument/2006/relationships/hyperlink" Target="https://doi.org/10.64861/CXGE3201" TargetMode="External"/><Relationship Id="rId180" Type="http://schemas.openxmlformats.org/officeDocument/2006/relationships/hyperlink" Target="https://doi.org/10.64861/DDFP2152" TargetMode="External"/><Relationship Id="rId160" Type="http://schemas.openxmlformats.org/officeDocument/2006/relationships/hyperlink" Target="https://doi.org/10.64861/HWZS9386" TargetMode="External"/><Relationship Id="rId156" Type="http://schemas.openxmlformats.org/officeDocument/2006/relationships/hyperlink" Target="https://doi.org/10.64861/JSGC2795" TargetMode="External"/><Relationship Id="rId148" Type="http://schemas.openxmlformats.org/officeDocument/2006/relationships/hyperlink" Target="https://doi.org/10.64861/NUFH1261" TargetMode="External"/><Relationship Id="rId152" Type="http://schemas.openxmlformats.org/officeDocument/2006/relationships/hyperlink" Target="https://doi.org/10.64861/OTAL2562" TargetMode="External"/><Relationship Id="rId164" Type="http://schemas.openxmlformats.org/officeDocument/2006/relationships/hyperlink" Target="https://doi.org/10.64861/OWDT6586" TargetMode="External"/><Relationship Id="rId154" Type="http://schemas.openxmlformats.org/officeDocument/2006/relationships/hyperlink" Target="https://doi.org/10.64861/UKZR3736" TargetMode="External"/><Relationship Id="rId176" Type="http://schemas.openxmlformats.org/officeDocument/2006/relationships/hyperlink" Target="https://doi.org/10.64861/XQCN3213" TargetMode="External"/><Relationship Id="rId178" Type="http://schemas.openxmlformats.org/officeDocument/2006/relationships/hyperlink" Target="https://doi.org/10.64861/YPPJ6850" TargetMode="External"/></Relationships>
</file>

<file path=word/_rels/footnotes.xml.rels><?xml version='1.0' encoding='UTF-8' standalone='yes'?>
<Relationships xmlns="http://schemas.openxmlformats.org/package/2006/relationships"><Relationship Id="rId184" Type="http://schemas.openxmlformats.org/officeDocument/2006/relationships/hyperlink" Target="https://doi.org/10.1016/j.actaastro.2018.07.004" TargetMode="External"/><Relationship Id="rId194" Type="http://schemas.openxmlformats.org/officeDocument/2006/relationships/hyperlink" Target="https://doi.org/10.1016/j.actaastro.2019.05.051" TargetMode="External"/><Relationship Id="rId192" Type="http://schemas.openxmlformats.org/officeDocument/2006/relationships/hyperlink" Target="https://doi.org/10.1016/j.actaastro.2022.01.027" TargetMode="External"/><Relationship Id="rId186" Type="http://schemas.openxmlformats.org/officeDocument/2006/relationships/hyperlink" Target="https://doi.org/10.1016/j.actaastro.2023.01.016" TargetMode="External"/><Relationship Id="rId188" Type="http://schemas.openxmlformats.org/officeDocument/2006/relationships/hyperlink" Target="https://doi.org/10.1016/j.actaastro.2025.01.007" TargetMode="External"/><Relationship Id="rId198" Type="http://schemas.openxmlformats.org/officeDocument/2006/relationships/hyperlink" Target="https://doi.org/10.1016/j.actaastro.2025.03.034" TargetMode="External"/><Relationship Id="rId196" Type="http://schemas.openxmlformats.org/officeDocument/2006/relationships/hyperlink" Target="https://doi.org/10.1016/j.actaastro.2025.06.037" TargetMode="External"/><Relationship Id="rId167" Type="http://schemas.openxmlformats.org/officeDocument/2006/relationships/hyperlink" Target="https://doi.org/10.1016/j.actaastro.2025.08.015" TargetMode="External"/><Relationship Id="rId190" Type="http://schemas.openxmlformats.org/officeDocument/2006/relationships/hyperlink" Target="https://doi.org/10.1016/j.actaastro.2025.11.039" TargetMode="External"/><Relationship Id="rId150" Type="http://schemas.openxmlformats.org/officeDocument/2006/relationships/hyperlink" Target="https://doi.org/10.64861/CXGE3201" TargetMode="External"/><Relationship Id="rId180" Type="http://schemas.openxmlformats.org/officeDocument/2006/relationships/hyperlink" Target="https://doi.org/10.64861/DDFP2152" TargetMode="External"/><Relationship Id="rId160" Type="http://schemas.openxmlformats.org/officeDocument/2006/relationships/hyperlink" Target="https://doi.org/10.64861/HWZS9386" TargetMode="External"/><Relationship Id="rId156" Type="http://schemas.openxmlformats.org/officeDocument/2006/relationships/hyperlink" Target="https://doi.org/10.64861/JSGC2795" TargetMode="External"/><Relationship Id="rId148" Type="http://schemas.openxmlformats.org/officeDocument/2006/relationships/hyperlink" Target="https://doi.org/10.64861/NUFH1261" TargetMode="External"/><Relationship Id="rId152" Type="http://schemas.openxmlformats.org/officeDocument/2006/relationships/hyperlink" Target="https://doi.org/10.64861/OTAL2562" TargetMode="External"/><Relationship Id="rId164" Type="http://schemas.openxmlformats.org/officeDocument/2006/relationships/hyperlink" Target="https://doi.org/10.64861/OWDT6586" TargetMode="External"/><Relationship Id="rId154" Type="http://schemas.openxmlformats.org/officeDocument/2006/relationships/hyperlink" Target="https://doi.org/10.64861/UKZR3736" TargetMode="External"/><Relationship Id="rId176" Type="http://schemas.openxmlformats.org/officeDocument/2006/relationships/hyperlink" Target="https://doi.org/10.64861/XQCN3213" TargetMode="External"/><Relationship Id="rId178" Type="http://schemas.openxmlformats.org/officeDocument/2006/relationships/hyperlink" Target="https://doi.org/10.64861/YPPJ68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Sociotechnical Seam: Do Joint Optimization of Operator Roles and Autonomy Deliver Superior Safety and Throughput in Space Operations Centers?</dc:title>
  <dc:creator>Zara Dorsey (1B-ITI-095)</dc:creator>
  <cp:keywords/>
  <dcterms:created xsi:type="dcterms:W3CDTF">2026-07-03T23:02:08Z</dcterms:created>
  <dcterms:modified xsi:type="dcterms:W3CDTF">2026-07-03T23:02:08Z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