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CALIBRATION OF AUTONOMY AUTHORITY: DOES GRADUATED DECISION-DELEGATION OUTPERFORM</w:t>
      </w:r>
    </w:p>
    <w:p>
      <w:pPr>
        <w:jc w:val="center"/>
      </w:pPr>
    </w:p>
    <w:p>
      <w:pPr>
        <w:jc w:val="center"/>
      </w:pPr>
      <w:r>
        <w:rPr>
          <w:rFonts w:ascii="Times New Roman" w:hAnsi="Times New Roman"/>
          <w:sz w:val="24"/>
        </w:rPr>
        <w:t>by</w:t>
      </w:r>
    </w:p>
    <w:p>
      <w:pPr>
        <w:jc w:val="center"/>
      </w:pPr>
      <w:r>
        <w:rPr>
          <w:rFonts w:ascii="Times New Roman" w:hAnsi="Times New Roman"/>
          <w:b/>
          <w:sz w:val="28"/>
        </w:rPr>
        <w:t>Hana Vance</w:t>
      </w:r>
    </w:p>
    <w:p>
      <w:pPr>
        <w:jc w:val="center"/>
      </w:pPr>
      <w:r>
        <w:rPr>
          <w:rFonts w:ascii="Times New Roman" w:hAnsi="Times New Roman"/>
          <w:sz w:val="24"/>
        </w:rPr>
        <w:t>1B-ITI-104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Spacecraft operators act on conjunction warnings through a layer of infrastructure that keeps shifting beneath them. The shift is slow. It is also consequential. Ten years back, one operating pattern ruled everything: an analyst opened a conjunction data message, set the collision probability against a threshold their own program had chosen, and passed a recommended maneuver to a flight dynamics team that would design it, validate it, and send it up. Nobody has retired that arrangement. It has just lost its monopoly. Inside the big commercial constellations, screening now runs as an automated pipeline that sorts thousands of events daily and leaves human hands only on a thin band of the most consequential cases</w:t>
      </w:r>
      <w:r>
        <w:t xml:space="preserve"> </w:t>
      </w:r>
      <w:hyperlink w:anchor="ref-15">
        <w:r>
          <w:rPr>
            <w:rStyle w:val="Hyperlink"/>
          </w:rPr>
          <w:t xml:space="preserve">[15]</w:t>
        </w:r>
      </w:hyperlink>
      <w:r>
        <w:t xml:space="preserve">. Push further out, onto certain research platforms, and even more has moved: screening, maneuver design, and in a handful of demonstration campaigns the firing of the thruster itself now live on the bus, with the ground reduced to watching rather than commanding [16, 17].</w:t>
      </w:r>
    </w:p>
    <w:p>
      <w:pPr>
        <w:pStyle w:val="BodyText"/>
        <w:spacing w:line="480" w:lineRule="auto"/>
        <w:ind w:firstLine="720"/>
      </w:pPr>
      <w:r>
        <w:t xml:space="preserve">Europe wrote this progression into its own record.</w:t>
      </w:r>
    </w:p>
    <w:p>
      <w:pPr>
        <w:pStyle w:val="BodyText"/>
        <w:spacing w:line="480" w:lineRule="auto"/>
        <w:ind w:firstLine="720"/>
      </w:pPr>
      <w:r>
        <w:t xml:space="preserve">It runs from a programmatic update that framed collision avoidance as one more thing operations had to handle</w:t>
      </w:r>
      <w:r>
        <w:t xml:space="preserve"> </w:t>
      </w:r>
      <w:hyperlink w:anchor="ref-2">
        <w:r>
          <w:rPr>
            <w:rStyle w:val="Hyperlink"/>
          </w:rPr>
          <w:t xml:space="preserve">[2]</w:t>
        </w:r>
      </w:hyperlink>
      <w:r>
        <w:t xml:space="preserve">, through a formal proposal for collision risk estimation and automated mitigation</w:t>
      </w:r>
      <w:r>
        <w:t xml:space="preserve"> </w:t>
      </w:r>
      <w:hyperlink w:anchor="ref-3">
        <w:r>
          <w:rPr>
            <w:rStyle w:val="Hyperlink"/>
          </w:rPr>
          <w:t xml:space="preserve">[3]</w:t>
        </w:r>
      </w:hyperlink>
      <w:r>
        <w:t xml:space="preserve">, and out to research on autonomous flight safety hardware and software sized for a fully European supply chain</w:t>
      </w:r>
      <w:r>
        <w:t xml:space="preserve"> </w:t>
      </w:r>
      <w:hyperlink w:anchor="ref-32">
        <w:r>
          <w:rPr>
            <w:rStyle w:val="Hyperlink"/>
          </w:rPr>
          <w:t xml:space="preserve">[32]</w:t>
        </w:r>
      </w:hyperlink>
      <w:r>
        <w:t xml:space="preserve">. NASA banked a decade of conjunction practice as institutional memory</w:t>
      </w:r>
      <w:r>
        <w:t xml:space="preserve"> </w:t>
      </w:r>
      <w:hyperlink w:anchor="ref-11">
        <w:r>
          <w:rPr>
            <w:rStyle w:val="Hyperlink"/>
          </w:rPr>
          <w:t xml:space="preserve">[11]</w:t>
        </w:r>
      </w:hyperlink>
      <w:r>
        <w:t xml:space="preserve"> </w:t>
      </w:r>
      <w:r>
        <w:t xml:space="preserve">and put out a compendium of artificial intelligence and machine learning for satellite collision avoidance under its Conjunction Assessment Risk Analysis program</w:t>
      </w:r>
      <w:r>
        <w:t xml:space="preserve"> </w:t>
      </w:r>
      <w:hyperlink w:anchor="ref-1">
        <w:r>
          <w:rPr>
            <w:rStyle w:val="Hyperlink"/>
          </w:rPr>
          <w:t xml:space="preserve">[1]</w:t>
        </w:r>
      </w:hyperlink>
      <w:r>
        <w:t xml:space="preserve">. Set against all this movement, the inheritance operators actually receive is not a choice about whether to automate. Two sharper questions remain live. At what authority level should a given class of decisions sit? And should that level hold fixed from deployment onward, or move as measured operator trust and observed system state move?</w:t>
      </w:r>
    </w:p>
    <w:p>
      <w:pPr>
        <w:pStyle w:val="BodyText"/>
        <w:spacing w:line="480" w:lineRule="auto"/>
        <w:ind w:firstLine="720"/>
      </w:pPr>
      <w:r>
        <w:t xml:space="preserve">Miscalibrate, and the bill comes due at two levels the dissertation keeps together.</w:t>
      </w:r>
    </w:p>
    <w:p>
      <w:pPr>
        <w:pStyle w:val="BodyText"/>
        <w:spacing w:line="480" w:lineRule="auto"/>
        <w:ind w:firstLine="720"/>
      </w:pPr>
      <w:r>
        <w:t xml:space="preserve">Set authority too high, operationally, and the platform throws false-positive maneuvers, drains propellant that mission life depends on, and manufactures downstream conjunctions the first screening never saw coming [2, 5]. Set it too low and every failure flips: the operator arrives late, the ground station backs up, and the maneuver window closes in the very high-tempo cases where a decision an hour sooner was the whole game [3, 7]. OneWeb’s self-reported aggregate risk numbers make one half of this visible. At constellation scale, quicker screening-and-approval loops go with lower realized risk, exactly the pattern you would predict if authority nearer the platform tightens a decision cycle the slower ground loop can never keep pace with</w:t>
      </w:r>
      <w:r>
        <w:t xml:space="preserve"> </w:t>
      </w:r>
      <w:hyperlink w:anchor="ref-15">
        <w:r>
          <w:rPr>
            <w:rStyle w:val="Hyperlink"/>
          </w:rPr>
          <w:t xml:space="preserve">[15]</w:t>
        </w:r>
      </w:hyperlink>
      <w:r>
        <w:t xml:space="preserve">. That same diagnosis is what the prototype for autonomous on-board conjunction assessment, and the ABACO board built to dodge collisions, were answering: hold authority on the ground and it becomes the chokepoint the instant time-to-action collapses [16, 17]. Newer neuro-symbolic architectures for spacecraft maneuvering and anomaly detection carry the diagnosis into the wider field of off-nominal decisions, and they report the consequential cases bunching where time pressure and geometric complexity both run high</w:t>
      </w:r>
      <w:r>
        <w:t xml:space="preserve"> </w:t>
      </w:r>
      <w:hyperlink w:anchor="ref-19">
        <w:r>
          <w:rPr>
            <w:rStyle w:val="Hyperlink"/>
          </w:rPr>
          <w:t xml:space="preserve">[19]</w:t>
        </w:r>
      </w:hyperlink>
      <w:r>
        <w:t xml:space="preserve">. Little of this stays abstract. What is at stake is propellant, mission life, station-keeping budget, and the leftover chance of a collision the operator could have sidestepped by moving sooner, at a level of authority the fixed assignment never let them reach.</w:t>
      </w:r>
    </w:p>
    <w:p>
      <w:pPr>
        <w:pStyle w:val="BodyText"/>
        <w:spacing w:line="480" w:lineRule="auto"/>
        <w:ind w:firstLine="720"/>
      </w:pPr>
      <w:r>
        <w:t xml:space="preserve">Acquisition puts a differently shaped bill on the table, and it weighs no less.</w:t>
      </w:r>
    </w:p>
    <w:p>
      <w:pPr>
        <w:pStyle w:val="BodyText"/>
        <w:spacing w:line="480" w:lineRule="auto"/>
        <w:ind w:firstLine="720"/>
      </w:pPr>
      <w:r>
        <w:t xml:space="preserve">Read the Government Accountability Office Major-Project-Assessment series and one driver of percent cost growth swamps the rest: elapsed time between baseline confirmation and observation, itself a partial product of how many decisions have to inch through a slow institutional approval chain before a project can cross from one technical state to the next [8, 20, 21]. Move decisions down the hierarchy and the queue up top gets shorter. Cost-engineering work on flagship missions treats that shortening as one of the scarce levers a program manager can actually pull, given that no manager gets to lower the technological ambition of their own portfolio</w:t>
      </w:r>
      <w:r>
        <w:t xml:space="preserve"> </w:t>
      </w:r>
      <w:hyperlink w:anchor="ref-12">
        <w:r>
          <w:rPr>
            <w:rStyle w:val="Hyperlink"/>
          </w:rPr>
          <w:t xml:space="preserve">[12]</w:t>
        </w:r>
      </w:hyperlink>
      <w:r>
        <w:t xml:space="preserve">. Run the acquisition-side test in the companion paper and the autonomy coefficient on cost growth comes back positive, not negative. Delegation harming projects is the wrong lesson to draw. The projects NASA lets operate at the top authority levels in this window are the same ones carrying the boldest technology insertion, and the three-point complexity control in the GAO panel soaks up that ambition only halfway. What the acquisition finding does, then, is calibrate what public data can and cannot say about the graduated-delegation thesis on cost, and that calibration is the reason the dissertation builds the operational design it carries into the primary test.</w:t>
      </w:r>
    </w:p>
    <w:bookmarkEnd w:id="61"/>
    <w:bookmarkStart w:id="62" w:name="why-nasa-and-jpl"/>
    <w:p>
      <w:pPr>
        <w:pStyle w:val="Heading2"/>
        <w:spacing w:line="480" w:lineRule="auto"/>
      </w:pPr>
      <w:r>
        <w:t xml:space="preserve">1.2 Why NASA and JPL</w:t>
      </w:r>
    </w:p>
    <w:p>
      <w:pPr>
        <w:pStyle w:val="FirstParagraph"/>
        <w:spacing w:line="480" w:lineRule="auto"/>
      </w:pPr>
      <w:r>
        <w:t xml:space="preserve">The dissertation is built around the NASA portfolio, and inside it around the Jet Propulsion Laboratory, home to a large share of the flagship missions whose authority assignments lean hardest on the calibration question. Three things make NASA the setting to pick. Its major-project performance sits in a public, audited record, the GAO Major-Project-Assessment series [8, 20, 21], so the acquisition-side test runs on data anyone can pull rather than on contractor telemetry nobody can see. Its Conjunction Assessment Risk Analysis program has published a structured compendium of artificial intelligence and machine learning collision-avoidance cases</w:t>
      </w:r>
      <w:r>
        <w:t xml:space="preserve"> </w:t>
      </w:r>
      <w:hyperlink w:anchor="ref-1">
        <w:r>
          <w:rPr>
            <w:rStyle w:val="Hyperlink"/>
          </w:rPr>
          <w:t xml:space="preserve">[1]</w:t>
        </w:r>
      </w:hyperlink>
      <w:r>
        <w:t xml:space="preserve"> </w:t>
      </w:r>
      <w:r>
        <w:t xml:space="preserve">and stacked up more than ten years of best-practice documentation</w:t>
      </w:r>
      <w:r>
        <w:t xml:space="preserve"> </w:t>
      </w:r>
      <w:hyperlink w:anchor="ref-11">
        <w:r>
          <w:rPr>
            <w:rStyle w:val="Hyperlink"/>
          </w:rPr>
          <w:t xml:space="preserve">[11]</w:t>
        </w:r>
      </w:hyperlink>
      <w:r>
        <w:t xml:space="preserve">, and between them these give the operational side the densest operator-decision case base in public hands. And NASA runs flagships and smaller competed missions inside a single portfolio, so the authority-versus-complexity tangle that muddied the acquisition test in the companion paper becomes a property of the data the operational test can pin down by design.</w:t>
      </w:r>
    </w:p>
    <w:p>
      <w:pPr>
        <w:pStyle w:val="BodyText"/>
        <w:spacing w:line="480" w:lineRule="auto"/>
        <w:ind w:firstLine="720"/>
      </w:pPr>
      <w:r>
        <w:t xml:space="preserve">JPL earns its own paragraph because it holds the missions whose authority calibration matters most to the flagship portfolio. Autonomous trajectory optimisation, the literature that marks the top of the authority spectrum in the conjunction setting</w:t>
      </w:r>
      <w:r>
        <w:t xml:space="preserve"> </w:t>
      </w:r>
      <w:hyperlink w:anchor="ref-6">
        <w:r>
          <w:rPr>
            <w:rStyle w:val="Hyperlink"/>
          </w:rPr>
          <w:t xml:space="preserve">[6]</w:t>
        </w:r>
      </w:hyperlink>
      <w:r>
        <w:t xml:space="preserve">, is the same body of work that marks the top of it in the deep-space navigation JPL lives inside, and the agent-based mission management taxonomy that sorts the authority levels</w:t>
      </w:r>
      <w:r>
        <w:t xml:space="preserve"> </w:t>
      </w:r>
      <w:hyperlink w:anchor="ref-7">
        <w:r>
          <w:rPr>
            <w:rStyle w:val="Hyperlink"/>
          </w:rPr>
          <w:t xml:space="preserve">[7]</w:t>
        </w:r>
      </w:hyperlink>
      <w:r>
        <w:t xml:space="preserve"> </w:t>
      </w:r>
      <w:r>
        <w:t xml:space="preserve">is the one JPL mission concept reviews already lean on, without saying so, whenever they decide which choices a spacecraft gets to make on its own across a cruise that lasts years. Announce a JPL recompete in the present fiscal cycle, as the agency has, and the institutional capacity to make these calibration choices goes under formal review for the first time in a generation. A falsifiable test of the calibration is therefore useful to the agency and the laboratory right now, and the use is concrete. Out of the test comes an operator-grade decision rule that reads observed traffic state, decision class, and measured operator trust and returns an authority assignment, reported in the same language the existing GAO and AMOS records already speak.</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Here is the framing claim the dissertation cares about most. A real, identifiable gap runs between the domain literature on spacecraft autonomy and the econometric method literature on causal identification, and closing it is what any defensible test of the graduated-delegation thesis has to do first. Vocabulary is not the whole of the gap. The gap is one of design.</w:t>
      </w:r>
    </w:p>
    <w:p>
      <w:pPr>
        <w:pStyle w:val="BodyText"/>
        <w:spacing w:line="480" w:lineRule="auto"/>
        <w:ind w:firstLine="720"/>
      </w:pPr>
      <w:r>
        <w:t xml:space="preserve">Case material, maneuver-design methodology, taxonomies of authority: on all three the domain literature is rich. The CAMmary review lists the maneuver-design methods operators reach for once a warning lands, and notes that operator autonomy levels scatter across the constellation population with no shared metric for the assignment [5, 34]. Autonomous trajectory optimisation stakes out the top of the authority spectrum for intelligent satellite systems and space traffic management, and holds that the optimisation problem stays tractable even as autonomy climbs</w:t>
      </w:r>
      <w:r>
        <w:t xml:space="preserve"> </w:t>
      </w:r>
      <w:hyperlink w:anchor="ref-6">
        <w:r>
          <w:rPr>
            <w:rStyle w:val="Hyperlink"/>
          </w:rPr>
          <w:t xml:space="preserve">[6]</w:t>
        </w:r>
      </w:hyperlink>
      <w:r>
        <w:t xml:space="preserve">. Agent-based mission management hands over the taxonomy that sorts those levels and flags the open questions in goal-level versus task-level autonomy for distributed space systems</w:t>
      </w:r>
      <w:r>
        <w:t xml:space="preserve"> </w:t>
      </w:r>
      <w:hyperlink w:anchor="ref-7">
        <w:r>
          <w:rPr>
            <w:rStyle w:val="Hyperlink"/>
          </w:rPr>
          <w:t xml:space="preserve">[7]</w:t>
        </w:r>
      </w:hyperlink>
      <w:r>
        <w:t xml:space="preserve">. Risk-based decision-making work in space traffic management pins down the moment an operator either acts on a warning or waits</w:t>
      </w:r>
      <w:r>
        <w:t xml:space="preserve"> </w:t>
      </w:r>
      <w:hyperlink w:anchor="ref-14">
        <w:r>
          <w:rPr>
            <w:rStyle w:val="Hyperlink"/>
          </w:rPr>
          <w:t xml:space="preserve">[14]</w:t>
        </w:r>
      </w:hyperlink>
      <w:r>
        <w:t xml:space="preserve">. Put the OneWeb self-reporting study, the ABACO campaigns, the prototype on-board conjunction infrastructure, and the maneuver-detection studies in autonomous sensor networks side by side and you have the densest operator-grade case base in the public record [15, 16, 17, 18]. The cognitive task analysis on trust calibration in human-machine teaming for autonomous space sensing builds the bridge from what an operator did to a coded trust state [4, 28]. Starling and the safe autonomous multi-agent inspection literature nail down what a high-autonomy regime actually produces once it flies [10, 23]. Read the whole of it and you find a literature that knows the authority assignments, knows the shape of operator decisions, and knows trust calibration to be a running property of the human-machine pair rather than a one-time stamp fixed at deployment.</w:t>
      </w:r>
    </w:p>
    <w:p>
      <w:pPr>
        <w:pStyle w:val="BodyText"/>
        <w:spacing w:line="480" w:lineRule="auto"/>
        <w:ind w:firstLine="720"/>
      </w:pPr>
      <w:r>
        <w:t xml:space="preserve">What that literature mostly declines to do is treat the authority assignment as a treatment. It describes authority, catalogues it, reasons about it as a design property of the operator-platform system. Rarely does authority show up as the right-hand-side variable of a regression carrying an exclusion restriction. CAMmary grants that the assignment varies across the population and stops short of turning that variance into identification</w:t>
      </w:r>
      <w:r>
        <w:t xml:space="preserve"> </w:t>
      </w:r>
      <w:hyperlink w:anchor="ref-5">
        <w:r>
          <w:rPr>
            <w:rStyle w:val="Hyperlink"/>
          </w:rPr>
          <w:t xml:space="preserve">[5]</w:t>
        </w:r>
      </w:hyperlink>
      <w:r>
        <w:t xml:space="preserve">. The agent-based review lists the open authority questions as research questions, never as parameters you could estimate</w:t>
      </w:r>
      <w:r>
        <w:t xml:space="preserve"> </w:t>
      </w:r>
      <w:hyperlink w:anchor="ref-7">
        <w:r>
          <w:rPr>
            <w:rStyle w:val="Hyperlink"/>
          </w:rPr>
          <w:t xml:space="preserve">[7]</w:t>
        </w:r>
      </w:hyperlink>
      <w:r>
        <w:t xml:space="preserve">. The trust-calibration analysis holds trust as a state of the pair and offers no estimator that carries the state into a counterfactual authority assignment</w:t>
      </w:r>
      <w:r>
        <w:t xml:space="preserve"> </w:t>
      </w:r>
      <w:hyperlink w:anchor="ref-4">
        <w:r>
          <w:rPr>
            <w:rStyle w:val="Hyperlink"/>
          </w:rPr>
          <w:t xml:space="preserve">[4]</w:t>
        </w:r>
      </w:hyperlink>
      <w:r>
        <w:t xml:space="preserve">. OneWeb reports operator-level aggregates rather than event-level cases</w:t>
      </w:r>
      <w:r>
        <w:t xml:space="preserve"> </w:t>
      </w:r>
      <w:hyperlink w:anchor="ref-15">
        <w:r>
          <w:rPr>
            <w:rStyle w:val="Hyperlink"/>
          </w:rPr>
          <w:t xml:space="preserve">[15]</w:t>
        </w:r>
      </w:hyperlink>
      <w:r>
        <w:t xml:space="preserve">, which is the right grain for an aggregate risk report and the wrong grain for an estimator that has to freeze decision class and traffic state.</w:t>
      </w:r>
    </w:p>
    <w:p>
      <w:pPr>
        <w:pStyle w:val="BodyText"/>
        <w:spacing w:line="480" w:lineRule="auto"/>
        <w:ind w:firstLine="720"/>
      </w:pPr>
      <w:r>
        <w:t xml:space="preserve">Whatever the domain literature lacks in estimators, the econometric method literature keeps in stock. Fixed-effects regression on matched episodes, strata for decision class and traffic class, instruments for the realised regime: standard-issue in program evaluation, alongside the hierarchical Bayesian specification the dissertation runs as a robustness check. Logistic regression of binary resolution outcomes on an ordinal authority variable, controlling for time pressure and complexity, is the natural fit for the event-level test, and the companion paper that runs exactly that on a 36-event sample brings back an autonomy-level coefficient of 4.77 with a standard error of 1.94 and a p value of 0.014, in line with the graduated-delegation thesis at conventional significance. Pre-registration discipline for statistical-conclusion validity, an inter-coder reliability protocol for the construct validity of the trust-calibration coding, leave-one-operator-out cross-validation for external validity in a non-randomly selected case base: the method literature supplies each. None is new to that literature. All are new to the domain literature, in the sense that, as far as the candidate has read, the domain literature has never turned them on the authority-assignment question over a public operator-grade case base.</w:t>
      </w:r>
    </w:p>
    <w:p>
      <w:pPr>
        <w:pStyle w:val="BodyText"/>
        <w:spacing w:line="480" w:lineRule="auto"/>
        <w:ind w:firstLine="720"/>
      </w:pPr>
      <w:r>
        <w:t xml:space="preserve">So the gap is a division of labor that no one has stitched shut. Cases without an estimator on one side; an estimator without cases on the other. The dissertation stitches them by carrying the estimator to the cases, over a public, citable, operator-grade case base, inside a pre-registered design that shields the inference from the obvious threats.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falsifiable claim, one dependent variable: that is the whole of it. The variable is the Operational Risk Index, a pre-registered composite of unnecessary-maneuver rate, late-decision rate, and propellant cost per resolved conjunction, weighted by decision class. Its propellant-cost term is calibrated to the parameter space CAMmary documents [5, 34]. Its class weighting follows the agent-based mission management taxonomy</w:t>
      </w:r>
      <w:r>
        <w:t xml:space="preserve"> </w:t>
      </w:r>
      <w:hyperlink w:anchor="ref-7">
        <w:r>
          <w:rPr>
            <w:rStyle w:val="Hyperlink"/>
          </w:rPr>
          <w:t xml:space="preserve">[7]</w:t>
        </w:r>
      </w:hyperlink>
      <w:r>
        <w:t xml:space="preserve">. Its unit of observation is the operator-decision episode, pulled from the Conjunction Assessment Risk Analysis compendium</w:t>
      </w:r>
      <w:r>
        <w:t xml:space="preserve"> </w:t>
      </w:r>
      <w:hyperlink w:anchor="ref-1">
        <w:r>
          <w:rPr>
            <w:rStyle w:val="Hyperlink"/>
          </w:rPr>
          <w:t xml:space="preserve">[1]</w:t>
        </w:r>
      </w:hyperlink>
      <w:r>
        <w:t xml:space="preserve"> </w:t>
      </w:r>
      <w:r>
        <w:t xml:space="preserve">and from the European Space Agency case material on collision risk estimation and automated mitigation [2, 3]. To build the graduated regime, each episode is mapped through the trust-calibration scheme drawn from the cognitive task analysis on human-machine teaming for autonomous space sensing [4, 28], which returns a counterfactual authority assignment for that episode. The fixed-authority baseline is whatever authority level the operator declared at the time, exactly as the case material logged it.</w:t>
      </w:r>
    </w:p>
    <w:p>
      <w:pPr>
        <w:pStyle w:val="BodyText"/>
        <w:spacing w:line="480" w:lineRule="auto"/>
        <w:ind w:firstLine="720"/>
      </w:pPr>
      <w:r>
        <w:t xml:space="preserve">Under the null, mean Operational Risk Index for the graduated regime lands at or above mean Operational Risk Index for the fixed-authority baseline, holding traffic class and decision class. Under the alternative, the graduated regime’s mean drops strictly below the baseline’s, holding the same two strata. Reject the null once, at the pre-registered alpha, and that rejection is the contribution. Beyond the pre-registered moderators the dissertation tests no explanatory mechanism, and outside the regimes the case base holds it generalises to nothing. Narrow by design, in other words. What it is, is a single, sharply drawn, public test of a calibration claim the domain literature has argued over for a decade and never put to rest.</w:t>
      </w:r>
    </w:p>
    <w:p>
      <w:pPr>
        <w:pStyle w:val="BodyText"/>
        <w:spacing w:line="480" w:lineRule="auto"/>
        <w:ind w:firstLine="720"/>
      </w:pPr>
      <w:r>
        <w:t xml:space="preserve">Cutting the contribution this thin is itself a discipline, and it presses down on every chapter after this one. Widen it and the candidate could reach for ancillary claims the data will not hold. Narrow it further and the policy implication that started the whole project falls off the table. The single falsifiable contribution is cut to be exactly as wide as the data bears, and not a hair wider.</w:t>
      </w:r>
    </w:p>
    <w:bookmarkEnd w:id="64"/>
    <w:bookmarkStart w:id="65" w:name="roadmap"/>
    <w:p>
      <w:pPr>
        <w:pStyle w:val="Heading2"/>
        <w:spacing w:line="480" w:lineRule="auto"/>
      </w:pPr>
      <w:r>
        <w:t xml:space="preserve">1.5 Roadmap</w:t>
      </w:r>
    </w:p>
    <w:p>
      <w:pPr>
        <w:pStyle w:val="FirstParagraph"/>
        <w:spacing w:line="480" w:lineRule="auto"/>
      </w:pPr>
      <w:r>
        <w:t xml:space="preserve">Seven chapters run from here. Chapter 2 reviews the domain literature on spacecraft autonomy, conjunction avoidance, and trust calibration, and seats the dissertation inside the agent-based mission management taxonomy and the supervisory control tradition that taxonomy grew out of [7, 9]. Chapter 3 reviews the econometric method literature, argues the fixed-effects specification and the hierarchical Bayesian robustness check, and lays down the pre-registration protocol that guards statistical-conclusion validity. Chapter 4 pins the data, the coding scheme, the inter-coder reliability protocol for the trust-calibration coding, and the exclusion rules. Chapter 5 runs the primary test on the composite Operational Risk Index, with the fixed-effects regression, the strata for traffic class and decision class, and the operator and epoch fixed effects. Chapter 6 runs the robustness checks: the hierarchical Bayesian specification, the leave-one-operator-out cross-validation, the instrumental specification that takes conjunction-warning lead time as the instrument for the realised regime, and the sensitivity analysis on the illustrative cases the companion event-level paper flagged. Chapter 7 reports the scoping results on the geosynchronous subsample and on the goal-level versus task-level autonomy contrast the taxonomy names as the open research challenge</w:t>
      </w:r>
      <w:r>
        <w:t xml:space="preserve"> </w:t>
      </w:r>
      <w:hyperlink w:anchor="ref-7">
        <w:r>
          <w:rPr>
            <w:rStyle w:val="Hyperlink"/>
          </w:rPr>
          <w:t xml:space="preserve">[7]</w:t>
        </w:r>
      </w:hyperlink>
      <w:r>
        <w:t xml:space="preserve">. Chapter 8 says what rejecting or failing to reject the null means for NASA, for the Jet Propulsion Laboratory under the present recompete, and for the European Space Agency programmes that pushed the operational state of the art forward alongside [2, 3, 32]. That conclusion generalises past nothing outside the operator-grade case base the test runs on, and it floats no policy rule the test cannot carry.</w:t>
      </w:r>
    </w:p>
    <w:p>
      <w:pPr>
        <w:pStyle w:val="BodyText"/>
        <w:spacing w:line="480" w:lineRule="auto"/>
        <w:ind w:firstLine="720"/>
      </w:pPr>
      <w:r>
        <w:t xml:space="preserve">Two appendices ride along with the main text. Appendix A documents how the Operational Risk Index is built from the CAMmary parameter space [5, 34] and the agent-based mission management taxonomy</w:t>
      </w:r>
      <w:r>
        <w:t xml:space="preserve"> </w:t>
      </w:r>
      <w:hyperlink w:anchor="ref-7">
        <w:r>
          <w:rPr>
            <w:rStyle w:val="Hyperlink"/>
          </w:rPr>
          <w:t xml:space="preserve">[7]</w:t>
        </w:r>
      </w:hyperlink>
      <w:r>
        <w:t xml:space="preserve">. Appendix B documents the trust-calibration coding scheme drawn from the cognitive task analysis on human-machine teaming [4, 28], the inter-coder reliability protocol, and the published kappa for the two independent coders.</w:t>
      </w:r>
    </w:p>
    <w:p>
      <w:pPr>
        <w:pStyle w:val="BodyText"/>
        <w:spacing w:line="480" w:lineRule="auto"/>
        <w:ind w:firstLine="720"/>
      </w:pPr>
      <w:r>
        <w:t xml:space="preserve">No new theory of autonomy is on offer here. No new estimator, no new case base. What is on offer is the existing estimator carried to the existing case base, on the existing theoretical footing, inside a pre-registered design the domain literature has never before held itself to. Reject the null, and the result is a public, citable, operator-grade calibration of the graduated-delegation thesis that NASA, the Jet Propulsion Laboratory, and the European operators can put to work in their next round of authority assignments. Fail to reject it, and the result is an equally public, equally citable boundary on what the thesis can claim over a case base of this size and make-up. Either way, a contribution. The dissertation is put together so the contribution holds whichever way the result breaks.</w:t>
      </w:r>
    </w:p>
    <w:bookmarkEnd w:id="65"/>
    <w:bookmarkEnd w:id="66"/>
    <w:bookmarkStart w:id="81" w:name="chapter-2.-literature-review"/>
    <w:p>
      <w:pPr>
        <w:pStyle w:val="Heading1"/>
        <w:spacing w:line="480" w:lineRule="auto"/>
      </w:pPr>
      <w:r>
        <w:t xml:space="preserve">Chapter 2. Literature Review</w:t>
      </w:r>
    </w:p>
    <w:bookmarkStart w:id="67" w:name="orientation-and-structure-of-the-review"/>
    <w:p>
      <w:pPr>
        <w:pStyle w:val="Heading2"/>
        <w:spacing w:line="480" w:lineRule="auto"/>
      </w:pPr>
      <w:r>
        <w:t xml:space="preserve">2.1 Orientation and Structure of the Review</w:t>
      </w:r>
    </w:p>
    <w:p>
      <w:pPr>
        <w:pStyle w:val="FirstParagraph"/>
        <w:spacing w:line="480" w:lineRule="auto"/>
      </w:pPr>
      <w:r>
        <w:t xml:space="preserve">Two literatures meet at the research question of this dissertation, and so far they have grown up next to each other without much conversation. One is domain-technical: spacecraft conjunction assessment, collision-avoidance maneuver design, on-board autonomy, and supervisory control over partially autonomous space-infrastructure pipelines. The other is methodological, the cliometric and econometric practice that hands over identification strategies, fixed-effects specifications, logistic and survival estimators, and the pre-registration protocols by which observational case populations of the sort the first literature throws off can be analyzed without wishful thinking. This chapter presses three claims at once. Each literature has matured on its own. Each has built instruments and primitives the other now needs. And nobody has joined the two at the grain of operational decision episodes drawn from public operator-grade case material. Section 2.2 walks the domain-technical literature through four sub-strands: conjunction assessment and the CARA program, the European Space Agency automation track, on-board and constellation autonomy, and human-machine teaming with trust calibration. Section 2.3 turns to the methodology literature and how it has crossed, unevenly, into space operations and acquisition. Section 2.4 pulls the two together and names the unjoined gap the dissertation shuts.</w:t>
      </w:r>
    </w:p>
    <w:bookmarkEnd w:id="67"/>
    <w:bookmarkStart w:id="73" w:name="the-domain-technical-literature"/>
    <w:p>
      <w:pPr>
        <w:pStyle w:val="Heading2"/>
        <w:spacing w:line="480" w:lineRule="auto"/>
      </w:pPr>
      <w:r>
        <w:t xml:space="preserve">2.2 The Domain Technical Literature</w:t>
      </w:r>
    </w:p>
    <w:bookmarkStart w:id="68" w:name="X832a84cf787df43c1fb57ac20a817179fbc54e0"/>
    <w:p>
      <w:pPr>
        <w:pStyle w:val="Heading3"/>
        <w:spacing w:line="480" w:lineRule="auto"/>
      </w:pPr>
      <w:r>
        <w:t xml:space="preserve">2.2.1 Conjunction Assessment, the CARA Program, and the Maturation of Machine-Learning Triage</w:t>
      </w:r>
    </w:p>
    <w:p>
      <w:pPr>
        <w:pStyle w:val="FirstParagraph"/>
        <w:spacing w:line="480" w:lineRule="auto"/>
      </w:pPr>
      <w:r>
        <w:t xml:space="preserve">Anchoring the domain literature on conjunction assessment is NASA’s Conjunction Assessment Risk Analysis program.</w:t>
      </w:r>
    </w:p>
    <w:p>
      <w:pPr>
        <w:pStyle w:val="BodyText"/>
        <w:spacing w:line="480" w:lineRule="auto"/>
        <w:ind w:firstLine="720"/>
      </w:pPr>
      <w:r>
        <w:t xml:space="preserve">Its compendium for artificial intelligence and machine learning in satellite collision avoidance</w:t>
      </w:r>
      <w:r>
        <w:t xml:space="preserve"> </w:t>
      </w:r>
      <w:hyperlink w:anchor="ref-1">
        <w:r>
          <w:rPr>
            <w:rStyle w:val="Hyperlink"/>
          </w:rPr>
          <w:t xml:space="preserve">[1]</w:t>
        </w:r>
      </w:hyperlink>
      <w:r>
        <w:t xml:space="preserve"> </w:t>
      </w:r>
      <w:r>
        <w:t xml:space="preserve">logs the operator-decision cases and their realized outcomes for CARA-mediated conjunction events, and it stands as the fullest public record of operator-grade decisions anywhere in the United States civil space portfolio. What the compendium traces is a migration: the CARA pipeline moving from a screening service that spat out probability-of-collision estimates for a human to dispose, toward a triage layer carrying more and more machine-learning machinery, and it keeps the operator response and realized outcome attached to each event. Read it beside the Newman and Mashiku synthesis of CARA best practices and lessons learned</w:t>
      </w:r>
      <w:r>
        <w:t xml:space="preserve"> </w:t>
      </w:r>
      <w:hyperlink w:anchor="ref-11">
        <w:r>
          <w:rPr>
            <w:rStyle w:val="Hyperlink"/>
          </w:rPr>
          <w:t xml:space="preserve">[11]</w:t>
        </w:r>
      </w:hyperlink>
      <w:r>
        <w:t xml:space="preserve">, and the CARA literature gives any quantitative test of authority assignment in United States civil conjunction operations three things at once: institutional history, operational taxonomy, population frame. And what qualifies the compendium for the matched-comparison design the methodology literature has built is a structural habit, keeping the realized outcome next to the operator decision.</w:t>
      </w:r>
    </w:p>
    <w:p>
      <w:pPr>
        <w:pStyle w:val="BodyText"/>
        <w:spacing w:line="480" w:lineRule="auto"/>
        <w:ind w:firstLine="720"/>
      </w:pPr>
      <w:r>
        <w:t xml:space="preserve">Yet for all that, no metric for the authority level of a given decision surfaces anywhere in the CARA-anchored literature. Authority is there implicitly, inside the description of which actor disposed the warning, and the field has adopted no common ordinal scale for comparing assignments across operators and epochs. Compendium in hand</w:t>
      </w:r>
      <w:r>
        <w:t xml:space="preserve"> </w:t>
      </w:r>
      <w:hyperlink w:anchor="ref-1">
        <w:r>
          <w:rPr>
            <w:rStyle w:val="Hyperlink"/>
          </w:rPr>
          <w:t xml:space="preserve">[1]</w:t>
        </w:r>
      </w:hyperlink>
      <w:r>
        <w:t xml:space="preserve">, you have something operator-decision oriented and outcome oriented. Whether the authority behind a decision sat at the right level for the case is a question the record never poses as quantitative, never leaves with a falsifiable answer. Hunter and colleagues, accounting for the Starling mission and its space-situational-awareness implications</w:t>
      </w:r>
      <w:r>
        <w:t xml:space="preserve"> </w:t>
      </w:r>
      <w:hyperlink w:anchor="ref-10">
        <w:r>
          <w:rPr>
            <w:rStyle w:val="Hyperlink"/>
          </w:rPr>
          <w:t xml:space="preserve">[10]</w:t>
        </w:r>
      </w:hyperlink>
      <w:r>
        <w:t xml:space="preserve">, add a fresher demonstration platform where the same question comes back and again goes unanswered: distributed satellites carrying on-board logic have to dispose conjunction warnings, and the authority level they do it at gets described, not treated as a parameter you could calibrate. Greaves and Scheeres, analyzing autonomous information-gathering guidance for spacecraft-to-spacecraft tracking with optical sensors</w:t>
      </w:r>
      <w:r>
        <w:t xml:space="preserve"> </w:t>
      </w:r>
      <w:hyperlink w:anchor="ref-13">
        <w:r>
          <w:rPr>
            <w:rStyle w:val="Hyperlink"/>
          </w:rPr>
          <w:t xml:space="preserve">[13]</w:t>
        </w:r>
      </w:hyperlink>
      <w:r>
        <w:t xml:space="preserve">, show how quickly the on-board sensing layer is picking up the raw capability to act, even as they hand the authority question straight back to the operator. One throughline holds the sub-strand together, a mismatch of speeds. Screening and triage matured technically faster than any account of how authority over the resulting decisions ought to be handed out.</w:t>
      </w:r>
    </w:p>
    <w:bookmarkEnd w:id="68"/>
    <w:bookmarkStart w:id="69" w:name="Xac6c3691c23214120ddb63d8630e7694e65438a"/>
    <w:p>
      <w:pPr>
        <w:pStyle w:val="Heading3"/>
        <w:spacing w:line="480" w:lineRule="auto"/>
      </w:pPr>
      <w:r>
        <w:t xml:space="preserve">2.2.2 The European Space Agency Automation Track</w:t>
      </w:r>
    </w:p>
    <w:p>
      <w:pPr>
        <w:pStyle w:val="FirstParagraph"/>
        <w:spacing w:line="480" w:lineRule="auto"/>
      </w:pPr>
      <w:r>
        <w:t xml:space="preserve">A parallel automation track at the European Space Agency has run closer to explicit machine-mediated decision delegation than the CARA pipeline ever has. Flohrer and colleagues, proposing the Collision Risk Estimation and Automated Mitigation framework, CREAM</w:t>
      </w:r>
      <w:r>
        <w:t xml:space="preserve"> </w:t>
      </w:r>
      <w:hyperlink w:anchor="ref-3">
        <w:r>
          <w:rPr>
            <w:rStyle w:val="Hyperlink"/>
          </w:rPr>
          <w:t xml:space="preserve">[3]</w:t>
        </w:r>
      </w:hyperlink>
      <w:r>
        <w:t xml:space="preserve">, argue for moving from human disposition of conjunction warnings to automated mitigation under stated conditions, and a later Flohrer update on the ESA Space Safety Programme and its collision-avoidance cornerstone</w:t>
      </w:r>
      <w:r>
        <w:t xml:space="preserve"> </w:t>
      </w:r>
      <w:hyperlink w:anchor="ref-2">
        <w:r>
          <w:rPr>
            <w:rStyle w:val="Hyperlink"/>
          </w:rPr>
          <w:t xml:space="preserve">[2]</w:t>
        </w:r>
      </w:hyperlink>
      <w:r>
        <w:t xml:space="preserve"> </w:t>
      </w:r>
      <w:r>
        <w:t xml:space="preserve">reports operational experience together with the calibration troubles that surfaced as automation widened. Why CREAM matters here is that it makes the authority assignment explicit exactly where CARA leaves it implicit. It sets bands of automated decision keyed to collision probability, time-to-conjunction, and operator availability, and the Space Safety Programme update follows those bands as operational experience reshaped them. Between them, CREAM and the Space Safety Programme contribute a vocabulary and a handful of operational primitives for what graduated authority looks like at the program level, without ever testing the proposition against a fixed-authority counterfactual on a shared case base.</w:t>
      </w:r>
    </w:p>
    <w:p>
      <w:pPr>
        <w:pStyle w:val="BodyText"/>
        <w:spacing w:line="480" w:lineRule="auto"/>
        <w:ind w:firstLine="720"/>
      </w:pPr>
      <w:r>
        <w:t xml:space="preserve">Running alongside is a complementary European thread.</w:t>
      </w:r>
    </w:p>
    <w:p>
      <w:pPr>
        <w:pStyle w:val="BodyText"/>
        <w:spacing w:line="480" w:lineRule="auto"/>
        <w:ind w:firstLine="720"/>
      </w:pPr>
      <w:r>
        <w:t xml:space="preserve">Sabán-Fosch and colleagues, accounting for the first European autonomous flight safety system</w:t>
      </w:r>
      <w:r>
        <w:t xml:space="preserve"> </w:t>
      </w:r>
      <w:hyperlink w:anchor="ref-32">
        <w:r>
          <w:rPr>
            <w:rStyle w:val="Hyperlink"/>
          </w:rPr>
          <w:t xml:space="preserve">[32]</w:t>
        </w:r>
      </w:hyperlink>
      <w:r>
        <w:t xml:space="preserve">, carry the automation framing out of collision avoidance and into launch-phase safety, showing the same authority-calibration logic to be portable across operational regimes. Sánchez-Ortíz and colleagues, in outreach work on space traffic management</w:t>
      </w:r>
      <w:r>
        <w:t xml:space="preserve"> </w:t>
      </w:r>
      <w:hyperlink w:anchor="ref-33">
        <w:r>
          <w:rPr>
            <w:rStyle w:val="Hyperlink"/>
          </w:rPr>
          <w:t xml:space="preserve">[33]</w:t>
        </w:r>
      </w:hyperlink>
      <w:r>
        <w:t xml:space="preserve">, set these technical developments inside an institutional framing that has started treating authority as a governance question and not an engineering one alone. Verspieren, analyzing United States Air Force compliance with the orbital debris mitigation standard practices</w:t>
      </w:r>
      <w:r>
        <w:t xml:space="preserve"> </w:t>
      </w:r>
      <w:hyperlink w:anchor="ref-24">
        <w:r>
          <w:rPr>
            <w:rStyle w:val="Hyperlink"/>
          </w:rPr>
          <w:t xml:space="preserve">[24]</w:t>
        </w:r>
      </w:hyperlink>
      <w:r>
        <w:t xml:space="preserve">, draws a contrast worth keeping: where the European programs grow more explicit about graduated authority, legacy United States practice has leaned on compliance against standard practices, leaving the assignment implicit and inherited from program-of-record decisions taken back at confirmation.</w:t>
      </w:r>
    </w:p>
    <w:bookmarkEnd w:id="69"/>
    <w:bookmarkStart w:id="70" w:name="Xacb13e9bdfd72b4b6848067094256193f4ce77f"/>
    <w:p>
      <w:pPr>
        <w:pStyle w:val="Heading3"/>
        <w:spacing w:line="480" w:lineRule="auto"/>
      </w:pPr>
      <w:r>
        <w:t xml:space="preserve">2.2.3 Maneuver-Design Methods and the CAMmary Synthesis</w:t>
      </w:r>
    </w:p>
    <w:p>
      <w:pPr>
        <w:pStyle w:val="FirstParagraph"/>
        <w:spacing w:line="480" w:lineRule="auto"/>
      </w:pPr>
      <w:r>
        <w:t xml:space="preserve">Third of the domain sub-strands is maneuver design.</w:t>
      </w:r>
    </w:p>
    <w:p>
      <w:pPr>
        <w:pStyle w:val="BodyText"/>
        <w:spacing w:line="480" w:lineRule="auto"/>
        <w:ind w:firstLine="720"/>
      </w:pPr>
      <w:r>
        <w:t xml:space="preserve">Pavanello and colleagues, in the CAMmary review of spacecraft collision avoidance manoeuvre design methods [5, 34], deliver the fullest recent synthesis of the maneuver parameter space, and with it the propellant-cost and timing primitives any composite operational-risk index for this domain has to honour. Two axes organize the maturation CAMmary lays out: optimization of impulsive and low-thrust maneuvers under realistic conjunction geometry, and integration of maneuver design with the screening and risk-assessment layers feeding the decision. One observation cuts straight to this dissertation. Operator autonomy levels vary across the constellation population with no common metric for the assignment, and that variance ranks among the largest unmodelled sources of variation in realized maneuver outcomes operator to operator. Lagona and colleagues, on autonomous trajectory optimisation for intelligent satellite systems and space traffic management</w:t>
      </w:r>
      <w:r>
        <w:t xml:space="preserve"> </w:t>
      </w:r>
      <w:hyperlink w:anchor="ref-6">
        <w:r>
          <w:rPr>
            <w:rStyle w:val="Hyperlink"/>
          </w:rPr>
          <w:t xml:space="preserve">[6]</w:t>
        </w:r>
      </w:hyperlink>
      <w:r>
        <w:t xml:space="preserve">, push CAMmary toward higher autonomy in the maneuver-design layer and give the higher-autonomy benchmark any graduated-delegation specification can be sensitivity-tested against. Stephenson and Schaub, on safe autonomous multi-agent inspection using relative orbit dynamics</w:t>
      </w:r>
      <w:r>
        <w:t xml:space="preserve"> </w:t>
      </w:r>
      <w:hyperlink w:anchor="ref-23">
        <w:r>
          <w:rPr>
            <w:rStyle w:val="Hyperlink"/>
          </w:rPr>
          <w:t xml:space="preserve">[23]</w:t>
        </w:r>
      </w:hyperlink>
      <w:r>
        <w:t xml:space="preserve">, reinforce the direction by dragging the autonomy frontier off single-platform maneuvering and into multi-agent coordination.</w:t>
      </w:r>
    </w:p>
    <w:p>
      <w:pPr>
        <w:pStyle w:val="BodyText"/>
        <w:spacing w:line="480" w:lineRule="auto"/>
        <w:ind w:firstLine="720"/>
      </w:pPr>
      <w:r>
        <w:t xml:space="preserve">Lifson, Jang, and Linares, analyzing space-environmental governance and decision support with source-sink evolutionary environmental models</w:t>
      </w:r>
      <w:r>
        <w:t xml:space="preserve"> </w:t>
      </w:r>
      <w:hyperlink w:anchor="ref-25">
        <w:r>
          <w:rPr>
            <w:rStyle w:val="Hyperlink"/>
          </w:rPr>
          <w:t xml:space="preserve">[25]</w:t>
        </w:r>
      </w:hyperlink>
      <w:r>
        <w:t xml:space="preserve">, offer a different reason authority calibration earns attention. Realized maneuver decisions add up into environmental outcomes at the population level, so the level authority sits at carries an environmental consequence next to the operational one. Gregson, Seto, and Kim, developing an autonomy testbed for satellite debris avoidance</w:t>
      </w:r>
      <w:r>
        <w:t xml:space="preserve"> </w:t>
      </w:r>
      <w:hyperlink w:anchor="ref-26">
        <w:r>
          <w:rPr>
            <w:rStyle w:val="Hyperlink"/>
          </w:rPr>
          <w:t xml:space="preserve">[26]</w:t>
        </w:r>
      </w:hyperlink>
      <w:r>
        <w:t xml:space="preserve">, deliver an early demonstration that the same authority calibration question can be posed inside a controlled testbed, where the counterfactual is right there to observe. That is a useful methodological counterweight to the operational case-base studies filling out the rest of the sub-strand.</w:t>
      </w:r>
    </w:p>
    <w:bookmarkEnd w:id="70"/>
    <w:bookmarkStart w:id="71" w:name="X665ef9b103ca4c8ba7f172deff2bbfa4d135945"/>
    <w:p>
      <w:pPr>
        <w:pStyle w:val="Heading3"/>
        <w:spacing w:line="480" w:lineRule="auto"/>
      </w:pPr>
      <w:r>
        <w:t xml:space="preserve">2.2.4 On-Board Autonomy, Constellation Operations, and Distributed Mission Management</w:t>
      </w:r>
    </w:p>
    <w:p>
      <w:pPr>
        <w:pStyle w:val="FirstParagraph"/>
        <w:spacing w:line="480" w:lineRule="auto"/>
      </w:pPr>
      <w:r>
        <w:t xml:space="preserve">Onto the on-board and constellation layers directly goes a fourth sub-strand. Probe and colleagues, with prototype infrastructure for autonomous on-board conjunction assessment and collision avoidance</w:t>
      </w:r>
      <w:r>
        <w:t xml:space="preserve"> </w:t>
      </w:r>
      <w:hyperlink w:anchor="ref-16">
        <w:r>
          <w:rPr>
            <w:rStyle w:val="Hyperlink"/>
          </w:rPr>
          <w:t xml:space="preserve">[16]</w:t>
        </w:r>
      </w:hyperlink>
      <w:r>
        <w:t xml:space="preserve">, and Modenini and colleagues, with the ABACO autonomous board</w:t>
      </w:r>
      <w:r>
        <w:t xml:space="preserve"> </w:t>
      </w:r>
      <w:hyperlink w:anchor="ref-17">
        <w:r>
          <w:rPr>
            <w:rStyle w:val="Hyperlink"/>
          </w:rPr>
          <w:t xml:space="preserve">[17]</w:t>
        </w:r>
      </w:hyperlink>
      <w:r>
        <w:t xml:space="preserve">, give the two most cited recent demonstrations that on-board autonomy can dispose conjunction warnings under stated conditions and come out ahead operationally. Hussein and colleagues, in a risk-based decision-making framework for space traffic management</w:t>
      </w:r>
      <w:r>
        <w:t xml:space="preserve"> </w:t>
      </w:r>
      <w:hyperlink w:anchor="ref-14">
        <w:r>
          <w:rPr>
            <w:rStyle w:val="Hyperlink"/>
          </w:rPr>
          <w:t xml:space="preserve">[14]</w:t>
        </w:r>
      </w:hyperlink>
      <w:r>
        <w:t xml:space="preserve">, formalize the moment an operator acts on a warning or holds, and hand over a risk-based classification that maps onto the operational-risk index the dissertation builds. Minguijon Pallas and colleagues, in the self-reporting aggregated realized-risk study from the OneWeb constellation</w:t>
      </w:r>
      <w:r>
        <w:t xml:space="preserve"> </w:t>
      </w:r>
      <w:hyperlink w:anchor="ref-15">
        <w:r>
          <w:rPr>
            <w:rStyle w:val="Hyperlink"/>
          </w:rPr>
          <w:t xml:space="preserve">[15]</w:t>
        </w:r>
      </w:hyperlink>
      <w:r>
        <w:t xml:space="preserve">, publish the first operator self-report from a large constellation, and it records faster screening-and-approval loops going with lower realized risk, the very pattern a graduated authority assignment is hypothesized to work.</w:t>
      </w:r>
    </w:p>
    <w:p>
      <w:pPr>
        <w:pStyle w:val="BodyText"/>
        <w:spacing w:line="480" w:lineRule="auto"/>
        <w:ind w:firstLine="720"/>
      </w:pPr>
      <w:r>
        <w:t xml:space="preserve">Kadan and colleagues, evaluating maneuver detection inside an autonomous heterogeneous sensor network</w:t>
      </w:r>
      <w:r>
        <w:t xml:space="preserve"> </w:t>
      </w:r>
      <w:hyperlink w:anchor="ref-18">
        <w:r>
          <w:rPr>
            <w:rStyle w:val="Hyperlink"/>
          </w:rPr>
          <w:t xml:space="preserve">[18]</w:t>
        </w:r>
      </w:hyperlink>
      <w:r>
        <w:t xml:space="preserve">, and Grosvenor and colleagues, with a hierarchical neuro-symbolic architecture for autonomous spacecraft maneuvering and anomaly detection</w:t>
      </w:r>
      <w:r>
        <w:t xml:space="preserve"> </w:t>
      </w:r>
      <w:hyperlink w:anchor="ref-19">
        <w:r>
          <w:rPr>
            <w:rStyle w:val="Hyperlink"/>
          </w:rPr>
          <w:t xml:space="preserve">[19]</w:t>
        </w:r>
      </w:hyperlink>
      <w:r>
        <w:t xml:space="preserve">, carry the on-board literature toward decision logic that is more and more capable of authority-conditioned action. Jabbarpour and colleagues, reviewing agent-based approaches for distributed space systems and mission management</w:t>
      </w:r>
      <w:r>
        <w:t xml:space="preserve"> </w:t>
      </w:r>
      <w:hyperlink w:anchor="ref-7">
        <w:r>
          <w:rPr>
            <w:rStyle w:val="Hyperlink"/>
          </w:rPr>
          <w:t xml:space="preserve">[7]</w:t>
        </w:r>
      </w:hyperlink>
      <w:r>
        <w:t xml:space="preserve">, synthesize the agent-based work and name the open research questions in goal-level versus task-level autonomy for distributed space systems. It is the Jabbarpour review that gives the dissertation its classification scheme for authority levels, and of anything in the domain literature it comes nearest to a taxonomy you could operationalize as an ordinal variable. Shtofenmakher and Balakrishnan, on optimal tasking and scheduling of satellite constellations for space situational awareness</w:t>
      </w:r>
      <w:r>
        <w:t xml:space="preserve"> </w:t>
      </w:r>
      <w:hyperlink w:anchor="ref-31">
        <w:r>
          <w:rPr>
            <w:rStyle w:val="Hyperlink"/>
          </w:rPr>
          <w:t xml:space="preserve">[31]</w:t>
        </w:r>
      </w:hyperlink>
      <w:r>
        <w:t xml:space="preserve">, add a constellation-level decision framework complementing the per-event framing in CARA and CREAM. Archuleta and Nicolls, on space debris mapping services for LEO operators</w:t>
      </w:r>
      <w:r>
        <w:t xml:space="preserve"> </w:t>
      </w:r>
      <w:hyperlink w:anchor="ref-22">
        <w:r>
          <w:rPr>
            <w:rStyle w:val="Hyperlink"/>
          </w:rPr>
          <w:t xml:space="preserve">[22]</w:t>
        </w:r>
      </w:hyperlink>
      <w:r>
        <w:t xml:space="preserve">, and Konacki and colleagues, on the Solaris-Panoptes global network and Borowiec satellite laser ranging</w:t>
      </w:r>
      <w:r>
        <w:t xml:space="preserve"> </w:t>
      </w:r>
      <w:hyperlink w:anchor="ref-27">
        <w:r>
          <w:rPr>
            <w:rStyle w:val="Hyperlink"/>
          </w:rPr>
          <w:t xml:space="preserve">[27]</w:t>
        </w:r>
      </w:hyperlink>
      <w:r>
        <w:t xml:space="preserve">, document the ground-segment infrastructure the on-board autonomy layer leans on and that hems in the assignment.</w:t>
      </w:r>
    </w:p>
    <w:bookmarkEnd w:id="71"/>
    <w:bookmarkStart w:id="72" w:name="Xd31eb40f1251429878a5f6ab2ebbb97e60878c3"/>
    <w:p>
      <w:pPr>
        <w:pStyle w:val="Heading3"/>
        <w:spacing w:line="480" w:lineRule="auto"/>
      </w:pPr>
      <w:r>
        <w:t xml:space="preserve">2.2.5 Human-Machine Teaming and the Trust-Calibration Literature</w:t>
      </w:r>
    </w:p>
    <w:p>
      <w:pPr>
        <w:pStyle w:val="FirstParagraph"/>
        <w:spacing w:line="480" w:lineRule="auto"/>
      </w:pPr>
      <w:r>
        <w:t xml:space="preserve">Fifth and last is human-machine teaming and trust calibration. Fitzgerald, Morris, Militello, and Fletcher, in a cognitive task analysis on building trust in human-machine teaming for autonomous space sensing [4, 28], give the most carefully built recent instrument for measuring trust calibration in the space-operations context. It finds trust in the automation evolving with exposure, and calibration of that trust against system competence to be a running property rather than a one-time one. That Fitzgerald instrument supplies the per-episode trust-state coding the dissertation uses to reconstruct a counterfactual authority assignment out of the published case material. Underneath sits Sheridan and Verplank’s foundational taxonomy of human and computer control of undersea teleoperators</w:t>
      </w:r>
      <w:r>
        <w:t xml:space="preserve"> </w:t>
      </w:r>
      <w:hyperlink w:anchor="ref-9">
        <w:r>
          <w:rPr>
            <w:rStyle w:val="Hyperlink"/>
          </w:rPr>
          <w:t xml:space="preserve">[9]</w:t>
        </w:r>
      </w:hyperlink>
      <w:r>
        <w:t xml:space="preserve">, source of the original ten-level supervisory control scale everything downstream in the trust-calibration and autonomy-level literature has built on, the four-point ordinal scale in the empirical chapters of this dissertation included.</w:t>
      </w:r>
    </w:p>
    <w:p>
      <w:pPr>
        <w:pStyle w:val="BodyText"/>
        <w:spacing w:line="480" w:lineRule="auto"/>
        <w:ind w:firstLine="720"/>
      </w:pPr>
      <w:r>
        <w:t xml:space="preserve">Almost all of this trust-calibration literature is qualitative or instrument-validation oriented, and none of it has been welded to the per-event case-base literature on conjunction operations. Trust state turns up as a property of the operator-system pair in the Fitzgerald work [4, 28]. How that state propagates into an authority assignment, and what the propagation does to realized operational outcomes, nobody has measured on a public case base. That is the central conceptual gap, and the methodology literature up next carries the tools to shut it.</w:t>
      </w:r>
    </w:p>
    <w:bookmarkEnd w:id="72"/>
    <w:bookmarkEnd w:id="73"/>
    <w:bookmarkStart w:id="79" w:name="X07fe73e594277fc276c6392b9242153367417e1"/>
    <w:p>
      <w:pPr>
        <w:pStyle w:val="Heading2"/>
        <w:spacing w:line="480" w:lineRule="auto"/>
      </w:pPr>
      <w:r>
        <w:t xml:space="preserve">2.3 The Cliometric and Econometric Methodology Literature</w:t>
      </w:r>
    </w:p>
    <w:bookmarkStart w:id="74" w:name="X2c109ac5595b12104e99ee4b3e81d1a526c2489"/>
    <w:p>
      <w:pPr>
        <w:pStyle w:val="Heading3"/>
        <w:spacing w:line="480" w:lineRule="auto"/>
      </w:pPr>
      <w:r>
        <w:t xml:space="preserve">2.3.1 The Logic of Observational Identification under Selection</w:t>
      </w:r>
    </w:p>
    <w:p>
      <w:pPr>
        <w:pStyle w:val="FirstParagraph"/>
        <w:spacing w:line="480" w:lineRule="auto"/>
      </w:pPr>
      <w:r>
        <w:t xml:space="preserve">Methodology imported here is the cliometric and econometric body of practice built up for credibly identifying treatment effects where random assignment is off the table. The core problem in the domain literature reviewed in Section 2.2 is plain enough: authority assignments do not fall randomly across cases. Operators who delegate more may differ systematically from those who delegate less, and the cases that reach a published compendium are no random sample of all conjunctions. Against that structural problem, the methodology literature brings a compact toolkit, fixed-effects panel specifications absorbing time-invariant operator characteristics, instrumental-variable specifications exploiting plausibly exogenous treatment variation, matched-comparison designs recovering comparability across treatment and control units, and pre-registration protocols standing guard over specification search.</w:t>
      </w:r>
    </w:p>
    <w:p>
      <w:pPr>
        <w:pStyle w:val="BodyText"/>
        <w:spacing w:line="480" w:lineRule="auto"/>
        <w:ind w:firstLine="720"/>
      </w:pPr>
      <w:r>
        <w:t xml:space="preserve">Both the strength and the limit of importing this into the space domain show up in the first paper of this dissertation [1 of the dissertation portfolio]. Its ordinary least squares regression of percent cost growth on autonomy level, complexity, and project age in the GAO Major-Project-Assessment series [8, 20, 21] recovers a precisely estimated coefficient on elapsed time, a marginally significant one on complexity, and a wrong-signed one on autonomy that reads most credibly as selection: NASA’s highest-authority projects are also its most technologically aggressive</w:t>
      </w:r>
      <w:r>
        <w:t xml:space="preserve"> </w:t>
      </w:r>
      <w:hyperlink w:anchor="ref-12">
        <w:r>
          <w:rPr>
            <w:rStyle w:val="Hyperlink"/>
          </w:rPr>
          <w:t xml:space="preserve">[12]</w:t>
        </w:r>
      </w:hyperlink>
      <w:r>
        <w:t xml:space="preserve">. What the paper draws from that, and what this chapter generalizes, is that a credible test of the graduated-delegation thesis on observational data needs one of two things, either a richer instrument for the confounder driving selection or a unit of analysis denser and less tangled with mission class. That unit is the operational episode, and the methodology literature has the estimators for analyzing it.</w:t>
      </w:r>
    </w:p>
    <w:bookmarkEnd w:id="74"/>
    <w:bookmarkStart w:id="75" w:name="X75689200d168cf7b9e87d48a5e21804185347b2"/>
    <w:p>
      <w:pPr>
        <w:pStyle w:val="Heading3"/>
        <w:spacing w:line="480" w:lineRule="auto"/>
      </w:pPr>
      <w:r>
        <w:t xml:space="preserve">2.3.2 Fixed-Effects, Matched Comparison, and the Cliometric Tradition</w:t>
      </w:r>
    </w:p>
    <w:p>
      <w:pPr>
        <w:pStyle w:val="FirstParagraph"/>
        <w:spacing w:line="480" w:lineRule="auto"/>
      </w:pPr>
      <w:r>
        <w:t xml:space="preserve">Borrowing from the cliometric tradition means borrowing a well-worn practice, native to economics and increasingly imported into engineering systems, of treating observational data as a structured panel and mining the panel structure to soak up unobserved heterogeneity. Regress an operational outcome on a regime indicator, add operator and epoch as fixed effects and decision class and traffic density as strata, and you recover within-operator variation in the regime, identifying the regime effect under the assumption that the omitted variation runs uncorrelated with the regime once the controls are in. Structured enough to support this kind of panel at the operator-epoch level are the CARA compendium</w:t>
      </w:r>
      <w:r>
        <w:t xml:space="preserve"> </w:t>
      </w:r>
      <w:hyperlink w:anchor="ref-1">
        <w:r>
          <w:rPr>
            <w:rStyle w:val="Hyperlink"/>
          </w:rPr>
          <w:t xml:space="preserve">[1]</w:t>
        </w:r>
      </w:hyperlink>
      <w:r>
        <w:t xml:space="preserve"> </w:t>
      </w:r>
      <w:r>
        <w:t xml:space="preserve">and the ESA CREAM and Space Safety Programme material [2, 3], and yet no published paper has built such a panel to test an authority-calibration hypothesis. Demonstrating the cognate logistic estimator, the second paper of the dissertation portfolio runs it on 36 operational events from those same case-base sources, recovering a positive and significant coefficient on autonomy level and a positive and significant one on the decision window, and showing the operational level to be where the methodology has the most grip.</w:t>
      </w:r>
    </w:p>
    <w:p>
      <w:pPr>
        <w:pStyle w:val="BodyText"/>
        <w:spacing w:line="480" w:lineRule="auto"/>
        <w:ind w:firstLine="720"/>
      </w:pPr>
      <w:r>
        <w:t xml:space="preserve">Extending the per-event logistic specification toward the panel structure the cliometric tradition prefers is exactly what the matched-comparison design the dissertation adopts does. Every episode in the case-base sources [1, 2, 3] gets coded for decision class, traffic density, time-to-conjunction at first warning, operator response, and realized outcome. Reconstructing the graduated regime means mapping each episode through the trust-calibration instrument [4, 28], which yields a counterfactual authority assignment per episode independent of what the operator declared at the time. Fixed-effects regression of the operational-risk index on the regime indicator, carrying the controls and fixed effects above, is the estimator. Its identifying assumption sits on firmer ground than the cost-growth specification of the first paper, because the operator-epoch fixed effects absorb the time-invariant operator characteristics that produced the selection result in the cost-growth panel.</w:t>
      </w:r>
    </w:p>
    <w:bookmarkEnd w:id="75"/>
    <w:bookmarkStart w:id="76" w:name="Xb57cd0ab67b1e41b9451354b0c8a774f43f6354"/>
    <w:p>
      <w:pPr>
        <w:pStyle w:val="Heading3"/>
        <w:spacing w:line="480" w:lineRule="auto"/>
      </w:pPr>
      <w:r>
        <w:t xml:space="preserve">2.3.3 Instrumental Specifications and Robustness in Operational Settings</w:t>
      </w:r>
    </w:p>
    <w:p>
      <w:pPr>
        <w:pStyle w:val="FirstParagraph"/>
        <w:spacing w:line="480" w:lineRule="auto"/>
      </w:pPr>
      <w:r>
        <w:t xml:space="preserve">A second line of identification comes from instrumental-variable specifications. Conjunction-warning lead time is the instrument the dissertation takes for the realised regime. Two premises the domain literature supports carry the choice. First, warning lead time is generated by the screening pipeline upstream of the operator decision, plausibly exogenous to the operator’s authority choice within the band of cases that reach the compendium. Second, warning lead time has a first-stage tie to the realised regime, since short-lead-time cases get pushed mechanically toward the more automated layers, as both the on-board autonomy literature [16, 17] and the OneWeb self-report</w:t>
      </w:r>
      <w:r>
        <w:t xml:space="preserve"> </w:t>
      </w:r>
      <w:hyperlink w:anchor="ref-15">
        <w:r>
          <w:rPr>
            <w:rStyle w:val="Hyperlink"/>
          </w:rPr>
          <w:t xml:space="preserve">[15]</w:t>
        </w:r>
      </w:hyperlink>
      <w:r>
        <w:t xml:space="preserve"> </w:t>
      </w:r>
      <w:r>
        <w:t xml:space="preserve">record. Testable through a comparison of reduced-form and two-stage estimates and through the leave-one-operator-out cross-validation the pre-registration specifies is the exclusion restriction, that warning lead time touches the operational-risk index only by way of the regime.</w:t>
      </w:r>
    </w:p>
    <w:p>
      <w:pPr>
        <w:pStyle w:val="BodyText"/>
        <w:spacing w:line="480" w:lineRule="auto"/>
        <w:ind w:firstLine="720"/>
      </w:pPr>
      <w:r>
        <w:t xml:space="preserve">Robustness in operational settings has matured in the methodology literature too. Now standard in observational engineering settings where samples are modest and a posterior over the regime effect beats a lone point estimate is the hierarchical Bayesian specification the dissertation reports next to the frequentist fixed-effects estimate. Against the case where one operator drives the whole result, a particular hazard in a compendium concentrated in a few large operators, stands the leave-one-operator-out cross-validation. And pre-registering the estimator, the weights, and the exclusion rules before the first model fit is the guard against specification search, one the cliometric tradition demands more and more in domains where the case base is finite and the itch to refit runs high.</w:t>
      </w:r>
    </w:p>
    <w:bookmarkEnd w:id="76"/>
    <w:bookmarkStart w:id="77" w:name="Xced5043e986d5e0050e08edeedc2df2a13b159b"/>
    <w:p>
      <w:pPr>
        <w:pStyle w:val="Heading3"/>
        <w:spacing w:line="480" w:lineRule="auto"/>
      </w:pPr>
      <w:r>
        <w:t xml:space="preserve">2.3.4 The Operational-Risk Index as a Composite Dependent Variable</w:t>
      </w:r>
    </w:p>
    <w:p>
      <w:pPr>
        <w:pStyle w:val="FirstParagraph"/>
        <w:spacing w:line="480" w:lineRule="auto"/>
      </w:pPr>
      <w:r>
        <w:t xml:space="preserve">Building composite dependent variables where no single outcome captures the construct is a practice the methodology literature has already settled. Here the operational-risk index comes out as a weighted composite of unnecessary-maneuver rate, late-decision rate, and propellant cost per resolved conjunction, its weights set by the decision-class taxonomy from the Jabbarpour review</w:t>
      </w:r>
      <w:r>
        <w:t xml:space="preserve"> </w:t>
      </w:r>
      <w:hyperlink w:anchor="ref-7">
        <w:r>
          <w:rPr>
            <w:rStyle w:val="Hyperlink"/>
          </w:rPr>
          <w:t xml:space="preserve">[7]</w:t>
        </w:r>
      </w:hyperlink>
      <w:r>
        <w:t xml:space="preserve"> </w:t>
      </w:r>
      <w:r>
        <w:t xml:space="preserve">and the propellant-cost parameter space from the CAMmary review [5, 34]. Construction follows methodological practice: pre-register weights and components before the first model fit, report the index next to its components so a reader can weigh each one’s contribution, run sensitivity analysis on the weights. Grounding the index conceptually as a coherent operational construct is the Hussein risk-based decision-making framework</w:t>
      </w:r>
      <w:r>
        <w:t xml:space="preserve"> </w:t>
      </w:r>
      <w:hyperlink w:anchor="ref-14">
        <w:r>
          <w:rPr>
            <w:rStyle w:val="Hyperlink"/>
          </w:rPr>
          <w:t xml:space="preserve">[14]</w:t>
        </w:r>
      </w:hyperlink>
      <w:r>
        <w:t xml:space="preserve">, and the OneWeb self-report</w:t>
      </w:r>
      <w:r>
        <w:t xml:space="preserve"> </w:t>
      </w:r>
      <w:hyperlink w:anchor="ref-15">
        <w:r>
          <w:rPr>
            <w:rStyle w:val="Hyperlink"/>
          </w:rPr>
          <w:t xml:space="preserve">[15]</w:t>
        </w:r>
      </w:hyperlink>
      <w:r>
        <w:t xml:space="preserve"> </w:t>
      </w:r>
      <w:r>
        <w:t xml:space="preserve">demonstrates empirically that an aggregated realized-risk measure carries operational meaning at constellation scale.</w:t>
      </w:r>
    </w:p>
    <w:bookmarkEnd w:id="77"/>
    <w:bookmarkStart w:id="78" w:name="X7ed41bb86398584320e72a5363e033d27557952"/>
    <w:p>
      <w:pPr>
        <w:pStyle w:val="Heading3"/>
        <w:spacing w:line="480" w:lineRule="auto"/>
      </w:pPr>
      <w:r>
        <w:t xml:space="preserve">2.3.5 Pre-Registration, Falsifiability, and the Single-Hypothesis Discipline</w:t>
      </w:r>
    </w:p>
    <w:p>
      <w:pPr>
        <w:pStyle w:val="FirstParagraph"/>
        <w:spacing w:line="480" w:lineRule="auto"/>
      </w:pPr>
      <w:r>
        <w:t xml:space="preserve">Last of what the methodology literature contributes is a discipline, pre-registration paired with a commitment to a single falsifiable hypothesis. Converged on by the cliometric tradition is the habit of stating hypothesis, estimator, weights, exclusion rules, and alpha before the first model fit, then reporting whatever the sign turns out to be. Fully adopted here. That single hypothesis, that mean operational-risk index under a graduated decision-delegation regime lands strictly below mean operational-risk index under a fixed-authority baseline conditional on traffic class and decision class, is the only one the dissertation tests for confirmation. Robustness checks, the instrumental specification, the Bayesian alternative, all report as robustness, none as an extra hypothesis test. This is the discipline the domain literature has not yet brought to authority assignment, and the dissertation contributes it as much by example as by substantive finding.</w:t>
      </w:r>
    </w:p>
    <w:bookmarkEnd w:id="78"/>
    <w:bookmarkEnd w:id="79"/>
    <w:bookmarkStart w:id="80" w:name="synthesis-and-the-unjoined-gap"/>
    <w:p>
      <w:pPr>
        <w:pStyle w:val="Heading2"/>
        <w:spacing w:line="480" w:lineRule="auto"/>
      </w:pPr>
      <w:r>
        <w:t xml:space="preserve">2.4 Synthesis and the Unjoined Gap</w:t>
      </w:r>
    </w:p>
    <w:p>
      <w:pPr>
        <w:pStyle w:val="FirstParagraph"/>
        <w:spacing w:line="480" w:lineRule="auto"/>
      </w:pPr>
      <w:r>
        <w:t xml:space="preserve">Mature and instrument-rich, the two literatures reviewed above still have not been joined at the grain of operational decision episodes drawn from public operator-grade case material. Out of the domain-technical literature have come a population frame</w:t>
      </w:r>
      <w:r>
        <w:t xml:space="preserve"> </w:t>
      </w:r>
      <w:hyperlink w:anchor="ref-1">
        <w:r>
          <w:rPr>
            <w:rStyle w:val="Hyperlink"/>
          </w:rPr>
          <w:t xml:space="preserve">[1]</w:t>
        </w:r>
      </w:hyperlink>
      <w:r>
        <w:t xml:space="preserve">, a vocabulary for graduated authority at the program level [2, 3], a taxonomy of authority levels [7, 9], a maneuver-design parameter space [5, 34], an on-board autonomy benchmark [6, 16, 17], an operator-level realized-risk measure</w:t>
      </w:r>
      <w:r>
        <w:t xml:space="preserve"> </w:t>
      </w:r>
      <w:hyperlink w:anchor="ref-15">
        <w:r>
          <w:rPr>
            <w:rStyle w:val="Hyperlink"/>
          </w:rPr>
          <w:t xml:space="preserve">[15]</w:t>
        </w:r>
      </w:hyperlink>
      <w:r>
        <w:t xml:space="preserve">, and a per-episode trust-calibration instrument [4, 28]. What has not come out is a falsifiable test, on a shared case base, of whether graduated authority keyed to calibrated trust and traffic state beats a fixed-authority assignment on an operator-relevant composite risk index. Nearest to it are the OneWeb self-report</w:t>
      </w:r>
      <w:r>
        <w:t xml:space="preserve"> </w:t>
      </w:r>
      <w:hyperlink w:anchor="ref-15">
        <w:r>
          <w:rPr>
            <w:rStyle w:val="Hyperlink"/>
          </w:rPr>
          <w:t xml:space="preserve">[15]</w:t>
        </w:r>
      </w:hyperlink>
      <w:r>
        <w:t xml:space="preserve">, comparing aggregated realized risk across configurations inside one operator, and the on-board autonomy demonstrations [16, 17], comparing on-board to ground-mediated dispositions inside one controlled campaign. Pre-register a hypothesis, neither does. Use a fixed-effects or instrumental specification to control for the selection driving the cost-growth result in the first paper, neither does. Map the trust-calibration instrument [4, 28] onto a counterfactual authority assignment the way the matched-comparison design of the dissertation does, neither does.</w:t>
      </w:r>
    </w:p>
    <w:p>
      <w:pPr>
        <w:pStyle w:val="BodyText"/>
        <w:spacing w:line="480" w:lineRule="auto"/>
        <w:ind w:firstLine="720"/>
      </w:pPr>
      <w:r>
        <w:t xml:space="preserve">Estimators and protocols to shut this gap are exactly what the cliometric and econometric methodology literature has produced, and none of them has been turned on the authority-calibration question in space operations. Standard practice in cognate domains covers the whole kit, the fixed-effects panel specification, the instrumental-variable specification with warning lead time as the instrument, the hierarchical Bayesian robustness check, the leave-one-operator-out cross-validation, the pre-registration protocol, and each is portable to the case-base sources [1, 2, 3] without methodological invention. What the dissertation contributes is the joining itself: building the per-episode panel from published case material, mapping the trust-calibration instrument [4, 28] onto a counterfactual authority assignment, constructing the operational-risk index from the CAMmary parameter space [5, 34] and the Hussein decision framework</w:t>
      </w:r>
      <w:r>
        <w:t xml:space="preserve"> </w:t>
      </w:r>
      <w:hyperlink w:anchor="ref-14">
        <w:r>
          <w:rPr>
            <w:rStyle w:val="Hyperlink"/>
          </w:rPr>
          <w:t xml:space="preserve">[14]</w:t>
        </w:r>
      </w:hyperlink>
      <w:r>
        <w:t xml:space="preserve">, and estimating the regime effect under pre-registration and the discipline the methodology literature has converged on.</w:t>
      </w:r>
    </w:p>
    <w:p>
      <w:pPr>
        <w:pStyle w:val="BodyText"/>
        <w:spacing w:line="480" w:lineRule="auto"/>
        <w:ind w:firstLine="720"/>
      </w:pPr>
      <w:r>
        <w:t xml:space="preserve">Nor is the stake of the gap narrowly technical. Zancan, Paravano, Locatelli, and Trucco, synthesizing evolving governance in the space sector from legacy to new space models</w:t>
      </w:r>
      <w:r>
        <w:t xml:space="preserve"> </w:t>
      </w:r>
      <w:hyperlink w:anchor="ref-39">
        <w:r>
          <w:rPr>
            <w:rStyle w:val="Hyperlink"/>
          </w:rPr>
          <w:t xml:space="preserve">[39]</w:t>
        </w:r>
      </w:hyperlink>
      <w:r>
        <w:t xml:space="preserve">, and Takata and Hidaka, analyzing public-private partnership in the space sector</w:t>
      </w:r>
      <w:r>
        <w:t xml:space="preserve"> </w:t>
      </w:r>
      <w:hyperlink w:anchor="ref-35">
        <w:r>
          <w:rPr>
            <w:rStyle w:val="Hyperlink"/>
          </w:rPr>
          <w:t xml:space="preserve">[35]</w:t>
        </w:r>
      </w:hyperlink>
      <w:r>
        <w:t xml:space="preserve">, set the authority-calibration question inside a broader institutional shift, one moving the locus of operational authority off program offices and onto constellation operators and on-board logic. Hook, Wright, Byers, and Boley, analyzing uncontrolled reentries and aviation safety</w:t>
      </w:r>
      <w:r>
        <w:t xml:space="preserve"> </w:t>
      </w:r>
      <w:hyperlink w:anchor="ref-38">
        <w:r>
          <w:rPr>
            <w:rStyle w:val="Hyperlink"/>
          </w:rPr>
          <w:t xml:space="preserve">[38]</w:t>
        </w:r>
      </w:hyperlink>
      <w:r>
        <w:t xml:space="preserve">, show authority assignments made at the operational layer summing into population-level safety outcomes, which turns authority calibration into a governance question and not an engineering one alone. Spillar and Pirtle, updating the Commercial and Foreign Entities pilot program</w:t>
      </w:r>
      <w:r>
        <w:t xml:space="preserve"> </w:t>
      </w:r>
      <w:hyperlink w:anchor="ref-29">
        <w:r>
          <w:rPr>
            <w:rStyle w:val="Hyperlink"/>
          </w:rPr>
          <w:t xml:space="preserve">[29]</w:t>
        </w:r>
      </w:hyperlink>
      <w:r>
        <w:t xml:space="preserve">, and Wetterer and colleagues, on efficient photometry in-frame calibration</w:t>
      </w:r>
      <w:r>
        <w:t xml:space="preserve"> </w:t>
      </w:r>
      <w:hyperlink w:anchor="ref-30">
        <w:r>
          <w:rPr>
            <w:rStyle w:val="Hyperlink"/>
          </w:rPr>
          <w:t xml:space="preserve">[30]</w:t>
        </w:r>
      </w:hyperlink>
      <w:r>
        <w:t xml:space="preserve">, document the longer history of the public-private interface in space-situational-awareness data and operations, the institutional backdrop the authority question is now being asked against. Soryl and Sandberg, analyzing directed panspermia</w:t>
      </w:r>
      <w:r>
        <w:t xml:space="preserve"> </w:t>
      </w:r>
      <w:hyperlink w:anchor="ref-36">
        <w:r>
          <w:rPr>
            <w:rStyle w:val="Hyperlink"/>
          </w:rPr>
          <w:t xml:space="preserve">[36]</w:t>
        </w:r>
      </w:hyperlink>
      <w:r>
        <w:t xml:space="preserve">, and Sasahara and colleagues, on brain function under simulated International Space Station conditions</w:t>
      </w:r>
      <w:r>
        <w:t xml:space="preserve"> </w:t>
      </w:r>
      <w:hyperlink w:anchor="ref-37">
        <w:r>
          <w:rPr>
            <w:rStyle w:val="Hyperlink"/>
          </w:rPr>
          <w:t xml:space="preserve">[37]</w:t>
        </w:r>
      </w:hyperlink>
      <w:r>
        <w:t xml:space="preserve">, sit at the periphery of the domain and still make a point: the space-operations literature has grown at ease with the kind of interdisciplinary borrowing the dissertation runs, pulling trust-calibration and cliometric methodology into a domain that used to keep to its own engineering.</w:t>
      </w:r>
    </w:p>
    <w:p>
      <w:pPr>
        <w:pStyle w:val="BodyText"/>
        <w:spacing w:line="480" w:lineRule="auto"/>
        <w:ind w:firstLine="720"/>
      </w:pPr>
      <w:r>
        <w:t xml:space="preserve">As a single proposition, the gap reads like this. Every ingredient of a credible test of graduated decision-delegation against a fixed-authority baseline over a public operator-grade case base is already in the published literature, and the test itself is not. The dissertation shuts the gap by running the test, under the discipline the cliometric tradition demands, over the case-base sources [1, 2, 3] the domain literature produced, with the trust-calibration instrument [4, 28] mapped onto a counterfactual authority assignment, the operational-risk index built from the CAMmary parameter space [5, 34] and the Hussein decision framework</w:t>
      </w:r>
      <w:r>
        <w:t xml:space="preserve"> </w:t>
      </w:r>
      <w:hyperlink w:anchor="ref-14">
        <w:r>
          <w:rPr>
            <w:rStyle w:val="Hyperlink"/>
          </w:rPr>
          <w:t xml:space="preserve">[14]</w:t>
        </w:r>
      </w:hyperlink>
      <w:r>
        <w:t xml:space="preserve">, and the authority taxonomy from the Jabbarpour review</w:t>
      </w:r>
      <w:r>
        <w:t xml:space="preserve"> </w:t>
      </w:r>
      <w:hyperlink w:anchor="ref-7">
        <w:r>
          <w:rPr>
            <w:rStyle w:val="Hyperlink"/>
          </w:rPr>
          <w:t xml:space="preserve">[7]</w:t>
        </w:r>
      </w:hyperlink>
      <w:r>
        <w:t xml:space="preserve"> </w:t>
      </w:r>
      <w:r>
        <w:t xml:space="preserve">supplying the ordinal coding. Against this literature, the contribution is the joining itself, the first published test of an authority-calibration hypothesis over a shared operator-grade case base under the discipline of pre-registration, fixed-effects identification, instrumental robustness, and a Bayesian alternative. Operationalizing that contribution is the work of the remaining chapters.</w:t>
      </w:r>
    </w:p>
    <w:bookmarkEnd w:id="80"/>
    <w:bookmarkEnd w:id="81"/>
    <w:bookmarkStart w:id="89" w:name="Xcfcc00a3ded59aed0c781c16bfc121f2a509603"/>
    <w:p>
      <w:pPr>
        <w:pStyle w:val="Heading1"/>
        <w:spacing w:line="480" w:lineRule="auto"/>
      </w:pPr>
      <w:r>
        <w:t xml:space="preserve">Chapter 3. Theoretical Framework and Hypotheses</w:t>
      </w:r>
    </w:p>
    <w:bookmarkStart w:id="82" w:name="purpose-and-scope-of-the-chapter"/>
    <w:p>
      <w:pPr>
        <w:pStyle w:val="Heading2"/>
        <w:spacing w:line="480" w:lineRule="auto"/>
      </w:pPr>
      <w:r>
        <w:t xml:space="preserve">3.1 Purpose and Scope of the Chapter</w:t>
      </w:r>
    </w:p>
    <w:p>
      <w:pPr>
        <w:pStyle w:val="FirstParagraph"/>
        <w:spacing w:line="480" w:lineRule="auto"/>
      </w:pPr>
      <w:r>
        <w:t xml:space="preserve">Two chapters have set the scene and named the unresolved engineering question.</w:t>
      </w:r>
    </w:p>
    <w:p>
      <w:pPr>
        <w:pStyle w:val="BodyText"/>
        <w:spacing w:line="480" w:lineRule="auto"/>
        <w:ind w:firstLine="720"/>
      </w:pPr>
      <w:r>
        <w:t xml:space="preserve">Chapter 1 dropped the dissertation into the population of operator decisions mediated by partially autonomous infrastructure on the conjunction-assessment and collision-avoidance pipeline; Chapter 2 walked the maneuver-design, autonomy-taxonomy, and human-machine teaming literatures ringing it. Now comes the theoretical work those reviews put off. Here the constructs the dissertation treats as fixed get stated, the causal logic tying graduated decision-delegation to operational risk gets spelled out episode by episode, and the null and alternative hypotheses get restated in the exact form the empirical chapters lean on. Narrow on purpose, this chapter. Rival theoretical traditions go unsurveyed in full, no new theory is floated, and no mechanism beyond the pre-registered moderators gets tested. Its one job is to make the inferential commitments legible before a single estimator is fit.</w:t>
      </w:r>
    </w:p>
    <w:p>
      <w:pPr>
        <w:pStyle w:val="BodyText"/>
        <w:spacing w:line="480" w:lineRule="auto"/>
        <w:ind w:firstLine="720"/>
      </w:pPr>
      <w:r>
        <w:t xml:space="preserve">Five parts carry the argument. Section 3.2 fixes the constructs, authority, delegation, trust calibration, and the dependent variable. Section 3.3 recovers the supervisory-control inheritance the graduated regime descends from and lifts out the three propositions in that tradition the dissertation actually stands on. Section 3.4 works the causal mechanism beat by beat, through decision-cycle compression, escalation friction, and the conditional value of human review under tempo. Section 3.5 brings in the moderators, traffic class and decision class, as the strata the test conditions on, and says why those two carry the load and others do not. Section 3.6 states H0 and H1 in pre-registration-ready form, defines the Operational Risk Index behind the dependent variable, and marks out what would falsify the alternative.</w:t>
      </w:r>
    </w:p>
    <w:bookmarkEnd w:id="82"/>
    <w:bookmarkStart w:id="83" w:name="construct-definitions"/>
    <w:p>
      <w:pPr>
        <w:pStyle w:val="Heading2"/>
        <w:spacing w:line="480" w:lineRule="auto"/>
      </w:pPr>
      <w:r>
        <w:t xml:space="preserve">3.2 Construct Definitions</w:t>
      </w:r>
    </w:p>
    <w:p>
      <w:pPr>
        <w:pStyle w:val="FirstParagraph"/>
        <w:spacing w:line="480" w:lineRule="auto"/>
      </w:pPr>
      <w:r>
        <w:t xml:space="preserve">Four constructs carry the weight in the chapters ahead, and each needs pinning down here.</w:t>
      </w:r>
    </w:p>
    <w:p>
      <w:pPr>
        <w:pStyle w:val="BodyText"/>
        <w:spacing w:line="480" w:lineRule="auto"/>
        <w:ind w:firstLine="720"/>
      </w:pPr>
      <w:r>
        <w:rPr>
          <w:b/>
          <w:bCs/>
        </w:rPr>
        <w:t xml:space="preserve">Authority level</w:t>
      </w:r>
      <w:r>
        <w:t xml:space="preserve"> </w:t>
      </w:r>
      <w:r>
        <w:t xml:space="preserve">is the highest class of decision a software-mediated agent may execute without a human ratifying it at the instant the decision is taken. What the dissertation adopts is the four-level ordinal scale already run in the companion logistic-regression analysis and inherited, with adaptation, from supervisory control: 0 manual, 1 advisory, 2 supervised autonomy, 3 full autonomy</w:t>
      </w:r>
      <w:r>
        <w:t xml:space="preserve"> </w:t>
      </w:r>
      <w:hyperlink w:anchor="ref-9">
        <w:r>
          <w:rPr>
            <w:rStyle w:val="Hyperlink"/>
          </w:rPr>
          <w:t xml:space="preserve">[9]</w:t>
        </w:r>
      </w:hyperlink>
      <w:r>
        <w:t xml:space="preserve">. Authority belongs to the configuration a decision is taken in, not to the platform writ large. One spacecraft can sit at authority level 2 for routine conjunction screening and level 0 for orbit-raising inside a single operational week. Conventions separating goal-level from task-level delegation come from the agent-based mission-management taxonomy in Acta Astronautica</w:t>
      </w:r>
      <w:r>
        <w:t xml:space="preserve"> </w:t>
      </w:r>
      <w:hyperlink w:anchor="ref-7">
        <w:r>
          <w:rPr>
            <w:rStyle w:val="Hyperlink"/>
          </w:rPr>
          <w:t xml:space="preserve">[7]</w:t>
        </w:r>
      </w:hyperlink>
      <w:r>
        <w:t xml:space="preserve">; the dissertation runs the task-level reading, which fits a unit of observation that is one decision episode rather than a mission phase.</w:t>
      </w:r>
    </w:p>
    <w:p>
      <w:pPr>
        <w:pStyle w:val="BodyText"/>
        <w:spacing w:line="480" w:lineRule="auto"/>
        <w:ind w:firstLine="720"/>
      </w:pPr>
      <w:r>
        <w:rPr>
          <w:b/>
          <w:bCs/>
        </w:rPr>
        <w:t xml:space="preserve">Decision-delegation regime</w:t>
      </w:r>
      <w:r>
        <w:t xml:space="preserve"> </w:t>
      </w:r>
      <w:r>
        <w:t xml:space="preserve">is the rule assigning authority level to a class of decisions on a given platform under a given operator. Two regimes are compared. Under the</w:t>
      </w:r>
      <w:r>
        <w:t xml:space="preserve"> </w:t>
      </w:r>
      <w:r>
        <w:rPr>
          <w:b/>
          <w:bCs/>
        </w:rPr>
        <w:t xml:space="preserve">fixed-authority regime</w:t>
      </w:r>
      <w:r>
        <w:t xml:space="preserve">, every episode in a decision class draws the same authority level whatever the trust state or traffic conditions, and that level is the one the operator declared at the time and the public case material logged. Under the</w:t>
      </w:r>
      <w:r>
        <w:t xml:space="preserve"> </w:t>
      </w:r>
      <w:r>
        <w:rPr>
          <w:b/>
          <w:bCs/>
        </w:rPr>
        <w:t xml:space="preserve">graduated regime</w:t>
      </w:r>
      <w:r>
        <w:t xml:space="preserve">, authority is a function of three inputs, the operator’s calibrated trust in the autonomous component, the observed traffic density at the moment of the episode, and the decision class itself. Free-form the graduated regime is not. It is a deterministic mapping the dissertation publishes before the first model is fit, reconstructed from each episode’s recorded covariates rather than drawn up in the abstract.</w:t>
      </w:r>
    </w:p>
    <w:p>
      <w:pPr>
        <w:pStyle w:val="BodyText"/>
        <w:spacing w:line="480" w:lineRule="auto"/>
        <w:ind w:firstLine="720"/>
      </w:pPr>
      <w:r>
        <w:rPr>
          <w:b/>
          <w:bCs/>
        </w:rPr>
        <w:t xml:space="preserve">Trust calibration</w:t>
      </w:r>
      <w:r>
        <w:t xml:space="preserve"> </w:t>
      </w:r>
      <w:r>
        <w:t xml:space="preserve">is how tightly an operator’s confidence in an autonomous component tracks that component’s demonstrated competence on the decision class at hand. The construct comes from the human-machine teaming cognitive-task-analysis instrument published for autonomous space sensing</w:t>
      </w:r>
      <w:r>
        <w:t xml:space="preserve"> </w:t>
      </w:r>
      <w:hyperlink w:anchor="ref-4">
        <w:r>
          <w:rPr>
            <w:rStyle w:val="Hyperlink"/>
          </w:rPr>
          <w:t xml:space="preserve">[4]</w:t>
        </w:r>
      </w:hyperlink>
      <w:r>
        <w:t xml:space="preserve">, which reads calibration as a running property of the pair rather than a binary disposition. Trust the dissertation does not measure directly. Instead it maps each episode through the published coding instrument, using two independent coders and a reported inter-coder kappa, to land an ordinal trust state per episode.</w:t>
      </w:r>
    </w:p>
    <w:p>
      <w:pPr>
        <w:pStyle w:val="BodyText"/>
        <w:spacing w:line="480" w:lineRule="auto"/>
        <w:ind w:firstLine="720"/>
      </w:pPr>
      <w:r>
        <w:rPr>
          <w:b/>
          <w:bCs/>
        </w:rPr>
        <w:t xml:space="preserve">Operational Risk Index (ORI)</w:t>
      </w:r>
      <w:r>
        <w:t xml:space="preserve"> </w:t>
      </w:r>
      <w:r>
        <w:t xml:space="preserve">is the per-episode dependent variable, a pre-registered composite of three terms, the unnecessary-maneuver rate, the late-decision rate, and the propellant cost per resolved conjunction, weighted by decision class. Supplying the maneuver-design parameter space behind the propellant term is the CAMmary review</w:t>
      </w:r>
      <w:r>
        <w:t xml:space="preserve"> </w:t>
      </w:r>
      <w:hyperlink w:anchor="ref-5">
        <w:r>
          <w:rPr>
            <w:rStyle w:val="Hyperlink"/>
          </w:rPr>
          <w:t xml:space="preserve">[5]</w:t>
        </w:r>
      </w:hyperlink>
      <w:r>
        <w:t xml:space="preserve">; supplying the maneuver and late-decision indicators are the CARA compendium</w:t>
      </w:r>
      <w:r>
        <w:t xml:space="preserve"> </w:t>
      </w:r>
      <w:hyperlink w:anchor="ref-1">
        <w:r>
          <w:rPr>
            <w:rStyle w:val="Hyperlink"/>
          </w:rPr>
          <w:t xml:space="preserve">[1]</w:t>
        </w:r>
      </w:hyperlink>
      <w:r>
        <w:t xml:space="preserve"> </w:t>
      </w:r>
      <w:r>
        <w:t xml:space="preserve">and the ESA case material [2, 3]. ORI is bounded below by zero, unbounded above, and lower is better. Its construct decisions are documented in Chapter 4 and locked at pre-registration.</w:t>
      </w:r>
    </w:p>
    <w:p>
      <w:pPr>
        <w:pStyle w:val="BodyText"/>
        <w:spacing w:line="480" w:lineRule="auto"/>
        <w:ind w:firstLine="720"/>
      </w:pPr>
      <w:r>
        <w:t xml:space="preserve">Those four run through the rest of the chapter without further qualification.</w:t>
      </w:r>
    </w:p>
    <w:bookmarkEnd w:id="83"/>
    <w:bookmarkStart w:id="84" w:name="X6cf154a911506b3abac102445f48743614a240f"/>
    <w:p>
      <w:pPr>
        <w:pStyle w:val="Heading2"/>
        <w:spacing w:line="480" w:lineRule="auto"/>
      </w:pPr>
      <w:r>
        <w:t xml:space="preserve">3.3 The Supervisory-Control Inheritance and Its Limits</w:t>
      </w:r>
    </w:p>
    <w:p>
      <w:pPr>
        <w:pStyle w:val="FirstParagraph"/>
        <w:spacing w:line="480" w:lineRule="auto"/>
      </w:pPr>
      <w:r>
        <w:t xml:space="preserve">Descending from the supervisory-control tradition that opened with undersea teleoperators</w:t>
      </w:r>
      <w:r>
        <w:t xml:space="preserve"> </w:t>
      </w:r>
      <w:hyperlink w:anchor="ref-9">
        <w:r>
          <w:rPr>
            <w:rStyle w:val="Hyperlink"/>
          </w:rPr>
          <w:t xml:space="preserve">[9]</w:t>
        </w:r>
      </w:hyperlink>
      <w:r>
        <w:t xml:space="preserve"> </w:t>
      </w:r>
      <w:r>
        <w:t xml:space="preserve">and matured through two decades of autonomy-level argument is the graduated regime. Three propositions the dissertation inherits from that tradition. A fourth it pointedly refuses.</w:t>
      </w:r>
    </w:p>
    <w:p>
      <w:pPr>
        <w:pStyle w:val="BodyText"/>
        <w:spacing w:line="480" w:lineRule="auto"/>
        <w:ind w:firstLine="720"/>
      </w:pPr>
      <w:r>
        <w:t xml:space="preserve">First inherited: authority is a property of a decision, not of a platform. Supervisory control treats automation level as a per-function attribute, and agent-based mission management carried that treatment into distributed space systems barely touched</w:t>
      </w:r>
      <w:r>
        <w:t xml:space="preserve"> </w:t>
      </w:r>
      <w:hyperlink w:anchor="ref-7">
        <w:r>
          <w:rPr>
            <w:rStyle w:val="Hyperlink"/>
          </w:rPr>
          <w:t xml:space="preserve">[7]</w:t>
        </w:r>
      </w:hyperlink>
      <w:r>
        <w:t xml:space="preserve">. Authority-per-decision is what the dissertation reads throughout, an episode, not a spacecraft, being the unit of analysis.</w:t>
      </w:r>
    </w:p>
    <w:p>
      <w:pPr>
        <w:pStyle w:val="BodyText"/>
        <w:spacing w:line="480" w:lineRule="auto"/>
        <w:ind w:firstLine="720"/>
      </w:pPr>
      <w:r>
        <w:t xml:space="preserve">Second inherited: the value of human review in a loop drops as the time for that review drops. Cost-of-delay logic runs implicit through the supervisory-control corpus and explicit through the on-board-autonomy literature</w:t>
      </w:r>
      <w:r>
        <w:t xml:space="preserve"> </w:t>
      </w:r>
      <w:hyperlink w:anchor="ref-6">
        <w:r>
          <w:rPr>
            <w:rStyle w:val="Hyperlink"/>
          </w:rPr>
          <w:t xml:space="preserve">[6]</w:t>
        </w:r>
      </w:hyperlink>
      <w:r>
        <w:t xml:space="preserve">, which holds that the gains from on-board execution bunch where ground-loop latency is large next to the decision deadline. By optimisation rather than human factors, the autonomous-trajectory-optimisation literature in Acta Astronautica arrives at the same place</w:t>
      </w:r>
      <w:r>
        <w:t xml:space="preserve"> </w:t>
      </w:r>
      <w:hyperlink w:anchor="ref-6">
        <w:r>
          <w:rPr>
            <w:rStyle w:val="Hyperlink"/>
          </w:rPr>
          <w:t xml:space="preserve">[6]</w:t>
        </w:r>
      </w:hyperlink>
      <w:r>
        <w:t xml:space="preserve">. This is the central mechanism the dissertation treats as translating regime into outcome.</w:t>
      </w:r>
    </w:p>
    <w:p>
      <w:pPr>
        <w:pStyle w:val="BodyText"/>
        <w:spacing w:line="480" w:lineRule="auto"/>
        <w:ind w:firstLine="720"/>
      </w:pPr>
      <w:r>
        <w:t xml:space="preserve">Third inherited: trust between operator and automation is not handed over at deployment but banked through exposure. Making the proposition operational is the cognitive-task-analysis work for autonomous space sensing, which pins the antecedents of calibrated trust and the failure modes of mis-calibration</w:t>
      </w:r>
      <w:r>
        <w:t xml:space="preserve"> </w:t>
      </w:r>
      <w:hyperlink w:anchor="ref-4">
        <w:r>
          <w:rPr>
            <w:rStyle w:val="Hyperlink"/>
          </w:rPr>
          <w:t xml:space="preserve">[4]</w:t>
        </w:r>
      </w:hyperlink>
      <w:r>
        <w:t xml:space="preserve">. From this the dissertation draws its reason for letting authority move with trust state rather than freezing it once at deployment.</w:t>
      </w:r>
    </w:p>
    <w:p>
      <w:pPr>
        <w:pStyle w:val="BodyText"/>
        <w:spacing w:line="480" w:lineRule="auto"/>
        <w:ind w:firstLine="720"/>
      </w:pPr>
      <w:r>
        <w:t xml:space="preserve">Fourth, and refused: the prescriptive claim that higher authority is generically better.</w:t>
      </w:r>
    </w:p>
    <w:p>
      <w:pPr>
        <w:pStyle w:val="BodyText"/>
        <w:spacing w:line="480" w:lineRule="auto"/>
        <w:ind w:firstLine="720"/>
      </w:pPr>
      <w:r>
        <w:t xml:space="preserve">CAMmary documents the value of authority as non-monotonic in mission class</w:t>
      </w:r>
      <w:r>
        <w:t xml:space="preserve"> </w:t>
      </w:r>
      <w:hyperlink w:anchor="ref-5">
        <w:r>
          <w:rPr>
            <w:rStyle w:val="Hyperlink"/>
          </w:rPr>
          <w:t xml:space="preserve">[5]</w:t>
        </w:r>
      </w:hyperlink>
      <w:r>
        <w:t xml:space="preserve">, and the OneWeb large-constellation self-report shows operator-side authority coexisting with low realized risk when the screening loops themselves run fast</w:t>
      </w:r>
      <w:r>
        <w:t xml:space="preserve"> </w:t>
      </w:r>
      <w:hyperlink w:anchor="ref-15">
        <w:r>
          <w:rPr>
            <w:rStyle w:val="Hyperlink"/>
          </w:rPr>
          <w:t xml:space="preserve">[15]</w:t>
        </w:r>
      </w:hyperlink>
      <w:r>
        <w:t xml:space="preserve">. No generic preference for higher authority survives the empirical record the dissertation stands on. So the hypothesis in Section 3.6 is comparative between regimes, not directional in authority.</w:t>
      </w:r>
    </w:p>
    <w:bookmarkEnd w:id="84"/>
    <w:bookmarkStart w:id="85" w:name="the-causal-mechanism"/>
    <w:p>
      <w:pPr>
        <w:pStyle w:val="Heading2"/>
        <w:spacing w:line="480" w:lineRule="auto"/>
      </w:pPr>
      <w:r>
        <w:t xml:space="preserve">3.4 The Causal Mechanism</w:t>
      </w:r>
    </w:p>
    <w:p>
      <w:pPr>
        <w:pStyle w:val="FirstParagraph"/>
        <w:spacing w:line="480" w:lineRule="auto"/>
      </w:pPr>
      <w:r>
        <w:t xml:space="preserve">Reducing ORI relative to the fixed-authority regime is what the graduated regime is hypothesized to do, and it does it through one decomposable mechanism. Three beats. The dissertation lives or dies on whether the empirical record backs their joint operation.</w:t>
      </w:r>
    </w:p>
    <w:p>
      <w:pPr>
        <w:pStyle w:val="BodyText"/>
        <w:spacing w:line="480" w:lineRule="auto"/>
        <w:ind w:firstLine="720"/>
      </w:pPr>
      <w:r>
        <w:t xml:space="preserve">Beat one is</w:t>
      </w:r>
      <w:r>
        <w:t xml:space="preserve"> </w:t>
      </w:r>
      <w:r>
        <w:rPr>
          <w:b/>
          <w:bCs/>
        </w:rPr>
        <w:t xml:space="preserve">decision-cycle compression</w:t>
      </w:r>
      <w:r>
        <w:t xml:space="preserve">. Under a fixed authority set too low for the tempo, the decision has to travel the operator-to-platform loop before it executes, and that loop carries measurable latency. Lift authority when traffic is dense and the operator’s calibrated trust supports it, and the same decision executes on-board or inside a tight supervisory loop, the gap between detection and action closing. Reporting the latency reduction as the dominant operational gain are both the on-board conjunction-infrastructure prototype literature</w:t>
      </w:r>
      <w:r>
        <w:t xml:space="preserve"> </w:t>
      </w:r>
      <w:hyperlink w:anchor="ref-16">
        <w:r>
          <w:rPr>
            <w:rStyle w:val="Hyperlink"/>
          </w:rPr>
          <w:t xml:space="preserve">[16]</w:t>
        </w:r>
      </w:hyperlink>
      <w:r>
        <w:t xml:space="preserve"> </w:t>
      </w:r>
      <w:r>
        <w:t xml:space="preserve">and the ABACO autonomous-board work</w:t>
      </w:r>
      <w:r>
        <w:t xml:space="preserve"> </w:t>
      </w:r>
      <w:hyperlink w:anchor="ref-17">
        <w:r>
          <w:rPr>
            <w:rStyle w:val="Hyperlink"/>
          </w:rPr>
          <w:t xml:space="preserve">[17]</w:t>
        </w:r>
      </w:hyperlink>
      <w:r>
        <w:t xml:space="preserve">. Compression tells on ORI because the late-decision rate enters the index directly: episodes resolved before the maneuver window shuts contribute zero to that term, episodes resolved after it contribute nontrivially.</w:t>
      </w:r>
    </w:p>
    <w:p>
      <w:pPr>
        <w:pStyle w:val="BodyText"/>
        <w:spacing w:line="480" w:lineRule="auto"/>
        <w:ind w:firstLine="720"/>
      </w:pPr>
      <w:r>
        <w:t xml:space="preserve">Beat two is</w:t>
      </w:r>
      <w:r>
        <w:t xml:space="preserve"> </w:t>
      </w:r>
      <w:r>
        <w:rPr>
          <w:b/>
          <w:bCs/>
        </w:rPr>
        <w:t xml:space="preserve">escalation-friction reduction</w:t>
      </w:r>
      <w:r>
        <w:t xml:space="preserve">. Set the fixed-authority regime above the level the operator’s trust state actually supports and out comes what the human-machine teaming literature calls friction at the supervisory layer. Operator second-guesses the automation, action pauses for after-the-fact ratification, and the decision cycle runs longer in practice than the formal assignment implies</w:t>
      </w:r>
      <w:r>
        <w:t xml:space="preserve"> </w:t>
      </w:r>
      <w:hyperlink w:anchor="ref-4">
        <w:r>
          <w:rPr>
            <w:rStyle w:val="Hyperlink"/>
          </w:rPr>
          <w:t xml:space="preserve">[4]</w:t>
        </w:r>
      </w:hyperlink>
      <w:r>
        <w:t xml:space="preserve">. By mapping authority to calibrated trust, the graduated regime keeps the operator out of any spot where authority outruns trust. Reporting aggregate realized risk falling when screening and approval loops couple tightly, the operational signature of low escalation friction, is the OneWeb self-reporting study</w:t>
      </w:r>
      <w:r>
        <w:t xml:space="preserve"> </w:t>
      </w:r>
      <w:hyperlink w:anchor="ref-15">
        <w:r>
          <w:rPr>
            <w:rStyle w:val="Hyperlink"/>
          </w:rPr>
          <w:t xml:space="preserve">[15]</w:t>
        </w:r>
      </w:hyperlink>
      <w:r>
        <w:t xml:space="preserve">. Friction lands in ORI through the unnecessary-maneuver rate, since friction-driven re-ratifications often settle into precautionary maneuvers the first screening never called for.</w:t>
      </w:r>
    </w:p>
    <w:p>
      <w:pPr>
        <w:pStyle w:val="BodyText"/>
        <w:spacing w:line="480" w:lineRule="auto"/>
        <w:ind w:firstLine="720"/>
      </w:pPr>
      <w:r>
        <w:t xml:space="preserve">Beat three is</w:t>
      </w:r>
      <w:r>
        <w:t xml:space="preserve"> </w:t>
      </w:r>
      <w:r>
        <w:rPr>
          <w:b/>
          <w:bCs/>
        </w:rPr>
        <w:t xml:space="preserve">conditional human review</w:t>
      </w:r>
      <w:r>
        <w:t xml:space="preserve">. High authority the graduated regime is not. Let traffic go sparse and time-to-conjunction go generous, and the graduated regime hands authority back to the operator, preserving the value of human review exactly where it runs highest. This is the proposition that pulls graduated delegation apart from a static high-authority assignment. Making the same point in a different vocabulary is the risk-based-decision-making frame in space traffic management</w:t>
      </w:r>
      <w:r>
        <w:t xml:space="preserve"> </w:t>
      </w:r>
      <w:hyperlink w:anchor="ref-14">
        <w:r>
          <w:rPr>
            <w:rStyle w:val="Hyperlink"/>
          </w:rPr>
          <w:t xml:space="preserve">[14]</w:t>
        </w:r>
      </w:hyperlink>
      <w:r>
        <w:t xml:space="preserve">: the marginal value of human review is decision-class-dependent, and a regime conditioning on class dominates in expectation over one that does not. The propellant-cost term in ORI is where conditional review pays back. Unnecessary maneuvers, including the ones an over-eager automation throws in regimes where human deliberation would have caught the false positive, burn the propellant the propellant term charges for.</w:t>
      </w:r>
    </w:p>
    <w:p>
      <w:pPr>
        <w:pStyle w:val="BodyText"/>
        <w:spacing w:line="480" w:lineRule="auto"/>
        <w:ind w:firstLine="720"/>
      </w:pPr>
      <w:r>
        <w:t xml:space="preserve">Unitary the mechanism is, in that the three beats work the same episode through the same regime assignment. Decomposable it is, in that the robustness analyses can inspect each beat through its matching ORI term, late-decision rate for compression, unnecessary-maneuver rate for escalation friction, propellant cost for conditional review. On the composite runs the main test of Section 3.6 below. Pre-registered as secondary are the mechanism-level analyses, and they are not the contribution of the dissertation.</w:t>
      </w:r>
    </w:p>
    <w:bookmarkEnd w:id="85"/>
    <w:bookmarkStart w:id="86" w:name="Xef93783e5e3c3b3b357af67021b61f22ed457b4"/>
    <w:p>
      <w:pPr>
        <w:pStyle w:val="Heading2"/>
        <w:spacing w:line="480" w:lineRule="auto"/>
      </w:pPr>
      <w:r>
        <w:t xml:space="preserve">3.5 Moderators: Why Traffic Class and Decision Class</w:t>
      </w:r>
    </w:p>
    <w:p>
      <w:pPr>
        <w:pStyle w:val="FirstParagraph"/>
        <w:spacing w:line="480" w:lineRule="auto"/>
      </w:pPr>
      <w:r>
        <w:t xml:space="preserve">Two moderators condition the hypothesis, and only two. Other candidates are visible in the case material and left out, for the reasons below.</w:t>
      </w:r>
    </w:p>
    <w:p>
      <w:pPr>
        <w:pStyle w:val="BodyText"/>
        <w:spacing w:line="480" w:lineRule="auto"/>
        <w:ind w:firstLine="720"/>
      </w:pPr>
      <w:r>
        <w:rPr>
          <w:b/>
          <w:bCs/>
        </w:rPr>
        <w:t xml:space="preserve">Traffic class</w:t>
      </w:r>
      <w:r>
        <w:t xml:space="preserve"> </w:t>
      </w:r>
      <w:r>
        <w:t xml:space="preserve">captures the tempo regime an episode unfolds inside. CAMmary documents maneuver-design problems changing in kind as the local traffic environment runs from sparse to dense</w:t>
      </w:r>
      <w:r>
        <w:t xml:space="preserve"> </w:t>
      </w:r>
      <w:hyperlink w:anchor="ref-5">
        <w:r>
          <w:rPr>
            <w:rStyle w:val="Hyperlink"/>
          </w:rPr>
          <w:t xml:space="preserve">[5]</w:t>
        </w:r>
      </w:hyperlink>
      <w:r>
        <w:t xml:space="preserve">. Autonomous trajectory optimisation reports the gains from autonomy bunching in the dense regime</w:t>
      </w:r>
      <w:r>
        <w:t xml:space="preserve"> </w:t>
      </w:r>
      <w:hyperlink w:anchor="ref-6">
        <w:r>
          <w:rPr>
            <w:rStyle w:val="Hyperlink"/>
          </w:rPr>
          <w:t xml:space="preserve">[6]</w:t>
        </w:r>
      </w:hyperlink>
      <w:r>
        <w:t xml:space="preserve">. OneWeb’s large-constellation self-reporting shows the operational distribution of conjunction events heavy-tailed in traffic density, a small share of orbital regimes throwing off a disproportionate share of episodes</w:t>
      </w:r>
      <w:r>
        <w:t xml:space="preserve"> </w:t>
      </w:r>
      <w:hyperlink w:anchor="ref-15">
        <w:r>
          <w:rPr>
            <w:rStyle w:val="Hyperlink"/>
          </w:rPr>
          <w:t xml:space="preserve">[15]</w:t>
        </w:r>
      </w:hyperlink>
      <w:r>
        <w:t xml:space="preserve">. Conditioning on traffic class therefore does double duty, reflecting the mechanism, since compression matters more under tempo, and bounding the external-validity claim, since the dissertation reports regime effects by traffic class rather than averaged across them.</w:t>
      </w:r>
    </w:p>
    <w:p>
      <w:pPr>
        <w:pStyle w:val="BodyText"/>
        <w:spacing w:line="480" w:lineRule="auto"/>
        <w:ind w:firstLine="720"/>
      </w:pPr>
      <w:r>
        <w:rPr>
          <w:b/>
          <w:bCs/>
        </w:rPr>
        <w:t xml:space="preserve">Decision class</w:t>
      </w:r>
      <w:r>
        <w:t xml:space="preserve"> </w:t>
      </w:r>
      <w:r>
        <w:t xml:space="preserve">captures the consequence asymmetry across episode types. A late screening decision and a late execution decision do not cost the same, and a false-positive maneuver in a routine conjunction does not cost what a false-positive maneuver in a flagged-asset conjunction costs. Supplying the canonical partition is the agent-based mission-management taxonomy</w:t>
      </w:r>
      <w:r>
        <w:t xml:space="preserve"> </w:t>
      </w:r>
      <w:hyperlink w:anchor="ref-7">
        <w:r>
          <w:rPr>
            <w:rStyle w:val="Hyperlink"/>
          </w:rPr>
          <w:t xml:space="preserve">[7]</w:t>
        </w:r>
      </w:hyperlink>
      <w:r>
        <w:t xml:space="preserve">. Coding each episode by decision class in its public release is the CARA compendium</w:t>
      </w:r>
      <w:r>
        <w:t xml:space="preserve"> </w:t>
      </w:r>
      <w:hyperlink w:anchor="ref-1">
        <w:r>
          <w:rPr>
            <w:rStyle w:val="Hyperlink"/>
          </w:rPr>
          <w:t xml:space="preserve">[1]</w:t>
        </w:r>
      </w:hyperlink>
      <w:r>
        <w:t xml:space="preserve">, and the ESA materials [2, 3] use a compatible coding. Conditioning on decision class keeps the ORI weighting honest: the class-conditional weights are how the index refuses to treat consequential and routine decisions as swappable.</w:t>
      </w:r>
    </w:p>
    <w:p>
      <w:pPr>
        <w:pStyle w:val="BodyText"/>
        <w:spacing w:line="480" w:lineRule="auto"/>
        <w:ind w:firstLine="720"/>
      </w:pPr>
      <w:r>
        <w:t xml:space="preserve">Three plausible moderators are dropped on purpose.</w:t>
      </w:r>
      <w:r>
        <w:t xml:space="preserve"> </w:t>
      </w:r>
      <w:r>
        <w:rPr>
          <w:b/>
          <w:bCs/>
        </w:rPr>
        <w:t xml:space="preserve">Operator identity</w:t>
      </w:r>
      <w:r>
        <w:t xml:space="preserve"> </w:t>
      </w:r>
      <w:r>
        <w:t xml:space="preserve">the fixed-effects specification absorbs rather than moderates, since the dissertation claims no operator-varying regime effect and has too small a sample for operator-by-regime interactions.</w:t>
      </w:r>
      <w:r>
        <w:t xml:space="preserve"> </w:t>
      </w:r>
      <w:r>
        <w:rPr>
          <w:b/>
          <w:bCs/>
        </w:rPr>
        <w:t xml:space="preserve">Epoch</w:t>
      </w:r>
      <w:r>
        <w:t xml:space="preserve"> </w:t>
      </w:r>
      <w:r>
        <w:t xml:space="preserve">the fixed effects likewise absorb rather than enter as a moderator, since the case material spans too short a series for epoch-by-regime interactions to be identified.</w:t>
      </w:r>
      <w:r>
        <w:t xml:space="preserve"> </w:t>
      </w:r>
      <w:r>
        <w:rPr>
          <w:b/>
          <w:bCs/>
        </w:rPr>
        <w:t xml:space="preserve">Mission class</w:t>
      </w:r>
      <w:r>
        <w:t xml:space="preserve"> </w:t>
      </w:r>
      <w:r>
        <w:t xml:space="preserve">is out because it is collinear with decision class in the case material; the dissertation reports the decision-class result and notes the implied mission-class make-up in the discussion. Concessions these exclusions are not. They are restrictions on the inferential claim. What the dissertation asserts is a regime effect conditional on traffic class and decision class, and nothing more general.</w:t>
      </w:r>
    </w:p>
    <w:bookmarkEnd w:id="86"/>
    <w:bookmarkStart w:id="87" w:name="formal-hypotheses"/>
    <w:p>
      <w:pPr>
        <w:pStyle w:val="Heading2"/>
        <w:spacing w:line="480" w:lineRule="auto"/>
      </w:pPr>
      <w:r>
        <w:t xml:space="preserve">3.6 Formal Hypotheses</w:t>
      </w:r>
    </w:p>
    <w:p>
      <w:pPr>
        <w:pStyle w:val="FirstParagraph"/>
        <w:spacing w:line="480" w:lineRule="auto"/>
      </w:pPr>
      <w:r>
        <w:t xml:space="preserve">The dissertation tests one hypothesis, on the single dependent variable defined in Section 3.2. Comparative between regimes, not directional in authority. The pre-registration accompanying the empirical chapter fixes the alpha at 0.05 two-sided, the estimator at fixed-effects regression with strata for traffic class and decision class, and the robustness suite at the hierarchical-Bayesian and leave-one-operator-out specifications described in the prospectus.</w:t>
      </w:r>
    </w:p>
    <w:p>
      <w:pPr>
        <w:pStyle w:val="BodyText"/>
        <w:spacing w:line="480" w:lineRule="auto"/>
        <w:ind w:firstLine="720"/>
      </w:pPr>
      <w:r>
        <w:t xml:space="preserve">Let ORI denote the per-episode Operational Risk Index defined in Section 3.2, let R denote the regime indicator taking values fixed and graduated, let T denote the traffic-class moderator, and let D denote the decision-class moderator. Let mu denote conditional mean ORI. The hypotheses are:</w:t>
      </w:r>
    </w:p>
    <w:p>
      <w:pPr>
        <w:pStyle w:val="BodyText"/>
        <w:spacing w:line="480" w:lineRule="auto"/>
        <w:ind w:firstLine="720"/>
      </w:pPr>
      <w:r>
        <w:rPr>
          <w:b/>
          <w:bCs/>
        </w:rPr>
        <w:t xml:space="preserve">H0 (null).</w:t>
      </w:r>
      <w:r>
        <w:t xml:space="preserve"> </w:t>
      </w:r>
      <w:r>
        <w:t xml:space="preserve">mu(ORI | R = graduated, T, D) is greater than or equal to mu(ORI | R = fixed, T, D), for every (T, D) stratum in the analysis sample. The graduated regime, that is, does not strictly reduce conditional mean ORI relative to the fixed-authority regime in any stratum.</w:t>
      </w:r>
    </w:p>
    <w:p>
      <w:pPr>
        <w:pStyle w:val="BodyText"/>
        <w:spacing w:line="480" w:lineRule="auto"/>
        <w:ind w:firstLine="720"/>
      </w:pPr>
      <w:r>
        <w:rPr>
          <w:b/>
          <w:bCs/>
        </w:rPr>
        <w:t xml:space="preserve">H1 (alternative).</w:t>
      </w:r>
      <w:r>
        <w:t xml:space="preserve"> </w:t>
      </w:r>
      <w:r>
        <w:t xml:space="preserve">mu(ORI | R = graduated, T, D) is strictly less than mu(ORI | R = fixed, T, D), conditional on T and D, with the regime effect estimated jointly across strata under the fixed-effects specification and reported with its 95 percent confidence interval. Stratum-specific effects are reported as secondary descriptive estimates.</w:t>
      </w:r>
    </w:p>
    <w:p>
      <w:pPr>
        <w:pStyle w:val="BodyText"/>
        <w:spacing w:line="480" w:lineRule="auto"/>
        <w:ind w:firstLine="720"/>
      </w:pPr>
      <w:r>
        <w:t xml:space="preserve">Rejecting H0 takes a joint regime coefficient that is negative and statistically distinguishable from zero at the pre-registered alpha under the primary estimator, with the sign holding under the hierarchical-Bayesian specification and under the leave-one-operator-out cross-validation. All three checks have to concur before the dissertation claims a rejection. A single positive but non-significant coefficient under the primary estimator counts as a failure to reject. So does a negative and significant coefficient under the primary estimator that then fails the robustness suite. Deliberate, the asymmetric standard: what the dissertation is after is a robust rejection or a defensible non-rejection, not a marginal finding.</w:t>
      </w:r>
    </w:p>
    <w:p>
      <w:pPr>
        <w:pStyle w:val="BodyText"/>
        <w:spacing w:line="480" w:lineRule="auto"/>
        <w:ind w:firstLine="720"/>
      </w:pPr>
      <w:r>
        <w:t xml:space="preserve">Falsifiable the hypothesis is, in the strict sense. A non-negative regime coefficient under the primary estimator, or a sign flip under any of the three robustness checks, falsifies the prediction. Bounded the hypothesis is too. It does not claim graduated delegation is preferable in every operational regime, that authority should always be free to rise, or that fixed authority is a defective design. It claims, and tests, the narrow comparative proposition that conditional on the strata above, graduated delegation reduces a pre-registered composite operational-risk index relative to the fixed-authority baseline in the public case record.</w:t>
      </w:r>
    </w:p>
    <w:p>
      <w:pPr>
        <w:pStyle w:val="BodyText"/>
        <w:spacing w:line="480" w:lineRule="auto"/>
        <w:ind w:firstLine="720"/>
      </w:pPr>
      <w:r>
        <w:t xml:space="preserve">Two implications of the formal statement deserve surfacing here, so they do not ambush the reader of the empirical chapter. One: the contribution leans on the construct validity of ORI, so a reviewer who rejects the composite weighting rejects the contribution. Chapter 4 documents the weighting decisions, shows the sensitivity of the rejection or non-rejection to alternative weights, and reports the result under at least three pre-registered alternative weight vectors. Two: the contribution leans on the construct validity of the graduated-regime mapping, so a reviewer who rejects the trust-calibration coding rejects the contribution. Chapter 4 documents the coding instrument, reports the inter-coder kappa, and shows the rejection or non-rejection under a sensitivity that perturbs trust-state assignments at the published kappa boundary. Those two exposures are the inferential cost of the design, and the chapter does nothing to shrink them.</w:t>
      </w:r>
    </w:p>
    <w:bookmarkEnd w:id="87"/>
    <w:bookmarkStart w:id="88" w:name="summary"/>
    <w:p>
      <w:pPr>
        <w:pStyle w:val="Heading2"/>
        <w:spacing w:line="480" w:lineRule="auto"/>
      </w:pPr>
      <w:r>
        <w:t xml:space="preserve">3.7 Summary</w:t>
      </w:r>
    </w:p>
    <w:p>
      <w:pPr>
        <w:pStyle w:val="FirstParagraph"/>
        <w:spacing w:line="480" w:lineRule="auto"/>
      </w:pPr>
      <w:r>
        <w:t xml:space="preserve">Fixed here are the four constructs the dissertation rests on. Recovered are the three propositions from the supervisory-control tradition the design actually uses. Decomposed is the causal mechanism, into compression, escalation-friction reduction, and conditional review. Justified is the two-moderator restriction the inferential claim conditions on. And stated, in pre-registration-ready form, are H0 and H1. The empirical chapters ahead are written against these commitments and against no broader apparatus. Operationalizing ORI, the regime mapping, and the estimator, and locking the pre-registration before the first model fit, is the next chapter’s work.</w:t>
      </w:r>
    </w:p>
    <w:bookmarkEnd w:id="88"/>
    <w:bookmarkEnd w:id="89"/>
    <w:bookmarkStart w:id="97" w:name="chapter-4.-data-and-measurement"/>
    <w:p>
      <w:pPr>
        <w:pStyle w:val="Heading1"/>
        <w:spacing w:line="480" w:lineRule="auto"/>
      </w:pPr>
      <w:r>
        <w:t xml:space="preserve">Chapter 4. Data and Measurement</w:t>
      </w:r>
    </w:p>
    <w:p>
      <w:pPr>
        <w:pStyle w:val="FirstParagraph"/>
        <w:spacing w:line="480" w:lineRule="auto"/>
      </w:pPr>
      <w:r>
        <w:t xml:space="preserve">What the dissertation rests on, materially, is specified in this chapter.</w:t>
      </w:r>
    </w:p>
    <w:p>
      <w:pPr>
        <w:pStyle w:val="BodyText"/>
        <w:spacing w:line="480" w:lineRule="auto"/>
        <w:ind w:firstLine="720"/>
      </w:pPr>
      <w:r>
        <w:t xml:space="preserve">It lays out the two analytic datasets the companion papers use, the authoritative public records they draw from, the unit of analysis each variable is measured at, and the construction rules that carry primary records into the variables the estimators take. Deliberately granular, the exposition, because the contribution turns on the falsifiability of one composite outcome and on the credibility of a small panel of covariates coded from public narrative. Collapse a richer source into a variable, and the collapse gets reported. Reconstruct a variable from narrative rather than read it off a table, and the reconstruction rule gets reported. Fail to retrieve a value from the public record, and the row gets flagged illustrative in the source column, never imputed in silence.</w:t>
      </w:r>
    </w:p>
    <w:bookmarkStart w:id="90" w:name="two-datasets-one-theoretical-object"/>
    <w:p>
      <w:pPr>
        <w:pStyle w:val="Heading2"/>
        <w:spacing w:line="480" w:lineRule="auto"/>
      </w:pPr>
      <w:r>
        <w:t xml:space="preserve">4.1 Two Datasets, One Theoretical Object</w:t>
      </w:r>
    </w:p>
    <w:p>
      <w:pPr>
        <w:pStyle w:val="FirstParagraph"/>
        <w:spacing w:line="480" w:lineRule="auto"/>
      </w:pPr>
      <w:r>
        <w:t xml:space="preserve">Two datasets, one underlying object watched at two levels of aggregation, the calibration of decision authority between human operators and autonomous infrastructure. One is a cross-section of NASA major projects seen through the Government Accountability Office Major-Project-Assessment series, put to work in the first companion paper to test whether delegated authority at baseline tracks realized life-cycle cost growth. The other is a panel of operational event-resolution episodes drawn from the NASA Conjunction Assessment Risk Analysis program, the European Space Agency Collision Risk Estimation and Automated Mitigation program, the OneWeb constellation self-reporting study, and the Advanced Maui Optical and Space Surveillance technical-paper corpus, put to work in the second companion paper to test whether higher delegated authority lifts the probability of successful event resolution. Dataset one watches the institutional layer where authority is assigned; dataset two watches the operational layer where authority is exercised. Tying the layers together in theory are the supervisory-control taxonomy behind the ordinal authority scale</w:t>
      </w:r>
      <w:r>
        <w:t xml:space="preserve"> </w:t>
      </w:r>
      <w:hyperlink w:anchor="ref-9">
        <w:r>
          <w:rPr>
            <w:rStyle w:val="Hyperlink"/>
          </w:rPr>
          <w:t xml:space="preserve">[9]</w:t>
        </w:r>
      </w:hyperlink>
      <w:r>
        <w:t xml:space="preserve"> </w:t>
      </w:r>
      <w:r>
        <w:t xml:space="preserve">and the agent-based mission-management taxonomy behind the classification of authority levels for distributed space systems</w:t>
      </w:r>
      <w:r>
        <w:t xml:space="preserve"> </w:t>
      </w:r>
      <w:hyperlink w:anchor="ref-7">
        <w:r>
          <w:rPr>
            <w:rStyle w:val="Hyperlink"/>
          </w:rPr>
          <w:t xml:space="preserve">[7]</w:t>
        </w:r>
      </w:hyperlink>
      <w:r>
        <w:t xml:space="preserve">. Kept analytically apart they are, because unit of analysis, temporal grain, and dependent variable differ across the two.</w:t>
      </w:r>
    </w:p>
    <w:p>
      <w:pPr>
        <w:pStyle w:val="BodyText"/>
        <w:spacing w:line="480" w:lineRule="auto"/>
        <w:ind w:firstLine="720"/>
      </w:pPr>
      <w:r>
        <w:t xml:space="preserve">Pooling the datasets into one regression is not done, and neither is imputing event-level outcomes from project-level cost growth or the reverse. Why not comes down to the dependent variables being structurally different. Cost growth is a continuous percentage measured between two institutional milestones years apart; event resolution is a binary outcome measured inside hours or days of a conjunction warning or anomaly. Pool them and a single error structure gets forced onto two phenomena that differ in cadence, decision principal, and accountability chain. Two estimators on two datasets, then, with the joint pattern read in the discussion, rather than a composite estimator that would bury the cadence difference.</w:t>
      </w:r>
    </w:p>
    <w:bookmarkEnd w:id="90"/>
    <w:bookmarkStart w:id="91" w:name="X4d135957a8bcd69fabd78997e98fc392801d32c"/>
    <w:p>
      <w:pPr>
        <w:pStyle w:val="Heading2"/>
        <w:spacing w:line="480" w:lineRule="auto"/>
      </w:pPr>
      <w:r>
        <w:t xml:space="preserve">4.2 Dataset One: GAO Major-Project-Assessment Panel</w:t>
      </w:r>
    </w:p>
    <w:p>
      <w:pPr>
        <w:pStyle w:val="FirstParagraph"/>
        <w:spacing w:line="480" w:lineRule="auto"/>
      </w:pPr>
      <w:r>
        <w:t xml:space="preserve">Dataset one is a cross-section of thirty-five NASA major projects with confirmed baselines and at least one cost-growth observation in the GAO Major-Project-Assessment series between 2009 and 2025. Authoritative source: the annual GAO Major-Project-Assessment report family, with the 2023</w:t>
      </w:r>
      <w:r>
        <w:t xml:space="preserve"> </w:t>
      </w:r>
      <w:hyperlink w:anchor="ref-8">
        <w:r>
          <w:rPr>
            <w:rStyle w:val="Hyperlink"/>
          </w:rPr>
          <w:t xml:space="preserve">[8]</w:t>
        </w:r>
      </w:hyperlink>
      <w:r>
        <w:t xml:space="preserve">, 2024</w:t>
      </w:r>
      <w:r>
        <w:t xml:space="preserve"> </w:t>
      </w:r>
      <w:hyperlink w:anchor="ref-20">
        <w:r>
          <w:rPr>
            <w:rStyle w:val="Hyperlink"/>
          </w:rPr>
          <w:t xml:space="preserve">[20]</w:t>
        </w:r>
      </w:hyperlink>
      <w:r>
        <w:t xml:space="preserve">, and 2025</w:t>
      </w:r>
      <w:r>
        <w:t xml:space="preserve"> </w:t>
      </w:r>
      <w:hyperlink w:anchor="ref-21">
        <w:r>
          <w:rPr>
            <w:rStyle w:val="Hyperlink"/>
          </w:rPr>
          <w:t xml:space="preserve">[21]</w:t>
        </w:r>
      </w:hyperlink>
      <w:r>
        <w:t xml:space="preserve"> </w:t>
      </w:r>
      <w:r>
        <w:t xml:space="preserve">issues as primary anchors and earlier issues consulted where a project joined the series earlier. Serving as a secondary anchor for the JWST row is the James Webb Space Telescope schedule-risk assessment</w:t>
      </w:r>
      <w:r>
        <w:t xml:space="preserve"> </w:t>
      </w:r>
      <w:hyperlink w:anchor="ref-12">
        <w:r>
          <w:rPr>
            <w:rStyle w:val="Hyperlink"/>
          </w:rPr>
          <w:t xml:space="preserve">[12]</w:t>
        </w:r>
      </w:hyperlink>
      <w:r>
        <w:t xml:space="preserve">, because the Major-Project-Assessment narrative for that project draws on the schedule-risk report’s findings. The 2024 and 2025 issues also enter dataset two as supporting documentary anchors for selected event-level episodes, though in dataset one their use is the cost-growth time series and the complexity narrative.</w:t>
      </w:r>
    </w:p>
    <w:p>
      <w:pPr>
        <w:pStyle w:val="BodyText"/>
        <w:spacing w:line="480" w:lineRule="auto"/>
        <w:ind w:firstLine="720"/>
      </w:pPr>
      <w:r>
        <w:t xml:space="preserve">One NASA major project observed at its most recent GAO reporting date is the unit of analysis, each project one row. Included is a project with a confirmed baseline at Key Decision Point C and at least one published cost-growth figure in the GAO series. Excluded is a project baselined but not yet given a meaningful cost-growth figure by the GAO series, with one exception: a small set of recently baselined missions is retained and flagged illustrative. DAVINCI, VERITAS, Dragonfly, and the Human Landing System sit in that set, together under fifteen percent of the sample. Pre-specified, the exclusion rule, so the analytic sample does not hinge on the realized direction of the cost-growth figure.</w:t>
      </w:r>
    </w:p>
    <w:p>
      <w:pPr>
        <w:pStyle w:val="BodyText"/>
        <w:spacing w:line="480" w:lineRule="auto"/>
        <w:ind w:firstLine="720"/>
      </w:pPr>
      <w:r>
        <w:t xml:space="preserve">Percent change in life-cycle cost between baseline confirmation at Key Decision Point C and the most recently reported GAO cost figure is the dependent variable. Its construction rule reads the baseline life-cycle cost from the GAO row for the year the project entered the series, reads the most recent life-cycle cost from the most recent GAO issue reporting the project, and takes the percent change. Straight off the GAO table the figure comes, not reconstructed from program documentation, so the dependent variable stays anchored to one authoritative source. Report a range and the midpoint is used; report an updated baseline after a rebaseline event and the original baseline is kept, so the variable measures growth against the commitment NASA originally made rather than the one it most recently made.</w:t>
      </w:r>
    </w:p>
    <w:p>
      <w:pPr>
        <w:pStyle w:val="BodyText"/>
        <w:spacing w:line="480" w:lineRule="auto"/>
        <w:ind w:firstLine="720"/>
      </w:pPr>
      <w:r>
        <w:t xml:space="preserve">An ordinal four-point scale adapted from the supervisory-control taxonomy of Sheridan and Verplank</w:t>
      </w:r>
      <w:r>
        <w:t xml:space="preserve"> </w:t>
      </w:r>
      <w:hyperlink w:anchor="ref-9">
        <w:r>
          <w:rPr>
            <w:rStyle w:val="Hyperlink"/>
          </w:rPr>
          <w:t xml:space="preserve">[9]</w:t>
        </w:r>
      </w:hyperlink>
      <w:r>
        <w:t xml:space="preserve"> </w:t>
      </w:r>
      <w:r>
        <w:t xml:space="preserve">and informed by the agent-based mission-management taxonomy of Jabbarpour and colleagues</w:t>
      </w:r>
      <w:r>
        <w:t xml:space="preserve"> </w:t>
      </w:r>
      <w:hyperlink w:anchor="ref-7">
        <w:r>
          <w:rPr>
            <w:rStyle w:val="Hyperlink"/>
          </w:rPr>
          <w:t xml:space="preserve">[7]</w:t>
        </w:r>
      </w:hyperlink>
      <w:r>
        <w:t xml:space="preserve"> </w:t>
      </w:r>
      <w:r>
        <w:t xml:space="preserve">is the autonomy variable. Its four levels: manual, advisory, supervised, full. The coding rule reads the project description in the GAO report and the public NASA project plan and assigns the level that best fits the decision authority the project hands from human operator to autonomous infrastructure or contractor at baseline. Require human authorization for each consequential decision and a project codes manual. Issue a recommended action to a human who keeps authorization and it codes advisory. Execute routine actions while escalating only exceptions and it codes supervised. Execute the consequential class without human authorization inside a pre-specified envelope and it codes full. Two independent coders work the same GAO and NASA documents, and rows they split on get reconciled in a third pass recorded in the source notebook. Reported in the appendix of the first companion paper is the Cohen kappa for the two-coder pass.</w:t>
      </w:r>
    </w:p>
    <w:p>
      <w:pPr>
        <w:pStyle w:val="BodyText"/>
        <w:spacing w:line="480" w:lineRule="auto"/>
        <w:ind w:firstLine="720"/>
      </w:pPr>
      <w:r>
        <w:t xml:space="preserve">The three-point GAO complexity narrative, collapsed to an ordinal low-medium-high scale, is the complexity variable. No numeric complexity score does the GAO narrative publish; the coding rule reads the GAO project description and the technology-readiness narrative and assigns the level the language best matches. A known source of measurement error, this collapse from narrative to three points, and it is owned as a limitation in the first companion paper and as a threat to validity here. What a clean resolution of the autonomy-complexity entanglement in the flagship subsample would take, the first paper argues, is a richer complexity instrument, a continuous technology-readiness composite anchored to the GAO TRA narrative.</w:t>
      </w:r>
    </w:p>
    <w:p>
      <w:pPr>
        <w:pStyle w:val="BodyText"/>
        <w:spacing w:line="480" w:lineRule="auto"/>
        <w:ind w:firstLine="720"/>
      </w:pPr>
      <w:r>
        <w:t xml:space="preserve">Years between Key Decision Point C and the most recent GAO observation give the project-age variable. Computed from the dates the GAO series reports, it is the most precisely measured covariate in the dataset. Reported by the first companion paper as the most statistically reliable predictor of percent cost growth, it carries an estimated coefficient of 6.60 percentage points per year at a p-value of 0.002.</w:t>
      </w:r>
    </w:p>
    <w:p>
      <w:pPr>
        <w:pStyle w:val="BodyText"/>
        <w:spacing w:line="480" w:lineRule="auto"/>
        <w:ind w:firstLine="720"/>
      </w:pPr>
      <w:r>
        <w:t xml:space="preserve">Recorded in a source column naming the GAO report or reports each value came from is the provenance of every row. The illustrative flag lands at the row level, not the variable level, so a reader can spot exactly which rows lean on documented but not yet quantified figures. Treated as a robustness concern rather than a measurement error is that flag: the first companion paper reports a sensitivity analysis dropping the illustrative rows, and the sign and significance of the project-age coefficient hold.</w:t>
      </w:r>
    </w:p>
    <w:bookmarkEnd w:id="91"/>
    <w:bookmarkStart w:id="92" w:name="X01cd09b8a058fd64c83ddd68da19f67be6d4cdb"/>
    <w:p>
      <w:pPr>
        <w:pStyle w:val="Heading2"/>
        <w:spacing w:line="480" w:lineRule="auto"/>
      </w:pPr>
      <w:r>
        <w:t xml:space="preserve">4.3 Dataset Two: Operational Event-Resolution Panel</w:t>
      </w:r>
    </w:p>
    <w:p>
      <w:pPr>
        <w:pStyle w:val="FirstParagraph"/>
        <w:spacing w:line="480" w:lineRule="auto"/>
      </w:pPr>
      <w:r>
        <w:t xml:space="preserve">Dataset two is a panel of thirty-six operational event-resolution episodes drawn from the published spacecraft conjunction and anomaly literature between 2018 and 2025. Authoritative sources run long: the NASA Conjunction Assessment Risk Analysis compendium for artificial intelligence and machine learning for satellite collision avoidance</w:t>
      </w:r>
      <w:r>
        <w:t xml:space="preserve"> </w:t>
      </w:r>
      <w:hyperlink w:anchor="ref-1">
        <w:r>
          <w:rPr>
            <w:rStyle w:val="Hyperlink"/>
          </w:rPr>
          <w:t xml:space="preserve">[1]</w:t>
        </w:r>
      </w:hyperlink>
      <w:r>
        <w:t xml:space="preserve">, the ESA Space Safety Programme update on collision avoidance</w:t>
      </w:r>
      <w:r>
        <w:t xml:space="preserve"> </w:t>
      </w:r>
      <w:hyperlink w:anchor="ref-2">
        <w:r>
          <w:rPr>
            <w:rStyle w:val="Hyperlink"/>
          </w:rPr>
          <w:t xml:space="preserve">[2]</w:t>
        </w:r>
      </w:hyperlink>
      <w:r>
        <w:t xml:space="preserve">, the ESA Collision Risk Estimation and Automated Mitigation program documentation</w:t>
      </w:r>
      <w:r>
        <w:t xml:space="preserve"> </w:t>
      </w:r>
      <w:hyperlink w:anchor="ref-3">
        <w:r>
          <w:rPr>
            <w:rStyle w:val="Hyperlink"/>
          </w:rPr>
          <w:t xml:space="preserve">[3]</w:t>
        </w:r>
      </w:hyperlink>
      <w:r>
        <w:t xml:space="preserve">, the OneWeb self-reporting aggregated realized-risk study</w:t>
      </w:r>
      <w:r>
        <w:t xml:space="preserve"> </w:t>
      </w:r>
      <w:hyperlink w:anchor="ref-15">
        <w:r>
          <w:rPr>
            <w:rStyle w:val="Hyperlink"/>
          </w:rPr>
          <w:t xml:space="preserve">[15]</w:t>
        </w:r>
      </w:hyperlink>
      <w:r>
        <w:t xml:space="preserve">, the ABACO autonomous board test campaigns</w:t>
      </w:r>
      <w:r>
        <w:t xml:space="preserve"> </w:t>
      </w:r>
      <w:hyperlink w:anchor="ref-17">
        <w:r>
          <w:rPr>
            <w:rStyle w:val="Hyperlink"/>
          </w:rPr>
          <w:t xml:space="preserve">[17]</w:t>
        </w:r>
      </w:hyperlink>
      <w:r>
        <w:t xml:space="preserve">, the prototype infrastructure for autonomous on-board conjunction assessment</w:t>
      </w:r>
      <w:r>
        <w:t xml:space="preserve"> </w:t>
      </w:r>
      <w:hyperlink w:anchor="ref-16">
        <w:r>
          <w:rPr>
            <w:rStyle w:val="Hyperlink"/>
          </w:rPr>
          <w:t xml:space="preserve">[16]</w:t>
        </w:r>
      </w:hyperlink>
      <w:r>
        <w:t xml:space="preserve">, the maneuver-detection study within an autonomous heterogeneous sensor network</w:t>
      </w:r>
      <w:r>
        <w:t xml:space="preserve"> </w:t>
      </w:r>
      <w:hyperlink w:anchor="ref-18">
        <w:r>
          <w:rPr>
            <w:rStyle w:val="Hyperlink"/>
          </w:rPr>
          <w:t xml:space="preserve">[18]</w:t>
        </w:r>
      </w:hyperlink>
      <w:r>
        <w:t xml:space="preserve">, the hierarchical neuro-symbolic architecture for autonomous spacecraft maneuvering</w:t>
      </w:r>
      <w:r>
        <w:t xml:space="preserve"> </w:t>
      </w:r>
      <w:hyperlink w:anchor="ref-19">
        <w:r>
          <w:rPr>
            <w:rStyle w:val="Hyperlink"/>
          </w:rPr>
          <w:t xml:space="preserve">[19]</w:t>
        </w:r>
      </w:hyperlink>
      <w:r>
        <w:t xml:space="preserve">, the safe autonomous multi-agent inspection study</w:t>
      </w:r>
      <w:r>
        <w:t xml:space="preserve"> </w:t>
      </w:r>
      <w:hyperlink w:anchor="ref-23">
        <w:r>
          <w:rPr>
            <w:rStyle w:val="Hyperlink"/>
          </w:rPr>
          <w:t xml:space="preserve">[23]</w:t>
        </w:r>
      </w:hyperlink>
      <w:r>
        <w:t xml:space="preserve">, and the NASA Conjunction Assessment best-practices paper</w:t>
      </w:r>
      <w:r>
        <w:t xml:space="preserve"> </w:t>
      </w:r>
      <w:hyperlink w:anchor="ref-11">
        <w:r>
          <w:rPr>
            <w:rStyle w:val="Hyperlink"/>
          </w:rPr>
          <w:t xml:space="preserve">[11]</w:t>
        </w:r>
      </w:hyperlink>
      <w:r>
        <w:t xml:space="preserve">. Supplying the complexity classification scheme is the risk-based decision-making paper</w:t>
      </w:r>
      <w:r>
        <w:t xml:space="preserve"> </w:t>
      </w:r>
      <w:hyperlink w:anchor="ref-14">
        <w:r>
          <w:rPr>
            <w:rStyle w:val="Hyperlink"/>
          </w:rPr>
          <w:t xml:space="preserve">[14]</w:t>
        </w:r>
      </w:hyperlink>
      <w:r>
        <w:t xml:space="preserve">. Supplying the trust-calibration coding instrument used in the dissertation-level analysis is the cognitive-task-analysis study of human-machine teaming for autonomous space sensing</w:t>
      </w:r>
      <w:r>
        <w:t xml:space="preserve"> </w:t>
      </w:r>
      <w:hyperlink w:anchor="ref-4">
        <w:r>
          <w:rPr>
            <w:rStyle w:val="Hyperlink"/>
          </w:rPr>
          <w:t xml:space="preserve">[4]</w:t>
        </w:r>
      </w:hyperlink>
      <w:r>
        <w:t xml:space="preserve">, even where its direct use in the second companion paper stays limited to framing complexity and time pressure.</w:t>
      </w:r>
    </w:p>
    <w:p>
      <w:pPr>
        <w:pStyle w:val="BodyText"/>
        <w:spacing w:line="480" w:lineRule="auto"/>
        <w:ind w:firstLine="720"/>
      </w:pPr>
      <w:r>
        <w:t xml:space="preserve">One event-resolution episode is the unit of analysis.</w:t>
      </w:r>
    </w:p>
    <w:p>
      <w:pPr>
        <w:pStyle w:val="BodyText"/>
        <w:spacing w:line="480" w:lineRule="auto"/>
        <w:ind w:firstLine="720"/>
      </w:pPr>
      <w:r>
        <w:t xml:space="preserve">An episode opens the moment a conjunction warning is issued or an operational anomaly is detected, and closes the moment the responsible decision principal logs a resolution, an escalation, a maneuver execution, or a mission-affecting outcome. Included is an episode whose published source reports the four primary covariates: decision principal, time from detection to required action, complexity classification, realized outcome. Excluded is an episode missing any of the four from the published source. Retained and flagged illustrative are three episodes where the narrative case is documented but a specific numeric covariate will not extract directly; these run 8.3 percent of the sample, and the second companion paper reports a sensitivity analysis where dropping them leaves the sign and significance of the autonomy-level coefficient untouched.</w:t>
      </w:r>
    </w:p>
    <w:p>
      <w:pPr>
        <w:pStyle w:val="BodyText"/>
        <w:spacing w:line="480" w:lineRule="auto"/>
        <w:ind w:firstLine="720"/>
      </w:pPr>
      <w:r>
        <w:t xml:space="preserve">A binary success indicator is the dependent variable.</w:t>
      </w:r>
    </w:p>
    <w:p>
      <w:pPr>
        <w:pStyle w:val="BodyText"/>
        <w:spacing w:line="480" w:lineRule="auto"/>
        <w:ind w:firstLine="720"/>
      </w:pPr>
      <w:r>
        <w:t xml:space="preserve">It reads one when the conjunction or anomaly resolved without escalation, mission loss, or after-action finding, and zero otherwise. Its construction rule reads the resolution language in the published source and runs a single coding decision tree. A reported clean resolution at the level of the responsible decision principal codes to one. A reported escalation to higher authority, a reported mission-affecting outcome, or a reported after-action finding codes to zero. Applied identically to operator self-reports, demonstration test campaigns, and conference-paper case narratives is that decision tree, on the principle that the analytic dependent variable should not swing with the type of source. Densest single source is the OneWeb self-reporting study</w:t>
      </w:r>
      <w:r>
        <w:t xml:space="preserve"> </w:t>
      </w:r>
      <w:hyperlink w:anchor="ref-15">
        <w:r>
          <w:rPr>
            <w:rStyle w:val="Hyperlink"/>
          </w:rPr>
          <w:t xml:space="preserve">[15]</w:t>
        </w:r>
      </w:hyperlink>
      <w:r>
        <w:t xml:space="preserve">, and its aggregated realized-risk language is treated as one resolution per reported event rather than a population-level statistic.</w:t>
      </w:r>
    </w:p>
    <w:p>
      <w:pPr>
        <w:pStyle w:val="BodyText"/>
        <w:spacing w:line="480" w:lineRule="auto"/>
        <w:ind w:firstLine="720"/>
      </w:pPr>
      <w:r>
        <w:t xml:space="preserve">Same ordinal four-point scale as dataset one, adapted from Sheridan and Verplank</w:t>
      </w:r>
      <w:r>
        <w:t xml:space="preserve"> </w:t>
      </w:r>
      <w:hyperlink w:anchor="ref-9">
        <w:r>
          <w:rPr>
            <w:rStyle w:val="Hyperlink"/>
          </w:rPr>
          <w:t xml:space="preserve">[9]</w:t>
        </w:r>
      </w:hyperlink>
      <w:r>
        <w:t xml:space="preserve"> </w:t>
      </w:r>
      <w:r>
        <w:t xml:space="preserve">and informed by the agent-based mission-management taxonomy</w:t>
      </w:r>
      <w:r>
        <w:t xml:space="preserve"> </w:t>
      </w:r>
      <w:hyperlink w:anchor="ref-7">
        <w:r>
          <w:rPr>
            <w:rStyle w:val="Hyperlink"/>
          </w:rPr>
          <w:t xml:space="preserve">[7]</w:t>
        </w:r>
      </w:hyperlink>
      <w:r>
        <w:t xml:space="preserve">, is the autonomy-level variable. Its coding rule reads the description of the decision principal in the published source and assigns the level that best fits who held authorization the moment the action was taken or withheld. A human operator holding authorization codes to manual. A human operator acting on a recommended action from the infrastructure codes to advisory. An autonomous system executing inside an envelope while escalating exceptions codes to supervised. An autonomous system executing without human authorization codes to full. Applied in the second dataset is the two-coder protocol from the first, with the Cohen kappa reported in the appendix of the second companion paper. Running the same scale across both datasets is the principal point the two analytic levels link at, justified by the scale’s common provenance in the supervisory-control literature.</w:t>
      </w:r>
    </w:p>
    <w:p>
      <w:pPr>
        <w:pStyle w:val="BodyText"/>
        <w:spacing w:line="480" w:lineRule="auto"/>
        <w:ind w:firstLine="720"/>
      </w:pPr>
      <w:r>
        <w:t xml:space="preserve">Hours from event detection to the required action deadline give the time-pressure variable. Its construction rule reads the temporal language in the published source and converts to a single decimal-hour figure. Report a window rather than a deadline and the lower bound is used, so the variable measures the most stringent operational requirement. Report an order-of-magnitude rather than a precise figure and the order-of-magnitude converts to a single decimal-hour figure under a stated convention in the source notebook. Second most precisely measured covariate in the dataset, time pressure is estimated in the second companion paper at a coefficient of 0.41 with a standard error of 0.17 and a p-value of 0.018.</w:t>
      </w:r>
    </w:p>
    <w:p>
      <w:pPr>
        <w:pStyle w:val="BodyText"/>
        <w:spacing w:line="480" w:lineRule="auto"/>
        <w:ind w:firstLine="720"/>
      </w:pPr>
      <w:r>
        <w:t xml:space="preserve">A three-point ordinal low-medium-high scale, following the risk classification in the risk-based decision-making paper</w:t>
      </w:r>
      <w:r>
        <w:t xml:space="preserve"> </w:t>
      </w:r>
      <w:hyperlink w:anchor="ref-14">
        <w:r>
          <w:rPr>
            <w:rStyle w:val="Hyperlink"/>
          </w:rPr>
          <w:t xml:space="preserve">[14]</w:t>
        </w:r>
      </w:hyperlink>
      <w:r>
        <w:t xml:space="preserve">, is the complexity variable. Its coding rule reads the geometry, secondary-risk, and mission-criticality language in the published source and assigns the level the classification scheme best matches. Acknowledged in the second companion paper as ordinal and as a known absorber of residual variation in geometry and mission criticality, the complexity coding carries a coefficient estimated at minus 1.60 with a standard error of 1.10 and a p-value of 0.144, in the expected direction and short of statistical significance at conventional thresholds given the sample.</w:t>
      </w:r>
    </w:p>
    <w:bookmarkEnd w:id="92"/>
    <w:bookmarkStart w:id="93" w:name="the-operational-risk-index"/>
    <w:p>
      <w:pPr>
        <w:pStyle w:val="Heading2"/>
        <w:spacing w:line="480" w:lineRule="auto"/>
      </w:pPr>
      <w:r>
        <w:t xml:space="preserve">4.4 The Operational Risk Index</w:t>
      </w:r>
    </w:p>
    <w:p>
      <w:pPr>
        <w:pStyle w:val="FirstParagraph"/>
        <w:spacing w:line="480" w:lineRule="auto"/>
      </w:pPr>
      <w:r>
        <w:t xml:space="preserve">Past the binary success indicator of the second companion paper goes the dissertation-level analysis, building a composite Operational Risk Index for the pre-registered test of the central hypothesis. A weighted composite of three sub-indices, the Operational Risk Index: unnecessary-maneuver rate, late-decision rate, propellant cost per resolved conjunction. Pre-specified by decision class and not estimated from the data are the weights. The construction is set out here so the measurement rules stand transparent before the estimator is reported later.</w:t>
      </w:r>
    </w:p>
    <w:p>
      <w:pPr>
        <w:pStyle w:val="BodyText"/>
        <w:spacing w:line="480" w:lineRule="auto"/>
        <w:ind w:firstLine="720"/>
      </w:pPr>
      <w:r>
        <w:t xml:space="preserve">Share of episodes in a stratum where a maneuver was executed and the post hoc reconstruction of the conjunction record shows none was required gives the unnecessary-maneuver rate. Read from the CARA compendium</w:t>
      </w:r>
      <w:r>
        <w:t xml:space="preserve"> </w:t>
      </w:r>
      <w:hyperlink w:anchor="ref-1">
        <w:r>
          <w:rPr>
            <w:rStyle w:val="Hyperlink"/>
          </w:rPr>
          <w:t xml:space="preserve">[1]</w:t>
        </w:r>
      </w:hyperlink>
      <w:r>
        <w:t xml:space="preserve"> </w:t>
      </w:r>
      <w:r>
        <w:t xml:space="preserve">and the ESA Space Safety Programme update</w:t>
      </w:r>
      <w:r>
        <w:t xml:space="preserve"> </w:t>
      </w:r>
      <w:hyperlink w:anchor="ref-2">
        <w:r>
          <w:rPr>
            <w:rStyle w:val="Hyperlink"/>
          </w:rPr>
          <w:t xml:space="preserve">[2]</w:t>
        </w:r>
      </w:hyperlink>
      <w:r>
        <w:t xml:space="preserve">, where those sources report the realized geometry after the fact, is the post hoc reconstruction. Where it goes unreported, the episode drops from the unnecessary-maneuver sub-index and stays in the others.</w:t>
      </w:r>
    </w:p>
    <w:p>
      <w:pPr>
        <w:pStyle w:val="BodyText"/>
        <w:spacing w:line="480" w:lineRule="auto"/>
        <w:ind w:firstLine="720"/>
      </w:pPr>
      <w:r>
        <w:t xml:space="preserve">Share of episodes in a stratum where the responsible decision principal acted after the operationally relevant window gives the late-decision rate. That window is the time-pressure variable above; an action logged after the deadline counts late. Supplying the operational definition of the window for ESA-mediated episodes is the CREAM program documentation</w:t>
      </w:r>
      <w:r>
        <w:t xml:space="preserve"> </w:t>
      </w:r>
      <w:hyperlink w:anchor="ref-3">
        <w:r>
          <w:rPr>
            <w:rStyle w:val="Hyperlink"/>
          </w:rPr>
          <w:t xml:space="preserve">[3]</w:t>
        </w:r>
      </w:hyperlink>
      <w:r>
        <w:t xml:space="preserve">, and for NASA-mediated episodes the CARA compendium</w:t>
      </w:r>
      <w:r>
        <w:t xml:space="preserve"> </w:t>
      </w:r>
      <w:hyperlink w:anchor="ref-1">
        <w:r>
          <w:rPr>
            <w:rStyle w:val="Hyperlink"/>
          </w:rPr>
          <w:t xml:space="preserve">[1]</w:t>
        </w:r>
      </w:hyperlink>
      <w:r>
        <w:t xml:space="preserve">. Where the two definitions diverge, the source-specific definition goes to the source-specific episodes; the late-decision rate is then a within-source share averaged across sources with weights proportional to the count of source-specific episodes in the stratum.</w:t>
      </w:r>
    </w:p>
    <w:p>
      <w:pPr>
        <w:pStyle w:val="BodyText"/>
        <w:spacing w:line="480" w:lineRule="auto"/>
        <w:ind w:firstLine="720"/>
      </w:pPr>
      <w:r>
        <w:t xml:space="preserve">Average delta-v expended per episode resolved by a maneuver in the stratum gives the propellant cost per resolved conjunction. Supplying the parameter space is the CAMmary review of spacecraft collision avoidance maneuver-design methods [5, 34], which catalogues that space across the published literature. The construction rule reads the maneuver-design parameters from the source narrative, maps them onto the CAMmary parameter space, and computes the delta-v under the parameter values the source reports. Report too few parameters to compute a delta-v and the episode drops from the propellant-cost sub-index and stays in the others. Supplying the higher-autonomy benchmark for the sensitivity analysis of that sub-index is the autonomous-trajectory-optimisation paper</w:t>
      </w:r>
      <w:r>
        <w:t xml:space="preserve"> </w:t>
      </w:r>
      <w:hyperlink w:anchor="ref-6">
        <w:r>
          <w:rPr>
            <w:rStyle w:val="Hyperlink"/>
          </w:rPr>
          <w:t xml:space="preserve">[6]</w:t>
        </w:r>
      </w:hyperlink>
      <w:r>
        <w:t xml:space="preserve">.</w:t>
      </w:r>
    </w:p>
    <w:p>
      <w:pPr>
        <w:pStyle w:val="BodyText"/>
        <w:spacing w:line="480" w:lineRule="auto"/>
        <w:ind w:firstLine="720"/>
      </w:pPr>
      <w:r>
        <w:t xml:space="preserve">Combining the three sub-indices into the Operational Risk Index are class-specific weights pre-specified in the pre-registration document and not estimated from the data. Pre-registering the weights is the principal guard against tuning the composite to the realized direction of the test.</w:t>
      </w:r>
    </w:p>
    <w:bookmarkEnd w:id="93"/>
    <w:bookmarkStart w:id="94" w:name="trust-calibration-coding"/>
    <w:p>
      <w:pPr>
        <w:pStyle w:val="Heading2"/>
        <w:spacing w:line="480" w:lineRule="auto"/>
      </w:pPr>
      <w:r>
        <w:t xml:space="preserve">4.5 Trust-Calibration Coding</w:t>
      </w:r>
    </w:p>
    <w:p>
      <w:pPr>
        <w:pStyle w:val="FirstParagraph"/>
        <w:spacing w:line="480" w:lineRule="auto"/>
      </w:pPr>
      <w:r>
        <w:t xml:space="preserve">Reconstructing the graduated-delegation regime at the episode level means mapping each episode through a published trust-calibration scheme derived from the cognitive-task-analysis instrument for autonomous space sensing [4, 28]. Behavioral markers that indicate whether the operator ran calibrated, undercalibrated, or overcalibrated against the competence of the autonomous infrastructure at the moment of the episode are what the instrument supplies. The coding rule reads the operator-behavior language in the published source and assigns the calibration state the markers best match. The counterfactual authority assignment under the graduated regime is then whatever authority level the trust-calibration scheme would have prescribed given the calibration state and the traffic class. And the fixed-authority baseline is the authority level the operator declared at the time, exactly as the case material logged it.</w:t>
      </w:r>
    </w:p>
    <w:p>
      <w:pPr>
        <w:pStyle w:val="BodyText"/>
        <w:spacing w:line="480" w:lineRule="auto"/>
        <w:ind w:firstLine="720"/>
      </w:pPr>
      <w:r>
        <w:t xml:space="preserve">Most inferential step in the dissertation, this coding, because it means reading operator behavior off a narrative source and mapping it onto a scheme the source never applied. Mitigating it are the two-coder protocol with an independent reliability pass, and the reporting of the Cohen kappa in the appendix of the dissertation-level analysis. It is also the construct-validity threat named in the prospectus. Identical to the operator’s actual trust state at the moment of the episode the coded calibration state is not claimed to be; what is claimed is only that the coded state is a reproducible reading of the published behavioral markers.</w:t>
      </w:r>
    </w:p>
    <w:bookmarkEnd w:id="94"/>
    <w:bookmarkStart w:id="95" w:name="strata-and-fixed-effects"/>
    <w:p>
      <w:pPr>
        <w:pStyle w:val="Heading2"/>
        <w:spacing w:line="480" w:lineRule="auto"/>
      </w:pPr>
      <w:r>
        <w:t xml:space="preserve">4.6 Strata and Fixed Effects</w:t>
      </w:r>
    </w:p>
    <w:p>
      <w:pPr>
        <w:pStyle w:val="FirstParagraph"/>
        <w:spacing w:line="480" w:lineRule="auto"/>
      </w:pPr>
      <w:r>
        <w:t xml:space="preserve">Traffic class and decision class as strata, operator and epoch as fixed effects: that is the estimator the prospectus describes. The traffic-class stratum is set by conjunction density at the time of the episode and read from the CARA compendium</w:t>
      </w:r>
      <w:r>
        <w:t xml:space="preserve"> </w:t>
      </w:r>
      <w:hyperlink w:anchor="ref-1">
        <w:r>
          <w:rPr>
            <w:rStyle w:val="Hyperlink"/>
          </w:rPr>
          <w:t xml:space="preserve">[1]</w:t>
        </w:r>
      </w:hyperlink>
      <w:r>
        <w:t xml:space="preserve"> </w:t>
      </w:r>
      <w:r>
        <w:t xml:space="preserve">and the OneWeb self-reporting study</w:t>
      </w:r>
      <w:r>
        <w:t xml:space="preserve"> </w:t>
      </w:r>
      <w:hyperlink w:anchor="ref-15">
        <w:r>
          <w:rPr>
            <w:rStyle w:val="Hyperlink"/>
          </w:rPr>
          <w:t xml:space="preserve">[15]</w:t>
        </w:r>
      </w:hyperlink>
      <w:r>
        <w:t xml:space="preserve">, the two sources reporting a population-level density. The decision-class stratum is set by the supervisory-control taxonomy</w:t>
      </w:r>
      <w:r>
        <w:t xml:space="preserve"> </w:t>
      </w:r>
      <w:hyperlink w:anchor="ref-9">
        <w:r>
          <w:rPr>
            <w:rStyle w:val="Hyperlink"/>
          </w:rPr>
          <w:t xml:space="preserve">[9]</w:t>
        </w:r>
      </w:hyperlink>
      <w:r>
        <w:t xml:space="preserve"> </w:t>
      </w:r>
      <w:r>
        <w:t xml:space="preserve">as adapted by the agent-based mission-management taxonomy</w:t>
      </w:r>
      <w:r>
        <w:t xml:space="preserve"> </w:t>
      </w:r>
      <w:hyperlink w:anchor="ref-7">
        <w:r>
          <w:rPr>
            <w:rStyle w:val="Hyperlink"/>
          </w:rPr>
          <w:t xml:space="preserve">[7]</w:t>
        </w:r>
      </w:hyperlink>
      <w:r>
        <w:t xml:space="preserve">. The operator fixed effect is the named operator the source identifies. The epoch fixed effect is a two-year window indexed to the publication year of the source. Pre-specified in the pre-registration document are the strata and fixed effects.</w:t>
      </w:r>
    </w:p>
    <w:bookmarkEnd w:id="95"/>
    <w:bookmarkStart w:id="96" w:name="what-the-data-cannot-do"/>
    <w:p>
      <w:pPr>
        <w:pStyle w:val="Heading2"/>
        <w:spacing w:line="480" w:lineRule="auto"/>
      </w:pPr>
      <w:r>
        <w:t xml:space="preserve">4.7 What the Data Cannot Do</w:t>
      </w:r>
    </w:p>
    <w:p>
      <w:pPr>
        <w:pStyle w:val="FirstParagraph"/>
        <w:spacing w:line="480" w:lineRule="auto"/>
      </w:pPr>
      <w:r>
        <w:t xml:space="preserve">Taken together, the two datasets support one falsifiable test of the central hypothesis and a set of pre-registered moderators. Support a test of explanatory mechanism past the moderators they do not, nor generalization past the operational regimes observed. Dataset one, concentrated in NASA flagship missions, cannot speak to commercial constellations or non-NASA government missions. Dataset two, concentrated in low Earth orbit conjunctions, cannot speak to geosynchronous or cislunar regimes except as a scoping subsample. Small at thirty-five rows is dataset one, and the autonomy coefficient in the first companion paper comes with a p-value of 0.090 and the wrong sign against the graduated-delegation hypothesis; the dissertation reads that as a calibration of what the GAO panel can and cannot say, and reads it pointedly not as causal evidence against graduated delegation. Small at thirty-six episodes is dataset two, and the autonomy coefficient in the second companion paper comes with a p-value of 0.014 and the expected sign; the dissertation reads that as supportive and bounded by the operational mix of the sample.</w:t>
      </w:r>
    </w:p>
    <w:p>
      <w:pPr>
        <w:pStyle w:val="BodyText"/>
        <w:spacing w:line="480" w:lineRule="auto"/>
        <w:ind w:firstLine="720"/>
      </w:pPr>
      <w:r>
        <w:t xml:space="preserve">So the data support the falsifiable test the prospectus promises and a careful reading of the two companion papers. A stronger causal claim they do not support, and the dissertation will not make one. Written to make that limit explicit at the level of every variable is this measurement chapter, so the test, once run, is read for what it is and not for what a reader might wish it to be.</w:t>
      </w:r>
    </w:p>
    <w:bookmarkEnd w:id="96"/>
    <w:bookmarkEnd w:id="97"/>
    <w:bookmarkStart w:id="112" w:name="chapter-5.-methods-and-identification"/>
    <w:p>
      <w:pPr>
        <w:pStyle w:val="Heading1"/>
        <w:spacing w:line="480" w:lineRule="auto"/>
      </w:pPr>
      <w:r>
        <w:t xml:space="preserve">Chapter 5. Methods and Identification</w:t>
      </w:r>
    </w:p>
    <w:p>
      <w:pPr>
        <w:pStyle w:val="FirstParagraph"/>
        <w:spacing w:line="480" w:lineRule="auto"/>
      </w:pPr>
      <w:r>
        <w:t xml:space="preserve">Three things this chapter specifies: the estimators carrying the empirical weight, the identification strategy that licenses reading their coefficients, and the threats to validity that fence in what the estimates can and cannot claim. Its order mirrors the order a reader meets the empirical work. First the unit of analysis and the dependent variables. Then the estimator stack for each empirical chapter. Then the identification logic tying each estimator to the underlying causal question of graduated decision-delegation. And last a systematic accounting of validity threats with the pre-registered mitigations that bound each. The aim is an auditable inferential chain. Disagree with one link and you should be able to trace the disagreement to a specific assumption, not to the whole apparatus.</w:t>
      </w:r>
    </w:p>
    <w:bookmarkStart w:id="98" w:name="X33f0655fff3b41898961f1a6ea9e8c0f6a0c6c2"/>
    <w:p>
      <w:pPr>
        <w:pStyle w:val="Heading2"/>
        <w:spacing w:line="480" w:lineRule="auto"/>
      </w:pPr>
      <w:r>
        <w:t xml:space="preserve">5.1 Units of Analysis and Construction of the Dependent Variables</w:t>
      </w:r>
    </w:p>
    <w:p>
      <w:pPr>
        <w:pStyle w:val="FirstParagraph"/>
        <w:spacing w:line="480" w:lineRule="auto"/>
      </w:pPr>
      <w:r>
        <w:t xml:space="preserve">At three distinct units of analysis the dissertation operates, each matched to the grain at which the graduated-delegation thesis makes a testable claim. First, in the acquisition-side analysis, the NASA major project observed at its most recent Government Accountability Office reporting epoch, dependent variable defined as percent change in life-cycle cost between baseline confirmation at Key Decision Point C and the most recently reported figure in the GAO Major-Project-Assessment series [8, 20, 21]. Second, in the operational binary-outcome analysis, the event-resolution episode, one documented operator interaction with a conjunction warning, anomaly, or maneuver decision, dependent variable coded as a binary indicator of resolution without escalation, mission loss, or after-action finding [14, 15, 16, 17]. Third, in the central quasi-experimental test, the operator-decision episode drawn from the NASA Conjunction Assessment Risk Analysis (CARA) compendium</w:t>
      </w:r>
      <w:r>
        <w:t xml:space="preserve"> </w:t>
      </w:r>
      <w:hyperlink w:anchor="ref-1">
        <w:r>
          <w:rPr>
            <w:rStyle w:val="Hyperlink"/>
          </w:rPr>
          <w:t xml:space="preserve">[1]</w:t>
        </w:r>
      </w:hyperlink>
      <w:r>
        <w:t xml:space="preserve"> </w:t>
      </w:r>
      <w:r>
        <w:t xml:space="preserve">and from the European Space Agency CREAM and Space Safety Programme case material [2, 3], dependent variable defined as the Operational Risk Index (ORI), a pre-registered composite of unnecessary-maneuver rate, late-decision rate, and propellant cost per resolved conjunction, weighted by decision class.</w:t>
      </w:r>
    </w:p>
    <w:p>
      <w:pPr>
        <w:pStyle w:val="BodyText"/>
        <w:spacing w:line="480" w:lineRule="auto"/>
        <w:ind w:firstLine="720"/>
      </w:pPr>
      <w:r>
        <w:t xml:space="preserve">Interchangeable the three units are not, and the dissertation pools none of them.</w:t>
      </w:r>
    </w:p>
    <w:p>
      <w:pPr>
        <w:pStyle w:val="BodyText"/>
        <w:spacing w:line="480" w:lineRule="auto"/>
        <w:ind w:firstLine="720"/>
      </w:pPr>
      <w:r>
        <w:t xml:space="preserve">The acquisition-side unit speaks to whether delegated authority at baseline tracks downstream cost outcomes across flagship missions, a question the GAO panel can address descriptively while leaving the confounding between authority assignment and technological aggression unresolved. The event-resolution unit speaks to whether higher delegated authority lifts the probability of clean resolution conditional on tempo and complexity, a question the operator-reported and conference-documented record can address with reasonable power once the predictors are conditioned right. And the operator-decision unit speaks to the principal hypothesis, that graduated authority keyed to calibrated trust and traffic state cuts ORI relative to fixed authority, the unit where the identification strategy has to work hardest. Each pairs below with the estimator best matched to its sampling structure and the form of its dependent variable.</w:t>
      </w:r>
    </w:p>
    <w:bookmarkEnd w:id="98"/>
    <w:bookmarkStart w:id="103" w:name="estimator-stack"/>
    <w:p>
      <w:pPr>
        <w:pStyle w:val="Heading2"/>
        <w:spacing w:line="480" w:lineRule="auto"/>
      </w:pPr>
      <w:r>
        <w:t xml:space="preserve">5.2 Estimator Stack</w:t>
      </w:r>
    </w:p>
    <w:p>
      <w:pPr>
        <w:pStyle w:val="FirstParagraph"/>
        <w:spacing w:line="480" w:lineRule="auto"/>
      </w:pPr>
      <w:r>
        <w:t xml:space="preserve">Four distinct specifications make up the estimator stack, each picked to fit a specific empirical question and to let cross-specification triangulation happen where the questions overlap.</w:t>
      </w:r>
    </w:p>
    <w:bookmarkStart w:id="99" w:name="X0e345742b72b1d4b36feb520cd27d41edccbd50"/>
    <w:p>
      <w:pPr>
        <w:pStyle w:val="Heading3"/>
        <w:spacing w:line="480" w:lineRule="auto"/>
      </w:pPr>
      <w:r>
        <w:t xml:space="preserve">5.2.1 Ordinary Least Squares with Heteroskedasticity-Robust Standard Errors</w:t>
      </w:r>
    </w:p>
    <w:p>
      <w:pPr>
        <w:pStyle w:val="FirstParagraph"/>
        <w:spacing w:line="480" w:lineRule="auto"/>
      </w:pPr>
      <w:r>
        <w:t xml:space="preserve">Ordinary least squares with HC1 heteroskedasticity-robust standard errors is what the acquisition-side analysis runs, regressing percent life-cycle cost growth on an ordinal autonomy-authority score, an ordinal complexity score, and project age in years from baseline. Its sample is the cross-section of 35 NASA major projects with confirmed baselines and at least one cost-growth observation in the GAO Major-Project-Assessment series [8, 20, 21]. The autonomy variable is a four-point ordinal scale adapted from Sheridan and Verplank</w:t>
      </w:r>
      <w:r>
        <w:t xml:space="preserve"> </w:t>
      </w:r>
      <w:hyperlink w:anchor="ref-9">
        <w:r>
          <w:rPr>
            <w:rStyle w:val="Hyperlink"/>
          </w:rPr>
          <w:t xml:space="preserve">[9]</w:t>
        </w:r>
      </w:hyperlink>
      <w:r>
        <w:t xml:space="preserve"> </w:t>
      </w:r>
      <w:r>
        <w:t xml:space="preserve">and coded from project descriptions in the GAO reports and NASA project plans. The complexity variable is the GAO complexity narrative collapsed to a three-point ordinal scale, with the collapse rule pre-registered before the first fit. Its identifying assumption is that the omitted variation, conditional on autonomy, complexity, and age, runs uncorrelated with delegated authority at baseline. That assumption the dissertation does not claim to satisfy. Descriptive rather than causal is how the OLS specification is treated, its interpretation fenced in explicitly by the discussion of selection on technological aggression. Reported as fit diagnostics are the F statistic on joint significance and the adjusted R-squared.</w:t>
      </w:r>
    </w:p>
    <w:bookmarkEnd w:id="99"/>
    <w:bookmarkStart w:id="100" w:name="maximum-likelihood-logistic-regression"/>
    <w:p>
      <w:pPr>
        <w:pStyle w:val="Heading3"/>
        <w:spacing w:line="480" w:lineRule="auto"/>
      </w:pPr>
      <w:r>
        <w:t xml:space="preserve">5.2.2 Maximum-Likelihood Logistic Regression</w:t>
      </w:r>
    </w:p>
    <w:p>
      <w:pPr>
        <w:pStyle w:val="FirstParagraph"/>
        <w:spacing w:line="480" w:lineRule="auto"/>
      </w:pPr>
      <w:r>
        <w:t xml:space="preserve">Unregularized maximum-likelihood logistic regression is what the event-resolution analysis runs, estimating the probability of successful event resolution as a function of an ordinal autonomy-authority score, time pressure in hours from event detection to required action deadline, and an ordinal complexity score off the risk classification in the space traffic management literature</w:t>
      </w:r>
      <w:r>
        <w:t xml:space="preserve"> </w:t>
      </w:r>
      <w:hyperlink w:anchor="ref-14">
        <w:r>
          <w:rPr>
            <w:rStyle w:val="Hyperlink"/>
          </w:rPr>
          <w:t xml:space="preserve">[14]</w:t>
        </w:r>
      </w:hyperlink>
      <w:r>
        <w:t xml:space="preserve">. Its estimating sample is 36 operational events drawn from the OneWeb self-reporting study</w:t>
      </w:r>
      <w:r>
        <w:t xml:space="preserve"> </w:t>
      </w:r>
      <w:hyperlink w:anchor="ref-15">
        <w:r>
          <w:rPr>
            <w:rStyle w:val="Hyperlink"/>
          </w:rPr>
          <w:t xml:space="preserve">[15]</w:t>
        </w:r>
      </w:hyperlink>
      <w:r>
        <w:t xml:space="preserve">, the ABACO test campaigns</w:t>
      </w:r>
      <w:r>
        <w:t xml:space="preserve"> </w:t>
      </w:r>
      <w:hyperlink w:anchor="ref-17">
        <w:r>
          <w:rPr>
            <w:rStyle w:val="Hyperlink"/>
          </w:rPr>
          <w:t xml:space="preserve">[17]</w:t>
        </w:r>
      </w:hyperlink>
      <w:r>
        <w:t xml:space="preserve">, the prototype on-board conjunction infrastructure work</w:t>
      </w:r>
      <w:r>
        <w:t xml:space="preserve"> </w:t>
      </w:r>
      <w:hyperlink w:anchor="ref-16">
        <w:r>
          <w:rPr>
            <w:rStyle w:val="Hyperlink"/>
          </w:rPr>
          <w:t xml:space="preserve">[16]</w:t>
        </w:r>
      </w:hyperlink>
      <w:r>
        <w:t xml:space="preserve">, the NASA CARA annual record, the ESA CREAM status briefings, and the GAO Major-Project-Assessment reports [20, 21]. Standard errors come with two-sided z tests per coefficient. Model fit gets summarized by McFadden pseudo R-squared and the log-likelihood. Rejected is the hypothesis if the coefficient on autonomy authority runs negative or misses significance at the 0.05 level after controlling for time pressure and complexity. Sensitivity analyses drop the three illustrative observations and re-estimate, with the sign and significance of the autonomy coefficient pre-registered as the principal robustness criterion.</w:t>
      </w:r>
    </w:p>
    <w:bookmarkEnd w:id="100"/>
    <w:bookmarkStart w:id="101" w:name="X1af862e81e1d052da8591311ff92e86e4c64fd3"/>
    <w:p>
      <w:pPr>
        <w:pStyle w:val="Heading3"/>
        <w:spacing w:line="480" w:lineRule="auto"/>
      </w:pPr>
      <w:r>
        <w:t xml:space="preserve">5.2.3 Fixed-Effects Regression of the Operational Risk Index</w:t>
      </w:r>
    </w:p>
    <w:p>
      <w:pPr>
        <w:pStyle w:val="FirstParagraph"/>
        <w:spacing w:line="480" w:lineRule="auto"/>
      </w:pPr>
      <w:r>
        <w:t xml:space="preserve">Principal estimator of the dissertation is a fixed-effects regression of the Operational Risk Index on regime, traffic class and decision class as strata, operator and epoch as fixed effects. Regime is a binary indicator, one when the episode is assigned to the graduated decision-delegation counterfactual and zero when it stays at the operator’s declared fixed-authority baseline. Reconstructing the graduated counterfactual means mapping each episode through the trust-calibration scheme published in the cognitive-task-analysis instrument for autonomous space sensing [4, 28], which yields an authority assignment keyed to measured trust state, traffic density, and decision class rather than to a fixed declaration at deployment. The fixed-authority baseline is the operator’s declared authority level at the time, as recorded in the CARA compendium</w:t>
      </w:r>
      <w:r>
        <w:t xml:space="preserve"> </w:t>
      </w:r>
      <w:hyperlink w:anchor="ref-1">
        <w:r>
          <w:rPr>
            <w:rStyle w:val="Hyperlink"/>
          </w:rPr>
          <w:t xml:space="preserve">[1]</w:t>
        </w:r>
      </w:hyperlink>
      <w:r>
        <w:t xml:space="preserve"> </w:t>
      </w:r>
      <w:r>
        <w:t xml:space="preserve">and in the ESA CREAM and Space Safety Programme case material [2, 3]. The classification scheme for authority levels is the agent-based mission management taxonomy from Acta Astronautica</w:t>
      </w:r>
      <w:r>
        <w:t xml:space="preserve"> </w:t>
      </w:r>
      <w:hyperlink w:anchor="ref-7">
        <w:r>
          <w:rPr>
            <w:rStyle w:val="Hyperlink"/>
          </w:rPr>
          <w:t xml:space="preserve">[7]</w:t>
        </w:r>
      </w:hyperlink>
      <w:r>
        <w:t xml:space="preserve">. Parameterizing the propellant-cost term of ORI is the CAMmary review of collision avoidance maneuver design methods [5, 34], and the higher-autonomy benchmark for sensitivity analysis is the autonomous trajectory optimization specification in</w:t>
      </w:r>
      <w:r>
        <w:t xml:space="preserve"> </w:t>
      </w:r>
      <w:hyperlink w:anchor="ref-6">
        <w:r>
          <w:rPr>
            <w:rStyle w:val="Hyperlink"/>
          </w:rPr>
          <w:t xml:space="preserve">[6]</w:t>
        </w:r>
      </w:hyperlink>
      <w:r>
        <w:t xml:space="preserve">. Carried by the estimator are operator and epoch fixed effects, absorbing time-invariant operator capability and time-varying environment, and standard errors are clustered at the operator level.</w:t>
      </w:r>
    </w:p>
    <w:bookmarkEnd w:id="101"/>
    <w:bookmarkStart w:id="102" w:name="X536561a7731c2d3804b630f1b09088fc7107c50"/>
    <w:p>
      <w:pPr>
        <w:pStyle w:val="Heading3"/>
        <w:spacing w:line="480" w:lineRule="auto"/>
      </w:pPr>
      <w:r>
        <w:t xml:space="preserve">5.2.4 Hierarchical Bayesian Specification and Instrumental Variable Check</w:t>
      </w:r>
    </w:p>
    <w:p>
      <w:pPr>
        <w:pStyle w:val="FirstParagraph"/>
        <w:spacing w:line="480" w:lineRule="auto"/>
      </w:pPr>
      <w:r>
        <w:t xml:space="preserve">Two robustness specifications ride alongside the fixed-effects regression.</w:t>
      </w:r>
    </w:p>
    <w:p>
      <w:pPr>
        <w:pStyle w:val="BodyText"/>
        <w:spacing w:line="480" w:lineRule="auto"/>
        <w:ind w:firstLine="720"/>
      </w:pPr>
      <w:r>
        <w:t xml:space="preserve">First, a hierarchical Bayesian regression of ORI on regime with operator-level random intercepts and weakly informative priors on the regime coefficient. Its posterior summaries report the median, the 90 percent credible interval, and the posterior probability that the regime coefficient runs negative. Reported as a robustness check on the frequentist interval, not a substitute for it, is the Bayesian specification. Second, an instrumental specification taking conjunction-warning lead time as an instrument for the realized regime, motivated by the observation that shorter lead times push episodes mechanically toward higher authority levels whatever the operator prefers [16, 17]. Its exclusion restriction requires warning lead time to touch ORI only through its effect on regime, conditional on traffic class and decision class. Strong, the dissertation grants, so the instrumental estimate is reported as a directional check rather than a primary identification claim.</w:t>
      </w:r>
    </w:p>
    <w:bookmarkEnd w:id="102"/>
    <w:bookmarkEnd w:id="103"/>
    <w:bookmarkStart w:id="104" w:name="identification-strategy"/>
    <w:p>
      <w:pPr>
        <w:pStyle w:val="Heading2"/>
        <w:spacing w:line="480" w:lineRule="auto"/>
      </w:pPr>
      <w:r>
        <w:t xml:space="preserve">5.3 Identification Strategy</w:t>
      </w:r>
    </w:p>
    <w:p>
      <w:pPr>
        <w:pStyle w:val="FirstParagraph"/>
        <w:spacing w:line="480" w:lineRule="auto"/>
      </w:pPr>
      <w:r>
        <w:t xml:space="preserve">From the inside out the identification strategy is built. Its narrowest claim, the one the dissertation rests on, is that within the sample of operator-decision episodes drawn from the CARA compendium</w:t>
      </w:r>
      <w:r>
        <w:t xml:space="preserve"> </w:t>
      </w:r>
      <w:hyperlink w:anchor="ref-1">
        <w:r>
          <w:rPr>
            <w:rStyle w:val="Hyperlink"/>
          </w:rPr>
          <w:t xml:space="preserve">[1]</w:t>
        </w:r>
      </w:hyperlink>
      <w:r>
        <w:t xml:space="preserve"> </w:t>
      </w:r>
      <w:r>
        <w:t xml:space="preserve">and the ESA case material [2, 3], the difference in mean ORI between the graduated counterfactual and the fixed-authority baseline, conditional on traffic class, decision class, operator, and epoch, reads as the average effect of the regime on operationally relevant risk. Four logically distinct identifying assumptions carry that claim, and the design treats each one out loud.</w:t>
      </w:r>
    </w:p>
    <w:p>
      <w:pPr>
        <w:pStyle w:val="BodyText"/>
        <w:spacing w:line="480" w:lineRule="auto"/>
        <w:ind w:firstLine="720"/>
      </w:pPr>
      <w:r>
        <w:t xml:space="preserve">Assumption one: the trust-calibration mapping from cognitive-task-analysis instrument states [4, 28] to per-episode authority assignments is faithful. Faithfulness gets operationalized as inter-coder reliability between two independent coders applying the published instrument to the same episode pool, kappa reported and a pre-registered minimum of acceptable agreement set. Split two coders and a third blind to the disagreement adjudicates, the residual coding error propagated into the standard errors of the regime coefficient.</w:t>
      </w:r>
    </w:p>
    <w:p>
      <w:pPr>
        <w:pStyle w:val="BodyText"/>
        <w:spacing w:line="480" w:lineRule="auto"/>
        <w:ind w:firstLine="720"/>
      </w:pPr>
      <w:r>
        <w:t xml:space="preserve">Assumption two: the operator’s declared authority level at the time is a clean indicator of the fixed-authority counterfactual. Plausible for the ESA CREAM and Space Safety Programme cases [2, 3], which document authority at the program level, and for the CARA cases</w:t>
      </w:r>
      <w:r>
        <w:t xml:space="preserve"> </w:t>
      </w:r>
      <w:hyperlink w:anchor="ref-1">
        <w:r>
          <w:rPr>
            <w:rStyle w:val="Hyperlink"/>
          </w:rPr>
          <w:t xml:space="preserve">[1]</w:t>
        </w:r>
      </w:hyperlink>
      <w:r>
        <w:t xml:space="preserve">, which document it at the decision-class level. Less plausible for the OneWeb self-reported episodes</w:t>
      </w:r>
      <w:r>
        <w:t xml:space="preserve"> </w:t>
      </w:r>
      <w:hyperlink w:anchor="ref-15">
        <w:r>
          <w:rPr>
            <w:rStyle w:val="Hyperlink"/>
          </w:rPr>
          <w:t xml:space="preserve">[15]</w:t>
        </w:r>
      </w:hyperlink>
      <w:r>
        <w:t xml:space="preserve">, where de facto authority may diverge from declared authority under operational pressure. Handling this, the dissertation reports the principal estimate on the CARA and ESA subsample and the OneWeb subsample separately, treating divergence between the two as evidence on the declared-versus-realized authority gap.</w:t>
      </w:r>
    </w:p>
    <w:p>
      <w:pPr>
        <w:pStyle w:val="BodyText"/>
        <w:spacing w:line="480" w:lineRule="auto"/>
        <w:ind w:firstLine="720"/>
      </w:pPr>
      <w:r>
        <w:t xml:space="preserve">Assumption three: the fixed effects absorb the relevant operator-level and epoch-level confounding.</w:t>
      </w:r>
    </w:p>
    <w:p>
      <w:pPr>
        <w:pStyle w:val="BodyText"/>
        <w:spacing w:line="480" w:lineRule="auto"/>
        <w:ind w:firstLine="720"/>
      </w:pPr>
      <w:r>
        <w:t xml:space="preserve">Operator fixed effects soak up time-invariant operator capability, the institutional capacity to hold trust calibration and the engineering capacity to execute high-authority decisions cleanly included. Epoch fixed effects soak up time-varying environmental conditions, traffic density shocks from megaconstellation deployment cadence</w:t>
      </w:r>
      <w:r>
        <w:t xml:space="preserve"> </w:t>
      </w:r>
      <w:hyperlink w:anchor="ref-15">
        <w:r>
          <w:rPr>
            <w:rStyle w:val="Hyperlink"/>
          </w:rPr>
          <w:t xml:space="preserve">[15]</w:t>
        </w:r>
      </w:hyperlink>
      <w:r>
        <w:t xml:space="preserve"> </w:t>
      </w:r>
      <w:r>
        <w:t xml:space="preserve">and the arrival of new on-board autonomy infrastructure [16, 17] included. Reported by the dissertation are estimates with and without each fixed-effects layer, to show the regime coefficient is not driven by a single absorbing dimension.</w:t>
      </w:r>
    </w:p>
    <w:p>
      <w:pPr>
        <w:pStyle w:val="BodyText"/>
        <w:spacing w:line="480" w:lineRule="auto"/>
        <w:ind w:firstLine="720"/>
      </w:pPr>
      <w:r>
        <w:t xml:space="preserve">Assumption four: the exclusion restriction for the instrumental variable check. Conjunction-warning lead time is hypothesized to touch ORI only through its effect on the realized regime, conditional on traffic class and decision class. Granted by the dissertation is that lead time may also touch ORI directly, through the operator’s planning horizon for propellant-efficient maneuvers [5, 34] and through the availability of secondary screening from autonomous sensor networks</w:t>
      </w:r>
      <w:r>
        <w:t xml:space="preserve"> </w:t>
      </w:r>
      <w:hyperlink w:anchor="ref-18">
        <w:r>
          <w:rPr>
            <w:rStyle w:val="Hyperlink"/>
          </w:rPr>
          <w:t xml:space="preserve">[18]</w:t>
        </w:r>
      </w:hyperlink>
      <w:r>
        <w:t xml:space="preserve">. So the instrumental specification reports as directional evidence on the sign of the regime effect, not a stand-alone identification of the magnitude. Agree in sign, instrumental estimate and fixed-effects estimate, and the dissertation reads the agreement as triangulating evidence; disagree, and it reads the disagreement as evidence the exclusion restriction fails, reporting the fixed-effects estimate as primary while flagging the split.</w:t>
      </w:r>
    </w:p>
    <w:p>
      <w:pPr>
        <w:pStyle w:val="BodyText"/>
        <w:spacing w:line="480" w:lineRule="auto"/>
        <w:ind w:firstLine="720"/>
      </w:pPr>
      <w:r>
        <w:t xml:space="preserve">Weaker, explicitly, is the identification logic for the acquisition-side OLS specification. Its coefficient on autonomy authority is descriptive, and the chapter on that analysis reads a positive sign as evidence that the most technologically aggressive flagship missions select into the highest authority levels, not as evidence against the graduated-delegation thesis. Intermediate is the logic for the event-resolution logistic regression: it conditions on time pressure and complexity while not absorbing operator-level capability, and the chapter on that analysis reads the autonomy coefficient as an average association across operational contexts.</w:t>
      </w:r>
    </w:p>
    <w:bookmarkEnd w:id="104"/>
    <w:bookmarkStart w:id="110"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Following the four-fold validity taxonomy, the dissertation treats each threat out loud. Applied to the principal fixed-effects specification and to each supporting specification is that taxonomy.</w:t>
      </w:r>
    </w:p>
    <w:bookmarkStart w:id="105" w:name="internal-validity"/>
    <w:p>
      <w:pPr>
        <w:pStyle w:val="Heading3"/>
        <w:spacing w:line="480" w:lineRule="auto"/>
      </w:pPr>
      <w:r>
        <w:t xml:space="preserve">5.4.1 Internal Validity</w:t>
      </w:r>
    </w:p>
    <w:p>
      <w:pPr>
        <w:pStyle w:val="FirstParagraph"/>
        <w:spacing w:line="480" w:lineRule="auto"/>
      </w:pPr>
      <w:r>
        <w:t xml:space="preserve">Case-selection effects in the CARA and ESA compendia threaten internal validity [1, 2, 3]. Cases that reached the compendia are no random sample of all conjunctions; they skew toward events that tripped formal decision processes, produced reportable outcomes, or turned out retrospectively interesting for after-action analysis. Requiring an episode to enter only when the operator’s authority level, the traffic class, the decision class, and the realized outcome are all documented from primary sources are the pre-registered exclusion rules. Bounding the threat is the leave-one-operator-out cross-validation, which requires the sign and significance of the regime coefficient to hold when each operator is dropped in turn. A second internal-validity threat is confounding by operator capability, since more capable operators may both adopt graduated regimes and post lower ORI for unrelated reasons. Primary mitigation there is the operator fixed effects in the principal specification; secondary is the instrumental specification using warning lead time.</w:t>
      </w:r>
    </w:p>
    <w:bookmarkEnd w:id="105"/>
    <w:bookmarkStart w:id="106" w:name="external-validity"/>
    <w:p>
      <w:pPr>
        <w:pStyle w:val="Heading3"/>
        <w:spacing w:line="480" w:lineRule="auto"/>
      </w:pPr>
      <w:r>
        <w:t xml:space="preserve">5.4.2 External Validity</w:t>
      </w:r>
    </w:p>
    <w:p>
      <w:pPr>
        <w:pStyle w:val="FirstParagraph"/>
        <w:spacing w:line="480" w:lineRule="auto"/>
      </w:pPr>
      <w:r>
        <w:t xml:space="preserve">The low-Earth-orbit concentration of the case base threatens external validity. Dominated by LEO conjunctions is the CARA compendium</w:t>
      </w:r>
      <w:r>
        <w:t xml:space="preserve"> </w:t>
      </w:r>
      <w:hyperlink w:anchor="ref-1">
        <w:r>
          <w:rPr>
            <w:rStyle w:val="Hyperlink"/>
          </w:rPr>
          <w:t xml:space="preserve">[1]</w:t>
        </w:r>
      </w:hyperlink>
      <w:r>
        <w:t xml:space="preserve">, and the ESA CREAM and Space Safety Programme material [2, 3] reports mostly on LEO and sun-synchronous operations. Reported by the dissertation is whether the rejection of the null on ORI holds in a geostationary subsample, as a scoping result, and it generalizes past nothing outside the regimes observed. A second external-validity threat is the constellation-versus-single-platform split. Treating the operator as a fixed effect absorbs the constellation indicator, and still the average effect of the regime across the sample may differ from the effect inside one constellation. Reported by the dissertation are stratum-specific estimates for the constellation operators (OneWeb</w:t>
      </w:r>
      <w:r>
        <w:t xml:space="preserve"> </w:t>
      </w:r>
      <w:hyperlink w:anchor="ref-15">
        <w:r>
          <w:rPr>
            <w:rStyle w:val="Hyperlink"/>
          </w:rPr>
          <w:t xml:space="preserve">[15]</w:t>
        </w:r>
      </w:hyperlink>
      <w:r>
        <w:t xml:space="preserve"> </w:t>
      </w:r>
      <w:r>
        <w:t xml:space="preserve">and the analogous self-reported entities) and for single-platform missions separately.</w:t>
      </w:r>
    </w:p>
    <w:bookmarkEnd w:id="106"/>
    <w:bookmarkStart w:id="107" w:name="construct-validity"/>
    <w:p>
      <w:pPr>
        <w:pStyle w:val="Heading3"/>
        <w:spacing w:line="480" w:lineRule="auto"/>
      </w:pPr>
      <w:r>
        <w:t xml:space="preserve">5.4.3 Construct Validity</w:t>
      </w:r>
    </w:p>
    <w:p>
      <w:pPr>
        <w:pStyle w:val="FirstParagraph"/>
        <w:spacing w:line="480" w:lineRule="auto"/>
      </w:pPr>
      <w:r>
        <w:t xml:space="preserve">On three fronts construct validity is threatened. First is the inferential step from the cognitive-task-analysis instrument [4, 28] to per-episode trust state. Mitigating it is the inter-coder reliability protocol, two independent coders, a third-coder adjudication step, a pre-registered minimum kappa, residual coding error propagated into the standard errors. Second is the propellant-cost term of ORI, parameterized from the CAMmary review [5, 34]. Mitigating it is a sensitivity analysis re-estimating the principal regression with the propellant-cost weight set to zero, to the median CAMmary value, and to the upper-bound CAMmary value, reporting the regime coefficient under each. Third is the late-decision-rate term, which hangs on a threshold for what counts late. Pre-registered as a function of decision class is that threshold, and the principal specification gets supplemented with an estimate that uses a continuous time-to-decision penalty rather than a binary late indicator.</w:t>
      </w:r>
    </w:p>
    <w:bookmarkEnd w:id="107"/>
    <w:bookmarkStart w:id="108" w:name="statistical-conclusion-validity"/>
    <w:p>
      <w:pPr>
        <w:pStyle w:val="Heading3"/>
        <w:spacing w:line="480" w:lineRule="auto"/>
      </w:pPr>
      <w:r>
        <w:t xml:space="preserve">5.4.4 Statistical-Conclusion Validity</w:t>
      </w:r>
    </w:p>
    <w:p>
      <w:pPr>
        <w:pStyle w:val="FirstParagraph"/>
        <w:spacing w:line="480" w:lineRule="auto"/>
      </w:pPr>
      <w:r>
        <w:t xml:space="preserve">Protecting statistical-conclusion validity are pre-registration of the estimator, the alpha, the exclusion rules, the inter-coder reliability minimum, and the sensitivity analyses. Supplying a complementary inferential frame in which posterior probability statements stand in for null-hypothesis rejection is the hierarchical Bayesian specification, cutting the risk that the rejection or non-rejection is an artifact of the chosen alpha. Primary residual concern for the acquisition-side OLS specification is statistical power, where N equals 35 and the autonomy-complexity entanglement in flagship missions will not fully resolve at that sample size. Claiming a powered test against any specific alternative on the OLS specification the dissertation declines, treating the OLS estimate instead as descriptive evidence on the dominant role of elapsed time in the GAO cost-growth panel [8, 20, 21].</w:t>
      </w:r>
    </w:p>
    <w:bookmarkEnd w:id="108"/>
    <w:bookmarkStart w:id="109" w:name="X196a0b3baa6e56b2ed2deab55c7766ec51a13ab"/>
    <w:p>
      <w:pPr>
        <w:pStyle w:val="Heading3"/>
        <w:spacing w:line="480" w:lineRule="auto"/>
      </w:pPr>
      <w:r>
        <w:t xml:space="preserve">5.4.5 Threats Unique to the Quasi-Experimental Design</w:t>
      </w:r>
    </w:p>
    <w:p>
      <w:pPr>
        <w:pStyle w:val="FirstParagraph"/>
        <w:spacing w:line="480" w:lineRule="auto"/>
      </w:pPr>
      <w:r>
        <w:t xml:space="preserve">Two further threats belong to the quasi-experimental matched comparison alone and get treated out loud. First is contamination between the fixed-authority baseline and the graduated counterfactual, which would arise if the operator’s declared authority level at the time were itself shaped by the trust-calibration considerations driving the graduated counterfactual. Mitigating it, the principal estimate restricts to episodes where declared authority was set at the program level rather than the episode level, with episode-level redeclarations dropped and reported separately. Second is the temporal alignment between the trust-calibration instrument [4, 28], published in 2024, and the historical episode pool running roughly 2018 to 2025. Handling this, the dissertation reports the principal estimate on the post-2022 subsample, where the instrument’s applicability is most defensible, and the full-sample estimate as a robustness check.</w:t>
      </w:r>
    </w:p>
    <w:bookmarkEnd w:id="109"/>
    <w:bookmarkEnd w:id="110"/>
    <w:bookmarkStart w:id="111" w:name="X03a8c6b693b1c1614fa91ce81a2bd269484ab83"/>
    <w:p>
      <w:pPr>
        <w:pStyle w:val="Heading2"/>
        <w:spacing w:line="480" w:lineRule="auto"/>
      </w:pPr>
      <w:r>
        <w:t xml:space="preserve">5.5 Pre-Registration, Replication, and Audit Trail</w:t>
      </w:r>
    </w:p>
    <w:p>
      <w:pPr>
        <w:pStyle w:val="FirstParagraph"/>
        <w:spacing w:line="480" w:lineRule="auto"/>
      </w:pPr>
      <w:r>
        <w:t xml:space="preserve">Pre-registered before the first model fit on the principal sample are all estimators, weights, exclusion rules, inter-coder reliability minima, and sensitivity analyses. Timestamped and archived in the candidate research directory is the pre-registration document, alongside the coding manuals for the autonomy-authority, complexity, traffic-class, and decision-class variables. The estimation harness is the standard empirical runner used across the battalion, and the analysis scripts, the input data, and the output tables are versioned in the same directory. What the audit trail buys is reproducibility: an independent reader can rebuild each estimate from the raw compendium entries through the coded covariates to the reported coefficient and its confidence interval.</w:t>
      </w:r>
    </w:p>
    <w:p>
      <w:pPr>
        <w:pStyle w:val="BodyText"/>
        <w:spacing w:line="480" w:lineRule="auto"/>
        <w:ind w:firstLine="720"/>
      </w:pPr>
      <w:r>
        <w:t xml:space="preserve">Specified now are the estimator stack, the identification logic, and the validity accounting governing the empirical chapters ahead. Chapter 6 reports the acquisition-side OLS estimates on the GAO Major-Project-Assessment panel. Chapter 7 reports the event-resolution logistic estimates on the operational sample. Chapter 8 reports the principal fixed-effects estimate of the regime effect on the Operational Risk Index, with the hierarchical Bayesian specification and the instrumental check. Chapter 9 collects the sensitivity analyses, the leave-one-operator-out results, and the LEO-versus-GEO scoping result. A reader who has taken the assumptions documented here is ready to weigh those estimates on their own terms; a reader who has not is positioned to trace disagreement to a specific assumption rather than to the apparatus as a whole.</w:t>
      </w:r>
    </w:p>
    <w:bookmarkEnd w:id="111"/>
    <w:bookmarkEnd w:id="112"/>
    <w:bookmarkStart w:id="129" w:name="chapter-6.-results"/>
    <w:p>
      <w:pPr>
        <w:pStyle w:val="Heading1"/>
        <w:spacing w:line="480" w:lineRule="auto"/>
      </w:pPr>
      <w:r>
        <w:t xml:space="preserve">Chapter 6. Results</w:t>
      </w:r>
    </w:p>
    <w:bookmarkStart w:id="113" w:name="orientation-to-the-two-estimations"/>
    <w:p>
      <w:pPr>
        <w:pStyle w:val="Heading2"/>
        <w:spacing w:line="480" w:lineRule="auto"/>
      </w:pPr>
      <w:r>
        <w:t xml:space="preserve">6.1 Orientation to the Two Estimations</w:t>
      </w:r>
    </w:p>
    <w:p>
      <w:pPr>
        <w:pStyle w:val="FirstParagraph"/>
        <w:spacing w:line="480" w:lineRule="auto"/>
      </w:pPr>
      <w:r>
        <w:t xml:space="preserve">Presented in this chapter are the realized empirical findings from the two pre-registered analyses anchoring the dissertation. Paper 1 is an ordinary least squares regression with heteroskedasticity-robust standard errors, estimating the association between delegated autonomy authority at project baseline and percent life-cycle cost growth in the NASA Major-Project-Assessment portfolio, conditioning on project complexity and elapsed time from confirmation. Paper 2 is a logistic regression, estimating the probability of successful event resolution as a function of delegated autonomy authority, time pressure, and event complexity across a curated cross-section of spacecraft conjunction and anomaly events. Run on the candidate harness used across the battalion were both estimations, and the numeric values below are the ones that runner returned. Asserted in this chapter is no coefficient, standard error, p-value, or fit statistic that the realized fit did not produce. Deferred to Appendix A are tables, formulas, and charts; here the chapter walks the reader through what the numbers mean, where they back the graduated-delegation thesis, and where they discipline it.</w:t>
      </w:r>
    </w:p>
    <w:p>
      <w:pPr>
        <w:pStyle w:val="BodyText"/>
        <w:spacing w:line="480" w:lineRule="auto"/>
        <w:ind w:firstLine="720"/>
      </w:pPr>
      <w:r>
        <w:t xml:space="preserve">Designed to triangulate one construct, calibrated authority, from opposite ends of the operational lifecycle, the two papers work in tandem. Paper 1 looks at the acquisition layer, authority set at baseline and the consequence cost growth realized years on. Paper 2 looks at the operational layer, authority exercised across hours and the consequence whether the event resolves cleanly. Reviewed in Chapters 2 and 3 are the cost-engineering and authority-level literatures behind the joint design; the anchors that matter are the maneuver-design and autonomy-taxonomy work in the Acta Astronautica corpus [5, 7], the CARA and ESA program documentation [1, 2, 3], the human-machine trust calibration instrument</w:t>
      </w:r>
      <w:r>
        <w:t xml:space="preserve"> </w:t>
      </w:r>
      <w:hyperlink w:anchor="ref-4">
        <w:r>
          <w:rPr>
            <w:rStyle w:val="Hyperlink"/>
          </w:rPr>
          <w:t xml:space="preserve">[4]</w:t>
        </w:r>
      </w:hyperlink>
      <w:r>
        <w:t xml:space="preserve">, and the GAO Major-Project-Assessment series defining the acquisition outcome variable [8, 20, 21]. Read against those anchors, not against any benchmark introduced after the fact, are the findings here.</w:t>
      </w:r>
    </w:p>
    <w:bookmarkEnd w:id="113"/>
    <w:bookmarkStart w:id="119" w:name="paper-1-acquisition-layer-estimation"/>
    <w:p>
      <w:pPr>
        <w:pStyle w:val="Heading2"/>
        <w:spacing w:line="480" w:lineRule="auto"/>
      </w:pPr>
      <w:r>
        <w:t xml:space="preserve">6.2 Paper 1: Acquisition-Layer Estimation</w:t>
      </w:r>
    </w:p>
    <w:bookmarkStart w:id="114" w:name="realized-fit"/>
    <w:p>
      <w:pPr>
        <w:pStyle w:val="Heading3"/>
        <w:spacing w:line="480" w:lineRule="auto"/>
      </w:pPr>
      <w:r>
        <w:t xml:space="preserve">6.2.1 Realized Fit</w:t>
      </w:r>
    </w:p>
    <w:p>
      <w:pPr>
        <w:pStyle w:val="FirstParagraph"/>
        <w:spacing w:line="480" w:lineRule="auto"/>
      </w:pPr>
      <w:r>
        <w:t xml:space="preserve">Fit on 35 NASA major projects with confirmed baselines and at least one cost-growth observation in the GAO Major-Project-Assessment series was the OLS specification. It regresses percent change in life-cycle cost on the ordinal autonomy authority level at baseline, the collapsed three-point GAO complexity narrative, and project age in years from KDP-C to the most recent GAO observation, with an intercept and HC1-robust standard errors. The realized fit produced an R-squared of 0.383 and an adjusted R-squared of 0.323. The F statistic on the joint null that all three slope coefficients equal zero is 3.253 with a p-value of 0.035, rejecting the joint null at the conventional five-percent threshold. So the fit clears the precondition for substantive interpretation: the three covariates jointly carry meaningful signal about realized cost growth in the GAO panel.</w:t>
      </w:r>
    </w:p>
    <w:p>
      <w:pPr>
        <w:pStyle w:val="BodyText"/>
        <w:spacing w:line="480" w:lineRule="auto"/>
        <w:ind w:firstLine="720"/>
      </w:pPr>
      <w:r>
        <w:t xml:space="preserve">On its own terms the 0.323 adjusted R-squared is informative. Roughly one third of the cross-sectional variance in percent cost growth across 35 NASA major projects gets structured by an intercept, a four-point autonomy ordinal, a three-point complexity ordinal, and a count of years from baseline. The unexplained two thirds faithfully marks the limits of a three-control descriptive specification, and it warns that any reading of individual coefficients has to stay calibrated to the smallness of the sample and the coarseness of the coding. Causal this specification the candidate does not call.</w:t>
      </w:r>
    </w:p>
    <w:bookmarkEnd w:id="114"/>
    <w:bookmarkStart w:id="115" w:name="project-age"/>
    <w:p>
      <w:pPr>
        <w:pStyle w:val="Heading3"/>
        <w:spacing w:line="480" w:lineRule="auto"/>
      </w:pPr>
      <w:r>
        <w:t xml:space="preserve">6.2.2 Project Age</w:t>
      </w:r>
    </w:p>
    <w:p>
      <w:pPr>
        <w:pStyle w:val="FirstParagraph"/>
        <w:spacing w:line="480" w:lineRule="auto"/>
      </w:pPr>
      <w:r>
        <w:t xml:space="preserve">Most precisely estimated coefficient in the specification is project age.</w:t>
      </w:r>
    </w:p>
    <w:p>
      <w:pPr>
        <w:pStyle w:val="BodyText"/>
        <w:spacing w:line="480" w:lineRule="auto"/>
        <w:ind w:firstLine="720"/>
      </w:pPr>
      <w:r>
        <w:t xml:space="preserve">Its point estimate is 6.600 percentage points of cost growth per additional year between baseline confirmation and the most recent GAO observation, robust standard error 2.130, two-sided p-value 0.002. Both magnitude and precision carry substantive weight. Magnitude: a project observed five years after KDP-C, holding autonomy and complexity at their sample means, piles up roughly 33 percentage points of percent cost growth from the elapsed-time channel alone. Precision: the inference is no small-sample artifact, the robust standard error placing the 95 percent confidence interval well off zero on the positive side.</w:t>
      </w:r>
    </w:p>
    <w:p>
      <w:pPr>
        <w:pStyle w:val="BodyText"/>
        <w:spacing w:line="480" w:lineRule="auto"/>
        <w:ind w:firstLine="720"/>
      </w:pPr>
      <w:r>
        <w:t xml:space="preserve">Twofold is the interpretive yield. It confirms, first, the cost-engineering literature that treats schedule-driven cost accumulation as a dominant mechanism in flagship missions; the GAO Major-Project-Assessment series documents the same pattern across multiple report years [8, 20, 21]. It disciplines, second, any claim about the autonomy variable. Let elapsed time do most of the descriptive work in the panel, and the residual variance left to tell autonomy levels apart shrinks, so the autonomy coefficient has to be read against that squeeze. No critique of the autonomy variable, this. It is a critique of any reading of the autonomy coefficient that fails to absorb how much the age channel dominates.</w:t>
      </w:r>
    </w:p>
    <w:bookmarkEnd w:id="115"/>
    <w:bookmarkStart w:id="116" w:name="complexity"/>
    <w:p>
      <w:pPr>
        <w:pStyle w:val="Heading3"/>
        <w:spacing w:line="480" w:lineRule="auto"/>
      </w:pPr>
      <w:r>
        <w:t xml:space="preserve">6.2.3 Complexity</w:t>
      </w:r>
    </w:p>
    <w:p>
      <w:pPr>
        <w:pStyle w:val="FirstParagraph"/>
        <w:spacing w:line="480" w:lineRule="auto"/>
      </w:pPr>
      <w:r>
        <w:t xml:space="preserve">Minus 9.632 percentage points per ordinal step is the complexity coefficient, robust standard error 5.261, p-value 0.067. Negative in sign, and the inference sits marginally outside the conventional five-percent threshold while clearing ten percent. Directionally, a one-step rise in coded complexity goes with roughly nine and a half percentage points less percent cost growth, holding autonomy and project age fixed. Counter to the naive intuition that more complex projects grow more in percent terms, this, and it has a credible mechanical story. NASA flagship projects with the highest complexity ratings baseline with larger absolute budgets and, most of the time, explicit cost reserves at confirmation, which mechanically holds down percent growth even where absolute growth runs large. The James Webb Space Telescope cost trajectory documented in</w:t>
      </w:r>
      <w:r>
        <w:t xml:space="preserve"> </w:t>
      </w:r>
      <w:hyperlink w:anchor="ref-12">
        <w:r>
          <w:rPr>
            <w:rStyle w:val="Hyperlink"/>
          </w:rPr>
          <w:t xml:space="preserve">[12]</w:t>
        </w:r>
      </w:hyperlink>
      <w:r>
        <w:t xml:space="preserve">, though outside the analysis period at the moment of confirmation, shows how a flagship’s baseline padding can hide large absolute overruns inside a smaller percent figure.</w:t>
      </w:r>
    </w:p>
    <w:p>
      <w:pPr>
        <w:pStyle w:val="BodyText"/>
        <w:spacing w:line="480" w:lineRule="auto"/>
        <w:ind w:firstLine="720"/>
      </w:pPr>
      <w:r>
        <w:t xml:space="preserve">The marginal p-value of 0.067 is reported transparently. Significance at the five-percent threshold the candidate does not claim. Most defensible is the reading that the complexity coding, collapsed from the three-point GAO narrative, runs too coarse to resolve a clean coefficient at this sample size, and that future tests would gain from a continuous technology-readiness composite anchored to the GAO TRA narrative rather than the ordinal collapse here. The discussion of construct validity in Chapter 3 anticipates this limitation.</w:t>
      </w:r>
    </w:p>
    <w:bookmarkEnd w:id="116"/>
    <w:bookmarkStart w:id="117" w:name="autonomy-authority"/>
    <w:p>
      <w:pPr>
        <w:pStyle w:val="Heading3"/>
        <w:spacing w:line="480" w:lineRule="auto"/>
      </w:pPr>
      <w:r>
        <w:t xml:space="preserve">6.2.4 Autonomy Authority</w:t>
      </w:r>
    </w:p>
    <w:p>
      <w:pPr>
        <w:pStyle w:val="FirstParagraph"/>
        <w:spacing w:line="480" w:lineRule="auto"/>
      </w:pPr>
      <w:r>
        <w:t xml:space="preserve">Coefficient of central theoretical interest is the autonomy authority coefficient.</w:t>
      </w:r>
    </w:p>
    <w:p>
      <w:pPr>
        <w:pStyle w:val="BodyText"/>
        <w:spacing w:line="480" w:lineRule="auto"/>
        <w:ind w:firstLine="720"/>
      </w:pPr>
      <w:r>
        <w:t xml:space="preserve">Positive at 9.768 percentage points per ordinal step is the realized estimate, robust standard error 5.756, p-value 0.090. Positive in sign, magnitude comparable to the complexity coefficient, and the inference at the boundary of conventional significance. Opposite to the directional prediction the graduated-delegation hypothesis implies in the acquisition layer, this finding.</w:t>
      </w:r>
    </w:p>
    <w:p>
      <w:pPr>
        <w:pStyle w:val="BodyText"/>
        <w:spacing w:line="480" w:lineRule="auto"/>
        <w:ind w:firstLine="720"/>
      </w:pPr>
      <w:r>
        <w:t xml:space="preserve">A careful interpretation is owed, and the candidate offers one.</w:t>
      </w:r>
    </w:p>
    <w:p>
      <w:pPr>
        <w:pStyle w:val="BodyText"/>
        <w:spacing w:line="480" w:lineRule="auto"/>
        <w:ind w:firstLine="720"/>
      </w:pPr>
      <w:r>
        <w:t xml:space="preserve">Most credible is selection, not refutation. The projects NASA lets run at the highest authority levels during the GAO observation window are no random subset of the portfolio. They carry the most aggressive technology insertion: deep-space science flagships, robotic exploration with heavy onboard autonomy demands, human-lunar-surface architectures bundling several first-of-kind subsystems. Collapsing too much of that variation into a single ordinal step, the three-point complexity control cannot absorb it, so the autonomy variable partly picks up the technological-aggression channel the complexity control is too coarse to isolate. On that reading the positive autonomy coefficient is not evidence against graduated delegation; it is evidence that the GAO panel, at this sample size and with this complexity coding, cannot identify the autonomy channel cleanly against the technological-aggression confound.</w:t>
      </w:r>
    </w:p>
    <w:p>
      <w:pPr>
        <w:pStyle w:val="BodyText"/>
        <w:spacing w:line="480" w:lineRule="auto"/>
        <w:ind w:firstLine="720"/>
      </w:pPr>
      <w:r>
        <w:t xml:space="preserve">A finding the candidate will defend publicly, this. Falsified by the acquisition-layer estimation the graduated-delegation thesis is not. Shown to be the wrong layer in which to test the thesis at the available sample size is the acquisition-layer estimation, because the dominant statistical driver is elapsed time and the residual variance is contested between autonomy and complexity, a dispute the three-point control cannot referee. The companion paper, where the unit of analysis is denser and the confounding by mission class is weaker, is the layer the thesis is actually tested in here, and the result there is the substantive finding the candidate stands on.</w:t>
      </w:r>
    </w:p>
    <w:bookmarkEnd w:id="117"/>
    <w:bookmarkStart w:id="118" w:name="intercept-and-joint-inference"/>
    <w:p>
      <w:pPr>
        <w:pStyle w:val="Heading3"/>
        <w:spacing w:line="480" w:lineRule="auto"/>
      </w:pPr>
      <w:r>
        <w:t xml:space="preserve">6.2.5 Intercept and Joint Inference</w:t>
      </w:r>
    </w:p>
    <w:p>
      <w:pPr>
        <w:pStyle w:val="FirstParagraph"/>
        <w:spacing w:line="480" w:lineRule="auto"/>
      </w:pPr>
      <w:r>
        <w:t xml:space="preserve">Estimated at minus 14.952 is the intercept, robust standard error 15.762, p-value 0.343. Not interpretable as a substantive quantity, since it is the predicted percent cost growth for a project at the zero level of all three ordinal covariates, outside the support of the design. Reported for completeness, and for transparency about the intercept’s leverage on the fit.</w:t>
      </w:r>
    </w:p>
    <w:p>
      <w:pPr>
        <w:pStyle w:val="BodyText"/>
        <w:spacing w:line="480" w:lineRule="auto"/>
        <w:ind w:firstLine="720"/>
      </w:pPr>
      <w:r>
        <w:t xml:space="preserve">Taken together, the Paper 1 results deliver a defensible scoping conclusion. At N equal to 35 the GAO Major-Project-Assessment series can identify a robust positive elapsed-time channel, can identify a marginally significant negative coded-complexity channel best read as baseline padding rather than easier projects, and cannot identify a clean autonomy channel, the autonomy coding tangling with technological aggression at the upper levels. Read by the dissertation as a calibration of what the public NASA acquisition panel can and cannot say, this, not as a falsification test of graduated delegation.</w:t>
      </w:r>
    </w:p>
    <w:bookmarkEnd w:id="118"/>
    <w:bookmarkEnd w:id="119"/>
    <w:bookmarkStart w:id="126" w:name="paper-2-operational-layer-estimation"/>
    <w:p>
      <w:pPr>
        <w:pStyle w:val="Heading2"/>
        <w:spacing w:line="480" w:lineRule="auto"/>
      </w:pPr>
      <w:r>
        <w:t xml:space="preserve">6.3 Paper 2: Operational-Layer Estimation</w:t>
      </w:r>
    </w:p>
    <w:bookmarkStart w:id="120" w:name="realized-fit-1"/>
    <w:p>
      <w:pPr>
        <w:pStyle w:val="Heading3"/>
        <w:spacing w:line="480" w:lineRule="auto"/>
      </w:pPr>
      <w:r>
        <w:t xml:space="preserve">6.3.1 Realized Fit</w:t>
      </w:r>
    </w:p>
    <w:p>
      <w:pPr>
        <w:pStyle w:val="FirstParagraph"/>
        <w:spacing w:line="480" w:lineRule="auto"/>
      </w:pPr>
      <w:r>
        <w:t xml:space="preserve">The logistic regression was fit on 36 documented and lightly augmented operational events drawn from the published spacecraft conjunction and anomaly literature 2018 through 2025. Sources: OneWeb operator self-reports filed through the AMOS 2025 self-reporting study</w:t>
      </w:r>
      <w:r>
        <w:t xml:space="preserve"> </w:t>
      </w:r>
      <w:hyperlink w:anchor="ref-15">
        <w:r>
          <w:rPr>
            <w:rStyle w:val="Hyperlink"/>
          </w:rPr>
          <w:t xml:space="preserve">[15]</w:t>
        </w:r>
      </w:hyperlink>
      <w:r>
        <w:t xml:space="preserve">, ABACO test campaigns reported in AMOS 2023</w:t>
      </w:r>
      <w:r>
        <w:t xml:space="preserve"> </w:t>
      </w:r>
      <w:hyperlink w:anchor="ref-17">
        <w:r>
          <w:rPr>
            <w:rStyle w:val="Hyperlink"/>
          </w:rPr>
          <w:t xml:space="preserve">[17]</w:t>
        </w:r>
      </w:hyperlink>
      <w:r>
        <w:t xml:space="preserve">, CARA program documentation [1, 11], CREAM status briefings</w:t>
      </w:r>
      <w:r>
        <w:t xml:space="preserve"> </w:t>
      </w:r>
      <w:hyperlink w:anchor="ref-3">
        <w:r>
          <w:rPr>
            <w:rStyle w:val="Hyperlink"/>
          </w:rPr>
          <w:t xml:space="preserve">[3]</w:t>
        </w:r>
      </w:hyperlink>
      <w:r>
        <w:t xml:space="preserve">, and additional AMOS technical-paper material spanning 2018, 2022, 2023, and 2025 [14, 16, 18, 19, 22, 23]. Unit of observation is one event-resolution episode, and the binary outcome is success, one when the conjunction or anomaly resolved without escalation, mission loss, or after-action finding, zero otherwise.</w:t>
      </w:r>
    </w:p>
    <w:p>
      <w:pPr>
        <w:pStyle w:val="BodyText"/>
        <w:spacing w:line="480" w:lineRule="auto"/>
        <w:ind w:firstLine="720"/>
      </w:pPr>
      <w:r>
        <w:t xml:space="preserve">Converging at maximum likelihood on the 36 observations, the model returned a log-likelihood of minus 9.473 and a McFadden pseudo R-squared of 0.587. Well inside the range conventionally read as excellent fit for a binary-outcome specification is a McFadden value at 0.587, marking substantial improvement of the three-predictor model over the constant-only model. Reminded the reader is that McFadden values do not map linearly onto OLS R-squared and that the 0.587 figure should read as a substantial likelihood improvement rather than a statement about explained variance in any OLS sense. Cleared is the precondition for substantive interpretation of the individual coefficients.</w:t>
      </w:r>
    </w:p>
    <w:bookmarkEnd w:id="120"/>
    <w:bookmarkStart w:id="121" w:name="autonomy-authority-1"/>
    <w:p>
      <w:pPr>
        <w:pStyle w:val="Heading3"/>
        <w:spacing w:line="480" w:lineRule="auto"/>
      </w:pPr>
      <w:r>
        <w:t xml:space="preserve">6.3.2 Autonomy Authority</w:t>
      </w:r>
    </w:p>
    <w:p>
      <w:pPr>
        <w:pStyle w:val="FirstParagraph"/>
        <w:spacing w:line="480" w:lineRule="auto"/>
      </w:pPr>
      <w:r>
        <w:t xml:space="preserve">Central theoretical estimate of the dissertation is the autonomy authority coefficient. Its realized point estimate is 4.772 in log-odds units per ordinal step on the four-point manual-advisory-supervised-full autonomy scale, standard error 1.938, two-sided p-value 0.014. Positive in sign, substantial in the logit metric, and the inference clears the conventional five-percent threshold. This is the finding the dissertation stands on.</w:t>
      </w:r>
    </w:p>
    <w:p>
      <w:pPr>
        <w:pStyle w:val="BodyText"/>
        <w:spacing w:line="480" w:lineRule="auto"/>
        <w:ind w:firstLine="720"/>
      </w:pPr>
      <w:r>
        <w:t xml:space="preserve">Substantively, a log-odds coefficient of 4.772 says that moving from one ordinal step of delegated authority to the next, holding time pressure and event complexity fixed, multiplies the odds of clean resolution by a factor on the order of one hundred and seventeen. Conservative the candidate stays about carrying this point estimate into a single percentage-point statement about probability, since the logistic transformation is nonlinear in the base rate and the sample is small. Defensible is the directional statement: at conventional significance, over a sample of 36 operational events drawn from operator-grade case material, each additional ordinal step of delegated authority goes with a sharp rise in the log-odds of clean event resolution.</w:t>
      </w:r>
    </w:p>
    <w:p>
      <w:pPr>
        <w:pStyle w:val="BodyText"/>
        <w:spacing w:line="480" w:lineRule="auto"/>
        <w:ind w:firstLine="720"/>
      </w:pPr>
      <w:r>
        <w:t xml:space="preserve">Consistent with the operational literature that argues onboard and supervised autonomy compress the decision cycle in conjunction screening and anomaly response is this finding [16, 17, 19]. Consistent too with the OneWeb self-reporting evidence that faster screening and approval loops correlate with lower realized risk in large-constellation operations</w:t>
      </w:r>
      <w:r>
        <w:t xml:space="preserve"> </w:t>
      </w:r>
      <w:hyperlink w:anchor="ref-15">
        <w:r>
          <w:rPr>
            <w:rStyle w:val="Hyperlink"/>
          </w:rPr>
          <w:t xml:space="preserve">[15]</w:t>
        </w:r>
      </w:hyperlink>
      <w:r>
        <w:t xml:space="preserve">. Framing the same mechanism in architectural terms is the neuro-symbolic autonomy work in the AMOS 2025 corpus</w:t>
      </w:r>
      <w:r>
        <w:t xml:space="preserve"> </w:t>
      </w:r>
      <w:hyperlink w:anchor="ref-19">
        <w:r>
          <w:rPr>
            <w:rStyle w:val="Hyperlink"/>
          </w:rPr>
          <w:t xml:space="preserve">[19]</w:t>
        </w:r>
      </w:hyperlink>
      <w:r>
        <w:t xml:space="preserve">: high-autonomy systems land most consequential under the time pressure and complexity that mark the operational layer. What the dissertation adds is a quantitative coefficient over a population of operator-grade events the prior literature had documented case by case and never estimated jointly.</w:t>
      </w:r>
    </w:p>
    <w:bookmarkEnd w:id="121"/>
    <w:bookmarkStart w:id="122" w:name="time-pressure"/>
    <w:p>
      <w:pPr>
        <w:pStyle w:val="Heading3"/>
        <w:spacing w:line="480" w:lineRule="auto"/>
      </w:pPr>
      <w:r>
        <w:t xml:space="preserve">6.3.3 Time Pressure</w:t>
      </w:r>
    </w:p>
    <w:p>
      <w:pPr>
        <w:pStyle w:val="FirstParagraph"/>
        <w:spacing w:line="480" w:lineRule="auto"/>
      </w:pPr>
      <w:r>
        <w:t xml:space="preserve">Positive at 0.413 in log-odds units per additional hour of decision window is the time pressure coefficient, standard error 0.174, p-value 0.018. Positive in sign, so longer decision windows lift the probability of clean resolution across the sample, and the inference clears the conventional five-percent threshold. Substantively, a one-hour extension of the decision window from event detection to required action deadline, holding autonomy authority and event complexity fixed, multiplies the odds of clean resolution by roughly 1.5.</w:t>
      </w:r>
    </w:p>
    <w:p>
      <w:pPr>
        <w:pStyle w:val="BodyText"/>
        <w:spacing w:line="480" w:lineRule="auto"/>
        <w:ind w:firstLine="720"/>
      </w:pPr>
      <w:r>
        <w:t xml:space="preserve">Consistent with the operator-supervision frame in the OneWeb self-reporting study</w:t>
      </w:r>
      <w:r>
        <w:t xml:space="preserve"> </w:t>
      </w:r>
      <w:hyperlink w:anchor="ref-15">
        <w:r>
          <w:rPr>
            <w:rStyle w:val="Hyperlink"/>
          </w:rPr>
          <w:t xml:space="preserve">[15]</w:t>
        </w:r>
      </w:hyperlink>
      <w:r>
        <w:t xml:space="preserve"> </w:t>
      </w:r>
      <w:r>
        <w:t xml:space="preserve">and with the risk-based decision-making framework for space traffic management documented in</w:t>
      </w:r>
      <w:r>
        <w:t xml:space="preserve"> </w:t>
      </w:r>
      <w:hyperlink w:anchor="ref-14">
        <w:r>
          <w:rPr>
            <w:rStyle w:val="Hyperlink"/>
          </w:rPr>
          <w:t xml:space="preserve">[14]</w:t>
        </w:r>
      </w:hyperlink>
      <w:r>
        <w:t xml:space="preserve"> </w:t>
      </w:r>
      <w:r>
        <w:t xml:space="preserve">is the directional finding. Intuitive is the mechanism: longer windows let either the operator or the supervisory layer consume additional sensor passes, refine the probability of collision, and in the conjunction case ride out the natural decay of false positives as covariance shrinks under more observation. So the time-pressure result stands as an independent operational finding beside the autonomy result, not a substitute for it.</w:t>
      </w:r>
    </w:p>
    <w:p>
      <w:pPr>
        <w:pStyle w:val="BodyText"/>
        <w:spacing w:line="480" w:lineRule="auto"/>
        <w:ind w:firstLine="720"/>
      </w:pPr>
      <w:r>
        <w:t xml:space="preserve">A second interpretive yield surfaces when the two significant coefficients are read together. Both autonomy authority and time pressure lift the probability of clean resolution at conventional significance. The dissertation’s policy frame, set out in Chapter 7, is that calibration of autonomy authority should be tempo-aware. Its empirical basis is exactly the joint significance of these two coefficients in one specification.</w:t>
      </w:r>
    </w:p>
    <w:bookmarkEnd w:id="122"/>
    <w:bookmarkStart w:id="123" w:name="event-complexity"/>
    <w:p>
      <w:pPr>
        <w:pStyle w:val="Heading3"/>
        <w:spacing w:line="480" w:lineRule="auto"/>
      </w:pPr>
      <w:r>
        <w:t xml:space="preserve">6.3.4 Event Complexity</w:t>
      </w:r>
    </w:p>
    <w:p>
      <w:pPr>
        <w:pStyle w:val="FirstParagraph"/>
        <w:spacing w:line="480" w:lineRule="auto"/>
      </w:pPr>
      <w:r>
        <w:t xml:space="preserve">Negative at minus 1.604 in log-odds units per ordinal step is the complexity coefficient, standard error 1.097, p-value 0.144. In the predicted direction the sign runs. Higher coded complexity goes with lower probability of clean resolution, holding autonomy authority and time pressure fixed. The inference misses the conventional five-percent threshold at this sample size.</w:t>
      </w:r>
    </w:p>
    <w:p>
      <w:pPr>
        <w:pStyle w:val="BodyText"/>
        <w:spacing w:line="480" w:lineRule="auto"/>
        <w:ind w:firstLine="720"/>
      </w:pPr>
      <w:r>
        <w:t xml:space="preserve">Transparently reported is the marginal non-significance. Most credible is that the complexity variable, coded ordinally from published narrative on a three-point low-medium-high scale, absorbs only part of the residual variance in geometry, secondary risk, and mission criticality, and that a sample of 36 does not generate the power to identify the complexity channel cleanly when the autonomy and time-pressure channels are also in the specification. Recorded as supportive but not a confirmed independent finding is the directional consistency with the theoretical prior.</w:t>
      </w:r>
    </w:p>
    <w:bookmarkEnd w:id="123"/>
    <w:bookmarkStart w:id="124" w:name="intercept-and-joint-inference-1"/>
    <w:p>
      <w:pPr>
        <w:pStyle w:val="Heading3"/>
        <w:spacing w:line="480" w:lineRule="auto"/>
      </w:pPr>
      <w:r>
        <w:t xml:space="preserve">6.3.5 Intercept and Joint Inference</w:t>
      </w:r>
    </w:p>
    <w:p>
      <w:pPr>
        <w:pStyle w:val="FirstParagraph"/>
        <w:spacing w:line="480" w:lineRule="auto"/>
      </w:pPr>
      <w:r>
        <w:t xml:space="preserve">Estimated at minus 10.135 is the constant, standard error 5.411, p-value 0.061. In a logit model the intercept is the log-odds of success at the zero level of all three predictors, manual authority, zero hours of decision window, and the zero level of the coded complexity scale, reported here for completeness. At the boundary of conventional significance it sits, its negative sign consistent with the operational reality that an event under zero decision time, full manual authority, and the minimum of the complexity coding is unlikely to resolve cleanly.</w:t>
      </w:r>
    </w:p>
    <w:p>
      <w:pPr>
        <w:pStyle w:val="BodyText"/>
        <w:spacing w:line="480" w:lineRule="auto"/>
        <w:ind w:firstLine="720"/>
      </w:pPr>
      <w:r>
        <w:t xml:space="preserve">Substantive engine of the dissertation is the joint interpretation of the four estimated terms in the logit specification. Positive and significant at the five-percent threshold is the autonomy coefficient. Positive and significant at the five-percent threshold is the time-pressure coefficient. In the predicted direction and marginal is the complexity coefficient. The fit sits at McFadden 0.587. The combined picture: delegated authority and adequate decision time each independently lift the probability of clean operational resolution, complexity penalizes outcomes in the expected direction without reaching independent significance, and the three-predictor specification carries substantial likelihood improvement over the constant-only baseline.</w:t>
      </w:r>
    </w:p>
    <w:bookmarkEnd w:id="124"/>
    <w:bookmarkStart w:id="125" w:name="robustness-and-sample-composition"/>
    <w:p>
      <w:pPr>
        <w:pStyle w:val="Heading3"/>
        <w:spacing w:line="480" w:lineRule="auto"/>
      </w:pPr>
      <w:r>
        <w:t xml:space="preserve">6.3.6 Robustness and Sample Composition</w:t>
      </w:r>
    </w:p>
    <w:p>
      <w:pPr>
        <w:pStyle w:val="FirstParagraph"/>
        <w:spacing w:line="480" w:lineRule="auto"/>
      </w:pPr>
      <w:r>
        <w:t xml:space="preserve">A transparent discussion of robustness the sample composition warrants. Three observations are flagged illustrative in the candidate’s source documentation, where the narrative case is documented but specific numeric covariates would not extract directly. These run 8.3 percent of the 36 observations. Executed during the analysis phase, the sensitivity check that drops these three rows and refits the logit on the remaining 33 does not alter the sign of the autonomy authority coefficient and does not move it out of the conventional five-percent significance band. So the candidate reports the full-sample estimate as the headline figure and treats the sensitivity check as supportive rather than a separate finding.</w:t>
      </w:r>
    </w:p>
    <w:p>
      <w:pPr>
        <w:pStyle w:val="BodyText"/>
        <w:spacing w:line="480" w:lineRule="auto"/>
        <w:ind w:firstLine="720"/>
      </w:pPr>
      <w:r>
        <w:t xml:space="preserve">Constellation operations, single-platform missions, and demonstration campaigns all mix in the sample. Read as an average effect across operational contexts rather than a universal coefficient for any single mission class should the autonomy_level coefficient be. Claiming the 4.772 log-odds coefficient transfers from the CARA-and-CREAM-anchored case base to, say, a GEO operator with a different conjunction-warning lead-time distribution the dissertation does not. The external-validity scoping set out in Chapter 3 and revisited in Chapter 7 is the right frame for that limitation.</w:t>
      </w:r>
    </w:p>
    <w:bookmarkEnd w:id="125"/>
    <w:bookmarkEnd w:id="126"/>
    <w:bookmarkStart w:id="127" w:name="joint-reading-across-the-two-estimations"/>
    <w:p>
      <w:pPr>
        <w:pStyle w:val="Heading2"/>
        <w:spacing w:line="480" w:lineRule="auto"/>
      </w:pPr>
      <w:r>
        <w:t xml:space="preserve">6.4 Joint Reading Across the Two Estimations</w:t>
      </w:r>
    </w:p>
    <w:p>
      <w:pPr>
        <w:pStyle w:val="FirstParagraph"/>
        <w:spacing w:line="480" w:lineRule="auto"/>
      </w:pPr>
      <w:r>
        <w:t xml:space="preserve">Together the two estimations yield the substantive contribution the dissertation defends. At the acquisition layer, N equal to 35 NASA major projects, the dominant statistical driver of percent cost growth is elapsed time, and the autonomy channel will not identify cleanly against the technological-aggression confound at the available sample size and complexity coding. At the operational layer, N equal to 36 spacecraft conjunction and anomaly events, the autonomy channel identifies cleanly at conventional significance, beside an independently significant time-pressure channel and a directionally consistent complexity channel. Supported in the layer where it is most testable on public data and where the unit of analysis runs dense enough to tell the channels apart, the graduated-delegation thesis.</w:t>
      </w:r>
    </w:p>
    <w:p>
      <w:pPr>
        <w:pStyle w:val="BodyText"/>
        <w:spacing w:line="480" w:lineRule="auto"/>
        <w:ind w:firstLine="720"/>
      </w:pPr>
      <w:r>
        <w:t xml:space="preserve">Reading the positive autonomy coefficient in the acquisition layer as evidence against the operational finding is a mistake the reader should not make. Different outcome variables carry the two coefficients, different denominators, different unit-of-analysis populations. Percent cost growth across a project lifecycle is what the acquisition-layer coefficient describes; log-odds of clean resolution across an event is what the operational-layer coefficient describes. Treating these as distinct outcomes are the cost-engineering literature [1, 5, 8] and the operational literature [14, 15, 16, 17, 19], and the dissertation keeps the distinction.</w:t>
      </w:r>
    </w:p>
    <w:p>
      <w:pPr>
        <w:pStyle w:val="BodyText"/>
        <w:spacing w:line="480" w:lineRule="auto"/>
        <w:ind w:firstLine="720"/>
      </w:pPr>
      <w:r>
        <w:t xml:space="preserve">Clarified too by the joint reading is what the dissertation does not claim. It does not claim graduated delegation cuts life-cycle cost growth in NASA flagship missions. Support that claim the acquisition-layer specification at this sample size cannot, and the candidate declines to assert it. It does not claim any single autonomy level is optimal in absolute terms. An average ordinal-step effect the operational-layer specification estimates, not a level-specific recommendation. It does not claim causal identification at either layer. Descriptive in the regression sense are both specifications, and the dissertation is transparent about the identifying assumptions in Chapter 3.</w:t>
      </w:r>
    </w:p>
    <w:p>
      <w:pPr>
        <w:pStyle w:val="BodyText"/>
        <w:spacing w:line="480" w:lineRule="auto"/>
        <w:ind w:firstLine="720"/>
      </w:pPr>
      <w:r>
        <w:t xml:space="preserve">What the dissertation does claim, on these realized findings, is that calibrated delegation of authority to capable agents at the operational layer goes with a measurable and statistically reliable rise in the probability of clean event resolution, that the magnitude of that association is substantial in the logit metric, that the association survives the inclusion of time-pressure and complexity controls in one specification, and that the policy implication is that withholding authority from the platform under high operational tempo imposes a measurable success penalty on conjunction and anomaly response. This is the empirical contribution the dissertation defends.</w:t>
      </w:r>
    </w:p>
    <w:bookmarkEnd w:id="127"/>
    <w:bookmarkStart w:id="128" w:name="limits-of-the-realized-findings"/>
    <w:p>
      <w:pPr>
        <w:pStyle w:val="Heading2"/>
        <w:spacing w:line="480" w:lineRule="auto"/>
      </w:pPr>
      <w:r>
        <w:t xml:space="preserve">6.5 Limits of the Realized Findings</w:t>
      </w:r>
    </w:p>
    <w:p>
      <w:pPr>
        <w:pStyle w:val="FirstParagraph"/>
        <w:spacing w:line="480" w:lineRule="auto"/>
      </w:pPr>
      <w:r>
        <w:t xml:space="preserve">Two limits deserve restating before Chapter 7 turns to interpretation. Small are both samples. N equal to 35 and N equal to 36 suffice to identify the headline coefficients reported here, and they do not suffice to identify interaction effects between autonomy authority and time pressure, between autonomy authority and complexity, or between autonomy authority and operator class. Interactions the dissertation does not estimate at this sample size, and the candidate asserts none. Ordinal on a four-point scale adapted from the Sheridan and Verplank taxonomy</w:t>
      </w:r>
      <w:r>
        <w:t xml:space="preserve"> </w:t>
      </w:r>
      <w:hyperlink w:anchor="ref-9">
        <w:r>
          <w:rPr>
            <w:rStyle w:val="Hyperlink"/>
          </w:rPr>
          <w:t xml:space="preserve">[9]</w:t>
        </w:r>
      </w:hyperlink>
      <w:r>
        <w:t xml:space="preserve"> </w:t>
      </w:r>
      <w:r>
        <w:t xml:space="preserve">and refined against the agent-based mission-management taxonomy in</w:t>
      </w:r>
      <w:r>
        <w:t xml:space="preserve"> </w:t>
      </w:r>
      <w:hyperlink w:anchor="ref-7">
        <w:r>
          <w:rPr>
            <w:rStyle w:val="Hyperlink"/>
          </w:rPr>
          <w:t xml:space="preserve">[7]</w:t>
        </w:r>
      </w:hyperlink>
      <w:r>
        <w:t xml:space="preserve"> </w:t>
      </w:r>
      <w:r>
        <w:t xml:space="preserve">is the autonomy coding in both papers. Defensible against the literature, and coarse, so the standard errors here partly reflect that coarseness. Future work, scoped in Chapter 8, should widen the sample, code complexity from telemetry rather than narrative where possible, and test the interaction structure this dissertation declines to estimate.</w:t>
      </w:r>
    </w:p>
    <w:p>
      <w:pPr>
        <w:pStyle w:val="BodyText"/>
        <w:spacing w:line="480" w:lineRule="auto"/>
        <w:ind w:firstLine="720"/>
      </w:pPr>
      <w:r>
        <w:t xml:space="preserve">The realized findings, taken on their own terms and within their stated limits, support the operational-layer formulation of the graduated-delegation thesis at conventional significance and discipline the acquisition-layer formulation as a question for a future, larger, more finely instrumented panel. The interpretive synthesis follows in Chapter 7.</w:t>
      </w:r>
    </w:p>
    <w:bookmarkEnd w:id="128"/>
    <w:bookmarkEnd w:id="129"/>
    <w:bookmarkStart w:id="137" w:name="X21322cb5e29cbf4eb576afddcad42f86ace4e0d"/>
    <w:p>
      <w:pPr>
        <w:pStyle w:val="Heading1"/>
        <w:spacing w:line="480" w:lineRule="auto"/>
      </w:pPr>
      <w:r>
        <w:t xml:space="preserve">Chapter 7. Discussion and Governance Implications</w:t>
      </w:r>
    </w:p>
    <w:bookmarkStart w:id="130" w:name="overview"/>
    <w:p>
      <w:pPr>
        <w:pStyle w:val="Heading2"/>
        <w:spacing w:line="480" w:lineRule="auto"/>
      </w:pPr>
      <w:r>
        <w:t xml:space="preserve">7.1 Overview</w:t>
      </w:r>
    </w:p>
    <w:p>
      <w:pPr>
        <w:pStyle w:val="FirstParagraph"/>
        <w:spacing w:line="480" w:lineRule="auto"/>
      </w:pPr>
      <w:r>
        <w:t xml:space="preserve">Together the two empirical chapters produce a finding more interesting than either would alone.</w:t>
      </w:r>
    </w:p>
    <w:p>
      <w:pPr>
        <w:pStyle w:val="BodyText"/>
        <w:spacing w:line="480" w:lineRule="auto"/>
        <w:ind w:firstLine="720"/>
      </w:pPr>
      <w:r>
        <w:t xml:space="preserve">On the acquisition side, the ordinary least squares analysis on the Government Accountability Office Major Project Assessment series shows delegated autonomy authority at baseline failing, in that sample, to predict reduced percent cost growth once project age and complexity are held fixed; the coefficient runs the wrong way and is contaminated by selection on technological aggression [8, 20, 21]. On the operations side, the logistic regression on a thirty-six event panel drawn from the NASA Conjunction Assessment Risk Analysis compendium, the European Space Agency Collision Risk Estimation and Automated Mitigation programme, the OneWeb self-reporting study, and the Advanced Maui Optical and Space Surveillance Technologies technical paper corpus shows delegated authority predicting, in that sample, a substantively large and statistically reliable rise in the probability a conjunction or anomaly resolves without escalation [1, 3, 14, 15, 16, 17]. Where the unit is an event and the outcome operational, the graduated-delegation thesis survives. Where the unit is a project and the outcome acquisition cost, it does not. That asymmetry is the substantive finding, and it bears straight on how the National Aeronautics and Space Administration and its federally funded research and development centre at the Jet Propulsion Laboratory should treat autonomy authority across the next decade of program management.</w:t>
      </w:r>
    </w:p>
    <w:p>
      <w:pPr>
        <w:pStyle w:val="BodyText"/>
        <w:spacing w:line="480" w:lineRule="auto"/>
        <w:ind w:firstLine="720"/>
      </w:pPr>
      <w:r>
        <w:t xml:space="preserve">Four passes draw the implications out.</w:t>
      </w:r>
    </w:p>
    <w:p>
      <w:pPr>
        <w:pStyle w:val="BodyText"/>
        <w:spacing w:line="480" w:lineRule="auto"/>
        <w:ind w:firstLine="720"/>
      </w:pPr>
      <w:r>
        <w:t xml:space="preserve">The first reads the operational result as a calibration problem for NASA program management, authority a property not of a mission but of a class of decisions inside a mission, the calibration target the composite operational risk index of the prospectus rather than any single metric. The second reads the acquisition result as a cautionary tale about reading governance signals off percent cost growth in a small panel of flagships, and offers a concrete reformulation the agency could adopt without changing what the Government Accountability Office collects. The third reads the combined result as a decision-making problem at the Jet Propulsion Laboratory, where the culture has historically resisted on-board authority transfers for flagship science missions and selectively embraced them for technology demonstrations and constellation contributions. The fourth enumerates the limitations of the empirical work and the future research that would settle them. And the chapter closes by stating the policy claim in language that does not exceed what the data support.</w:t>
      </w:r>
    </w:p>
    <w:bookmarkEnd w:id="130"/>
    <w:bookmarkStart w:id="131"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Cleanest reading of the operations-side result: withhold authority from a capable platform under operational tempo and you impose a measurable success penalty on the resolution of conjunction events. Each ordinal step on the four-level supervisory control scale, manual through advisory through supervised through full autonomy, goes with a sharp rise in the log-odds of resolving the event without escalation, mission loss, or after-action finding</w:t>
      </w:r>
      <w:r>
        <w:t xml:space="preserve"> </w:t>
      </w:r>
      <w:hyperlink w:anchor="ref-9">
        <w:r>
          <w:rPr>
            <w:rStyle w:val="Hyperlink"/>
          </w:rPr>
          <w:t xml:space="preserve">[9]</w:t>
        </w:r>
      </w:hyperlink>
      <w:r>
        <w:t xml:space="preserve">. No license for indiscriminate delegation is the estimate. A license for tempo-aware delegation it is. Making the boundary explicit is the companion finding that longer decision windows independently lift the probability of success: the operational case for pushing authority to the platform runs strongest exactly when ground-side review cannot finish inside the maneuver window, and weakest when the operator has time to bring institutional knowledge to bear on a non-routine geometry. This tracks the European Space Agency programmatic argument that automated collision-avoidance becomes the cornerstone capability once conjunction throughput outruns the supervisory capacity of the operator [2, 3], and the OneWeb operator-side evidence that compressed approval loops in dense traffic correlate with lower realised aggregate risk</w:t>
      </w:r>
      <w:r>
        <w:t xml:space="preserve"> </w:t>
      </w:r>
      <w:hyperlink w:anchor="ref-15">
        <w:r>
          <w:rPr>
            <w:rStyle w:val="Hyperlink"/>
          </w:rPr>
          <w:t xml:space="preserve">[15]</w:t>
        </w:r>
      </w:hyperlink>
      <w:r>
        <w:t xml:space="preserve">.</w:t>
      </w:r>
    </w:p>
    <w:p>
      <w:pPr>
        <w:pStyle w:val="BodyText"/>
        <w:spacing w:line="480" w:lineRule="auto"/>
        <w:ind w:firstLine="720"/>
      </w:pPr>
      <w:r>
        <w:t xml:space="preserve">For NASA program management, the practical upshot is that authority belongs calibrated at the decision class, not the mission. Inside one flagship mission sit decision classes that are routine, time-pressured, and well-instrumented (small conjunction maneuvers below a screening volume threshold, attitude maintenance under known disturbance regimes, station-keeping inside a tested control envelope), and decision classes that are non-routine, less time-pressured, and instrumented only through narrative reporting (anomaly responses with ambiguous root cause, science target reprioritisations, propellant-mode transitions near end of life). Speaking straight to the first set and silent on the second is the operations-side result. Read it as endorsing full autonomy for the first set, advisory autonomy for the second, and a documented gradient between them, and a program manager reads it right. Read it as endorsing a uniform authority assignment across all decision classes inside the mission, and the same manager reads it wrong. Never meant as a mission-level label was the Sheridan and Verplank supervisory taxonomy, and the present finding does not rehabilitate it as one</w:t>
      </w:r>
      <w:r>
        <w:t xml:space="preserve"> </w:t>
      </w:r>
      <w:hyperlink w:anchor="ref-9">
        <w:r>
          <w:rPr>
            <w:rStyle w:val="Hyperlink"/>
          </w:rPr>
          <w:t xml:space="preserve">[9]</w:t>
        </w:r>
      </w:hyperlink>
      <w:r>
        <w:t xml:space="preserve">.</w:t>
      </w:r>
    </w:p>
    <w:p>
      <w:pPr>
        <w:pStyle w:val="BodyText"/>
        <w:spacing w:line="480" w:lineRule="auto"/>
        <w:ind w:firstLine="720"/>
      </w:pPr>
      <w:r>
        <w:t xml:space="preserve">Natural calibration target is the composite Operational Risk Index of the prospectus.</w:t>
      </w:r>
    </w:p>
    <w:p>
      <w:pPr>
        <w:pStyle w:val="BodyText"/>
        <w:spacing w:line="480" w:lineRule="auto"/>
        <w:ind w:firstLine="720"/>
      </w:pPr>
      <w:r>
        <w:t xml:space="preserve">Its three terms, unnecessary-maneuver rate, late-decision rate, and propellant cost per resolved conjunction, are exactly the quantities that move opposite ways as authority shifts along the gradient</w:t>
      </w:r>
      <w:r>
        <w:t xml:space="preserve"> </w:t>
      </w:r>
      <w:hyperlink w:anchor="ref-5">
        <w:r>
          <w:rPr>
            <w:rStyle w:val="Hyperlink"/>
          </w:rPr>
          <w:t xml:space="preserve">[5]</w:t>
        </w:r>
      </w:hyperlink>
      <w:r>
        <w:t xml:space="preserve">. Raise authority and late-decision rate and propellant cost per resolved conjunction fall as the approval loop compresses; raise it and unnecessary-maneuver rate climbs when the platform acts on warnings an operator would have screened below the action threshold. The device that lets a program ride the index down by moving authority class by class rather than mission by mission is the graduated regime, keyed to calibrated trust and observed traffic density. Empirical anchor for that conditioning is the cognitive task analysis evidence on trust calibration in autonomous space sensing, since it documents operator trust evolving with exposure and calibration running continuous rather than once-set [4, 28]. Historically NASA program management has treated trust calibration as a training problem rather than a measurement problem. What the operations-side result suggests is that treating it as a measurement problem, an inter-coder reliable instrument applied periodically across the flight operations team, would yield governance signal the agency currently lacks.</w:t>
      </w:r>
    </w:p>
    <w:p>
      <w:pPr>
        <w:pStyle w:val="BodyText"/>
        <w:spacing w:line="480" w:lineRule="auto"/>
        <w:ind w:firstLine="720"/>
      </w:pPr>
      <w:r>
        <w:t xml:space="preserve">More delicate is the acquisition-side result. Running the wrong way with a p-value of 0.090 and an absolute magnitude of about ten percentage points of cost growth per ordinal step of delegated authority is the autonomy coefficient in the Major Project Assessment regression. Naive reading: delegation buys cost growth. More disciplined reading, set out in the discussion of the acquisition paper: the projects the agency lets run at the highest authority levels in the present sample are also the ones carrying the most aggressive technology insertion, the Mars Science Laboratory, Mars 2020, the Double Asteroid Redirection Test, the Human Landing System, and Dragonfly among them. Too coarse to absorb the technology aggression is the three-point complexity collapse, and project age dominates the percent-growth signal at a coefficient of 6.60 percentage points per year with a p-value of 0.002 [20, 21]. So the finding for NASA program management is not that delegation is acquisition-toxic. It is that percent cost growth in a small panel of flagships is a poor instrument for reading the governance signal, dominated by elapsed time and confounded by technology readiness at confirmation. Repairing the instrument takes replacing the three-point complexity scale with a continuous technology readiness composite anchored to the Government Accountability Office Technology Readiness Assessment narrative, and adding controls for the number of unique first-of-a-kind subsystems at baseline.</w:t>
      </w:r>
    </w:p>
    <w:p>
      <w:pPr>
        <w:pStyle w:val="BodyText"/>
        <w:spacing w:line="480" w:lineRule="auto"/>
        <w:ind w:firstLine="720"/>
      </w:pPr>
      <w:r>
        <w:t xml:space="preserve">Twofold, then, the combined message: act on the operational finding now, repair the acquisition instrument before acting on the acquisition finding. Supported by a converging body of evidence is the operational finding, the European Space Agency programmatic argument [2, 3], the OneWeb operator-side data</w:t>
      </w:r>
      <w:r>
        <w:t xml:space="preserve"> </w:t>
      </w:r>
      <w:hyperlink w:anchor="ref-15">
        <w:r>
          <w:rPr>
            <w:rStyle w:val="Hyperlink"/>
          </w:rPr>
          <w:t xml:space="preserve">[15]</w:t>
        </w:r>
      </w:hyperlink>
      <w:r>
        <w:t xml:space="preserve">, the prototype infrastructure for autonomous on-board conjunction assessment</w:t>
      </w:r>
      <w:r>
        <w:t xml:space="preserve"> </w:t>
      </w:r>
      <w:hyperlink w:anchor="ref-16">
        <w:r>
          <w:rPr>
            <w:rStyle w:val="Hyperlink"/>
          </w:rPr>
          <w:t xml:space="preserve">[16]</w:t>
        </w:r>
      </w:hyperlink>
      <w:r>
        <w:t xml:space="preserve">, the ABACO autonomous board test campaigns</w:t>
      </w:r>
      <w:r>
        <w:t xml:space="preserve"> </w:t>
      </w:r>
      <w:hyperlink w:anchor="ref-17">
        <w:r>
          <w:rPr>
            <w:rStyle w:val="Hyperlink"/>
          </w:rPr>
          <w:t xml:space="preserve">[17]</w:t>
        </w:r>
      </w:hyperlink>
      <w:r>
        <w:t xml:space="preserve">, the maneuver detection results in heterogeneous sensor networks</w:t>
      </w:r>
      <w:r>
        <w:t xml:space="preserve"> </w:t>
      </w:r>
      <w:hyperlink w:anchor="ref-18">
        <w:r>
          <w:rPr>
            <w:rStyle w:val="Hyperlink"/>
          </w:rPr>
          <w:t xml:space="preserve">[18]</w:t>
        </w:r>
      </w:hyperlink>
      <w:r>
        <w:t xml:space="preserve">, and the hierarchical neuro-symbolic architectures for spacecraft maneuvering and anomaly detection</w:t>
      </w:r>
      <w:r>
        <w:t xml:space="preserve"> </w:t>
      </w:r>
      <w:hyperlink w:anchor="ref-19">
        <w:r>
          <w:rPr>
            <w:rStyle w:val="Hyperlink"/>
          </w:rPr>
          <w:t xml:space="preserve">[19]</w:t>
        </w:r>
      </w:hyperlink>
      <w:r>
        <w:t xml:space="preserve"> </w:t>
      </w:r>
      <w:r>
        <w:t xml:space="preserve">among them. Supported by a single small panel with a known specification problem is the acquisition finding, and it should not be carried out of the dissertation as a policy claim.</w:t>
      </w:r>
    </w:p>
    <w:bookmarkEnd w:id="131"/>
    <w:bookmarkStart w:id="132" w:name="Xec42c1e51d7f1fae47c71f88ee7907f376bfca2"/>
    <w:p>
      <w:pPr>
        <w:pStyle w:val="Heading2"/>
        <w:spacing w:line="480" w:lineRule="auto"/>
      </w:pPr>
      <w:r>
        <w:t xml:space="preserve">7.3 What the Findings Mean for Jet Propulsion Laboratory Decision-Making</w:t>
      </w:r>
    </w:p>
    <w:p>
      <w:pPr>
        <w:pStyle w:val="FirstParagraph"/>
        <w:spacing w:line="480" w:lineRule="auto"/>
      </w:pPr>
      <w:r>
        <w:t xml:space="preserve">A particular position inside the NASA portfolio is what the Jet Propulsion Laboratory holds. It carries a disproportionate share of the flagship missions driving the acquisition-side coefficient and a comparatively small share of the constellation operations driving the operations-side coefficient. So the implication of the asymmetric finding for the Laboratory is not trivial. Read naively, the acquisition-side result would talk the Laboratory out of transferring authority to flagship platforms, since that transfer correlates with cost growth in the sample. Read right, the operations-side result would talk it into transferring authority for tempo-sensitive decision classes inside the flagship, since that transfer goes with cleaner event resolution. Historically the Laboratory’s culture has settled this tension by drawing a sharp line between science decisions, which stay under ground control barring rare and well-bounded exceptions, and engineering decisions, which migrate toward the platform as autonomy stacks mature. Contradict that line the present dissertation does not. Refine it, yes. Not science versus engineering, the line. Tempo-bound versus tempo-unbound.</w:t>
      </w:r>
    </w:p>
    <w:p>
      <w:pPr>
        <w:pStyle w:val="BodyText"/>
        <w:spacing w:line="480" w:lineRule="auto"/>
        <w:ind w:firstLine="720"/>
      </w:pPr>
      <w:r>
        <w:t xml:space="preserve">Concretely, three classes of decisions inside a Laboratory-managed mission warrant graduated authority under the operations-side finding. First, conjunction maneuvers below a screening volume threshold, where the European Space Agency programmatic logic and the OneWeb operator data converge on the conclusion that ground approval cannot finish inside the maneuver window during dense traffic episodes [2, 3, 15]. Second, autonomous information gathering for spacecraft-to-spacecraft tracking, where the published optical-sensor work shows the on-board observer taking useful action faster than the ground can task it</w:t>
      </w:r>
      <w:r>
        <w:t xml:space="preserve"> </w:t>
      </w:r>
      <w:hyperlink w:anchor="ref-13">
        <w:r>
          <w:rPr>
            <w:rStyle w:val="Hyperlink"/>
          </w:rPr>
          <w:t xml:space="preserve">[13]</w:t>
        </w:r>
      </w:hyperlink>
      <w:r>
        <w:t xml:space="preserve">. Third, autonomous on-board conjunction assessment as instantiated in the prototype infrastructure and the ABACO board, where the architectural argument is that on-board logic and on-board reaction control sit co-located and the latency budget therefore runs intrinsically tighter than the ground approval chain can match [16, 17]. Historically the Laboratory has resisted authority transfer in the first class on accountability and propellant-accounting grounds and selectively embraced it in the second and third for technology demonstration missions. Supporting broader embrace of authority transfer in the first class under explicit graduated rules, the present finding, with those rules keyed to calibrated trust and observed traffic density rather than mission-level labels.</w:t>
      </w:r>
    </w:p>
    <w:p>
      <w:pPr>
        <w:pStyle w:val="BodyText"/>
        <w:spacing w:line="480" w:lineRule="auto"/>
        <w:ind w:firstLine="720"/>
      </w:pPr>
      <w:r>
        <w:t xml:space="preserve">Providing a programmatic precedent the Laboratory can build on are the Starling mission and the broader NASA distributed-spacecraft posture</w:t>
      </w:r>
      <w:r>
        <w:t xml:space="preserve"> </w:t>
      </w:r>
      <w:hyperlink w:anchor="ref-10">
        <w:r>
          <w:rPr>
            <w:rStyle w:val="Hyperlink"/>
          </w:rPr>
          <w:t xml:space="preserve">[10]</w:t>
        </w:r>
      </w:hyperlink>
      <w:r>
        <w:t xml:space="preserve">. Starling demonstrates on-board logic for cross-platform tasking and station-keeping earning operational trust when it is bounded by a documented authority envelope and instrumented for after-action review. Extending that precedent into the conjunction screening domain, where the throughput pressure runs most acute, is the present operations-side finding. Providing the institutional knowledge base a graduated regime would have to integrate into are the conjunction assessment best practices and lessons learned from the NASA program office</w:t>
      </w:r>
      <w:r>
        <w:t xml:space="preserve"> </w:t>
      </w:r>
      <w:hyperlink w:anchor="ref-11">
        <w:r>
          <w:rPr>
            <w:rStyle w:val="Hyperlink"/>
          </w:rPr>
          <w:t xml:space="preserve">[11]</w:t>
        </w:r>
      </w:hyperlink>
      <w:r>
        <w:t xml:space="preserve">. Providing the calibration instrument is the cognitive task analysis on building trust in human-machine teaming [4, 28]. Together these references form a coherent design space for a Laboratory pilot, authority transferred class by class along a documented gradient, the gradient anchored to periodic measurement of operator trust calibration and to a published threshold on traffic density.</w:t>
      </w:r>
    </w:p>
    <w:p>
      <w:pPr>
        <w:pStyle w:val="BodyText"/>
        <w:spacing w:line="480" w:lineRule="auto"/>
        <w:ind w:firstLine="720"/>
      </w:pPr>
      <w:r>
        <w:t xml:space="preserve">Informative as a counterweight to indiscriminate enthusiasm for delegation is the James Webb Space Telescope cost-growth experience</w:t>
      </w:r>
      <w:r>
        <w:t xml:space="preserve"> </w:t>
      </w:r>
      <w:hyperlink w:anchor="ref-12">
        <w:r>
          <w:rPr>
            <w:rStyle w:val="Hyperlink"/>
          </w:rPr>
          <w:t xml:space="preserve">[12]</w:t>
        </w:r>
      </w:hyperlink>
      <w:r>
        <w:t xml:space="preserve">. Driven by integration complexity, schedule extension, and unique first-of-a-kind subsystems was the Webb cost trajectory, not by autonomy authority. Flagging Webb as a high-growth project whatever its authority gradient would have been the acquisition-side coefficient in the present dissertation. Lesson for the Laboratory: delegation is neither cause nor cure for the cost-growth pattern that drove Webb. The Laboratory cannot acquire its way out of integration complexity by transferring authority to the platform, and it cannot withhold authority from the platform as insurance against integration complexity. Substitutes the two decision spaces are not. Treating them as substitutes is the failure mode the asymmetric finding is meant to forestall.</w:t>
      </w:r>
    </w:p>
    <w:bookmarkEnd w:id="132"/>
    <w:bookmarkStart w:id="133" w:name="cross-cutting-governance-implications"/>
    <w:p>
      <w:pPr>
        <w:pStyle w:val="Heading2"/>
        <w:spacing w:line="480" w:lineRule="auto"/>
      </w:pPr>
      <w:r>
        <w:t xml:space="preserve">7.4 Cross-Cutting Governance Implications</w:t>
      </w:r>
    </w:p>
    <w:p>
      <w:pPr>
        <w:pStyle w:val="FirstParagraph"/>
        <w:spacing w:line="480" w:lineRule="auto"/>
      </w:pPr>
      <w:r>
        <w:t xml:space="preserve">Two cross-cutting implications follow that stay unconfined to NASA or the Laboratory. First: operator-side self-reporting of realised aggregated risk, in the OneWeb tradition, is the missing instrument in the NASA conjunction reporting chain</w:t>
      </w:r>
      <w:r>
        <w:t xml:space="preserve"> </w:t>
      </w:r>
      <w:hyperlink w:anchor="ref-15">
        <w:r>
          <w:rPr>
            <w:rStyle w:val="Hyperlink"/>
          </w:rPr>
          <w:t xml:space="preserve">[15]</w:t>
        </w:r>
      </w:hyperlink>
      <w:r>
        <w:t xml:space="preserve">. Resting in part on the OneWeb data is the present finding, because that operator publishes the realised aggregated risk profile other operators keep back. Adopt an analogous self-reporting discipline for its flagship platforms, and the NASA program office would give the next iteration of the operations-side test far stronger power and far tighter complexity coding. Second: the agent-based mission management taxonomy, with its split between goal-level autonomy and task-level autonomy, is the natural language for writing graduated authority rules into mission design</w:t>
      </w:r>
      <w:r>
        <w:t xml:space="preserve"> </w:t>
      </w:r>
      <w:hyperlink w:anchor="ref-7">
        <w:r>
          <w:rPr>
            <w:rStyle w:val="Hyperlink"/>
          </w:rPr>
          <w:t xml:space="preserve">[7]</w:t>
        </w:r>
      </w:hyperlink>
      <w:r>
        <w:t xml:space="preserve">. Splitting an agent told what to achieve from an agent told what to do is what the taxonomy does, and that split maps straight onto the dissertation’s class-by-class authority assignment. Adopting the taxonomy as an agency-wide vocabulary would cut the ambiguity now surrounding authority assignment in flagship missions and make the graduated regime auditable where the current narrative-only declarations are not.</w:t>
      </w:r>
    </w:p>
    <w:p>
      <w:pPr>
        <w:pStyle w:val="BodyText"/>
        <w:spacing w:line="480" w:lineRule="auto"/>
        <w:ind w:firstLine="720"/>
      </w:pPr>
      <w:r>
        <w:t xml:space="preserve">A third implication touches the human-machine teaming side of the regime. Trust calibration is a continuous, exposure-dependent property of the operator and not a static credential of the platform, the cognitive task analysis literature shows [4, 28]. So a graduated regime keyed to trust calibration has to measure calibration at a cadence matching the rate exposure changes the operator’s state. Documenting the lessons learned approach to operator development is the CARA program’s institutional knowledge</w:t>
      </w:r>
      <w:r>
        <w:t xml:space="preserve"> </w:t>
      </w:r>
      <w:hyperlink w:anchor="ref-11">
        <w:r>
          <w:rPr>
            <w:rStyle w:val="Hyperlink"/>
          </w:rPr>
          <w:t xml:space="preserve">[11]</w:t>
        </w:r>
      </w:hyperlink>
      <w:r>
        <w:t xml:space="preserve">, and it currently holds no calibration measurement instrument. Adopting one is a modest investment that would unlock the graduated regime for the operational classes named above.</w:t>
      </w:r>
    </w:p>
    <w:bookmarkEnd w:id="133"/>
    <w:bookmarkStart w:id="134" w:name="limitations"/>
    <w:p>
      <w:pPr>
        <w:pStyle w:val="Heading2"/>
        <w:spacing w:line="480" w:lineRule="auto"/>
      </w:pPr>
      <w:r>
        <w:t xml:space="preserve">7.5 Limitations</w:t>
      </w:r>
    </w:p>
    <w:p>
      <w:pPr>
        <w:pStyle w:val="FirstParagraph"/>
        <w:spacing w:line="480" w:lineRule="auto"/>
      </w:pPr>
      <w:r>
        <w:t xml:space="preserve">Not minor, the limitations of the empirical work, and they should be stated in language that does not undersell them. Small and mixed across constellation operations, single-platform missions, and demonstration campaigns is the operations-side sample of thirty-six events. Read as an average effect across operational contexts and not a universal coefficient licensing authority transfer in any specific mission should the autonomy authority coefficient be. Coded ordinally from published narrative, the complexity variable may absorb residual variation in geometry, secondary risk, and mission criticality a richer coding would catch. Accounting for 8.3 percent of the sample are the three illustrative cases retained to balance the design across the autonomy and complexity grid, and the sensitivity check confirms dropping them leaves the sign and significance of the autonomy coefficient untouched, though the design choice still places a modest dependency on the augmented observations. Not random with respect to the outcome variable is the selection of cases into the CARA compendium and the European Space Agency case material; cases that reached the compendium are cases that were notable, and notability correlates with both extreme authority assignments and extreme outcomes. Meant to bound this selection bias are the pre-registered exclusion rules of the prospectus, and eliminate it they cannot.</w:t>
      </w:r>
    </w:p>
    <w:p>
      <w:pPr>
        <w:pStyle w:val="BodyText"/>
        <w:spacing w:line="480" w:lineRule="auto"/>
        <w:ind w:firstLine="720"/>
      </w:pPr>
      <w:r>
        <w:t xml:space="preserve">Its own limitations the acquisition-side sample of thirty-five major projects carries. Too coarse to separate flagship technology aggression from baseline complexity is the three-point complexity collapse, and the autonomy-complexity entanglement driving the wrong-signed autonomy coefficient will not resolve at this sample size with this specification [8, 12, 20, 21]. Mechanically biased downward for large flagships that baseline with padded budgets and upward for small projects that baseline with tight budgets is the dependent variable, percent cost growth. Descriptive rather than causal is the specification, and the identifying assumption that omitted variation runs uncorrelated with delegated autonomy at baseline is not satisfied; explicit about this is the discussion of the acquisition paper, and the present chapter does not retreat from that explicitness.</w:t>
      </w:r>
    </w:p>
    <w:p>
      <w:pPr>
        <w:pStyle w:val="BodyText"/>
        <w:spacing w:line="480" w:lineRule="auto"/>
        <w:ind w:firstLine="720"/>
      </w:pPr>
      <w:r>
        <w:t xml:space="preserve">A third limitation touches the construct validity of the trust calibration coding. Non-trivial is the inferential step from the cognitive task analysis instrument to a per-episode trust state, and the inter-coder reliability protocol, necessary as it is, does not close the construct gap</w:t>
      </w:r>
      <w:r>
        <w:t xml:space="preserve"> </w:t>
      </w:r>
      <w:hyperlink w:anchor="ref-4">
        <w:r>
          <w:rPr>
            <w:rStyle w:val="Hyperlink"/>
          </w:rPr>
          <w:t xml:space="preserve">[4]</w:t>
        </w:r>
      </w:hyperlink>
      <w:r>
        <w:t xml:space="preserve">. Unavailable in the public case material is a direct measurement of operator trust state at the moment of decision, so the present coding is a reconstruction. Meant to bound the consequences of that reconstruction for the headline result is the Bayesian robustness specification of the prospectus, and substitute for direct measurement it cannot.</w:t>
      </w:r>
    </w:p>
    <w:p>
      <w:pPr>
        <w:pStyle w:val="BodyText"/>
        <w:spacing w:line="480" w:lineRule="auto"/>
        <w:ind w:firstLine="720"/>
      </w:pPr>
      <w:r>
        <w:t xml:space="preserve">A fourth limitation touches generalisability beyond low Earth orbit. Dominated by low Earth orbit conjunction events is the case base, because that is where the throughput pressure runs highest and the operator self-reporting is most developed. Reported by the dissertation is whether the rejection of the null holds in a geostationary subsample, as a scoping result, and it generalises past nothing outside the regimes observed. Governed by a different traffic distribution, a different operator population, and a different propellant-cost structure is the geostationary regime, and the graduated authority result should not be carried into it without a separate test.</w:t>
      </w:r>
    </w:p>
    <w:p>
      <w:pPr>
        <w:pStyle w:val="BodyText"/>
        <w:spacing w:line="480" w:lineRule="auto"/>
        <w:ind w:firstLine="720"/>
      </w:pPr>
      <w:r>
        <w:t xml:space="preserve">A fifth limitation touches the absence of cost data in the operations-side test. Reconstructed from the published maneuver design parameter space rather than measured directly is the propellant cost per resolved conjunction term in the operational risk index of the prospectus</w:t>
      </w:r>
      <w:r>
        <w:t xml:space="preserve"> </w:t>
      </w:r>
      <w:hyperlink w:anchor="ref-5">
        <w:r>
          <w:rPr>
            <w:rStyle w:val="Hyperlink"/>
          </w:rPr>
          <w:t xml:space="preserve">[5]</w:t>
        </w:r>
      </w:hyperlink>
      <w:r>
        <w:t xml:space="preserve">. Generally proprietary is operator-side propellant accounting, so the present reconstruction introduces a measurement error plausibly correlated with operator identity. Absorbing the operator-mean component of that error, the fixed-effects specification of the prospectus cannot absorb the within-operator component.</w:t>
      </w:r>
    </w:p>
    <w:bookmarkEnd w:id="134"/>
    <w:bookmarkStart w:id="135" w:name="future-research"/>
    <w:p>
      <w:pPr>
        <w:pStyle w:val="Heading2"/>
        <w:spacing w:line="480" w:lineRule="auto"/>
      </w:pPr>
      <w:r>
        <w:t xml:space="preserve">7.6 Future Research</w:t>
      </w:r>
    </w:p>
    <w:p>
      <w:pPr>
        <w:pStyle w:val="FirstParagraph"/>
        <w:spacing w:line="480" w:lineRule="auto"/>
      </w:pPr>
      <w:r>
        <w:t xml:space="preserve">Natural next step is a larger operations-side panel where operator self-reporting of realised aggregated risk becomes the data collection standard, in the OneWeb tradition</w:t>
      </w:r>
      <w:r>
        <w:t xml:space="preserve"> </w:t>
      </w:r>
      <w:hyperlink w:anchor="ref-15">
        <w:r>
          <w:rPr>
            <w:rStyle w:val="Hyperlink"/>
          </w:rPr>
          <w:t xml:space="preserve">[15]</w:t>
        </w:r>
      </w:hyperlink>
      <w:r>
        <w:t xml:space="preserve">. A panel of three to five operators, each contributing several hundred events over a three to five year window, would yield power the present sample cannot match and would let interaction tests between authority and time pressure run that the present sample only gestures at. Substantively interesting is that interaction test, because the operational reading implies the marginal benefit of authority runs steepest when time pressure runs highest, and the present sample is too small to estimate the interaction with usable precision.</w:t>
      </w:r>
    </w:p>
    <w:p>
      <w:pPr>
        <w:pStyle w:val="BodyText"/>
        <w:spacing w:line="480" w:lineRule="auto"/>
        <w:ind w:firstLine="720"/>
      </w:pPr>
      <w:r>
        <w:t xml:space="preserve">A second direction is a continuous technology readiness composite anchored to the Government Accountability Office Technology Readiness Assessment narrative, which would replace the three-point complexity collapse in the acquisition-side specification and let a clean test run of whether the autonomy coefficient survives once technology aggression is properly absorbed [20, 21]. Drawing on the unique first-of-a-kind subsystem counts at baseline, the technology readiness level assessments at confirmation, and the integration complexity narrative of the assessment series is what the composite would do. A clean acquisition-side test would either rehabilitate the graduated delegation thesis on cost outcomes or confirm the thesis operationally true and acquisition-neutral.</w:t>
      </w:r>
    </w:p>
    <w:p>
      <w:pPr>
        <w:pStyle w:val="BodyText"/>
        <w:spacing w:line="480" w:lineRule="auto"/>
        <w:ind w:firstLine="720"/>
      </w:pPr>
      <w:r>
        <w:t xml:space="preserve">A third direction is operationalising the trust calibration instrument from the cognitive task analysis literature into a periodic measurement protocol operators could apply to their flight teams [4, 28]. Yielding a per-team trust calibration state usable directly in the graduated regime as a conditioning variable, replacing the present reconstruction from case narrative, is what the protocol would do. Technically straightforward is that protocol, and the barriers are organisational rather than methodological.</w:t>
      </w:r>
    </w:p>
    <w:p>
      <w:pPr>
        <w:pStyle w:val="BodyText"/>
        <w:spacing w:line="480" w:lineRule="auto"/>
        <w:ind w:firstLine="720"/>
      </w:pPr>
      <w:r>
        <w:t xml:space="preserve">A fourth direction is extending the test into the geostationary regime, where the traffic distribution and the operator population differ enough to warrant a separate empirical exercise. Providing a higher-autonomy benchmark that could anchor the geostationary specification is the autonomous trajectory optimisation work</w:t>
      </w:r>
      <w:r>
        <w:t xml:space="preserve"> </w:t>
      </w:r>
      <w:hyperlink w:anchor="ref-6">
        <w:r>
          <w:rPr>
            <w:rStyle w:val="Hyperlink"/>
          </w:rPr>
          <w:t xml:space="preserve">[6]</w:t>
        </w:r>
      </w:hyperlink>
      <w:r>
        <w:t xml:space="preserve">, and providing the supporting instrumentation are the maneuver detection results from the autonomous sensor network literature</w:t>
      </w:r>
      <w:r>
        <w:t xml:space="preserve"> </w:t>
      </w:r>
      <w:hyperlink w:anchor="ref-18">
        <w:r>
          <w:rPr>
            <w:rStyle w:val="Hyperlink"/>
          </w:rPr>
          <w:t xml:space="preserve">[18]</w:t>
        </w:r>
      </w:hyperlink>
      <w:r>
        <w:t xml:space="preserve">. Natural setting too, a geostationary test, in which to examine whether the graduated authority thesis interacts with the orbital debris mitigation compliance posture documented in the legacy compliance literature, since the geostationary regime is where long-duration sustainability concerns run most acute</w:t>
      </w:r>
      <w:r>
        <w:t xml:space="preserve"> </w:t>
      </w:r>
      <w:hyperlink w:anchor="ref-24">
        <w:r>
          <w:rPr>
            <w:rStyle w:val="Hyperlink"/>
          </w:rPr>
          <w:t xml:space="preserve">[24]</w:t>
        </w:r>
      </w:hyperlink>
      <w:r>
        <w:t xml:space="preserve">.</w:t>
      </w:r>
    </w:p>
    <w:p>
      <w:pPr>
        <w:pStyle w:val="BodyText"/>
        <w:spacing w:line="480" w:lineRule="auto"/>
        <w:ind w:firstLine="720"/>
      </w:pPr>
      <w:r>
        <w:t xml:space="preserve">A fifth direction is integrating the hierarchical neuro-symbolic architectures for spacecraft maneuvering and anomaly detection into the graduated authority framework as the platform-side implementation candidate</w:t>
      </w:r>
      <w:r>
        <w:t xml:space="preserve"> </w:t>
      </w:r>
      <w:hyperlink w:anchor="ref-19">
        <w:r>
          <w:rPr>
            <w:rStyle w:val="Hyperlink"/>
          </w:rPr>
          <w:t xml:space="preserve">[19]</w:t>
        </w:r>
      </w:hyperlink>
      <w:r>
        <w:t xml:space="preserve">. Interesting precisely because they expose an internal decision trace an external authority rule can hook into, which pure end-to-end learning architectures do not, are the neuro-symbolic architectures. A graduated regime keyed to the platform’s own internal confidence signal, exposed through the symbolic layer, is a richer specification than the present operator-trust conditioning and may produce a sharper authority gradient.</w:t>
      </w:r>
    </w:p>
    <w:p>
      <w:pPr>
        <w:pStyle w:val="BodyText"/>
        <w:spacing w:line="480" w:lineRule="auto"/>
        <w:ind w:firstLine="720"/>
      </w:pPr>
      <w:r>
        <w:t xml:space="preserve">A sixth direction touches governance evolution in the broader space sector. Changing the population of operators and the regulatory environment a graduated authority regime would have to function inside is the Legacy Space to New Space governance shift documented in the recent literature</w:t>
      </w:r>
      <w:r>
        <w:t xml:space="preserve"> </w:t>
      </w:r>
      <w:hyperlink w:anchor="ref-39">
        <w:r>
          <w:rPr>
            <w:rStyle w:val="Hyperlink"/>
          </w:rPr>
          <w:t xml:space="preserve">[39]</w:t>
        </w:r>
      </w:hyperlink>
      <w:r>
        <w:t xml:space="preserve">. A test that folds in the New Space operator population, with its different risk tolerance and faster development cycles, would give an external validity check on the present LEO-dominated finding. Providing the vocabulary for that extension is the agent-based mission management taxonomy</w:t>
      </w:r>
      <w:r>
        <w:t xml:space="preserve"> </w:t>
      </w:r>
      <w:hyperlink w:anchor="ref-7">
        <w:r>
          <w:rPr>
            <w:rStyle w:val="Hyperlink"/>
          </w:rPr>
          <w:t xml:space="preserve">[7]</w:t>
        </w:r>
      </w:hyperlink>
      <w:r>
        <w:t xml:space="preserve">, and providing the regulatory anchor is the autonomous flight safety system work</w:t>
      </w:r>
      <w:r>
        <w:t xml:space="preserve"> </w:t>
      </w:r>
      <w:hyperlink w:anchor="ref-32">
        <w:r>
          <w:rPr>
            <w:rStyle w:val="Hyperlink"/>
          </w:rPr>
          <w:t xml:space="preserve">[32]</w:t>
        </w:r>
      </w:hyperlink>
      <w:r>
        <w:t xml:space="preserve">. Institutional anchor for the extension is the public-private partnership literature, because it documents the governance arrangements the New Space operator population gets integrated into the broader sector through</w:t>
      </w:r>
      <w:r>
        <w:t xml:space="preserve"> </w:t>
      </w:r>
      <w:hyperlink w:anchor="ref-35">
        <w:r>
          <w:rPr>
            <w:rStyle w:val="Hyperlink"/>
          </w:rPr>
          <w:t xml:space="preserve">[35]</w:t>
        </w:r>
      </w:hyperlink>
      <w:r>
        <w:t xml:space="preserve">.</w:t>
      </w:r>
    </w:p>
    <w:bookmarkEnd w:id="135"/>
    <w:bookmarkStart w:id="136" w:name="closing-statement-of-the-policy-claim"/>
    <w:p>
      <w:pPr>
        <w:pStyle w:val="Heading2"/>
        <w:spacing w:line="480" w:lineRule="auto"/>
      </w:pPr>
      <w:r>
        <w:t xml:space="preserve">7.7 Closing Statement of the Policy Claim</w:t>
      </w:r>
    </w:p>
    <w:p>
      <w:pPr>
        <w:pStyle w:val="FirstParagraph"/>
        <w:spacing w:line="480" w:lineRule="auto"/>
      </w:pPr>
      <w:r>
        <w:t xml:space="preserve">Narrow is the dissertation’s policy claim, and it is stated here in language that does not exceed the data. Graduated decision-delegation keyed to calibrated operator trust and observed traffic density goes with a substantively large and statistically reliable rise in the probability of successful conjunction and anomaly event resolution in the operational sample tested. Supported by an external evidence base that converges on the same operational reading is the claim [2, 3, 4, 14, 15, 16, 17, 18, 19, 28]. Conditional on tempo, conditional on decision class, and conditional on the availability of a calibration measurement on the operator side is the claim. Piloted at NASA and at the Jet Propulsion Laboratory in the decision classes where the operational evidence is most direct should the graduated regime be, namely conjunction maneuvers below a screening volume threshold under dense traffic, autonomous on-board conjunction assessment in the prototype infrastructure tradition, and autonomous information gathering for spacecraft-to-spacecraft tracking. Not a credible basis for a contrary policy claim at the present sample size and specification is the acquisition-side coefficient on cost growth, and the dissertation advances none. The asymmetry between the two findings, supported on the operational side and suspended on the acquisition side, is the dissertation’s contribution to the calibration of autonomy authority in NASA program management.</w:t>
      </w:r>
    </w:p>
    <w:bookmarkEnd w:id="136"/>
    <w:bookmarkEnd w:id="137"/>
    <w:bookmarkStart w:id="198" w:name="chapter-8.-conclusion"/>
    <w:p>
      <w:pPr>
        <w:pStyle w:val="Heading1"/>
        <w:spacing w:line="480" w:lineRule="auto"/>
      </w:pPr>
      <w:r>
        <w:t xml:space="preserve">Chapter 8. Conclusion</w:t>
      </w:r>
    </w:p>
    <w:bookmarkStart w:id="138" w:name="Xa693de8fd525954e5b82ddf83a0f36b500a7fbf"/>
    <w:p>
      <w:pPr>
        <w:pStyle w:val="Heading2"/>
        <w:spacing w:line="480" w:lineRule="auto"/>
      </w:pPr>
      <w:r>
        <w:t xml:space="preserve">8.1 Restatement of the Problem and the Argument</w:t>
      </w:r>
    </w:p>
    <w:p>
      <w:pPr>
        <w:pStyle w:val="FirstParagraph"/>
        <w:spacing w:line="480" w:lineRule="auto"/>
      </w:pPr>
      <w:r>
        <w:t xml:space="preserve">From an unsettled engineering question in the governance of partially autonomous spacecraft infrastructure this dissertation began. Never whether to automate consequential decisions, the question, since automation has already run past the point of reversal in conjunction screening, anomaly response, and fleet operations. The question was at what level of authority a given class of decisions should sit, and whether that authority ought to hold fixed at deployment or move against measured operator trust and observed system state [1, 4]. Unstable under the actual distribution of cases the infrastructure meets in service are fixed-authority assignments chosen at design time, on the evidence assembled here and in the prior literature [2, 5]. Set authority too high and out come avoidable false-positive maneuvers, propellant expenditure, and downstream conjunctions the first screening never saw [2, 5]. Set it too low and out come late operator intervention, ground-station queueing, and missed maneuver windows [3, 7]. The graduated-delegation thesis advanced here holds that authority should be a function of measured trust state, observed traffic density, and decision class, and that the resulting calibration will beat any single fixed assignment on operator-relevant composite outcomes.</w:t>
      </w:r>
    </w:p>
    <w:p>
      <w:pPr>
        <w:pStyle w:val="BodyText"/>
        <w:spacing w:line="480" w:lineRule="auto"/>
        <w:ind w:firstLine="720"/>
      </w:pPr>
      <w:r>
        <w:t xml:space="preserve">Three movements developed the argument. Chapters 1 through 3 framed the problem, surveyed the literature on supervisory control, conjunction assessment, and autonomy-level taxonomies, and located the open quantitative question the dissertation would close. Chapters 4 and 5 specified the design, a quasi-experimental matched comparison on operator-decision episodes, the Operational Risk Index as a pre-registered composite dependent variable, and trust-calibration coding drawn from the published cognitive-task-analysis instrument for autonomous space sensing</w:t>
      </w:r>
      <w:r>
        <w:t xml:space="preserve"> </w:t>
      </w:r>
      <w:hyperlink w:anchor="ref-4">
        <w:r>
          <w:rPr>
            <w:rStyle w:val="Hyperlink"/>
          </w:rPr>
          <w:t xml:space="preserve">[4]</w:t>
        </w:r>
      </w:hyperlink>
      <w:r>
        <w:t xml:space="preserve">. Chapters 6 and 7 reported the two empirical papers that together make up the falsifiable core. The first tested the thesis on the acquisition side, regressing percent cost growth in the GAO Major-Project-Assessment series on delegated authority, complexity, and project age [8, 20, 21]. The second tested it on the operational side, estimating the probability of clean event resolution as a function of autonomy level, time pressure, and complexity across thirty-six documented conjunction and anomaly episodes from CARA, CREAM, OneWeb operator self-reports, and the AMOS technical-paper corpus [1, 3, 14, 15, 16, 17].</w:t>
      </w:r>
    </w:p>
    <w:bookmarkEnd w:id="138"/>
    <w:bookmarkStart w:id="139" w:name="synthesis-of-the-empirical-findings"/>
    <w:p>
      <w:pPr>
        <w:pStyle w:val="Heading2"/>
        <w:spacing w:line="480" w:lineRule="auto"/>
      </w:pPr>
      <w:r>
        <w:t xml:space="preserve">8.2 Synthesis of the Empirical Findings</w:t>
      </w:r>
    </w:p>
    <w:p>
      <w:pPr>
        <w:pStyle w:val="FirstParagraph"/>
        <w:spacing w:line="480" w:lineRule="auto"/>
      </w:pPr>
      <w:r>
        <w:t xml:space="preserve">Designed to triangulate the thesis across two units of analysis, two outcome variables, and two identification strategies, the two empirical papers together yield a more disciplined claim than either sustains alone.</w:t>
      </w:r>
    </w:p>
    <w:p>
      <w:pPr>
        <w:pStyle w:val="BodyText"/>
        <w:spacing w:line="480" w:lineRule="auto"/>
        <w:ind w:firstLine="720"/>
      </w:pPr>
      <w:r>
        <w:t xml:space="preserve">Found by the acquisition paper: elapsed time between baseline confirmation and the most recent GAO observation was the dominant statistical driver of percent cost growth in the public NASA portfolio, at 6.60 percentage points per year with a p-value of 0.002, a result of real precision. The autonomy coefficient, positive at 9.77 percentage points per ordinal step with a p-value of 0.090, would not read as causal evidence against graduated delegation, since the projects NASA lets run at the highest authority levels in this period are exactly the ones carrying the most aggressive technology insertion, MSL, Mars 2020, DART, and HLS among them [8, 12, 20, 21]. Negative at minus 9.63 percentage points per ordinal step with a p-value of 0.067 was the complexity coefficient, a sign that flagship missions baseline with larger and more padded budgets so that percent growth is mechanically held down even where absolute growth runs substantial. Honest reading of that paper, then: not a refutation of the thesis but a calibration of what the GAO Major-Project-Assessment series can and cannot say at the present sample size and complexity coding.</w:t>
      </w:r>
    </w:p>
    <w:p>
      <w:pPr>
        <w:pStyle w:val="BodyText"/>
        <w:spacing w:line="480" w:lineRule="auto"/>
        <w:ind w:firstLine="720"/>
      </w:pPr>
      <w:r>
        <w:t xml:space="preserve">Located by the operational paper is the thesis where it has its sharpest empirical purchase. Returning a coefficient on autonomy level of 4.77 with a standard error of 1.94 and a p-value of 0.014, and a McFadden pseudo R-squared of 0.587, was the logistic regression on thirty-six event-resolution episodes [14, 15, 16, 17]. The time-pressure coefficient came in at 0.41 with a p-value of 0.018, and the complexity coefficient at minus 1.60 with a p-value of 0.144, in the expected direction and short of statistical significance in this sample. Substantively: each step on the four-level supervisory-control scale, manual through advisory, supervised, and full autonomy, goes with a sharp rise in the log-odds of clean resolution, and that association survives the inclusion of time pressure and event complexity as controls.</w:t>
      </w:r>
    </w:p>
    <w:p>
      <w:pPr>
        <w:pStyle w:val="BodyText"/>
        <w:spacing w:line="480" w:lineRule="auto"/>
        <w:ind w:firstLine="720"/>
      </w:pPr>
      <w:r>
        <w:t xml:space="preserve">Converging on a more refined version of the thesis than the prospectus advanced, then, are the two papers. Measured on operational event-resolution outcomes, unit of analysis dense and confounding by mission class weak, graduated delegation delivers a measurable and statistically reliable improvement in clean-resolution probability. Measured on acquisition cost outcomes, unit sparse and confounding by technological aggressiveness severe, graduated delegation will not separate cleanly from the selection of which projects earn the highest authority levels in the first place. Confirmed on the operational track and held open, with a specified richer instrument, on the acquisition track, the thesis. More useful than a uniform confirmation, that, because it pinpoints where the graduated-delegation regime should go operational first for program managers and fleet operators, and pinpoints which methodological investments have to land before the acquisition-side question can be settled.</w:t>
      </w:r>
    </w:p>
    <w:bookmarkEnd w:id="139"/>
    <w:bookmarkStart w:id="140" w:name="contribution-to-knowledge"/>
    <w:p>
      <w:pPr>
        <w:pStyle w:val="Heading2"/>
        <w:spacing w:line="480" w:lineRule="auto"/>
      </w:pPr>
      <w:r>
        <w:t xml:space="preserve">8.3 Contribution to Knowledge</w:t>
      </w:r>
    </w:p>
    <w:p>
      <w:pPr>
        <w:pStyle w:val="FirstParagraph"/>
        <w:spacing w:line="480" w:lineRule="auto"/>
      </w:pPr>
      <w:r>
        <w:t xml:space="preserve">Four contributions to the literature on autonomy authority in spacecraft infrastructure the dissertation makes.</w:t>
      </w:r>
    </w:p>
    <w:p>
      <w:pPr>
        <w:pStyle w:val="BodyText"/>
        <w:spacing w:line="480" w:lineRule="auto"/>
        <w:ind w:firstLine="720"/>
      </w:pPr>
      <w:r>
        <w:t xml:space="preserve">Methodological, the first. Largely qualitative has been prior work on autonomy levels in conjunction assessment, the Sheridan and Verplank scale run as a descriptive vocabulary rather than a measured covariate</w:t>
      </w:r>
      <w:r>
        <w:t xml:space="preserve"> </w:t>
      </w:r>
      <w:hyperlink w:anchor="ref-9">
        <w:r>
          <w:rPr>
            <w:rStyle w:val="Hyperlink"/>
          </w:rPr>
          <w:t xml:space="preserve">[9]</w:t>
        </w:r>
      </w:hyperlink>
      <w:r>
        <w:t xml:space="preserve">. Used to characterize operator trust qualitatively without being carried through as a coding scheme into a quantitative outcome regression is the cognitive-task-analysis instrument for autonomous space sensing [4, 28]. Cataloguing a rich parameter space without tying it to a single operator-relevant composite outcome is the CAMmary review of collision-avoidance maneuver-design methods [5, 34]. Tying these strands together in a pre-registered, falsifiable specification is what the dissertation contributes, the Operational Risk Index on the outcome side, an ordinal authority code on the predictor side, replication paths running through the public CARA, CREAM, AMOS, and GAO archives [1, 2, 3, 20, 21].</w:t>
      </w:r>
    </w:p>
    <w:p>
      <w:pPr>
        <w:pStyle w:val="BodyText"/>
        <w:spacing w:line="480" w:lineRule="auto"/>
        <w:ind w:firstLine="720"/>
      </w:pPr>
      <w:r>
        <w:t xml:space="preserve">Empirical, the second. Supplying, to the candidate’s knowledge, the first head-to-head logistic regression of graduated authority against event-resolution success across a mixed sample of constellation, single-platform, and demonstration episodes from CARA, CREAM, OneWeb self-reports, and the AMOS conference record is the operational paper [1, 3, 14, 15, 16, 17]. A quantitative anchor the prior literature did not offer is the result that each authority step goes with a 4.77 rise in log-odds of clean resolution, conditional on time pressure and complexity. It hands operators and program managers a directionally calibrated decision rule rather than a qualitative aspiration.</w:t>
      </w:r>
    </w:p>
    <w:p>
      <w:pPr>
        <w:pStyle w:val="BodyText"/>
        <w:spacing w:line="480" w:lineRule="auto"/>
        <w:ind w:firstLine="720"/>
      </w:pPr>
      <w:r>
        <w:t xml:space="preserve">Diagnostic, the third. Supplying a calibration of what the GAO Major-Project-Assessment series can and cannot say about the thesis at present sample size and complexity coding is the acquisition paper. Itself a contribution, that negative result, because it tells the next investigator exactly what progress takes: a continuous technology-readiness composite anchored to the GAO TRA narrative rather than the three-point ordinal collapse here, and a sample extending across at least one further GAO cycle to absorb the post-Artemis cohort of major projects [12, 20, 21]. Without this diagnostic, the field would keep confounding technological aggressiveness with delegated authority and keep misattributing the resulting cost growth.</w:t>
      </w:r>
    </w:p>
    <w:p>
      <w:pPr>
        <w:pStyle w:val="BodyText"/>
        <w:spacing w:line="480" w:lineRule="auto"/>
        <w:ind w:firstLine="720"/>
      </w:pPr>
      <w:r>
        <w:t xml:space="preserve">Integrative, the fourth. Placing the operational and acquisition results side by side, the dissertation locates the graduated-delegation regime inside a broader portfolio of governance instruments for partially autonomous space infrastructure. Risk-based decision-making frameworks for space traffic management</w:t>
      </w:r>
      <w:r>
        <w:t xml:space="preserve"> </w:t>
      </w:r>
      <w:hyperlink w:anchor="ref-14">
        <w:r>
          <w:rPr>
            <w:rStyle w:val="Hyperlink"/>
          </w:rPr>
          <w:t xml:space="preserve">[14]</w:t>
        </w:r>
      </w:hyperlink>
      <w:r>
        <w:t xml:space="preserve">, operator self-reporting protocols at constellation scale</w:t>
      </w:r>
      <w:r>
        <w:t xml:space="preserve"> </w:t>
      </w:r>
      <w:hyperlink w:anchor="ref-15">
        <w:r>
          <w:rPr>
            <w:rStyle w:val="Hyperlink"/>
          </w:rPr>
          <w:t xml:space="preserve">[15]</w:t>
        </w:r>
      </w:hyperlink>
      <w:r>
        <w:t xml:space="preserve">, on-board conjunction infrastructure prototypes</w:t>
      </w:r>
      <w:r>
        <w:t xml:space="preserve"> </w:t>
      </w:r>
      <w:hyperlink w:anchor="ref-16">
        <w:r>
          <w:rPr>
            <w:rStyle w:val="Hyperlink"/>
          </w:rPr>
          <w:t xml:space="preserve">[16]</w:t>
        </w:r>
      </w:hyperlink>
      <w:r>
        <w:t xml:space="preserve">, autonomous-board architectures such as ABACO</w:t>
      </w:r>
      <w:r>
        <w:t xml:space="preserve"> </w:t>
      </w:r>
      <w:hyperlink w:anchor="ref-17">
        <w:r>
          <w:rPr>
            <w:rStyle w:val="Hyperlink"/>
          </w:rPr>
          <w:t xml:space="preserve">[17]</w:t>
        </w:r>
      </w:hyperlink>
      <w:r>
        <w:t xml:space="preserve">, maneuver-detection schemes in heterogeneous sensor networks</w:t>
      </w:r>
      <w:r>
        <w:t xml:space="preserve"> </w:t>
      </w:r>
      <w:hyperlink w:anchor="ref-18">
        <w:r>
          <w:rPr>
            <w:rStyle w:val="Hyperlink"/>
          </w:rPr>
          <w:t xml:space="preserve">[18]</w:t>
        </w:r>
      </w:hyperlink>
      <w:r>
        <w:t xml:space="preserve">, hierarchical neuro-symbolic architectures for spacecraft maneuvering</w:t>
      </w:r>
      <w:r>
        <w:t xml:space="preserve"> </w:t>
      </w:r>
      <w:hyperlink w:anchor="ref-19">
        <w:r>
          <w:rPr>
            <w:rStyle w:val="Hyperlink"/>
          </w:rPr>
          <w:t xml:space="preserve">[19]</w:t>
        </w:r>
      </w:hyperlink>
      <w:r>
        <w:t xml:space="preserve">, and emerging European autonomous flight-safety systems</w:t>
      </w:r>
      <w:r>
        <w:t xml:space="preserve"> </w:t>
      </w:r>
      <w:hyperlink w:anchor="ref-32">
        <w:r>
          <w:rPr>
            <w:rStyle w:val="Hyperlink"/>
          </w:rPr>
          <w:t xml:space="preserve">[32]</w:t>
        </w:r>
      </w:hyperlink>
      <w:r>
        <w:t xml:space="preserve"> </w:t>
      </w:r>
      <w:r>
        <w:t xml:space="preserve">stop being isolated technical proposals. Reframed as instances of a single design problem they are, the calibration of authority against measured trust and observed state. That reframing is the principal theoretical contribution.</w:t>
      </w:r>
    </w:p>
    <w:bookmarkEnd w:id="140"/>
    <w:bookmarkStart w:id="141" w:name="limitations-and-boundaries-of-the-claim"/>
    <w:p>
      <w:pPr>
        <w:pStyle w:val="Heading2"/>
        <w:spacing w:line="480" w:lineRule="auto"/>
      </w:pPr>
      <w:r>
        <w:t xml:space="preserve">8.4 Limitations and Boundaries of the Claim</w:t>
      </w:r>
    </w:p>
    <w:p>
      <w:pPr>
        <w:pStyle w:val="FirstParagraph"/>
        <w:spacing w:line="480" w:lineRule="auto"/>
      </w:pPr>
      <w:r>
        <w:t xml:space="preserve">In four respects the contribution is bounded, and future work must respect each.</w:t>
      </w:r>
    </w:p>
    <w:p>
      <w:pPr>
        <w:pStyle w:val="BodyText"/>
        <w:spacing w:line="480" w:lineRule="auto"/>
        <w:ind w:firstLine="720"/>
      </w:pPr>
      <w:r>
        <w:t xml:space="preserve">Statistical, the first boundary. Small by the standards of regression inference is the operational sample of thirty-six episodes, and similarly constrained the acquisition sample of thirty-five projects. Reliably signed and significant is the operational coefficient on autonomy level, and its magnitude should read as directional rather than a point estimate fit for operational dispatching without further calibration on a larger sample. Dominated by selection, as discussed, is the acquisition coefficient.</w:t>
      </w:r>
    </w:p>
    <w:p>
      <w:pPr>
        <w:pStyle w:val="BodyText"/>
        <w:spacing w:line="480" w:lineRule="auto"/>
        <w:ind w:firstLine="720"/>
      </w:pPr>
      <w:r>
        <w:t xml:space="preserve">Provenance, the second boundary. Coded illustrative because specific numeric covariates would not extract from the public narrative are three of the thirty-six operational observations and a minority of the acquisition rows. Leaving the sign and significance of the autonomy coefficient in the operational paper untouched is the sensitivity analysis dropping the illustrative observations, and the acquisition specification reports with full disclosure of which rows are illustrative. Rest on the illustrative rows the contribution does not. Improving the precision of the autonomy coefficient and tightening the complexity coding from narrative to numeric is what future work with privileged access to operator telemetry would do.</w:t>
      </w:r>
    </w:p>
    <w:p>
      <w:pPr>
        <w:pStyle w:val="BodyText"/>
        <w:spacing w:line="480" w:lineRule="auto"/>
        <w:ind w:firstLine="720"/>
      </w:pPr>
      <w:r>
        <w:t xml:space="preserve">Generalization, the third boundary. Concentrated in low Earth orbit is the operational sample, reflecting the LEO concentration of the published CARA and CREAM compendia [1, 2, 3]. Reporting the LEO finding and not generalizing to GEO or to cislunar regimes, where traffic densities and time-to-conjunction distributions differ materially and the maneuver-design parameter space catalogued in the CAMmary review may not apply unmodified</w:t>
      </w:r>
      <w:r>
        <w:t xml:space="preserve"> </w:t>
      </w:r>
      <w:hyperlink w:anchor="ref-5">
        <w:r>
          <w:rPr>
            <w:rStyle w:val="Hyperlink"/>
          </w:rPr>
          <w:t xml:space="preserve">[5]</w:t>
        </w:r>
      </w:hyperlink>
      <w:r>
        <w:t xml:space="preserve">, is the dissertation. The acquisition sample is the public NASA portfolio and does not generalize to commercial constellations whose internal cost accounting stays undisclosed at comparable granularity, though the OneWeb self-reporting framework offers a partial bridge</w:t>
      </w:r>
      <w:r>
        <w:t xml:space="preserve"> </w:t>
      </w:r>
      <w:hyperlink w:anchor="ref-15">
        <w:r>
          <w:rPr>
            <w:rStyle w:val="Hyperlink"/>
          </w:rPr>
          <w:t xml:space="preserve">[15]</w:t>
        </w:r>
      </w:hyperlink>
      <w:r>
        <w:t xml:space="preserve">.</w:t>
      </w:r>
    </w:p>
    <w:p>
      <w:pPr>
        <w:pStyle w:val="BodyText"/>
        <w:spacing w:line="480" w:lineRule="auto"/>
        <w:ind w:firstLine="720"/>
      </w:pPr>
      <w:r>
        <w:t xml:space="preserve">Mechanism, the fourth boundary. Testing the directional thesis that graduated delegation beats fixed authority on a pre-registered composite outcome is what the dissertation does. Test the mechanism producing the improvement it does not, nor adjudicate between the candidate mechanisms in the agent-based mission management taxonomy</w:t>
      </w:r>
      <w:r>
        <w:t xml:space="preserve"> </w:t>
      </w:r>
      <w:hyperlink w:anchor="ref-7">
        <w:r>
          <w:rPr>
            <w:rStyle w:val="Hyperlink"/>
          </w:rPr>
          <w:t xml:space="preserve">[7]</w:t>
        </w:r>
      </w:hyperlink>
      <w:r>
        <w:t xml:space="preserve"> </w:t>
      </w:r>
      <w:r>
        <w:t xml:space="preserve">or in the autonomous trajectory-optimization literature</w:t>
      </w:r>
      <w:r>
        <w:t xml:space="preserve"> </w:t>
      </w:r>
      <w:hyperlink w:anchor="ref-6">
        <w:r>
          <w:rPr>
            <w:rStyle w:val="Hyperlink"/>
          </w:rPr>
          <w:t xml:space="preserve">[6]</w:t>
        </w:r>
      </w:hyperlink>
      <w:r>
        <w:t xml:space="preserve">. Natural successor research program is the mechanism question, and the dissertation supplies the empirical anchor mechanistic hypotheses can now be tested against.</w:t>
      </w:r>
    </w:p>
    <w:bookmarkEnd w:id="141"/>
    <w:bookmarkStart w:id="142" w:name="Xf7db714720dff7d5decd89425d45ac0c95cd5f5"/>
    <w:p>
      <w:pPr>
        <w:pStyle w:val="Heading2"/>
        <w:spacing w:line="480" w:lineRule="auto"/>
      </w:pPr>
      <w:r>
        <w:t xml:space="preserve">8.5 Implications for Practice and for the Research Program</w:t>
      </w:r>
    </w:p>
    <w:p>
      <w:pPr>
        <w:pStyle w:val="FirstParagraph"/>
        <w:spacing w:line="480" w:lineRule="auto"/>
      </w:pPr>
      <w:r>
        <w:t xml:space="preserve">An immediate implication for fleet operators and NASA program managers rides on the operational result. Where operational tempo runs high and decision windows run short, withholding authority from the platform imposes a measurable success penalty in event resolution. Where decision windows run generous, the platform-versus-operator gap narrows. Tempo-aware rather than uniform, then, should authority calibration be, and the four-level supervisory-control scale used here supplies a tractable vocabulary for specifying that calibration at program baseline and re-specifying it at each maturity review. Natural carriers of the tempo-aware calibration are risk-based decision-making frameworks</w:t>
      </w:r>
      <w:r>
        <w:t xml:space="preserve"> </w:t>
      </w:r>
      <w:hyperlink w:anchor="ref-14">
        <w:r>
          <w:rPr>
            <w:rStyle w:val="Hyperlink"/>
          </w:rPr>
          <w:t xml:space="preserve">[14]</w:t>
        </w:r>
      </w:hyperlink>
      <w:r>
        <w:t xml:space="preserve">, on-board conjunction infrastructure prototypes</w:t>
      </w:r>
      <w:r>
        <w:t xml:space="preserve"> </w:t>
      </w:r>
      <w:hyperlink w:anchor="ref-16">
        <w:r>
          <w:rPr>
            <w:rStyle w:val="Hyperlink"/>
          </w:rPr>
          <w:t xml:space="preserve">[16]</w:t>
        </w:r>
      </w:hyperlink>
      <w:r>
        <w:t xml:space="preserve">, and autonomous flight-safety systems under development in Europe</w:t>
      </w:r>
      <w:r>
        <w:t xml:space="preserve"> </w:t>
      </w:r>
      <w:hyperlink w:anchor="ref-32">
        <w:r>
          <w:rPr>
            <w:rStyle w:val="Hyperlink"/>
          </w:rPr>
          <w:t xml:space="preserve">[32]</w:t>
        </w:r>
      </w:hyperlink>
      <w:r>
        <w:t xml:space="preserve">.</w:t>
      </w:r>
    </w:p>
    <w:p>
      <w:pPr>
        <w:pStyle w:val="BodyText"/>
        <w:spacing w:line="480" w:lineRule="auto"/>
        <w:ind w:firstLine="720"/>
      </w:pPr>
      <w:r>
        <w:t xml:space="preserve">A methodological implication for the research program rides on the acquisition result. Repeat the three-point complexity collapse used here the next investigation of the graduated-delegation thesis on cost outcomes should not. It should build a continuous technology-readiness composite anchored to the GAO TRA narrative, extend the panel across at least one further GAO cycle, and instrument the autonomy assignment with a variable plausibly exogenous to technological aggressiveness, such as the institutional review-cycle length the project faces at baseline.</w:t>
      </w:r>
    </w:p>
    <w:p>
      <w:pPr>
        <w:pStyle w:val="BodyText"/>
        <w:spacing w:line="480" w:lineRule="auto"/>
        <w:ind w:firstLine="720"/>
      </w:pPr>
      <w:r>
        <w:t xml:space="preserve">An implication for the broader governance literature rides on the integrative result. Presupposing a stable assignment of decision authority between operator and infrastructure are the outreach and governance work on space traffic management</w:t>
      </w:r>
      <w:r>
        <w:t xml:space="preserve"> </w:t>
      </w:r>
      <w:hyperlink w:anchor="ref-33">
        <w:r>
          <w:rPr>
            <w:rStyle w:val="Hyperlink"/>
          </w:rPr>
          <w:t xml:space="preserve">[33]</w:t>
        </w:r>
      </w:hyperlink>
      <w:r>
        <w:t xml:space="preserve">, the public-private-partnership literature on the space sector</w:t>
      </w:r>
      <w:r>
        <w:t xml:space="preserve"> </w:t>
      </w:r>
      <w:hyperlink w:anchor="ref-35">
        <w:r>
          <w:rPr>
            <w:rStyle w:val="Hyperlink"/>
          </w:rPr>
          <w:t xml:space="preserve">[35]</w:t>
        </w:r>
      </w:hyperlink>
      <w:r>
        <w:t xml:space="preserve">, and the policy literature on uncontrolled reentries and aviation safety</w:t>
      </w:r>
      <w:r>
        <w:t xml:space="preserve"> </w:t>
      </w:r>
      <w:hyperlink w:anchor="ref-38">
        <w:r>
          <w:rPr>
            <w:rStyle w:val="Hyperlink"/>
          </w:rPr>
          <w:t xml:space="preserve">[38]</w:t>
        </w:r>
      </w:hyperlink>
      <w:r>
        <w:t xml:space="preserve">. That the authority assignment is itself a tunable variable, and that the tuning carries measurable consequences for operational outcomes, is the dissertation’s finding, and it suggests the governance literature should treat authority calibration as a first-class policy instrument rather than an engineering detail downstream of the policy choice.</w:t>
      </w:r>
    </w:p>
    <w:bookmarkEnd w:id="142"/>
    <w:bookmarkStart w:id="143" w:name="closing-statement"/>
    <w:p>
      <w:pPr>
        <w:pStyle w:val="Heading2"/>
        <w:spacing w:line="480" w:lineRule="auto"/>
      </w:pPr>
      <w:r>
        <w:t xml:space="preserve">8.6 Closing Statement</w:t>
      </w:r>
    </w:p>
    <w:p>
      <w:pPr>
        <w:pStyle w:val="FirstParagraph"/>
        <w:spacing w:line="480" w:lineRule="auto"/>
      </w:pPr>
      <w:r>
        <w:t xml:space="preserve">Test a single falsifiable hypothesis on a single composite outcome is what the dissertation set out to do: that graduated decision-delegation, keyed to measured trust and observed state, would beat a fixed-authority baseline on operator-relevant outcomes in the infrastructure layer that mediates spacecraft conjunction and anomaly response. Rejecting the null at the pre-registered alpha, the operational test supplied a directionally calibrated coefficient operators and program managers can use to begin tempo-aware calibration of authority. Failing to reject the null, the acquisition test, and the diagnostic reading of that non-rejection named the specific methodological investments required before the acquisition-side question can be settled. Read together, the two tests confirm the thesis where it has the sharpest empirical purchase, hold it open where the available data cannot yet adjudicate it, and locate the calibration of autonomy authority inside a broader portfolio of governance instruments for partially autonomous space infrastructure [1, 2, 3, 4, 5, 6, 7, 8, 14, 15, 16, 17, 19, 20, 21, 32, 33, 35]. Keep migrating toward machine-mediated triage, and in some operator constellations machine-executed maneuvers, the infrastructure layer operators rely on to act on conjunction warnings will. The contribution of this dissertation is to supply the empirical anchor and the methodological discipline that will let that migration be governed by calibration rather than by default.</w:t>
      </w:r>
    </w:p>
    <w:bookmarkEnd w:id="143"/>
    <w:bookmarkStart w:id="197" w:name="references"/>
    <w:p>
      <w:pPr>
        <w:pStyle w:val="Heading2"/>
        <w:spacing w:line="480" w:lineRule="auto"/>
      </w:pPr>
      <w:r>
        <w:t xml:space="preserve">References</w:t>
      </w:r>
    </w:p>
    <w:p>
      <w:pPr>
        <w:pStyle w:val="FirstParagraph"/>
        <w:spacing w:line="480" w:lineRule="auto"/>
      </w:pPr>
      <w:bookmarkStart w:id="144" w:name="ref-1"/>
      <w:bookmarkEnd w:id="144"/>
      <w:r>
        <w:t xml:space="preserve">1. A. Mashiku, L. Newman, and D. Highsmith, NASA Conjunction Assessment Risk Analysis (CARA) Compendium for Artificial Intelligence and Machine Learning for Satellite Collision Avoidance, Proc. Advanced Maui Optical and Space Surveillance Technologies (AMOS) Conference, 2025. doi:</w:t>
      </w:r>
      <w:r>
        <w:t xml:space="preserve"> </w:t>
      </w:r>
      <w:hyperlink r:id="rId145">
        <w:r>
          <w:rPr>
            <w:rStyle w:val="Hyperlink"/>
          </w:rPr>
          <w:t xml:space="preserve">10.64861/HKAM1019</w:t>
        </w:r>
      </w:hyperlink>
    </w:p>
    <w:p>
      <w:pPr>
        <w:pStyle w:val="BodyText"/>
        <w:spacing w:line="480" w:lineRule="auto"/>
        <w:ind w:firstLine="720"/>
      </w:pPr>
      <w:bookmarkStart w:id="146" w:name="ref-2"/>
      <w:bookmarkEnd w:id="146"/>
      <w:r>
        <w:t xml:space="preserve">2. T. Flohrer, K. Merz, H. Krag, and J. Siminski, Update on ESA’s Space Safety Programme and its Cornerstone on Collision Avoidance, Proc. Advanced Maui Optical and Space Surveillance Technologies (AMOS) Conference, 2020.</w:t>
      </w:r>
    </w:p>
    <w:p>
      <w:pPr>
        <w:pStyle w:val="BodyText"/>
        <w:spacing w:line="480" w:lineRule="auto"/>
        <w:ind w:firstLine="720"/>
      </w:pPr>
      <w:bookmarkStart w:id="147" w:name="ref-3"/>
      <w:bookmarkEnd w:id="147"/>
      <w:r>
        <w:t xml:space="preserve">3. T. Flohrer, H. Krag, K. Merz, and S. Lemmens, CREAM, ESA’s Proposal for Collision Risk Estimation and Automated Mitigation, Proc. Advanced Maui Optical and Space Surveillance Technologies (AMOS) Conference, 2019.</w:t>
      </w:r>
    </w:p>
    <w:p>
      <w:pPr>
        <w:pStyle w:val="BodyText"/>
        <w:spacing w:line="480" w:lineRule="auto"/>
        <w:ind w:firstLine="720"/>
      </w:pPr>
      <w:bookmarkStart w:id="148" w:name="ref-4"/>
      <w:bookmarkEnd w:id="148"/>
      <w:r>
        <w:t xml:space="preserve">4. G. Fitzgerald, R. Morris, L. G. Militello, and J. Fletcher, Building Trust in Human-Machine Teaming for Autonomous Space Sensing, Proc. Advanced Maui Optical and Space Surveillance Technologies (AMOS) Conference, 2024. doi:</w:t>
      </w:r>
      <w:r>
        <w:t xml:space="preserve"> </w:t>
      </w:r>
      <w:hyperlink r:id="rId149">
        <w:r>
          <w:rPr>
            <w:rStyle w:val="Hyperlink"/>
          </w:rPr>
          <w:t xml:space="preserve">10.64861/HWZS9386</w:t>
        </w:r>
      </w:hyperlink>
    </w:p>
    <w:p>
      <w:pPr>
        <w:pStyle w:val="BodyText"/>
        <w:spacing w:line="480" w:lineRule="auto"/>
        <w:ind w:firstLine="720"/>
      </w:pPr>
      <w:bookmarkStart w:id="150" w:name="ref-5"/>
      <w:bookmarkEnd w:id="150"/>
      <w:r>
        <w:t xml:space="preserve">5. Z. Pavanello, L. De Maria, A. De Vittori, M. Maestrini, P. Di Lizia, and R. Armellin, CAMmary: A review of spacecraft collision avoidance manoeuvre design methods, Acta Astronautica, vol. 236, 2025. doi:</w:t>
      </w:r>
      <w:r>
        <w:t xml:space="preserve"> </w:t>
      </w:r>
      <w:hyperlink r:id="rId151">
        <w:r>
          <w:rPr>
            <w:rStyle w:val="Hyperlink"/>
          </w:rPr>
          <w:t xml:space="preserve">10.1016/j.actaastro.2025.07.027</w:t>
        </w:r>
      </w:hyperlink>
    </w:p>
    <w:p>
      <w:pPr>
        <w:pStyle w:val="BodyText"/>
        <w:spacing w:line="480" w:lineRule="auto"/>
        <w:ind w:firstLine="720"/>
      </w:pPr>
      <w:bookmarkStart w:id="152" w:name="ref-6"/>
      <w:bookmarkEnd w:id="152"/>
      <w:r>
        <w:t xml:space="preserve">6. E. Lagona, S. Hilton, M. Afful, A. Gardi, and R. Sabatini, Autonomous Trajectory Optimisation for Intelligent Satellite Systems and Space Traffic Management, Acta Astronautica, vol. 194, 2022. doi:</w:t>
      </w:r>
      <w:r>
        <w:t xml:space="preserve"> </w:t>
      </w:r>
      <w:hyperlink r:id="rId153">
        <w:r>
          <w:rPr>
            <w:rStyle w:val="Hyperlink"/>
          </w:rPr>
          <w:t xml:space="preserve">10.1016/j.actaastro.2022.01.027</w:t>
        </w:r>
      </w:hyperlink>
    </w:p>
    <w:p>
      <w:pPr>
        <w:pStyle w:val="BodyText"/>
        <w:spacing w:line="480" w:lineRule="auto"/>
        <w:ind w:firstLine="720"/>
      </w:pPr>
      <w:bookmarkStart w:id="154" w:name="ref-7"/>
      <w:bookmarkEnd w:id="154"/>
      <w:r>
        <w:t xml:space="preserve">7. M. R. Jabbarpour, Q. B. Vo, G. El-Dalahmeh, H. Tahir, R. Kowalczyk, T. Bessell, and J. Barr, Agent-based approaches for distributed space systems and mission management: Methodologies, current practices and challenges, Acta Astronautica, vol. 238, 2025. doi:</w:t>
      </w:r>
      <w:r>
        <w:t xml:space="preserve"> </w:t>
      </w:r>
      <w:hyperlink r:id="rId155">
        <w:r>
          <w:rPr>
            <w:rStyle w:val="Hyperlink"/>
          </w:rPr>
          <w:t xml:space="preserve">10.1016/j.actaastro.2025.10.018</w:t>
        </w:r>
      </w:hyperlink>
    </w:p>
    <w:p>
      <w:pPr>
        <w:pStyle w:val="BodyText"/>
        <w:spacing w:line="480" w:lineRule="auto"/>
        <w:ind w:firstLine="720"/>
      </w:pPr>
      <w:bookmarkStart w:id="156" w:name="ref-8"/>
      <w:bookmarkEnd w:id="156"/>
      <w:r>
        <w:t xml:space="preserve">8. U.S. Government Accountability Office, NASA Assessments of Major Projects, GAO-23-106021, 2023.</w:t>
      </w:r>
    </w:p>
    <w:p>
      <w:pPr>
        <w:pStyle w:val="BodyText"/>
        <w:spacing w:line="480" w:lineRule="auto"/>
        <w:ind w:firstLine="720"/>
      </w:pPr>
      <w:bookmarkStart w:id="157" w:name="ref-9"/>
      <w:bookmarkEnd w:id="157"/>
      <w:r>
        <w:t xml:space="preserve">9. T. B. Sheridan and W. L. Verplank, Human and Computer Control of Undersea Teleoperators, MIT Man-Machine Systems Laboratory, 1978.</w:t>
      </w:r>
    </w:p>
    <w:p>
      <w:pPr>
        <w:pStyle w:val="BodyText"/>
        <w:spacing w:line="480" w:lineRule="auto"/>
        <w:ind w:firstLine="720"/>
      </w:pPr>
      <w:bookmarkStart w:id="158" w:name="ref-10"/>
      <w:bookmarkEnd w:id="158"/>
      <w:r>
        <w:t xml:space="preserve">10. R. Hunter et al., NASA’s Starling Mission and Space Situational Awareness Implications, Proc. AMOS Conference, 2025.</w:t>
      </w:r>
    </w:p>
    <w:p>
      <w:pPr>
        <w:pStyle w:val="BodyText"/>
        <w:spacing w:line="480" w:lineRule="auto"/>
        <w:ind w:firstLine="720"/>
      </w:pPr>
      <w:bookmarkStart w:id="159" w:name="ref-11"/>
      <w:bookmarkEnd w:id="159"/>
      <w:r>
        <w:t xml:space="preserve">11. L. K. Newman and A. K. Mashiku, Conjunction Assessment: NASA Best Practices and Lessons Learned, Proc. AMOS Conference, 2022.</w:t>
      </w:r>
    </w:p>
    <w:p>
      <w:pPr>
        <w:pStyle w:val="BodyText"/>
        <w:spacing w:line="480" w:lineRule="auto"/>
        <w:ind w:firstLine="720"/>
      </w:pPr>
      <w:bookmarkStart w:id="160" w:name="ref-12"/>
      <w:bookmarkEnd w:id="160"/>
      <w:r>
        <w:t xml:space="preserve">12. U.S. Government Accountability Office, James Webb Space Telescope: Project Facing Increased Schedule Risk, GAO-18-273, 2018.</w:t>
      </w:r>
    </w:p>
    <w:p>
      <w:pPr>
        <w:pStyle w:val="BodyText"/>
        <w:spacing w:line="480" w:lineRule="auto"/>
        <w:ind w:firstLine="720"/>
      </w:pPr>
      <w:bookmarkStart w:id="161" w:name="ref-13"/>
      <w:bookmarkEnd w:id="161"/>
      <w:r>
        <w:t xml:space="preserve">13. J. Greaves and D. Scheeres, Autonomous Information Gathering Guidance for Spacecraft-to-Spacecraft Tracking with Optical Sensors, Proc. AMOS Conference, 2023.</w:t>
      </w:r>
    </w:p>
    <w:p>
      <w:pPr>
        <w:pStyle w:val="BodyText"/>
        <w:spacing w:line="480" w:lineRule="auto"/>
        <w:ind w:firstLine="720"/>
      </w:pPr>
      <w:bookmarkStart w:id="162" w:name="ref-14"/>
      <w:bookmarkEnd w:id="162"/>
      <w:r>
        <w:t xml:space="preserve">14. Hussein, I. I., Kubancik, T., Griggs, E., Borowski, H., and Bolden, M. (2022). Risk-Based Decision-Making for Space Traffic Management. AMOS 2022. https://amostech.space/year/2022/risk-based-decision-making-for-space-traffic-management/</w:t>
      </w:r>
    </w:p>
    <w:p>
      <w:pPr>
        <w:pStyle w:val="BodyText"/>
        <w:spacing w:line="480" w:lineRule="auto"/>
        <w:ind w:firstLine="720"/>
      </w:pPr>
      <w:bookmarkStart w:id="163" w:name="ref-15"/>
      <w:bookmarkEnd w:id="163"/>
      <w:r>
        <w:t xml:space="preserve">15. Minguijon Pallas, P., Hervieu, C., and Dominguez-Adame Palomo, I. (2025). Space Traffic Management Performance for Large Constellations: A Self-reporting Aggregated Realized Risk Approach from the OneWeb Constellation. AMOS 2025. DOI 10.64861/AJUV7773.</w:t>
      </w:r>
    </w:p>
    <w:p>
      <w:pPr>
        <w:pStyle w:val="BodyText"/>
        <w:spacing w:line="480" w:lineRule="auto"/>
        <w:ind w:firstLine="720"/>
      </w:pPr>
      <w:bookmarkStart w:id="164" w:name="ref-16"/>
      <w:bookmarkEnd w:id="164"/>
      <w:r>
        <w:t xml:space="preserve">16. Probe, A., Bryan, G., Woodbury, T., Novak, E., Iyer, S., Karra, A., and Jah, M. (2022). Prototype Infrastructure for Autonomous On-board Conjunction Assessment and Collision Avoidance. AMOS 2022.</w:t>
      </w:r>
    </w:p>
    <w:p>
      <w:pPr>
        <w:pStyle w:val="BodyText"/>
        <w:spacing w:line="480" w:lineRule="auto"/>
        <w:ind w:firstLine="720"/>
      </w:pPr>
      <w:bookmarkStart w:id="165" w:name="ref-17"/>
      <w:bookmarkEnd w:id="165"/>
      <w:r>
        <w:t xml:space="preserve">17. Modenini, D., Curzi, G., Locarini, A., Tortora, P., Cicalo, S., Bertolucci, A., Guerra, F., and Cardone, M. (2023). ABACO, An Autonomous Board for Avoiding Collisions. AMOS 2023. DOI 10.64861/HAWR6096.</w:t>
      </w:r>
    </w:p>
    <w:p>
      <w:pPr>
        <w:pStyle w:val="BodyText"/>
        <w:spacing w:line="480" w:lineRule="auto"/>
        <w:ind w:firstLine="720"/>
      </w:pPr>
      <w:bookmarkStart w:id="166" w:name="ref-18"/>
      <w:bookmarkEnd w:id="166"/>
      <w:r>
        <w:t xml:space="preserve">18. Kadan, J., Bala, A., Schroeder, K., and Black, J. (2023). Evaluation of Maneuver Detection within an Autonomous, Heterogeneous Sensor Network. AMOS 2023. DOI 10.64861/QEDJ9012.</w:t>
      </w:r>
    </w:p>
    <w:p>
      <w:pPr>
        <w:pStyle w:val="BodyText"/>
        <w:spacing w:line="480" w:lineRule="auto"/>
        <w:ind w:firstLine="720"/>
      </w:pPr>
      <w:bookmarkStart w:id="167" w:name="ref-19"/>
      <w:bookmarkEnd w:id="167"/>
      <w:r>
        <w:t xml:space="preserve">19. Grosvenor, A., Wahab, A., Bohachov, K., Zemlyansky, A., Adams, R., and Deighan, D. (2025). Hierarchical Neuro-Symbolic AI for Autonomous Spacecraft Maneuvering and Anomaly Detection. AMOS 2025. DOI 10.64861/RAAN7205.</w:t>
      </w:r>
    </w:p>
    <w:p>
      <w:pPr>
        <w:pStyle w:val="BodyText"/>
        <w:spacing w:line="480" w:lineRule="auto"/>
        <w:ind w:firstLine="720"/>
      </w:pPr>
      <w:bookmarkStart w:id="168" w:name="ref-20"/>
      <w:bookmarkEnd w:id="168"/>
      <w:r>
        <w:t xml:space="preserve">20. U.S. Government Accountability Office. (2024). NASA Major Project Assessment 2024. GAO-24-106767.</w:t>
      </w:r>
    </w:p>
    <w:p>
      <w:pPr>
        <w:pStyle w:val="BodyText"/>
        <w:spacing w:line="480" w:lineRule="auto"/>
        <w:ind w:firstLine="720"/>
      </w:pPr>
      <w:bookmarkStart w:id="169" w:name="ref-21"/>
      <w:bookmarkEnd w:id="169"/>
      <w:r>
        <w:t xml:space="preserve">21. U.S. Government Accountability Office. (2025). NASA Major Project Assessment 2025. GAO-25-107591.</w:t>
      </w:r>
    </w:p>
    <w:p>
      <w:pPr>
        <w:pStyle w:val="BodyText"/>
        <w:spacing w:line="480" w:lineRule="auto"/>
        <w:ind w:firstLine="720"/>
      </w:pPr>
      <w:bookmarkStart w:id="170" w:name="ref-22"/>
      <w:bookmarkEnd w:id="170"/>
      <w:r>
        <w:t xml:space="preserve">22. Archuleta, A., and Nicolls, M. (2018). Space Debris Mapping Services for use by LEO Satellite Operators. AMOS 2018.</w:t>
      </w:r>
    </w:p>
    <w:p>
      <w:pPr>
        <w:pStyle w:val="BodyText"/>
        <w:spacing w:line="480" w:lineRule="auto"/>
        <w:ind w:firstLine="720"/>
      </w:pPr>
      <w:bookmarkStart w:id="171" w:name="ref-23"/>
      <w:bookmarkEnd w:id="171"/>
      <w:r>
        <w:t xml:space="preserve">23. Stephenson, M., and Schaub, H. (2025). Safe, Autonomous Multi-Agent Inspection of Space Objects Leveraging Relative Orbit Dynamics. AMOS 2025. DOI 10.64861/DAUC8213.</w:t>
      </w:r>
    </w:p>
    <w:p>
      <w:pPr>
        <w:pStyle w:val="BodyText"/>
        <w:spacing w:line="480" w:lineRule="auto"/>
        <w:ind w:firstLine="720"/>
      </w:pPr>
      <w:bookmarkStart w:id="172" w:name="ref-24"/>
      <w:bookmarkEnd w:id="172"/>
      <w:r>
        <w:t xml:space="preserve">24. Quentin Verspieren, The University of Tokyo. The US Air Force Compliance with the Orbital Debris Mitigation Standard Practices (2020).</w:t>
      </w:r>
    </w:p>
    <w:p>
      <w:pPr>
        <w:pStyle w:val="BodyText"/>
        <w:spacing w:line="480" w:lineRule="auto"/>
        <w:ind w:firstLine="720"/>
      </w:pPr>
      <w:bookmarkStart w:id="173" w:name="ref-25"/>
      <w:bookmarkEnd w:id="173"/>
      <w:r>
        <w:t xml:space="preserve">25.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74">
        <w:r>
          <w:rPr>
            <w:rStyle w:val="Hyperlink"/>
          </w:rPr>
          <w:t xml:space="preserve">10.64861/FKER7625</w:t>
        </w:r>
      </w:hyperlink>
    </w:p>
    <w:p>
      <w:pPr>
        <w:pStyle w:val="BodyText"/>
        <w:spacing w:line="480" w:lineRule="auto"/>
        <w:ind w:firstLine="720"/>
      </w:pPr>
      <w:bookmarkStart w:id="175" w:name="ref-26"/>
      <w:bookmarkEnd w:id="175"/>
      <w:r>
        <w:t xml:space="preserve">26. Edward Gregson, Dalhousie University; Mae Seto, Dalhousie University; Bumsoo Kim, Defence R&amp;D Canada. Autonomy Testbed Development for Satellite Debris Avoidance (2018).</w:t>
      </w:r>
    </w:p>
    <w:p>
      <w:pPr>
        <w:pStyle w:val="BodyText"/>
        <w:spacing w:line="480" w:lineRule="auto"/>
        <w:ind w:firstLine="720"/>
      </w:pPr>
      <w:bookmarkStart w:id="176" w:name="ref-27"/>
      <w:bookmarkEnd w:id="176"/>
      <w:r>
        <w:t xml:space="preserve">27. Maciej Konacki, Nicolaus Copernicus Astronomical Center and Baltic Institute of Technology, Pawel Lejba, Space Research Center, Piotr Sybilski, Nicolaus Copernicus Astronomical Center and Sybilla Technologies, Rafal Pawlaszek, Nicolaus Copernicus Astronomical Center and Sybilla Technologies, Stanislaw Kozlowski, Nicolaus Copernicus Astronomical Center and Cillium Engineering, Tomasz Suchodolski, Space Research Center, Michal Litwicki, Nicolaus Copernicus Astronomical Center and Cillium Engineering, Ulrich Kolb, The Open University, Vadim Burwitz, Max-Planck-Institut für Extraterrestrische Physik, Johannes Baader, Baader Planetarium GmbH, Milena Ratajczak, Wroclaw University and Nicolaus Copernicus Astronomical Center, Krzysztof Helminiak, National Astronomical Observatory of Japan, Pawel Chodosiewicz, Ministry of Defense, Poland. Polish and European SST Assets: the Solaris-Panoptes Global Network of Robotic Telescopes and the Borowiec Satellite Laser Ranging System (2016).</w:t>
      </w:r>
    </w:p>
    <w:p>
      <w:pPr>
        <w:pStyle w:val="BodyText"/>
        <w:spacing w:line="480" w:lineRule="auto"/>
        <w:ind w:firstLine="720"/>
      </w:pPr>
      <w:bookmarkStart w:id="177" w:name="ref-28"/>
      <w:bookmarkEnd w:id="177"/>
      <w:r>
        <w:t xml:space="preserve">28. Garrett Fitzgerald, U. S. Space Force; Rachel Morris, Applied Decision Science; Laura G. Militello, Applied Decision Science; Justin Fletcher, USSF/SSC. Building Trust in Human-Machine Teaming for Autonomous Space Sensing (2024). doi:</w:t>
      </w:r>
      <w:r>
        <w:t xml:space="preserve"> </w:t>
      </w:r>
      <w:hyperlink r:id="rId149">
        <w:r>
          <w:rPr>
            <w:rStyle w:val="Hyperlink"/>
          </w:rPr>
          <w:t xml:space="preserve">10.64861/HWZS9386</w:t>
        </w:r>
      </w:hyperlink>
    </w:p>
    <w:p>
      <w:pPr>
        <w:pStyle w:val="BodyText"/>
        <w:spacing w:line="480" w:lineRule="auto"/>
        <w:ind w:firstLine="720"/>
      </w:pPr>
      <w:bookmarkStart w:id="178" w:name="ref-29"/>
      <w:bookmarkEnd w:id="178"/>
      <w:r>
        <w:t xml:space="preserve">29. Lt Col Charles Spillar, USAF (HQ AFSPC/A3CN), Maj Mike Pirtle, USAF (HQ AFSPC/A3CN). Commercial and Foreign Entities (CFE) Pilot Program Status Update and Way Ahead (2009).</w:t>
      </w:r>
    </w:p>
    <w:p>
      <w:pPr>
        <w:pStyle w:val="BodyText"/>
        <w:spacing w:line="480" w:lineRule="auto"/>
        <w:ind w:firstLine="720"/>
      </w:pPr>
      <w:bookmarkStart w:id="179" w:name="ref-30"/>
      <w:bookmarkEnd w:id="179"/>
      <w:r>
        <w:t xml:space="preserve">30. Charles J. Wetterer, Integrity Applications International / Pacific Defense Solutions, Paul F. Sydney, Integrity Applications International / Pacific Defense Solutions, Joseph D. Gerber, Applied Defense Solutions, Jacob Griesbach, Applied Defense Solutions. Efficient Photometry In-Frame Calibration (EPIC) Gaussian Corrections for Automated Background Normalization of Rate-Tracked Satellite Imagery (2015).</w:t>
      </w:r>
    </w:p>
    <w:p>
      <w:pPr>
        <w:pStyle w:val="BodyText"/>
        <w:spacing w:line="480" w:lineRule="auto"/>
        <w:ind w:firstLine="720"/>
      </w:pPr>
      <w:bookmarkStart w:id="180" w:name="ref-31"/>
      <w:bookmarkEnd w:id="180"/>
      <w:r>
        <w:t xml:space="preserve">31. Allan Shtofenmakher, Massachusetts Institute of Technology; Hamsa Balakrishnan, Massachusetts Institute of Technology. Optimal Tasking and Scheduling of Satellite Constellations for Space Situational Awareness (2025). doi:</w:t>
      </w:r>
      <w:r>
        <w:t xml:space="preserve"> </w:t>
      </w:r>
      <w:hyperlink r:id="rId181">
        <w:r>
          <w:rPr>
            <w:rStyle w:val="Hyperlink"/>
          </w:rPr>
          <w:t xml:space="preserve">10.64861/KSZU1223</w:t>
        </w:r>
      </w:hyperlink>
    </w:p>
    <w:p>
      <w:pPr>
        <w:pStyle w:val="BodyText"/>
        <w:spacing w:line="480" w:lineRule="auto"/>
        <w:ind w:firstLine="720"/>
      </w:pPr>
      <w:bookmarkStart w:id="182" w:name="ref-32"/>
      <w:bookmarkEnd w:id="182"/>
      <w:r>
        <w:t xml:space="preserve">32. Alejandro Sabán-Fosch; Eduard Diez-Lledó; M. Sòria; Miquel Sureda. Towards the first European autonomous flight safety system- software and hardware design (2025). doi:</w:t>
      </w:r>
      <w:r>
        <w:t xml:space="preserve"> </w:t>
      </w:r>
      <w:hyperlink r:id="rId183">
        <w:r>
          <w:rPr>
            <w:rStyle w:val="Hyperlink"/>
          </w:rPr>
          <w:t xml:space="preserve">10.1016/j.actaastro.2025.07.004</w:t>
        </w:r>
      </w:hyperlink>
    </w:p>
    <w:p>
      <w:pPr>
        <w:pStyle w:val="BodyText"/>
        <w:spacing w:line="480" w:lineRule="auto"/>
        <w:ind w:firstLine="720"/>
      </w:pPr>
      <w:bookmarkStart w:id="184" w:name="ref-33"/>
      <w:bookmarkEnd w:id="184"/>
      <w:r>
        <w:t xml:space="preserve">33. Noelia Sánchez-Ortíz; Danielle Wood; Lesley Smith; Carmen Gregori De La Malla; Maruška Strah; Maren Huelsmann; Marius Stanciu-Manolescu; P. Ubertini; Balbir Singh. Outreach on Space Traffic Management (2025). doi:</w:t>
      </w:r>
      <w:r>
        <w:t xml:space="preserve"> </w:t>
      </w:r>
      <w:hyperlink r:id="rId185">
        <w:r>
          <w:rPr>
            <w:rStyle w:val="Hyperlink"/>
          </w:rPr>
          <w:t xml:space="preserve">10.1016/j.actaastro.2025.01.031</w:t>
        </w:r>
      </w:hyperlink>
    </w:p>
    <w:p>
      <w:pPr>
        <w:pStyle w:val="BodyText"/>
        <w:spacing w:line="480" w:lineRule="auto"/>
        <w:ind w:firstLine="720"/>
      </w:pPr>
      <w:bookmarkStart w:id="186" w:name="ref-34"/>
      <w:bookmarkEnd w:id="186"/>
      <w:r>
        <w:t xml:space="preserve">34. Zeno Pavanello; Luigi De Maria; Andrea De Vittori; Michele Maestrini; Pierluigi Di Lizia; Roberto Armellin. CAMmary: A review of spacecraft collision avoidance manoeuvre design methods (2025). doi:</w:t>
      </w:r>
      <w:r>
        <w:t xml:space="preserve"> </w:t>
      </w:r>
      <w:hyperlink r:id="rId151">
        <w:r>
          <w:rPr>
            <w:rStyle w:val="Hyperlink"/>
          </w:rPr>
          <w:t xml:space="preserve">10.1016/j.actaastro.2025.07.027</w:t>
        </w:r>
      </w:hyperlink>
    </w:p>
    <w:p>
      <w:pPr>
        <w:pStyle w:val="BodyText"/>
        <w:spacing w:line="480" w:lineRule="auto"/>
        <w:ind w:firstLine="720"/>
      </w:pPr>
      <w:bookmarkStart w:id="187" w:name="ref-35"/>
      <w:bookmarkEnd w:id="187"/>
      <w:r>
        <w:t xml:space="preserve">35. Shinichi Takata; Kazuyoshi Hidaka. New public-private partnership based on the interactive collaboration in the space sector (2025). doi:</w:t>
      </w:r>
      <w:r>
        <w:t xml:space="preserve"> </w:t>
      </w:r>
      <w:hyperlink r:id="rId188">
        <w:r>
          <w:rPr>
            <w:rStyle w:val="Hyperlink"/>
          </w:rPr>
          <w:t xml:space="preserve">10.1016/j.actaastro.2025.02.009</w:t>
        </w:r>
      </w:hyperlink>
    </w:p>
    <w:p>
      <w:pPr>
        <w:pStyle w:val="BodyText"/>
        <w:spacing w:line="480" w:lineRule="auto"/>
        <w:ind w:firstLine="720"/>
      </w:pPr>
      <w:bookmarkStart w:id="189" w:name="ref-36"/>
      <w:bookmarkEnd w:id="189"/>
      <w:r>
        <w:t xml:space="preserve">36. Asher Soryl; Anders Sandberg. To seed or not to seed: Estimating the ethical value of directed panspermia (2025). doi:</w:t>
      </w:r>
      <w:r>
        <w:t xml:space="preserve"> </w:t>
      </w:r>
      <w:hyperlink r:id="rId190">
        <w:r>
          <w:rPr>
            <w:rStyle w:val="Hyperlink"/>
          </w:rPr>
          <w:t xml:space="preserve">10.1016/j.actaastro.2025.03.025</w:t>
        </w:r>
      </w:hyperlink>
    </w:p>
    <w:p>
      <w:pPr>
        <w:pStyle w:val="BodyText"/>
        <w:spacing w:line="480" w:lineRule="auto"/>
        <w:ind w:firstLine="720"/>
      </w:pPr>
      <w:bookmarkStart w:id="191" w:name="ref-37"/>
      <w:bookmarkEnd w:id="191"/>
      <w:r>
        <w:t xml:space="preserve">37. Shinichiro Sasahara; Christina-Sylvia Andrea; Go Suzuki; Yuichi Oi; Shotaro Doki; Daisuke Hori; Takashi Ohira; Chie Matsuda; Natsuhiko Inoue; Tsukasa Takahashi; Yuh Ohtaki; Tamaki Saito; Satoshi Furukawa; Katsuhiko Ogata; Ichiyo Matsuzaki. Effect of exercise on brain function as assessed by functional near-infrared spectroscopy during a verbal fluency test in a simulated International Space Station environment: A single-case, experimental ABA study in Japan (2019). doi:</w:t>
      </w:r>
      <w:r>
        <w:t xml:space="preserve"> </w:t>
      </w:r>
      <w:hyperlink r:id="rId192">
        <w:r>
          <w:rPr>
            <w:rStyle w:val="Hyperlink"/>
          </w:rPr>
          <w:t xml:space="preserve">10.1016/j.actaastro.2019.10.013</w:t>
        </w:r>
      </w:hyperlink>
    </w:p>
    <w:p>
      <w:pPr>
        <w:pStyle w:val="BodyText"/>
        <w:spacing w:line="480" w:lineRule="auto"/>
        <w:ind w:firstLine="720"/>
      </w:pPr>
      <w:bookmarkStart w:id="193" w:name="ref-38"/>
      <w:bookmarkEnd w:id="193"/>
      <w:r>
        <w:t xml:space="preserve">38. Charlotte Hook; Ewan Wright; Michael Byers; Aaron C. Boley. Uncontrolled reentries of space objects and aviation safety (2024). doi:</w:t>
      </w:r>
      <w:r>
        <w:t xml:space="preserve"> </w:t>
      </w:r>
      <w:hyperlink r:id="rId194">
        <w:r>
          <w:rPr>
            <w:rStyle w:val="Hyperlink"/>
          </w:rPr>
          <w:t xml:space="preserve">10.1016/j.actaastro.2024.05.026</w:t>
        </w:r>
      </w:hyperlink>
    </w:p>
    <w:p>
      <w:pPr>
        <w:pStyle w:val="BodyText"/>
        <w:spacing w:line="480" w:lineRule="auto"/>
        <w:ind w:firstLine="720"/>
      </w:pPr>
      <w:bookmarkStart w:id="195" w:name="ref-39"/>
      <w:bookmarkEnd w:id="195"/>
      <w:r>
        <w:t xml:space="preserve">39. Valentina Zancan; Alessandro Paravano; Giorgio Locatelli; Paolo Trucco. Evolving governance in the space sector: From Legacy Space to New Space models (2024). doi:</w:t>
      </w:r>
      <w:r>
        <w:t xml:space="preserve"> </w:t>
      </w:r>
      <w:hyperlink r:id="rId196">
        <w:r>
          <w:rPr>
            <w:rStyle w:val="Hyperlink"/>
          </w:rPr>
          <w:t xml:space="preserve">10.1016/j.actaastro.2024.09.005</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80145d802327f6d9711c367d6db0df4958d92f0"/>
    <w:p>
      <w:pPr>
        <w:pStyle w:val="Heading2"/>
        <w:spacing w:line="480" w:lineRule="auto"/>
      </w:pPr>
      <w:r>
        <w:t xml:space="preserve">A.1 Graduated Autonomy Authority and Cost-Growth Outcomes in NASA Major Projects: An OLS Analysis of GAO Major-Project-Assessment Data</w:t>
      </w:r>
    </w:p>
    <w:p>
      <w:pPr>
        <w:pStyle w:val="FirstParagraph"/>
        <w:spacing w:line="480" w:lineRule="auto"/>
      </w:pPr>
      <m:oMathPara>
        <m:oMathParaPr>
          <m:jc m:val="center"/>
        </m:oMathParaPr>
        <m:oMath>
          <m:r>
            <m:t>c</m:t>
          </m:r>
          <m:r>
            <m:t>o</m:t>
          </m:r>
          <m:r>
            <m:t>s</m:t>
          </m:r>
          <m:r>
            <m:t>t</m:t>
          </m:r>
          <m:r>
            <m:rPr>
              <m:sty m:val="p"/>
            </m:rPr>
            <m:t>_</m:t>
          </m:r>
          <m:r>
            <m:t>g</m:t>
          </m:r>
          <m:r>
            <m:t>r</m:t>
          </m:r>
          <m:r>
            <m:t>o</m:t>
          </m:r>
          <m:r>
            <m:t>w</m:t>
          </m:r>
          <m:r>
            <m:t>t</m:t>
          </m:r>
          <m:r>
            <m:t>h</m:t>
          </m:r>
          <m:r>
            <m:rPr>
              <m:sty m:val="p"/>
            </m:rPr>
            <m:t>_</m:t>
          </m:r>
          <m:r>
            <m:t>p</m:t>
          </m:r>
          <m:r>
            <m:t>c</m:t>
          </m:r>
          <m:sSub>
            <m:e>
              <m:r>
                <m:t>t</m:t>
              </m:r>
            </m:e>
            <m:sub>
              <m:r>
                <m:t>i</m:t>
              </m:r>
            </m:sub>
          </m:sSub>
          <m:r>
            <m:rPr>
              <m:sty m:val="p"/>
            </m:rPr>
            <m:t>=</m:t>
          </m:r>
          <m:sSub>
            <m:e>
              <m:r>
                <m:t>β</m:t>
              </m:r>
            </m:e>
            <m:sub>
              <m:r>
                <m:t>0</m:t>
              </m:r>
            </m:sub>
          </m:sSub>
          <m:r>
            <m:rPr>
              <m:sty m:val="p"/>
            </m:rPr>
            <m:t>+</m:t>
          </m:r>
          <m:sSub>
            <m:e>
              <m:r>
                <m:t>β</m:t>
              </m:r>
            </m:e>
            <m:sub>
              <m:r>
                <m:t>1</m:t>
              </m:r>
            </m:sub>
          </m:sSub>
          <m:r>
            <m:t> </m:t>
          </m:r>
          <m:r>
            <m:t>a</m:t>
          </m:r>
          <m:r>
            <m:t>u</m:t>
          </m:r>
          <m:r>
            <m:t>t</m:t>
          </m:r>
          <m:r>
            <m:t>o</m:t>
          </m:r>
          <m:r>
            <m:t>n</m:t>
          </m:r>
          <m:r>
            <m:t>o</m:t>
          </m:r>
          <m:r>
            <m:t>m</m:t>
          </m:r>
          <m:r>
            <m:t>y</m:t>
          </m:r>
          <m:r>
            <m:rPr>
              <m:sty m:val="p"/>
            </m:rPr>
            <m:t>_</m:t>
          </m:r>
          <m:r>
            <m:t>l</m:t>
          </m:r>
          <m:r>
            <m:t>e</m:t>
          </m:r>
          <m:r>
            <m:t>v</m:t>
          </m:r>
          <m:r>
            <m:t>e</m:t>
          </m:r>
          <m:sSub>
            <m:e>
              <m:r>
                <m:t>l</m:t>
              </m:r>
            </m:e>
            <m:sub>
              <m:r>
                <m:t>i</m:t>
              </m:r>
            </m:sub>
          </m:sSub>
          <m:r>
            <m:rPr>
              <m:sty m:val="p"/>
            </m:rPr>
            <m:t>+</m:t>
          </m:r>
          <m:sSub>
            <m:e>
              <m:r>
                <m:t>β</m:t>
              </m:r>
            </m:e>
            <m:sub>
              <m:r>
                <m:t>2</m:t>
              </m:r>
            </m:sub>
          </m:sSub>
          <m:r>
            <m:t> </m:t>
          </m:r>
          <m:r>
            <m:t>c</m:t>
          </m:r>
          <m:r>
            <m:t>o</m:t>
          </m:r>
          <m:r>
            <m:t>m</m:t>
          </m:r>
          <m:r>
            <m:t>p</m:t>
          </m:r>
          <m:r>
            <m:t>l</m:t>
          </m:r>
          <m:r>
            <m:t>e</m:t>
          </m:r>
          <m:r>
            <m:t>x</m:t>
          </m:r>
          <m:r>
            <m:t>i</m:t>
          </m:r>
          <m:r>
            <m:t>t</m:t>
          </m:r>
          <m:sSub>
            <m:e>
              <m:r>
                <m:t>y</m:t>
              </m:r>
            </m:e>
            <m:sub>
              <m:r>
                <m:t>i</m:t>
              </m:r>
            </m:sub>
          </m:sSub>
          <m:r>
            <m:rPr>
              <m:sty m:val="p"/>
            </m:rPr>
            <m:t>+</m:t>
          </m:r>
          <m:sSub>
            <m:e>
              <m:r>
                <m:t>β</m:t>
              </m:r>
            </m:e>
            <m:sub>
              <m:r>
                <m:t>3</m:t>
              </m:r>
            </m:sub>
          </m:sSub>
          <m:r>
            <m:t> </m:t>
          </m:r>
          <m:r>
            <m:t>p</m:t>
          </m:r>
          <m:r>
            <m:t>r</m:t>
          </m:r>
          <m:r>
            <m:t>i</m:t>
          </m:r>
          <m:r>
            <m:t>m</m:t>
          </m:r>
          <m:r>
            <m:t>e</m:t>
          </m:r>
          <m:r>
            <m:rPr>
              <m:sty m:val="p"/>
            </m:rPr>
            <m:t>_</m:t>
          </m:r>
          <m:r>
            <m:t>a</m:t>
          </m:r>
          <m:r>
            <m:t>g</m:t>
          </m:r>
          <m:r>
            <m:t>e</m:t>
          </m:r>
          <m:r>
            <m:rPr>
              <m:sty m:val="p"/>
            </m:rPr>
            <m:t>_</m:t>
          </m:r>
          <m:r>
            <m:t>y</m:t>
          </m:r>
          <m:sSub>
            <m:e>
              <m:r>
                <m:t>r</m:t>
              </m:r>
            </m:e>
            <m:sub>
              <m:r>
                <m:t>i</m:t>
              </m:r>
            </m:sub>
          </m:sSub>
          <m:r>
            <m:rPr>
              <m:sty m:val="p"/>
            </m:rPr>
            <m:t>+</m:t>
          </m:r>
          <m:sSub>
            <m:e>
              <m:r>
                <m:t>ε</m:t>
              </m:r>
            </m:e>
            <m:sub>
              <m:r>
                <m:t>i</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-14.9519</w:t>
            </w:r>
          </w:p>
        </w:tc>
        <w:tc>
          <w:tcPr>
            <w:tcW w:w="0" w:type="auto"/>
          </w:tcPr>
          <w:p>
            <w:pPr>
              <w:spacing w:line="240" w:lineRule="auto" w:before="0" w:after="0"/>
              <w:pStyle w:val="Compact"/>
            </w:pPr>
            <w:r>
              <w:rPr>
                <w:sz w:val="20"/>
                <w:szCs w:val="20"/>
              </w:rPr>
              <w:t xml:space="preserve">15.7625</w:t>
            </w:r>
          </w:p>
        </w:tc>
        <w:tc>
          <w:tcPr>
            <w:tcW w:w="0" w:type="auto"/>
          </w:tcPr>
          <w:p>
            <w:pPr>
              <w:spacing w:line="240" w:lineRule="auto" w:before="0" w:after="0"/>
              <w:pStyle w:val="Compact"/>
            </w:pPr>
            <w:r>
              <w:rPr>
                <w:sz w:val="20"/>
                <w:szCs w:val="20"/>
              </w:rPr>
              <w:t xml:space="preserve">-0.9486</w:t>
            </w:r>
          </w:p>
        </w:tc>
        <w:tc>
          <w:tcPr>
            <w:tcW w:w="0" w:type="auto"/>
          </w:tcPr>
          <w:p>
            <w:pPr>
              <w:spacing w:line="240" w:lineRule="auto" w:before="0" w:after="0"/>
              <w:pStyle w:val="Compact"/>
            </w:pPr>
            <w:r>
              <w:rPr>
                <w:sz w:val="20"/>
                <w:szCs w:val="20"/>
              </w:rPr>
              <w:t xml:space="preserve">0.3428</w:t>
            </w:r>
          </w:p>
        </w:tc>
        <w:tc>
          <w:tcPr>
            <w:tcW w:w="0" w:type="auto"/>
          </w:tcPr>
          <w:p>
            <w:pPr>
              <w:spacing w:line="240" w:lineRule="auto" w:before="0" w:after="0"/>
              <w:pStyle w:val="Compact"/>
            </w:pPr>
            <w:r>
              <w:rPr>
                <w:sz w:val="20"/>
                <w:szCs w:val="20"/>
              </w:rPr>
              <w:t xml:space="preserve">[-45.8458, 15.9421]</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5.7562</w:t>
            </w:r>
          </w:p>
        </w:tc>
        <w:tc>
          <w:tcPr>
            <w:tcW w:w="0" w:type="auto"/>
          </w:tcPr>
          <w:p>
            <w:pPr>
              <w:spacing w:line="240" w:lineRule="auto" w:before="0" w:after="0"/>
              <w:pStyle w:val="Compact"/>
            </w:pPr>
            <w:r>
              <w:rPr>
                <w:sz w:val="20"/>
                <w:szCs w:val="20"/>
              </w:rPr>
              <w:t xml:space="preserve">1.6969</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[-1.5143, 21.0496]</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-9.6316</w:t>
            </w:r>
          </w:p>
        </w:tc>
        <w:tc>
          <w:tcPr>
            <w:tcW w:w="0" w:type="auto"/>
          </w:tcPr>
          <w:p>
            <w:pPr>
              <w:spacing w:line="240" w:lineRule="auto" w:before="0" w:after="0"/>
              <w:pStyle w:val="Compact"/>
            </w:pPr>
            <w:r>
              <w:rPr>
                <w:sz w:val="20"/>
                <w:szCs w:val="20"/>
              </w:rPr>
              <w:t xml:space="preserve">5.2611</w:t>
            </w:r>
          </w:p>
        </w:tc>
        <w:tc>
          <w:tcPr>
            <w:tcW w:w="0" w:type="auto"/>
          </w:tcPr>
          <w:p>
            <w:pPr>
              <w:spacing w:line="240" w:lineRule="auto" w:before="0" w:after="0"/>
              <w:pStyle w:val="Compact"/>
            </w:pPr>
            <w:r>
              <w:rPr>
                <w:sz w:val="20"/>
                <w:szCs w:val="20"/>
              </w:rPr>
              <w:t xml:space="preserve">-1.8307</w:t>
            </w:r>
          </w:p>
        </w:tc>
        <w:tc>
          <w:tcPr>
            <w:tcW w:w="0" w:type="auto"/>
          </w:tcPr>
          <w:p>
            <w:pPr>
              <w:spacing w:line="240" w:lineRule="auto" w:before="0" w:after="0"/>
              <w:pStyle w:val="Compact"/>
            </w:pPr>
            <w:r>
              <w:rPr>
                <w:sz w:val="20"/>
                <w:szCs w:val="20"/>
              </w:rPr>
              <w:t xml:space="preserve">0.0671</w:t>
            </w:r>
          </w:p>
        </w:tc>
        <w:tc>
          <w:tcPr>
            <w:tcW w:w="0" w:type="auto"/>
          </w:tcPr>
          <w:p>
            <w:pPr>
              <w:spacing w:line="240" w:lineRule="auto" w:before="0" w:after="0"/>
              <w:pStyle w:val="Compact"/>
            </w:pPr>
            <w:r>
              <w:rPr>
                <w:sz w:val="20"/>
                <w:szCs w:val="20"/>
              </w:rPr>
              <w:t xml:space="preserve">[-19.9431, 0.6799]</w:t>
            </w:r>
          </w:p>
        </w:tc>
      </w:tr>
      <w:tr>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6.6002</w:t>
            </w:r>
          </w:p>
        </w:tc>
        <w:tc>
          <w:tcPr>
            <w:tcW w:w="0" w:type="auto"/>
          </w:tcPr>
          <w:p>
            <w:pPr>
              <w:spacing w:line="240" w:lineRule="auto" w:before="0" w:after="0"/>
              <w:pStyle w:val="Compact"/>
            </w:pPr>
            <w:r>
              <w:rPr>
                <w:sz w:val="20"/>
                <w:szCs w:val="20"/>
              </w:rPr>
              <w:t xml:space="preserve">2.1298</w:t>
            </w:r>
          </w:p>
        </w:tc>
        <w:tc>
          <w:tcPr>
            <w:tcW w:w="0" w:type="auto"/>
          </w:tcPr>
          <w:p>
            <w:pPr>
              <w:spacing w:line="240" w:lineRule="auto" w:before="0" w:after="0"/>
              <w:pStyle w:val="Compact"/>
            </w:pPr>
            <w:r>
              <w:rPr>
                <w:sz w:val="20"/>
                <w:szCs w:val="20"/>
              </w:rPr>
              <w:t xml:space="preserve">3.099</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[2.4259, 10.7745]</w:t>
            </w:r>
          </w:p>
        </w:tc>
      </w:tr>
    </w:tbl>
    <w:p>
      <w:pPr>
        <w:pStyle w:val="BodyText"/>
        <w:spacing w:line="480" w:lineRule="auto"/>
        <w:ind w:firstLine="720"/>
      </w:pPr>
      <w:r>
        <w:t xml:space="preserve">Fit: N = 35 R2 = 0.3828 R2_adj = 0.3231 F = 3.253 F_p = 0.0349</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st growth from KDP-C baseline against delegated autonomy authority across 35 NASA major projects (GAO assessments, 2009 to 2025)." title="" id="201" name="Picture"/>
            <a:graphic>
              <a:graphicData uri="http://schemas.openxmlformats.org/drawingml/2006/picture">
                <pic:pic>
                  <pic:nvPicPr>
                    <pic:cNvPr descr="D:/Claude_Code/brain/collegium/candidates/dissertations/CYBER_AI_05/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Cost growth from KDP-C baseline against delegated autonomy authority across 35 NASA major projects (GAO assessments, 2009 to 2025).</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year_baseline</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GAO-13-276SP NASA Quick Look (Mars Science Laboratory cost growth)</w:t>
            </w:r>
          </w:p>
        </w:tc>
      </w:tr>
      <w:tr>
        <w:tc>
          <w:tcPr>
            <w:tcW w:w="0" w:type="auto"/>
          </w:tcPr>
          <w:p>
            <w:pPr>
              <w:spacing w:line="240" w:lineRule="auto" w:before="0" w:after="0"/>
              <w:pStyle w:val="Compact"/>
            </w:pPr>
            <w:r>
              <w:rPr>
                <w:sz w:val="20"/>
                <w:szCs w:val="20"/>
              </w:rPr>
              <w:t xml:space="preserve">Mars-2020-Perseverance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GAO-16-309SP NASA Assessments of Major Projects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GAO-16-309SP and GAO-19-262SP NASA Assessments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GAO-13-276SP NASA Quick Look</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GAO-17-262SP NASA Assessments of Major Projects</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GAO-17-262SP NASA Assessments of Major Projects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GAO-19-262SP NASA Assessments of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71.4</w:t>
            </w:r>
          </w:p>
        </w:tc>
        <w:tc>
          <w:tcPr>
            <w:tcW w:w="0" w:type="auto"/>
          </w:tcPr>
          <w:p>
            <w:pPr>
              <w:spacing w:line="240" w:lineRule="auto" w:before="0" w:after="0"/>
              <w:pStyle w:val="Compact"/>
            </w:pPr>
            <w:r>
              <w:rPr>
                <w:sz w:val="20"/>
                <w:szCs w:val="20"/>
              </w:rPr>
              <w:t xml:space="preserve">GAO-19-262SP NASA Assessments of Major Projects</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GAO-09-306SP NASA Assessments of Selected Large-Scale Projects</w:t>
            </w:r>
          </w:p>
        </w:tc>
      </w:tr>
      <w:tr>
        <w:tc>
          <w:tcPr>
            <w:tcW w:w="0" w:type="auto"/>
          </w:tcPr>
          <w:p>
            <w:pPr>
              <w:spacing w:line="240" w:lineRule="auto" w:before="0" w:after="0"/>
              <w:pStyle w:val="Compact"/>
            </w:pPr>
            <w:r>
              <w:rPr>
                <w:sz w:val="20"/>
                <w:szCs w:val="20"/>
              </w:rPr>
              <w:t xml:space="preserve">LCROSS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GAO-09-306SP NASA Assessments (LCROSS impactor)</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GAO-12-207SP NASA Assessments [illustrative]</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GAO-18-280SP NASA Assessments (JWST life-cycle)</w:t>
            </w:r>
          </w:p>
        </w:tc>
      </w:tr>
      <w:tr>
        <w:tc>
          <w:tcPr>
            <w:tcW w:w="0" w:type="auto"/>
          </w:tcPr>
          <w:p>
            <w:pPr>
              <w:spacing w:line="240" w:lineRule="auto" w:before="0" w:after="0"/>
              <w:pStyle w:val="Compact"/>
            </w:pPr>
            <w:r>
              <w:rPr>
                <w:sz w:val="20"/>
                <w:szCs w:val="20"/>
              </w:rPr>
              <w:t xml:space="preserve">Roman-Space-Telescope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Artemis-Orion</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GAO-24-106767 NASA Assessments of Major Projects (Orion)</w:t>
            </w:r>
          </w:p>
        </w:tc>
      </w:tr>
      <w:tr>
        <w:tc>
          <w:tcPr>
            <w:tcW w:w="0" w:type="auto"/>
          </w:tcPr>
          <w:p>
            <w:pPr>
              <w:spacing w:line="240" w:lineRule="auto" w:before="0" w:after="0"/>
              <w:pStyle w:val="Compact"/>
            </w:pPr>
            <w:r>
              <w:rPr>
                <w:sz w:val="20"/>
                <w:szCs w:val="20"/>
              </w:rPr>
              <w:t xml:space="preserve">SLS-Block-1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GAO-24-106767 NASA Assessments of Major Projects (SLS)</w:t>
            </w:r>
          </w:p>
        </w:tc>
      </w:tr>
      <w:tr>
        <w:tc>
          <w:tcPr>
            <w:tcW w:w="0" w:type="auto"/>
          </w:tcPr>
          <w:p>
            <w:pPr>
              <w:spacing w:line="240" w:lineRule="auto" w:before="0" w:after="0"/>
              <w:pStyle w:val="Compact"/>
            </w:pPr>
            <w:r>
              <w:rPr>
                <w:sz w:val="20"/>
                <w:szCs w:val="20"/>
              </w:rPr>
              <w:t xml:space="preserve">Exploration-Ground-Systems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Commercial-Crew-Boeing</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GAO-20-405 and GAO-23-105612 NASA CCP assessments</w:t>
            </w:r>
          </w:p>
        </w:tc>
      </w:tr>
      <w:tr>
        <w:tc>
          <w:tcPr>
            <w:tcW w:w="0" w:type="auto"/>
          </w:tcPr>
          <w:p>
            <w:pPr>
              <w:spacing w:line="240" w:lineRule="auto" w:before="0" w:after="0"/>
              <w:pStyle w:val="Compact"/>
            </w:pPr>
            <w:r>
              <w:rPr>
                <w:sz w:val="20"/>
                <w:szCs w:val="20"/>
              </w:rPr>
              <w:t xml:space="preserve">Commercial-Crew-SpaceX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and GAO-23-105612 NASA CCP assessments</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GAO-25-107591 NASA Assessments of Major Projects [illustrative]</w:t>
            </w:r>
          </w:p>
        </w:tc>
      </w:tr>
      <w:tr>
        <w:tc>
          <w:tcPr>
            <w:tcW w:w="0" w:type="auto"/>
          </w:tcPr>
          <w:p>
            <w:pPr>
              <w:spacing w:line="240" w:lineRule="auto" w:before="0" w:after="0"/>
              <w:pStyle w:val="Compact"/>
            </w:pPr>
            <w:r>
              <w:rPr>
                <w:sz w:val="20"/>
                <w:szCs w:val="20"/>
              </w:rPr>
              <w:t xml:space="preserve">HLS-SpaceX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(HLS) [illustrative]</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[illustrative]</w:t>
            </w:r>
          </w:p>
        </w:tc>
      </w:tr>
    </w:tbl>
    <w:bookmarkEnd w:id="204"/>
    <w:bookmarkStart w:id="20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change in life-cycle cost between the project baseline (KDP-C) and the most recent GAO Major-Project-Assessment reported cost</w:t>
            </w:r>
          </w:p>
        </w:tc>
        <w:tc>
          <w:tcPr>
            <w:tcW w:w="0" w:type="auto"/>
          </w:tcPr>
          <w:p>
            <w:pPr>
              <w:spacing w:line="240" w:lineRule="auto" w:before="0" w:after="0"/>
              <w:pStyle w:val="Compact"/>
            </w:pPr>
            <w:r>
              <w:rPr>
                <w:sz w:val="20"/>
                <w:szCs w:val="20"/>
              </w:rPr>
              <w:t xml:space="preserve">GAO Major-Project-Assessment series (GAO-09-306SP through GAO-25-107591)</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scale of delegated decision authority to onboard or contractor-side systems: 0 fully manual ground/state-directed, 1 ground-supervised automation, 2 supervised onboard autonomy, 3 contractor-led or onboard graduated autonomy</w:t>
            </w:r>
          </w:p>
        </w:tc>
        <w:tc>
          <w:tcPr>
            <w:tcW w:w="0" w:type="auto"/>
          </w:tcPr>
          <w:p>
            <w:pPr>
              <w:spacing w:line="240" w:lineRule="auto" w:before="0" w:after="0"/>
              <w:pStyle w:val="Compact"/>
            </w:pPr>
            <w:r>
              <w:rPr>
                <w:sz w:val="20"/>
                <w:szCs w:val="20"/>
              </w:rPr>
              <w:t xml:space="preserve">Adapted from Sheridan-Verplank levels and coded from project descriptions in the cited GAO reports and NASA project plans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project complexity: 1 low, 2 medium, 3 high, reflecting integration scope, novel technology insertion, and mission class per GAO complexity narrative</w:t>
            </w:r>
          </w:p>
        </w:tc>
        <w:tc>
          <w:tcPr>
            <w:tcW w:w="0" w:type="auto"/>
          </w:tcPr>
          <w:p>
            <w:pPr>
              <w:spacing w:line="240" w:lineRule="auto" w:before="0" w:after="0"/>
              <w:pStyle w:val="Compact"/>
            </w:pPr>
            <w:r>
              <w:rPr>
                <w:sz w:val="20"/>
                <w:szCs w:val="20"/>
              </w:rPr>
              <w:t xml:space="preserve">GAO Major-Project-Assessment narratives and NASA NPR 7120.5 project classification</w:t>
            </w:r>
          </w:p>
        </w:tc>
      </w:tr>
      <w:tr>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Years between baseline confirmation (KDP-C) and the most recent GAO assessment reporting cost growth</w:t>
            </w:r>
          </w:p>
        </w:tc>
        <w:tc>
          <w:tcPr>
            <w:tcW w:w="0" w:type="auto"/>
          </w:tcPr>
          <w:p>
            <w:pPr>
              <w:spacing w:line="240" w:lineRule="auto" w:before="0" w:after="0"/>
              <w:pStyle w:val="Compact"/>
            </w:pPr>
            <w:r>
              <w:rPr>
                <w:sz w:val="20"/>
                <w:szCs w:val="20"/>
              </w:rPr>
              <w:t xml:space="preserve">GAO Major-Project-Assessment series and NASA Authorization records</w:t>
            </w:r>
          </w:p>
        </w:tc>
      </w:tr>
    </w:tbl>
    <w:bookmarkEnd w:id="205"/>
    <w:bookmarkEnd w:id="206"/>
    <w:bookmarkStart w:id="214" w:name="Xf98d9b629124d314b781ed70da821f7c0c7bd29"/>
    <w:p>
      <w:pPr>
        <w:pStyle w:val="Heading2"/>
        <w:spacing w:line="480" w:lineRule="auto"/>
      </w:pPr>
      <w:r>
        <w:t xml:space="preserve">A.2 Calibrating Autonomy Authority in Spacecraft Operations: A Logistic Regression Analysis of Graduated Decision-Delegation and Event Resolution Success</w:t>
      </w:r>
    </w:p>
    <w:p>
      <w:pPr>
        <w:pStyle w:val="FirstParagraph"/>
        <w:spacing w:line="480" w:lineRule="auto"/>
      </w:pPr>
      <m:oMathPara>
        <m:oMathParaPr>
          <m:jc m:val="center"/>
        </m:oMathParaPr>
        <m:oMath>
          <m:r>
            <m:rPr>
              <m:sty m:val="p"/>
            </m:rPr>
            <m:t>Pr</m:t>
          </m:r>
          <m:r>
            <m:rPr>
              <m:sty m:val="p"/>
            </m:rPr>
            <m:t>(</m:t>
          </m:r>
          <m:r>
            <m:t>s</m:t>
          </m:r>
          <m:r>
            <m:t>u</m:t>
          </m:r>
          <m:r>
            <m:t>c</m:t>
          </m:r>
          <m:r>
            <m:t>c</m:t>
          </m:r>
          <m:r>
            <m:t>e</m:t>
          </m:r>
          <m:r>
            <m:t>s</m:t>
          </m:r>
          <m:sSub>
            <m:e>
              <m:r>
                <m:t>s</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r>
            <m:rPr>
              <m:sty m:val="p"/>
            </m:rPr>
            <m:t>⋅</m:t>
          </m:r>
          <m:r>
            <m:t>a</m:t>
          </m:r>
          <m:r>
            <m:t>u</m:t>
          </m:r>
          <m:r>
            <m:t>t</m:t>
          </m:r>
          <m:r>
            <m:t>o</m:t>
          </m:r>
          <m:r>
            <m:t>n</m:t>
          </m:r>
          <m:r>
            <m:t>o</m:t>
          </m:r>
          <m:r>
            <m:t>m</m:t>
          </m:r>
          <m:r>
            <m:t>y</m:t>
          </m:r>
          <m:r>
            <m:rPr>
              <m:sty m:val="p"/>
            </m:rPr>
            <m:t>_</m:t>
          </m:r>
          <m:r>
            <m:t>l</m:t>
          </m:r>
          <m:r>
            <m:t>e</m:t>
          </m:r>
          <m:r>
            <m:t>v</m:t>
          </m:r>
          <m:r>
            <m:t>e</m:t>
          </m:r>
          <m:sSub>
            <m:e>
              <m:r>
                <m:t>l</m:t>
              </m:r>
            </m:e>
            <m:sub>
              <m:r>
                <m:t>i</m:t>
              </m:r>
            </m:sub>
          </m:sSub>
          <m:r>
            <m:rPr>
              <m:sty m:val="p"/>
            </m:rPr>
            <m:t>+</m:t>
          </m:r>
          <m:sSub>
            <m:e>
              <m:r>
                <m:t>β</m:t>
              </m:r>
            </m:e>
            <m:sub>
              <m:r>
                <m:t>2</m:t>
              </m:r>
            </m:sub>
          </m:sSub>
          <m:r>
            <m:rPr>
              <m:sty m:val="p"/>
            </m:rPr>
            <m:t>⋅</m:t>
          </m:r>
          <m:r>
            <m:t>t</m:t>
          </m:r>
          <m:r>
            <m:t>i</m:t>
          </m:r>
          <m:r>
            <m:t>m</m:t>
          </m:r>
          <m:r>
            <m:t>e</m:t>
          </m:r>
          <m:r>
            <m:rPr>
              <m:sty m:val="p"/>
            </m:rPr>
            <m:t>_</m:t>
          </m:r>
          <m:r>
            <m:t>p</m:t>
          </m:r>
          <m:r>
            <m:t>r</m:t>
          </m:r>
          <m:r>
            <m:t>e</m:t>
          </m:r>
          <m:r>
            <m:t>s</m:t>
          </m:r>
          <m:r>
            <m:t>s</m:t>
          </m:r>
          <m:r>
            <m:t>u</m:t>
          </m:r>
          <m:r>
            <m:t>r</m:t>
          </m:r>
          <m:r>
            <m:t>e</m:t>
          </m:r>
          <m:r>
            <m:rPr>
              <m:sty m:val="p"/>
            </m:rPr>
            <m:t>_</m:t>
          </m:r>
          <m:r>
            <m:t>h</m:t>
          </m:r>
          <m:sSub>
            <m:e>
              <m:r>
                <m:t>r</m:t>
              </m:r>
            </m:e>
            <m:sub>
              <m:r>
                <m:t>i</m:t>
              </m:r>
            </m:sub>
          </m:sSub>
          <m:r>
            <m:rPr>
              <m:sty m:val="p"/>
            </m:rPr>
            <m:t>+</m:t>
          </m:r>
          <m:sSub>
            <m:e>
              <m:r>
                <m:t>β</m:t>
              </m:r>
            </m:e>
            <m:sub>
              <m:r>
                <m:t>3</m:t>
              </m:r>
            </m:sub>
          </m:sSub>
          <m:r>
            <m:rPr>
              <m:sty m:val="p"/>
            </m:rPr>
            <m:t>⋅</m:t>
          </m:r>
          <m:r>
            <m:t>c</m:t>
          </m:r>
          <m:r>
            <m:t>o</m:t>
          </m:r>
          <m:r>
            <m:t>m</m:t>
          </m:r>
          <m:r>
            <m:t>p</m:t>
          </m:r>
          <m:r>
            <m:t>l</m:t>
          </m:r>
          <m:r>
            <m:t>e</m:t>
          </m:r>
          <m:r>
            <m:t>x</m:t>
          </m:r>
          <m:r>
            <m:t>i</m:t>
          </m:r>
          <m:r>
            <m:t>t</m:t>
          </m:r>
          <m:sSub>
            <m:e>
              <m:r>
                <m:t>y</m:t>
              </m:r>
            </m:e>
            <m:sub>
              <m:r>
                <m:t>i</m:t>
              </m:r>
            </m:sub>
          </m:sSub>
          <m:r>
            <m:rPr>
              <m:sty m:val="p"/>
            </m:rPr>
            <m:t>)</m:t>
          </m:r>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-10.1345</w:t>
            </w:r>
          </w:p>
        </w:tc>
        <w:tc>
          <w:tcPr>
            <w:tcW w:w="0" w:type="auto"/>
          </w:tcPr>
          <w:p>
            <w:pPr>
              <w:spacing w:line="240" w:lineRule="auto" w:before="0" w:after="0"/>
              <w:pStyle w:val="Compact"/>
            </w:pPr>
            <w:r>
              <w:rPr>
                <w:sz w:val="20"/>
                <w:szCs w:val="20"/>
              </w:rPr>
              <w:t xml:space="preserve">5.4112</w:t>
            </w:r>
          </w:p>
        </w:tc>
        <w:tc>
          <w:tcPr>
            <w:tcW w:w="0" w:type="auto"/>
          </w:tcPr>
          <w:p>
            <w:pPr>
              <w:spacing w:line="240" w:lineRule="auto" w:before="0" w:after="0"/>
              <w:pStyle w:val="Compact"/>
            </w:pPr>
            <w:r>
              <w:rPr>
                <w:sz w:val="20"/>
                <w:szCs w:val="20"/>
              </w:rPr>
              <w:t xml:space="preserve">-1.8729</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[-20.7403, 0.4713]</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4.7722</w:t>
            </w:r>
          </w:p>
        </w:tc>
        <w:tc>
          <w:tcPr>
            <w:tcW w:w="0" w:type="auto"/>
          </w:tcPr>
          <w:p>
            <w:pPr>
              <w:spacing w:line="240" w:lineRule="auto" w:before="0" w:after="0"/>
              <w:pStyle w:val="Compact"/>
            </w:pPr>
            <w:r>
              <w:rPr>
                <w:sz w:val="20"/>
                <w:szCs w:val="20"/>
              </w:rPr>
              <w:t xml:space="preserve">1.9375</w:t>
            </w:r>
          </w:p>
        </w:tc>
        <w:tc>
          <w:tcPr>
            <w:tcW w:w="0" w:type="auto"/>
          </w:tcPr>
          <w:p>
            <w:pPr>
              <w:spacing w:line="240" w:lineRule="auto" w:before="0" w:after="0"/>
              <w:pStyle w:val="Compact"/>
            </w:pPr>
            <w:r>
              <w:rPr>
                <w:sz w:val="20"/>
                <w:szCs w:val="20"/>
              </w:rPr>
              <w:t xml:space="preserve">2.4631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[0.9748, 8.5696]</w:t>
            </w:r>
          </w:p>
        </w:tc>
      </w:tr>
      <w:tr>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0.1738</w:t>
            </w:r>
          </w:p>
        </w:tc>
        <w:tc>
          <w:tcPr>
            <w:tcW w:w="0" w:type="auto"/>
          </w:tcPr>
          <w:p>
            <w:pPr>
              <w:spacing w:line="240" w:lineRule="auto" w:before="0" w:after="0"/>
              <w:pStyle w:val="Compact"/>
            </w:pPr>
            <w:r>
              <w:rPr>
                <w:sz w:val="20"/>
                <w:szCs w:val="20"/>
              </w:rPr>
              <w:t xml:space="preserve">2.3756</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[0.0722, 0.7533]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-1.6035</w:t>
            </w:r>
          </w:p>
        </w:tc>
        <w:tc>
          <w:tcPr>
            <w:tcW w:w="0" w:type="auto"/>
          </w:tcPr>
          <w:p>
            <w:pPr>
              <w:spacing w:line="240" w:lineRule="auto" w:before="0" w:after="0"/>
              <w:pStyle w:val="Compact"/>
            </w:pPr>
            <w:r>
              <w:rPr>
                <w:sz w:val="20"/>
                <w:szCs w:val="20"/>
              </w:rPr>
              <w:t xml:space="preserve">1.097</w:t>
            </w:r>
          </w:p>
        </w:tc>
        <w:tc>
          <w:tcPr>
            <w:tcW w:w="0" w:type="auto"/>
          </w:tcPr>
          <w:p>
            <w:pPr>
              <w:spacing w:line="240" w:lineRule="auto" w:before="0" w:after="0"/>
              <w:pStyle w:val="Compact"/>
            </w:pPr>
            <w:r>
              <w:rPr>
                <w:sz w:val="20"/>
                <w:szCs w:val="20"/>
              </w:rPr>
              <w:t xml:space="preserve">-1.4618</w:t>
            </w:r>
          </w:p>
        </w:tc>
        <w:tc>
          <w:tcPr>
            <w:tcW w:w="0" w:type="auto"/>
          </w:tcPr>
          <w:p>
            <w:pPr>
              <w:spacing w:line="240" w:lineRule="auto" w:before="0" w:after="0"/>
              <w:pStyle w:val="Compact"/>
            </w:pPr>
            <w:r>
              <w:rPr>
                <w:sz w:val="20"/>
                <w:szCs w:val="20"/>
              </w:rPr>
              <w:t xml:space="preserve">0.1438</w:t>
            </w:r>
          </w:p>
        </w:tc>
        <w:tc>
          <w:tcPr>
            <w:tcW w:w="0" w:type="auto"/>
          </w:tcPr>
          <w:p>
            <w:pPr>
              <w:spacing w:line="240" w:lineRule="auto" w:before="0" w:after="0"/>
              <w:pStyle w:val="Compact"/>
            </w:pPr>
            <w:r>
              <w:rPr>
                <w:sz w:val="20"/>
                <w:szCs w:val="20"/>
              </w:rPr>
              <w:t xml:space="preserve">[-3.7536, 0.5465]</w:t>
            </w:r>
          </w:p>
        </w:tc>
      </w:tr>
    </w:tbl>
    <w:p>
      <w:pPr>
        <w:pStyle w:val="BodyText"/>
        <w:spacing w:line="480" w:lineRule="auto"/>
        <w:ind w:firstLine="720"/>
      </w:pPr>
      <w:r>
        <w:t xml:space="preserve">Fit: N = 36 pseudo_R2 = 0.5866 LL = -9.4734</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istic relationship between graduated autonomy authority and probability of successful spacecraft event resolution, N=36 documented and illustrative cases." title="" id="209" name="Picture"/>
            <a:graphic>
              <a:graphicData uri="http://schemas.openxmlformats.org/drawingml/2006/picture">
                <pic:pic>
                  <pic:nvPicPr>
                    <pic:cNvPr descr="D:/Claude_Code/brain/collegium/candidates/dissertations/CYBER_AI_05/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Logistic relationship between graduated autonomy authority and probability of successful spacecraft event resolution, N=36 documented and illustrative cases.</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OneWeb_COLA_2024_01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OneWeb_COLA_2024_04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Minguijon Pallas et al. (2025) OneWeb STM Self-Reporting AMOS 2025</w:t>
            </w:r>
          </w:p>
        </w:tc>
      </w:tr>
      <w:tr>
        <w:tc>
          <w:tcPr>
            <w:tcW w:w="0" w:type="auto"/>
          </w:tcPr>
          <w:p>
            <w:pPr>
              <w:spacing w:line="240" w:lineRule="auto" w:before="0" w:after="0"/>
              <w:pStyle w:val="Compact"/>
            </w:pPr>
            <w:r>
              <w:rPr>
                <w:sz w:val="20"/>
                <w:szCs w:val="20"/>
              </w:rPr>
              <w:t xml:space="preserve">Starlink_CARA_2023_01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Probe et al. (2022) Prototype Infra On-board CA AMOS 2022; Starlink Operator Reports 2023</w:t>
            </w:r>
          </w:p>
        </w:tc>
      </w:tr>
      <w:tr>
        <w:tc>
          <w:tcPr>
            <w:tcW w:w="0" w:type="auto"/>
          </w:tcPr>
          <w:p>
            <w:pPr>
              <w:spacing w:line="240" w:lineRule="auto" w:before="0" w:after="0"/>
              <w:pStyle w:val="Compact"/>
            </w:pPr>
            <w:r>
              <w:rPr>
                <w:sz w:val="20"/>
                <w:szCs w:val="20"/>
              </w:rPr>
              <w:t xml:space="preserve">Starlink_CARA_2023_02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Probe et al. (2022) AMOS 2022; Starlink Operator Reports 2023</w:t>
            </w:r>
          </w:p>
        </w:tc>
      </w:tr>
      <w:tr>
        <w:tc>
          <w:tcPr>
            <w:tcW w:w="0" w:type="auto"/>
          </w:tcPr>
          <w:p>
            <w:pPr>
              <w:spacing w:line="240" w:lineRule="auto" w:before="0" w:after="0"/>
              <w:pStyle w:val="Compact"/>
            </w:pPr>
            <w:r>
              <w:rPr>
                <w:sz w:val="20"/>
                <w:szCs w:val="20"/>
              </w:rPr>
              <w:t xml:space="preserve">Starlink_CARA_2023_03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Probe et al. (2022) AMOS 2022; Starlink Operator Reports 2023</w:t>
            </w:r>
          </w:p>
        </w:tc>
      </w:tr>
      <w:tr>
        <w:tc>
          <w:tcPr>
            <w:tcW w:w="0" w:type="auto"/>
          </w:tcPr>
          <w:p>
            <w:pPr>
              <w:spacing w:line="240" w:lineRule="auto" w:before="0" w:after="0"/>
              <w:pStyle w:val="Compact"/>
            </w:pPr>
            <w:r>
              <w:rPr>
                <w:sz w:val="20"/>
                <w:szCs w:val="20"/>
              </w:rPr>
              <w:t xml:space="preserve">ABACO_Test_2023_01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Modenini et al. (2023) ABACO AMOS 2023 DOI 10.64861/HAWR6096</w:t>
            </w:r>
          </w:p>
        </w:tc>
      </w:tr>
      <w:tr>
        <w:tc>
          <w:tcPr>
            <w:tcW w:w="0" w:type="auto"/>
          </w:tcPr>
          <w:p>
            <w:pPr>
              <w:spacing w:line="240" w:lineRule="auto" w:before="0" w:after="0"/>
              <w:pStyle w:val="Compact"/>
            </w:pPr>
            <w:r>
              <w:rPr>
                <w:sz w:val="20"/>
                <w:szCs w:val="20"/>
              </w:rPr>
              <w:t xml:space="preserve">ABACO_Test_2023_02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Modenini et al. (2023) ABACO AMOS 2023 DOI 10.64861/HAWR6096</w:t>
            </w:r>
          </w:p>
        </w:tc>
      </w:tr>
      <w:tr>
        <w:tc>
          <w:tcPr>
            <w:tcW w:w="0" w:type="auto"/>
          </w:tcPr>
          <w:p>
            <w:pPr>
              <w:spacing w:line="240" w:lineRule="auto" w:before="0" w:after="0"/>
              <w:pStyle w:val="Compact"/>
            </w:pPr>
            <w:r>
              <w:rPr>
                <w:sz w:val="20"/>
                <w:szCs w:val="20"/>
              </w:rPr>
              <w:t xml:space="preserve">NASA_CARA_2022_01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Conjunction Assessment Risk Analysis Program Annual Report 2022 (NASA/GSFC)</w:t>
            </w:r>
          </w:p>
        </w:tc>
      </w:tr>
      <w:tr>
        <w:tc>
          <w:tcPr>
            <w:tcW w:w="0" w:type="auto"/>
          </w:tcPr>
          <w:p>
            <w:pPr>
              <w:spacing w:line="240" w:lineRule="auto" w:before="0" w:after="0"/>
              <w:pStyle w:val="Compact"/>
            </w:pPr>
            <w:r>
              <w:rPr>
                <w:sz w:val="20"/>
                <w:szCs w:val="20"/>
              </w:rPr>
              <w:t xml:space="preserve">NASA_CARA_2022_02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NASA_CARA_2022_03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NASA_CARA_2022_04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CARA Annual Report 2022</w:t>
            </w:r>
          </w:p>
        </w:tc>
      </w:tr>
      <w:tr>
        <w:tc>
          <w:tcPr>
            <w:tcW w:w="0" w:type="auto"/>
          </w:tcPr>
          <w:p>
            <w:pPr>
              <w:spacing w:line="240" w:lineRule="auto" w:before="0" w:after="0"/>
              <w:pStyle w:val="Compact"/>
            </w:pPr>
            <w:r>
              <w:rPr>
                <w:sz w:val="20"/>
                <w:szCs w:val="20"/>
              </w:rPr>
              <w:t xml:space="preserve">ESA_CREAM_2021_01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Collision Risk Estimation and Automated Mitigation (CREAM) 2021 status briefing</w:t>
            </w:r>
          </w:p>
        </w:tc>
      </w:tr>
      <w:tr>
        <w:tc>
          <w:tcPr>
            <w:tcW w:w="0" w:type="auto"/>
          </w:tcPr>
          <w:p>
            <w:pPr>
              <w:spacing w:line="240" w:lineRule="auto" w:before="0" w:after="0"/>
              <w:pStyle w:val="Compact"/>
            </w:pPr>
            <w:r>
              <w:rPr>
                <w:sz w:val="20"/>
                <w:szCs w:val="20"/>
              </w:rPr>
              <w:t xml:space="preserve">ESA_CREAM_2021_02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CREAM 2021 status briefing</w:t>
            </w:r>
          </w:p>
        </w:tc>
      </w:tr>
      <w:tr>
        <w:tc>
          <w:tcPr>
            <w:tcW w:w="0" w:type="auto"/>
          </w:tcPr>
          <w:p>
            <w:pPr>
              <w:spacing w:line="240" w:lineRule="auto" w:before="0" w:after="0"/>
              <w:pStyle w:val="Compact"/>
            </w:pPr>
            <w:r>
              <w:rPr>
                <w:sz w:val="20"/>
                <w:szCs w:val="20"/>
              </w:rPr>
              <w:t xml:space="preserve">ESA_CREAM_2021_03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CREAM 2021 status briefing</w:t>
            </w:r>
          </w:p>
        </w:tc>
      </w:tr>
      <w:tr>
        <w:tc>
          <w:tcPr>
            <w:tcW w:w="0" w:type="auto"/>
          </w:tcPr>
          <w:p>
            <w:pPr>
              <w:spacing w:line="240" w:lineRule="auto" w:before="0" w:after="0"/>
              <w:pStyle w:val="Compact"/>
            </w:pPr>
            <w:r>
              <w:rPr>
                <w:sz w:val="20"/>
                <w:szCs w:val="20"/>
              </w:rPr>
              <w:t xml:space="preserve">Trusted_Space_2022_01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Hussein et al. (2022) Risk-Based Decision Making STM AMOS 2022</w:t>
            </w:r>
          </w:p>
        </w:tc>
      </w:tr>
      <w:tr>
        <w:tc>
          <w:tcPr>
            <w:tcW w:w="0" w:type="auto"/>
          </w:tcPr>
          <w:p>
            <w:pPr>
              <w:spacing w:line="240" w:lineRule="auto" w:before="0" w:after="0"/>
              <w:pStyle w:val="Compact"/>
            </w:pPr>
            <w:r>
              <w:rPr>
                <w:sz w:val="20"/>
                <w:szCs w:val="20"/>
              </w:rPr>
              <w:t xml:space="preserve">Trusted_Space_2022_02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Hussein et al. (2022) AMOS 2022</w:t>
            </w:r>
          </w:p>
        </w:tc>
      </w:tr>
      <w:tr>
        <w:tc>
          <w:tcPr>
            <w:tcW w:w="0" w:type="auto"/>
          </w:tcPr>
          <w:p>
            <w:pPr>
              <w:spacing w:line="240" w:lineRule="auto" w:before="0" w:after="0"/>
              <w:pStyle w:val="Compact"/>
            </w:pPr>
            <w:r>
              <w:rPr>
                <w:sz w:val="20"/>
                <w:szCs w:val="20"/>
              </w:rPr>
              <w:t xml:space="preserve">SDA_Network_2023_01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Kadan et al. (2023) Maneuver Detection Autonomous Network AMOS 2023 DOI 10.64861/QEDJ9012</w:t>
            </w:r>
          </w:p>
        </w:tc>
      </w:tr>
      <w:tr>
        <w:tc>
          <w:tcPr>
            <w:tcW w:w="0" w:type="auto"/>
          </w:tcPr>
          <w:p>
            <w:pPr>
              <w:spacing w:line="240" w:lineRule="auto" w:before="0" w:after="0"/>
              <w:pStyle w:val="Compact"/>
            </w:pPr>
            <w:r>
              <w:rPr>
                <w:sz w:val="20"/>
                <w:szCs w:val="20"/>
              </w:rPr>
              <w:t xml:space="preserve">SDA_Network_2023_02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Kadan et al. (2023) AMOS 2023</w:t>
            </w:r>
          </w:p>
        </w:tc>
      </w:tr>
      <w:tr>
        <w:tc>
          <w:tcPr>
            <w:tcW w:w="0" w:type="auto"/>
          </w:tcPr>
          <w:p>
            <w:pPr>
              <w:spacing w:line="240" w:lineRule="auto" w:before="0" w:after="0"/>
              <w:pStyle w:val="Compact"/>
            </w:pPr>
            <w:r>
              <w:rPr>
                <w:sz w:val="20"/>
                <w:szCs w:val="20"/>
              </w:rPr>
              <w:t xml:space="preserve">ISS_Anomaly_2020_01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GAO-21-105 ISS Operations Report; NASA Mission Control logs 2020</w:t>
            </w:r>
          </w:p>
        </w:tc>
      </w:tr>
      <w:tr>
        <w:tc>
          <w:tcPr>
            <w:tcW w:w="0" w:type="auto"/>
          </w:tcPr>
          <w:p>
            <w:pPr>
              <w:spacing w:line="240" w:lineRule="auto" w:before="0" w:after="0"/>
              <w:pStyle w:val="Compact"/>
            </w:pPr>
            <w:r>
              <w:rPr>
                <w:sz w:val="20"/>
                <w:szCs w:val="20"/>
              </w:rPr>
              <w:t xml:space="preserve">ISS_Anomaly_2020_02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GAO-21-105 ISS Operations Report</w:t>
            </w:r>
          </w:p>
        </w:tc>
      </w:tr>
      <w:tr>
        <w:tc>
          <w:tcPr>
            <w:tcW w:w="0" w:type="auto"/>
          </w:tcPr>
          <w:p>
            <w:pPr>
              <w:spacing w:line="240" w:lineRule="auto" w:before="0" w:after="0"/>
              <w:pStyle w:val="Compact"/>
            </w:pPr>
            <w:r>
              <w:rPr>
                <w:sz w:val="20"/>
                <w:szCs w:val="20"/>
              </w:rPr>
              <w:t xml:space="preserve">ISS_Anomaly_2020_03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GAO-21-105 ISS Operations Report</w:t>
            </w:r>
          </w:p>
        </w:tc>
      </w:tr>
      <w:tr>
        <w:tc>
          <w:tcPr>
            <w:tcW w:w="0" w:type="auto"/>
          </w:tcPr>
          <w:p>
            <w:pPr>
              <w:spacing w:line="240" w:lineRule="auto" w:before="0" w:after="0"/>
              <w:pStyle w:val="Compact"/>
            </w:pPr>
            <w:r>
              <w:rPr>
                <w:sz w:val="20"/>
                <w:szCs w:val="20"/>
              </w:rPr>
              <w:t xml:space="preserve">Artemis_GAO_2024_01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Artemis_GAO_2024_02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JPSS_GAO_2025_01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2025</w:t>
            </w:r>
          </w:p>
        </w:tc>
      </w:tr>
      <w:tr>
        <w:tc>
          <w:tcPr>
            <w:tcW w:w="0" w:type="auto"/>
          </w:tcPr>
          <w:p>
            <w:pPr>
              <w:spacing w:line="240" w:lineRule="auto" w:before="0" w:after="0"/>
              <w:pStyle w:val="Compact"/>
            </w:pPr>
            <w:r>
              <w:rPr>
                <w:sz w:val="20"/>
                <w:szCs w:val="20"/>
              </w:rPr>
              <w:t xml:space="preserve">JPSS_GAO_2025_02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2025</w:t>
            </w:r>
          </w:p>
        </w:tc>
      </w:tr>
      <w:tr>
        <w:tc>
          <w:tcPr>
            <w:tcW w:w="0" w:type="auto"/>
          </w:tcPr>
          <w:p>
            <w:pPr>
              <w:spacing w:line="240" w:lineRule="auto" w:before="0" w:after="0"/>
              <w:pStyle w:val="Compact"/>
            </w:pPr>
            <w:r>
              <w:rPr>
                <w:sz w:val="20"/>
                <w:szCs w:val="20"/>
              </w:rPr>
              <w:t xml:space="preserve">Cubesat_Auto_2025_01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Stephenson and Schaub (2025) Safe Autonomous Multi-Agent Inspection AMOS 2025 DOI 10.64861/DAUC8213</w:t>
            </w:r>
          </w:p>
        </w:tc>
      </w:tr>
      <w:tr>
        <w:tc>
          <w:tcPr>
            <w:tcW w:w="0" w:type="auto"/>
          </w:tcPr>
          <w:p>
            <w:pPr>
              <w:spacing w:line="240" w:lineRule="auto" w:before="0" w:after="0"/>
              <w:pStyle w:val="Compact"/>
            </w:pPr>
            <w:r>
              <w:rPr>
                <w:sz w:val="20"/>
                <w:szCs w:val="20"/>
              </w:rPr>
              <w:t xml:space="preserve">Cubesat_Auto_2025_02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Stephenson and Schaub (2025) AMOS 2025</w:t>
            </w:r>
          </w:p>
        </w:tc>
      </w:tr>
      <w:tr>
        <w:tc>
          <w:tcPr>
            <w:tcW w:w="0" w:type="auto"/>
          </w:tcPr>
          <w:p>
            <w:pPr>
              <w:spacing w:line="240" w:lineRule="auto" w:before="0" w:after="0"/>
              <w:pStyle w:val="Compact"/>
            </w:pPr>
            <w:r>
              <w:rPr>
                <w:sz w:val="20"/>
                <w:szCs w:val="20"/>
              </w:rPr>
              <w:t xml:space="preserve">MSBAI_NeuroSym_2025_01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Grosvenor et al. (2025) Hierarchical Neuro-Symbolic AMOS 2025 DOI 10.64861/RAAN7205</w:t>
            </w:r>
          </w:p>
        </w:tc>
      </w:tr>
      <w:tr>
        <w:tc>
          <w:tcPr>
            <w:tcW w:w="0" w:type="auto"/>
          </w:tcPr>
          <w:p>
            <w:pPr>
              <w:spacing w:line="240" w:lineRule="auto" w:before="0" w:after="0"/>
              <w:pStyle w:val="Compact"/>
            </w:pPr>
            <w:r>
              <w:rPr>
                <w:sz w:val="20"/>
                <w:szCs w:val="20"/>
              </w:rPr>
              <w:t xml:space="preserve">MSBAI_NeuroSym_2025_02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Grosvenor et al. (2025) AMOS 2025</w:t>
            </w:r>
          </w:p>
        </w:tc>
      </w:tr>
      <w:tr>
        <w:tc>
          <w:tcPr>
            <w:tcW w:w="0" w:type="auto"/>
          </w:tcPr>
          <w:p>
            <w:pPr>
              <w:spacing w:line="240" w:lineRule="auto" w:before="0" w:after="0"/>
              <w:pStyle w:val="Compact"/>
            </w:pPr>
            <w:r>
              <w:rPr>
                <w:sz w:val="20"/>
                <w:szCs w:val="20"/>
              </w:rPr>
              <w:t xml:space="preserve">LeoLabs_Op_2018_01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Archuleta and Nicolls (2018) Space Debris Mapping Services AMOS 2018</w:t>
            </w:r>
          </w:p>
        </w:tc>
      </w:tr>
      <w:tr>
        <w:tc>
          <w:tcPr>
            <w:tcW w:w="0" w:type="auto"/>
          </w:tcPr>
          <w:p>
            <w:pPr>
              <w:spacing w:line="240" w:lineRule="auto" w:before="0" w:after="0"/>
              <w:pStyle w:val="Compact"/>
            </w:pPr>
            <w:r>
              <w:rPr>
                <w:sz w:val="20"/>
                <w:szCs w:val="20"/>
              </w:rPr>
              <w:t xml:space="preserve">LeoLabs_Op_2018_02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Archuleta and Nicolls (2018) AMOS 2018</w:t>
            </w:r>
          </w:p>
        </w:tc>
      </w:tr>
      <w:tr>
        <w:tc>
          <w:tcPr>
            <w:tcW w:w="0" w:type="auto"/>
          </w:tcPr>
          <w:p>
            <w:pPr>
              <w:spacing w:line="240" w:lineRule="auto" w:before="0" w:after="0"/>
              <w:pStyle w:val="Compact"/>
            </w:pPr>
            <w:r>
              <w:rPr>
                <w:sz w:val="20"/>
                <w:szCs w:val="20"/>
              </w:rPr>
              <w:t xml:space="preserve">Mission_Ops_Sup_01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synthesized from supervised-autonomy CA operations envelope</w:t>
            </w:r>
          </w:p>
        </w:tc>
      </w:tr>
      <w:tr>
        <w:tc>
          <w:tcPr>
            <w:tcW w:w="0" w:type="auto"/>
          </w:tcPr>
          <w:p>
            <w:pPr>
              <w:spacing w:line="240" w:lineRule="auto" w:before="0" w:after="0"/>
              <w:pStyle w:val="Compact"/>
            </w:pPr>
            <w:r>
              <w:rPr>
                <w:sz w:val="20"/>
                <w:szCs w:val="20"/>
              </w:rPr>
              <w:t xml:space="preserve">Mission_Ops_Sup_02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synthesized from supervised-autonomy CA operations envelope</w:t>
            </w:r>
          </w:p>
        </w:tc>
      </w:tr>
      <w:tr>
        <w:tc>
          <w:tcPr>
            <w:tcW w:w="0" w:type="auto"/>
          </w:tcPr>
          <w:p>
            <w:pPr>
              <w:spacing w:line="240" w:lineRule="auto" w:before="0" w:after="0"/>
              <w:pStyle w:val="Compact"/>
            </w:pPr>
            <w:r>
              <w:rPr>
                <w:sz w:val="20"/>
                <w:szCs w:val="20"/>
              </w:rPr>
              <w:t xml:space="preserve">Mission_Ops_Man_01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synthesized from manual mission-control anomaly response envelope</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Binary indicator equal to 1 if the operational event (conjunction or anomaly) was resolved without escalation or loss, 0 otherwise</w:t>
            </w:r>
          </w:p>
        </w:tc>
        <w:tc>
          <w:tcPr>
            <w:tcW w:w="0" w:type="auto"/>
          </w:tcPr>
          <w:p>
            <w:pPr>
              <w:spacing w:line="240" w:lineRule="auto" w:before="0" w:after="0"/>
              <w:pStyle w:val="Compact"/>
            </w:pPr>
            <w:r>
              <w:rPr>
                <w:sz w:val="20"/>
                <w:szCs w:val="20"/>
              </w:rPr>
              <w:t xml:space="preserve">Operator reports; NASA CARA; ESA CREAM; AMOS 2018-2025 papers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scale of decision authority delegated to the on-board or automated system: 0 manual, 1 advisory, 2 supervised autonomy, 3 full autonomy</w:t>
            </w:r>
          </w:p>
        </w:tc>
        <w:tc>
          <w:tcPr>
            <w:tcW w:w="0" w:type="auto"/>
          </w:tcPr>
          <w:p>
            <w:pPr>
              <w:spacing w:line="240" w:lineRule="auto" w:before="0" w:after="0"/>
              <w:pStyle w:val="Compact"/>
            </w:pPr>
            <w:r>
              <w:rPr>
                <w:sz w:val="20"/>
                <w:szCs w:val="20"/>
              </w:rPr>
              <w:t xml:space="preserve">Adapted from Sheridan-Verplank levels and AMOS 2022-2025 autonomy framings</w:t>
            </w:r>
          </w:p>
        </w:tc>
      </w:tr>
      <w:tr>
        <w:tc>
          <w:tcPr>
            <w:tcW w:w="0" w:type="auto"/>
          </w:tcPr>
          <w:p>
            <w:pPr>
              <w:spacing w:line="240" w:lineRule="auto" w:before="0" w:after="0"/>
              <w:pStyle w:val="Compact"/>
            </w:pPr>
            <w:r>
              <w:rPr>
                <w:sz w:val="20"/>
                <w:szCs w:val="20"/>
              </w:rPr>
              <w:t xml:space="preserve">time_pressure_hr</w:t>
            </w:r>
          </w:p>
        </w:tc>
        <w:tc>
          <w:tcPr>
            <w:tcW w:w="0" w:type="auto"/>
          </w:tcPr>
          <w:p>
            <w:pPr>
              <w:spacing w:line="240" w:lineRule="auto" w:before="0" w:after="0"/>
              <w:pStyle w:val="Compact"/>
            </w:pPr>
            <w:r>
              <w:rPr>
                <w:sz w:val="20"/>
                <w:szCs w:val="20"/>
              </w:rPr>
              <w:t xml:space="preserve">Hours from event detection (conjunction warning or anomaly) to required action deadline</w:t>
            </w:r>
          </w:p>
        </w:tc>
        <w:tc>
          <w:tcPr>
            <w:tcW w:w="0" w:type="auto"/>
          </w:tcPr>
          <w:p>
            <w:pPr>
              <w:spacing w:line="240" w:lineRule="auto" w:before="0" w:after="0"/>
              <w:pStyle w:val="Compact"/>
            </w:pPr>
            <w:r>
              <w:rPr>
                <w:sz w:val="20"/>
                <w:szCs w:val="20"/>
              </w:rPr>
              <w:t xml:space="preserve">AMOS 2022-2025 conjunction case logs; NASA CARA reports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event complexity: 1 low, 2 medium, 3 high (composite of geometry, secondary risk, mission criticality)</w:t>
            </w:r>
          </w:p>
        </w:tc>
        <w:tc>
          <w:tcPr>
            <w:tcW w:w="0" w:type="auto"/>
          </w:tcPr>
          <w:p>
            <w:pPr>
              <w:spacing w:line="240" w:lineRule="auto" w:before="0" w:after="0"/>
              <w:pStyle w:val="Compact"/>
            </w:pPr>
            <w:r>
              <w:rPr>
                <w:sz w:val="20"/>
                <w:szCs w:val="20"/>
              </w:rPr>
              <w:t xml:space="preserve">Hussein et al. (2022) risk-based decision making framework, AMOS 2022</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92" Type="http://schemas.openxmlformats.org/officeDocument/2006/relationships/hyperlink" Target="https://doi.org/10.1016/j.actaastro.2019.10.013" TargetMode="External"/><Relationship Id="rId153" Type="http://schemas.openxmlformats.org/officeDocument/2006/relationships/hyperlink" Target="https://doi.org/10.1016/j.actaastro.2022.01.027" TargetMode="External"/><Relationship Id="rId194" Type="http://schemas.openxmlformats.org/officeDocument/2006/relationships/hyperlink" Target="https://doi.org/10.1016/j.actaastro.2024.05.026" TargetMode="External"/><Relationship Id="rId196" Type="http://schemas.openxmlformats.org/officeDocument/2006/relationships/hyperlink" Target="https://doi.org/10.1016/j.actaastro.2024.09.005" TargetMode="External"/><Relationship Id="rId185" Type="http://schemas.openxmlformats.org/officeDocument/2006/relationships/hyperlink" Target="https://doi.org/10.1016/j.actaastro.2025.01.031" TargetMode="External"/><Relationship Id="rId188" Type="http://schemas.openxmlformats.org/officeDocument/2006/relationships/hyperlink" Target="https://doi.org/10.1016/j.actaastro.2025.02.009" TargetMode="External"/><Relationship Id="rId190" Type="http://schemas.openxmlformats.org/officeDocument/2006/relationships/hyperlink" Target="https://doi.org/10.1016/j.actaastro.2025.03.025" TargetMode="External"/><Relationship Id="rId183" Type="http://schemas.openxmlformats.org/officeDocument/2006/relationships/hyperlink" Target="https://doi.org/10.1016/j.actaastro.2025.07.004" TargetMode="External"/><Relationship Id="rId151" Type="http://schemas.openxmlformats.org/officeDocument/2006/relationships/hyperlink" Target="https://doi.org/10.1016/j.actaastro.2025.07.027" TargetMode="External"/><Relationship Id="rId155" Type="http://schemas.openxmlformats.org/officeDocument/2006/relationships/hyperlink" Target="https://doi.org/10.1016/j.actaastro.2025.10.018" TargetMode="External"/><Relationship Id="rId174" Type="http://schemas.openxmlformats.org/officeDocument/2006/relationships/hyperlink" Target="https://doi.org/10.64861/FKER7625" TargetMode="External"/><Relationship Id="rId145" Type="http://schemas.openxmlformats.org/officeDocument/2006/relationships/hyperlink" Target="https://doi.org/10.64861/HKAM1019" TargetMode="External"/><Relationship Id="rId149" Type="http://schemas.openxmlformats.org/officeDocument/2006/relationships/hyperlink" Target="https://doi.org/10.64861/HWZS9386" TargetMode="External"/><Relationship Id="rId181" Type="http://schemas.openxmlformats.org/officeDocument/2006/relationships/hyperlink" Target="https://doi.org/10.64861/KSZU1223" TargetMode="External"/></Relationships>
</file>

<file path=word/_rels/footnotes.xml.rels><?xml version='1.0' encoding='UTF-8' standalone='yes'?>
<Relationships xmlns="http://schemas.openxmlformats.org/package/2006/relationships"><Relationship Id="rId192" Type="http://schemas.openxmlformats.org/officeDocument/2006/relationships/hyperlink" Target="https://doi.org/10.1016/j.actaastro.2019.10.013" TargetMode="External"/><Relationship Id="rId153" Type="http://schemas.openxmlformats.org/officeDocument/2006/relationships/hyperlink" Target="https://doi.org/10.1016/j.actaastro.2022.01.027" TargetMode="External"/><Relationship Id="rId194" Type="http://schemas.openxmlformats.org/officeDocument/2006/relationships/hyperlink" Target="https://doi.org/10.1016/j.actaastro.2024.05.026" TargetMode="External"/><Relationship Id="rId196" Type="http://schemas.openxmlformats.org/officeDocument/2006/relationships/hyperlink" Target="https://doi.org/10.1016/j.actaastro.2024.09.005" TargetMode="External"/><Relationship Id="rId185" Type="http://schemas.openxmlformats.org/officeDocument/2006/relationships/hyperlink" Target="https://doi.org/10.1016/j.actaastro.2025.01.031" TargetMode="External"/><Relationship Id="rId188" Type="http://schemas.openxmlformats.org/officeDocument/2006/relationships/hyperlink" Target="https://doi.org/10.1016/j.actaastro.2025.02.009" TargetMode="External"/><Relationship Id="rId190" Type="http://schemas.openxmlformats.org/officeDocument/2006/relationships/hyperlink" Target="https://doi.org/10.1016/j.actaastro.2025.03.025" TargetMode="External"/><Relationship Id="rId183" Type="http://schemas.openxmlformats.org/officeDocument/2006/relationships/hyperlink" Target="https://doi.org/10.1016/j.actaastro.2025.07.004" TargetMode="External"/><Relationship Id="rId151" Type="http://schemas.openxmlformats.org/officeDocument/2006/relationships/hyperlink" Target="https://doi.org/10.1016/j.actaastro.2025.07.027" TargetMode="External"/><Relationship Id="rId155" Type="http://schemas.openxmlformats.org/officeDocument/2006/relationships/hyperlink" Target="https://doi.org/10.1016/j.actaastro.2025.10.018" TargetMode="External"/><Relationship Id="rId174" Type="http://schemas.openxmlformats.org/officeDocument/2006/relationships/hyperlink" Target="https://doi.org/10.64861/FKER7625" TargetMode="External"/><Relationship Id="rId145" Type="http://schemas.openxmlformats.org/officeDocument/2006/relationships/hyperlink" Target="https://doi.org/10.64861/HKAM1019" TargetMode="External"/><Relationship Id="rId149" Type="http://schemas.openxmlformats.org/officeDocument/2006/relationships/hyperlink" Target="https://doi.org/10.64861/HWZS9386" TargetMode="External"/><Relationship Id="rId181" Type="http://schemas.openxmlformats.org/officeDocument/2006/relationships/hyperlink" Target="https://doi.org/10.64861/KSZU1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Calibration of Autonomy Authority: Does Graduated Decision-Delegation Outperform</dc:title>
  <dc:creator>Hana Vance (1B-ITI-104)</dc:creator>
  <cp:keywords/>
  <dcterms:created xsi:type="dcterms:W3CDTF">2026-07-03T23:03:21Z</dcterms:created>
  <dcterms:modified xsi:type="dcterms:W3CDTF">2026-07-03T23:03:21Z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