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6" w:name="X375758cd6cb7fd328d5f82a8a5df34953d49c6f"/>
    <w:p>
      <w:pPr>
        <w:pStyle w:val="Heading1"/>
      </w:pPr>
      <w:r>
        <w:t xml:space="preserve">Adversarial Sensitivity of On-Orbit Object Classifiers: A Logistic Analysis of Perturbation Magnitude, Model Scale, and Defense Hardening</w:t>
      </w:r>
    </w:p>
    <w:p>
      <w:pPr>
        <w:pStyle w:val="FirstParagraph"/>
      </w:pPr>
      <w:r>
        <w:t xml:space="preserve">Tessa Lindqvist (1B-ITI-125)</w:t>
      </w:r>
    </w:p>
    <w:bookmarkStart w:id="61" w:name="introduction"/>
    <w:p>
      <w:pPr>
        <w:pStyle w:val="Heading2"/>
      </w:pPr>
      <w:r>
        <w:t xml:space="preserve">1. Introduction</w:t>
      </w:r>
    </w:p>
    <w:p>
      <w:pPr>
        <w:pStyle w:val="FirstParagraph"/>
      </w:pPr>
      <w:r>
        <w:t xml:space="preserve">Space situational awareness increasingly depends on deep classifiers trained on overhead imagery and resident-space-object light curves. Operational deployment of these classifiers on orbit, on ground stations, and inside fused catalog pipelines raises an unanswered question: how sensitive are these models to small, adversarially crafted perturbations of their inputs? This paper estimates that sensitivity empirically. It treats each published evaluation of a space-domain or overhead-imagery classifier under an adversarial attack as one observation, and it asks which design choices change the probability that the attack succeeds. The contribution is a transparent, paper-anchored logistic model linking perturbation budget, model scale, and defense status to the binary outcome of successful misclassification.</w:t>
      </w:r>
    </w:p>
    <w:bookmarkEnd w:id="61"/>
    <w:bookmarkStart w:id="62" w:name="theory-and-hypotheses"/>
    <w:p>
      <w:pPr>
        <w:pStyle w:val="Heading2"/>
      </w:pPr>
      <w:r>
        <w:t xml:space="preserve">2. Theory and Hypotheses</w:t>
      </w:r>
    </w:p>
    <w:p>
      <w:pPr>
        <w:pStyle w:val="FirstParagraph"/>
      </w:pPr>
      <w:r>
        <w:t xml:space="preserve">Two strands of prior work motivate the model. The first is the adversarial-examples literature on overhead and remote-sensing imagery, which has shown that standard convolutional classifiers exhibit large accuracy drops under small L-infinity perturbations [1, 2, 3, 4]. The second is the space-domain classification literature, which trains convolutional and recurrent models on light curves and non-resolved photometric sequences for resident-space-object characterization and behavior inference [5, 6, 7, 8, 9, 10]. These two strands have not been pooled into a single statistical model of attack sensitivity.</w:t>
      </w:r>
    </w:p>
    <w:p>
      <w:pPr>
        <w:pStyle w:val="BodyText"/>
      </w:pPr>
      <w:r>
        <w:t xml:space="preserve">Three hypotheses follow. H1: the probability of attack success rises with the perturbation budget epsilon. H2: parameter count alone, in the absence of explicit hardening, does not lower attack-success probability. H3: explicit adversarial defenses, such as adversarial training and perturbation-seeking generative defense, lower attack-success probability conditional on epsilon [4, 11].</w:t>
      </w:r>
    </w:p>
    <w:bookmarkEnd w:id="62"/>
    <w:bookmarkStart w:id="63" w:name="data"/>
    <w:p>
      <w:pPr>
        <w:pStyle w:val="Heading2"/>
      </w:pPr>
      <w:r>
        <w:t xml:space="preserve">3. Data</w:t>
      </w:r>
    </w:p>
    <w:p>
      <w:pPr>
        <w:pStyle w:val="FirstParagraph"/>
      </w:pPr>
      <w:r>
        <w:t xml:space="preserve">The dataset contains 36 reported attack trials drawn from peer-reviewed and AMOS Technical Conference sources covering overhead-imagery and space-object classifiers. Each row records the source study, the target model, the modality (image or light curve), the attack family (FGSM, PGD, DeepFool, or JSMA), the L-infinity perturbation budget, the trainable parameter count of the target model in millions, an indicator for whether the model was trained with a defense, the reported clean and attacked accuracies, and the accuracy drop in percentage points. The binary outcome attack_success is coded one when the reported drop exceeds twenty percentage points and zero otherwise. The source column of the CSV cites each row to the originating paper. A minority of rows for AMOS light-curve studies whose adversarial evaluations are reconstructed from reported attack settings are flagged in the source column with the marker</w:t>
      </w:r>
      <w:r>
        <w:t xml:space="preserve"> </w:t>
      </w:r>
      <w:r>
        <w:t xml:space="preserve">“[illustrative]”</w:t>
      </w:r>
      <w:r>
        <w:t xml:space="preserve"> </w:t>
      </w:r>
      <w:r>
        <w:t xml:space="preserve">so that downstream readers can audit them; these account for less than fifteen percent of the file.</w:t>
      </w:r>
    </w:p>
    <w:bookmarkEnd w:id="63"/>
    <w:bookmarkStart w:id="64" w:name="method"/>
    <w:p>
      <w:pPr>
        <w:pStyle w:val="Heading2"/>
      </w:pPr>
      <w:r>
        <w:t xml:space="preserve">4. Method</w:t>
      </w:r>
    </w:p>
    <w:p>
      <w:pPr>
        <w:pStyle w:val="FirstParagraph"/>
      </w:pPr>
      <w:r>
        <w:t xml:space="preserve">The estimator is a logistic regression of attack_success on three predictors: epsilon, model_params_M, and defense_present. The link is the canonical logit. Estimation uses maximum likelihood. The fitted model returns coefficients, standard errors, Wald p-values, a pseudo R-squared, and a log-likelihood. Predicted probabilities are computed at the sample means of model_params_M and defense_present and over a grid of epsilon to support the figure.</w:t>
      </w:r>
    </w:p>
    <w:bookmarkEnd w:id="64"/>
    <w:bookmarkStart w:id="65" w:name="findings"/>
    <w:p>
      <w:pPr>
        <w:pStyle w:val="Heading2"/>
      </w:pPr>
      <w:r>
        <w:t xml:space="preserve">5. Findings</w:t>
      </w:r>
    </w:p>
    <w:p>
      <w:pPr>
        <w:pStyle w:val="FirstParagraph"/>
      </w:pPr>
      <w:r>
        <w:t xml:space="preserve">The fitted model yields a pseudo R-squared of 0.353 and a log-likelihood of -12.35 on N equal to 36 trials. The intercept is -1.78 and is not statistically distinguishable from zero at conventional levels (p equal to 0.27).</w:t>
      </w:r>
    </w:p>
    <w:p>
      <w:pPr>
        <w:pStyle w:val="BodyText"/>
      </w:pPr>
      <w:r>
        <w:t xml:space="preserve">The coefficient on epsilon is large and positive at 489.3 with p equal to 0.050, supporting H1. Translated to the data scale, moving from an L-infinity budget of 0.005 to 0.010 raises the log-odds of attack success by roughly 2.45, which corresponds to multiplying the odds of a successful attack by about twelve. This is the dominant first-order effect in the model and is consistent with the pattern reported across the remote-sensing adversarial literature [1, 2, 3, 4].</w:t>
      </w:r>
    </w:p>
    <w:p>
      <w:pPr>
        <w:pStyle w:val="BodyText"/>
      </w:pPr>
      <w:r>
        <w:t xml:space="preserve">The coefficient on model_params_M is -0.0074 and is not statistically significant (p equal to 0.69), consistent with H2. Within the observed parameter range of roughly 0.5 million to 144 million, scaling the classifier does not buy meaningful intrinsic robustness; the point estimate is essentially economically null relative to the epsilon channel. This matches the qualitative pattern in</w:t>
      </w:r>
      <w:r>
        <w:t xml:space="preserve"> </w:t>
      </w:r>
      <w:hyperlink w:anchor="ref-2">
        <m:oMathPara>
          <m:oMathParaPr>
            <m:jc m:val="center"/>
          </m:oMathParaPr>
          <m:oMath>
            <m:r>
              <m:t>2</m:t>
            </m:r>
          </m:oMath>
        </m:oMathPara>
      </w:hyperlink>
      <w:r>
        <w:t xml:space="preserve"> </w:t>
      </w:r>
      <w:r>
        <w:t xml:space="preserve">and</w:t>
      </w:r>
      <w:r>
        <w:t xml:space="preserve"> </w:t>
      </w:r>
      <w:hyperlink w:anchor="ref-3">
        <m:oMathPara>
          <m:oMathParaPr>
            <m:jc m:val="center"/>
          </m:oMathParaPr>
          <m:oMath>
            <m:r>
              <m:t>3</m:t>
            </m:r>
          </m:oMath>
        </m:oMathPara>
      </w:hyperlink>
      <w:r>
        <w:t xml:space="preserve">, where larger backbones did not consistently improve adversarial accuracy.</w:t>
      </w:r>
    </w:p>
    <w:p>
      <w:pPr>
        <w:pStyle w:val="FirstParagraph"/>
      </w:pPr>
      <w:r>
        <w:t xml:space="preserve">The coefficient on defense_present is -3.11 with p equal to 0.023, supporting H3. The corresponding odds ratio is about 0.044, meaning that, holding epsilon and model scale fixed, a model trained with an explicit defense has roughly one twenty-third the odds of a successful attack relative to an undefended model. This is the only design lever in the model that delivers a statistically credible reduction in attack success at the budgets considered, which lines up with the findings of</w:t>
      </w:r>
      <w:r>
        <w:t xml:space="preserve"> </w:t>
      </w:r>
      <w:hyperlink w:anchor="ref-4">
        <m:oMathPara>
          <m:oMathParaPr>
            <m:jc m:val="center"/>
          </m:oMathParaPr>
          <m:oMath>
            <m:r>
              <m:t>4</m:t>
            </m:r>
          </m:oMath>
        </m:oMathPara>
      </w:hyperlink>
      <w:r>
        <w:t xml:space="preserve"> </w:t>
      </w:r>
      <w:r>
        <w:t xml:space="preserve">and</w:t>
      </w:r>
      <w:r>
        <w:t xml:space="preserve"> </w:t>
      </w:r>
      <w:hyperlink w:anchor="ref-11">
        <m:oMathPara>
          <m:oMathParaPr>
            <m:jc m:val="center"/>
          </m:oMathParaPr>
          <m:oMath>
            <m:r>
              <m:t>11</m:t>
            </m:r>
          </m:oMath>
        </m:oMathPara>
      </w:hyperlink>
      <w:r>
        <w:t xml:space="preserve">.</w:t>
      </w:r>
    </w:p>
    <w:p>
      <w:pPr>
        <w:pStyle w:val="FirstParagraph"/>
      </w:pPr>
      <w:r>
        <w:t xml:space="preserve">Taken together, the three coefficients deliver a clean qualitative ordering: perturbation magnitude is the principal driver of attack success, defenses materially compress that risk, and naive scaling of the backbone does not. Two caveats are worth stating. First, the epsilon coefficient is borderline at the 0.05 threshold and rests on a relatively narrow observed range of perturbation budgets. Second, the defense indicator collapses heterogeneous defense families (adversarial training, PSGAN, and game-theoretic generative defenses) into one bit, so its coefficient should be read as an average treatment intensity rather than a property of any single technique.</w:t>
      </w:r>
    </w:p>
    <w:bookmarkEnd w:id="65"/>
    <w:bookmarkStart w:id="66" w:name="discussion"/>
    <w:p>
      <w:pPr>
        <w:pStyle w:val="Heading2"/>
      </w:pPr>
      <w:r>
        <w:t xml:space="preserve">6. Discussion</w:t>
      </w:r>
    </w:p>
    <w:p>
      <w:pPr>
        <w:pStyle w:val="FirstParagraph"/>
      </w:pPr>
      <w:r>
        <w:t xml:space="preserve">For on-orbit object classification, these results have three implications. Operationally, robustness specifications should be written in terms of an adversarial-budget envelope, not in terms of clean test accuracy, because the model shows that the budget channel is where attack risk lives. Architecturally, parameter count is the wrong dial; investing in larger backbones without adversarial training does not buy resilience. Acquisition-wise, defense-present is the lever that pays, and its coefficient is large enough to justify treating adversarial training as a baseline expectation in any space-domain object-classification contract, including light-curve and photometric pipelines [5, 7, 8, 10]. Future work should expand the sample with on-orbit edge-deployed evaluations, separate the defense indicator into its constituent families, and replicate the analysis on light-curve-only and image-only subsets to test whether the modality changes the slope on epsilon.</w:t>
      </w:r>
    </w:p>
    <w:bookmarkEnd w:id="66"/>
    <w:bookmarkStart w:id="86" w:name="references"/>
    <w:p>
      <w:pPr>
        <w:pStyle w:val="Heading2"/>
      </w:pPr>
      <w:r>
        <w:t xml:space="preserve">References</w:t>
      </w:r>
    </w:p>
    <w:p>
      <w:pPr>
        <w:pStyle w:val="FirstParagraph"/>
      </w:pPr>
      <w:bookmarkStart w:id="67" w:name="ref-1"/>
      <w:bookmarkEnd w:id="67"/>
      <w:r>
        <w:t xml:space="preserve">1. W. Czaja, N. Fendley, M. Pekala, C. Ratto, and I.-J. Wang,</w:t>
      </w:r>
      <w:r>
        <w:t xml:space="preserve"> </w:t>
      </w:r>
      <w:r>
        <w:t xml:space="preserve">“Adversarial examples in remote sensing,”</w:t>
      </w:r>
      <w:r>
        <w:t xml:space="preserve"> </w:t>
      </w:r>
      <w:r>
        <w:t xml:space="preserve">in Proc. ACM SIGSPATIAL, 2018. arXiv:1805.10997.</w:t>
      </w:r>
    </w:p>
    <w:p>
      <w:pPr>
        <w:pStyle w:val="BodyText"/>
      </w:pPr>
      <w:bookmarkStart w:id="68" w:name="ref-2"/>
      <w:bookmarkEnd w:id="68"/>
      <w:r>
        <w:t xml:space="preserve">2. L. Chen, Z. Xu, Q. Li, J. Peng, S. Wang, and H. Li,</w:t>
      </w:r>
      <w:r>
        <w:t xml:space="preserve"> </w:t>
      </w:r>
      <w:r>
        <w:t xml:space="preserve">“An empirical study of adversarial examples on remote sensing image scene classification,”</w:t>
      </w:r>
      <w:r>
        <w:t xml:space="preserve"> </w:t>
      </w:r>
      <w:r>
        <w:t xml:space="preserve">IEEE Transactions on Geoscience and Remote Sensing, 2021. doi:</w:t>
      </w:r>
      <w:r>
        <w:t xml:space="preserve"> </w:t>
      </w:r>
      <w:hyperlink r:id="rId69">
        <w:r>
          <w:rPr>
            <w:rStyle w:val="Hyperlink"/>
          </w:rPr>
          <w:t xml:space="preserve">10.1109/TGRS.2021.3051641</w:t>
        </w:r>
      </w:hyperlink>
    </w:p>
    <w:p>
      <w:pPr>
        <w:pStyle w:val="BodyText"/>
      </w:pPr>
      <w:bookmarkStart w:id="70" w:name="ref-3"/>
      <w:bookmarkEnd w:id="70"/>
      <w:r>
        <w:t xml:space="preserve">3. Y. Xu, B. Du, and L. Zhang,</w:t>
      </w:r>
      <w:r>
        <w:t xml:space="preserve"> </w:t>
      </w:r>
      <w:r>
        <w:t xml:space="preserve">“Assessing the threat of adversarial examples on deep neural networks for remote sensing scene classification,”</w:t>
      </w:r>
      <w:r>
        <w:t xml:space="preserve"> </w:t>
      </w:r>
      <w:r>
        <w:t xml:space="preserve">Remote Sensing, vol. 12, no. 16, p. 2671, 2020. doi:</w:t>
      </w:r>
      <w:r>
        <w:t xml:space="preserve"> </w:t>
      </w:r>
      <w:hyperlink r:id="rId71">
        <w:r>
          <w:rPr>
            <w:rStyle w:val="Hyperlink"/>
          </w:rPr>
          <w:t xml:space="preserve">10.3390/rs12162671</w:t>
        </w:r>
      </w:hyperlink>
    </w:p>
    <w:p>
      <w:pPr>
        <w:pStyle w:val="BodyText"/>
      </w:pPr>
      <w:bookmarkStart w:id="72" w:name="ref-4"/>
      <w:bookmarkEnd w:id="72"/>
      <w:r>
        <w:t xml:space="preserve">4. L. Burnel, A. Chan-Hon-Tong, and N. Audebert,</w:t>
      </w:r>
      <w:r>
        <w:t xml:space="preserve"> </w:t>
      </w:r>
      <w:r>
        <w:t xml:space="preserve">“Generating adversarial examples for remote sensing classification with adversarial training defense,”</w:t>
      </w:r>
      <w:r>
        <w:t xml:space="preserve"> </w:t>
      </w:r>
      <w:r>
        <w:t xml:space="preserve">in Proc. IEEE IGARSS, 2021. doi:</w:t>
      </w:r>
      <w:r>
        <w:t xml:space="preserve"> </w:t>
      </w:r>
      <w:hyperlink r:id="rId73">
        <w:r>
          <w:rPr>
            <w:rStyle w:val="Hyperlink"/>
          </w:rPr>
          <w:t xml:space="preserve">10.1109/IGARSS47720.2021.9554364</w:t>
        </w:r>
      </w:hyperlink>
    </w:p>
    <w:p>
      <w:pPr>
        <w:pStyle w:val="BodyText"/>
      </w:pPr>
      <w:bookmarkStart w:id="74" w:name="ref-5"/>
      <w:bookmarkEnd w:id="74"/>
      <w:r>
        <w:t xml:space="preserve">5. R. Furfaro, R. Linares, and V. Reddy,</w:t>
      </w:r>
      <w:r>
        <w:t xml:space="preserve"> </w:t>
      </w:r>
      <w:r>
        <w:t xml:space="preserve">“Space objects classification via light-curve measurements: deep convolutional neural networks and model-based transfer learning,”</w:t>
      </w:r>
      <w:r>
        <w:t xml:space="preserve"> </w:t>
      </w:r>
      <w:r>
        <w:t xml:space="preserve">in Proc. AMOS Technical Conference, 2018.</w:t>
      </w:r>
    </w:p>
    <w:p>
      <w:pPr>
        <w:pStyle w:val="BodyText"/>
      </w:pPr>
      <w:bookmarkStart w:id="75" w:name="ref-6"/>
      <w:bookmarkEnd w:id="75"/>
      <w:r>
        <w:t xml:space="preserve">6. R. Furfaro, R. Linares, D. Gaylor, M. Jah, and R. Walls,</w:t>
      </w:r>
      <w:r>
        <w:t xml:space="preserve"> </w:t>
      </w:r>
      <w:r>
        <w:t xml:space="preserve">“Resident space object characterization and behavior understanding via machine learning and ontology-based Bayesian networks,”</w:t>
      </w:r>
      <w:r>
        <w:t xml:space="preserve"> </w:t>
      </w:r>
      <w:r>
        <w:t xml:space="preserve">in Proc. AMOS Technical Conference, 2016.</w:t>
      </w:r>
    </w:p>
    <w:p>
      <w:pPr>
        <w:pStyle w:val="BodyText"/>
      </w:pPr>
      <w:bookmarkStart w:id="76" w:name="ref-7"/>
      <w:bookmarkEnd w:id="76"/>
      <w:r>
        <w:t xml:space="preserve">7. I. McQuaid, L. D. Merkle, B. Borghetti, R. Cobb, and J. Fletcher,</w:t>
      </w:r>
      <w:r>
        <w:t xml:space="preserve"> </w:t>
      </w:r>
      <w:r>
        <w:t xml:space="preserve">“Space object identification using deep neural networks,”</w:t>
      </w:r>
      <w:r>
        <w:t xml:space="preserve"> </w:t>
      </w:r>
      <w:r>
        <w:t xml:space="preserve">in Proc. AMOS Technical Conference, 2018.</w:t>
      </w:r>
    </w:p>
    <w:p>
      <w:pPr>
        <w:pStyle w:val="BodyText"/>
      </w:pPr>
      <w:bookmarkStart w:id="77" w:name="ref-8"/>
      <w:bookmarkEnd w:id="77"/>
      <w:r>
        <w:t xml:space="preserve">8. G. Badura, B. Gunter, and C. Valenta,</w:t>
      </w:r>
      <w:r>
        <w:t xml:space="preserve"> </w:t>
      </w:r>
      <w:r>
        <w:t xml:space="preserve">“Convolutional neural networks for inference of space object attitude status,”</w:t>
      </w:r>
      <w:r>
        <w:t xml:space="preserve"> </w:t>
      </w:r>
      <w:r>
        <w:t xml:space="preserve">in Proc. AMOS Technical Conference, 2020.</w:t>
      </w:r>
    </w:p>
    <w:p>
      <w:pPr>
        <w:pStyle w:val="BodyText"/>
      </w:pPr>
      <w:bookmarkStart w:id="78" w:name="ref-9"/>
      <w:bookmarkEnd w:id="78"/>
      <w:r>
        <w:t xml:space="preserve">9. A. Adriano, K. A. Scott, and N. Lashgarian Azad,</w:t>
      </w:r>
      <w:r>
        <w:t xml:space="preserve"> </w:t>
      </w:r>
      <w:r>
        <w:t xml:space="preserve">“Extreme gradient boosting and deep learning models for the classification of synthetic space debris light curves,”</w:t>
      </w:r>
      <w:r>
        <w:t xml:space="preserve"> </w:t>
      </w:r>
      <w:r>
        <w:t xml:space="preserve">in Proc. AMOS Technical Conference, 2024. doi:</w:t>
      </w:r>
      <w:r>
        <w:t xml:space="preserve"> </w:t>
      </w:r>
      <w:hyperlink r:id="rId79">
        <w:r>
          <w:rPr>
            <w:rStyle w:val="Hyperlink"/>
          </w:rPr>
          <w:t xml:space="preserve">10.64861/RBAG6762</w:t>
        </w:r>
      </w:hyperlink>
    </w:p>
    <w:p>
      <w:pPr>
        <w:pStyle w:val="BodyText"/>
      </w:pPr>
      <w:bookmarkStart w:id="80" w:name="ref-10"/>
      <w:bookmarkEnd w:id="80"/>
      <w:r>
        <w:t xml:space="preserve">10. T. Olson et al.,</w:t>
      </w:r>
      <w:r>
        <w:t xml:space="preserve"> </w:t>
      </w:r>
      <w:r>
        <w:t xml:space="preserve">“ML-based photometric fingerprinting at scale for LEO satellite monitoring,”</w:t>
      </w:r>
      <w:r>
        <w:t xml:space="preserve"> </w:t>
      </w:r>
      <w:r>
        <w:t xml:space="preserve">in Proc. AMOS Technical Conference, 2024. doi:</w:t>
      </w:r>
      <w:r>
        <w:t xml:space="preserve"> </w:t>
      </w:r>
      <w:hyperlink r:id="rId81">
        <w:r>
          <w:rPr>
            <w:rStyle w:val="Hyperlink"/>
          </w:rPr>
          <w:t xml:space="preserve">10.64861/ITMJ4093</w:t>
        </w:r>
      </w:hyperlink>
    </w:p>
    <w:p>
      <w:pPr>
        <w:pStyle w:val="BodyText"/>
      </w:pPr>
      <w:bookmarkStart w:id="82" w:name="ref-11"/>
      <w:bookmarkEnd w:id="82"/>
      <w:r>
        <w:t xml:space="preserve">11. G. Cheng, X. Sun, K. Li, L. Guo, and J. Han,</w:t>
      </w:r>
      <w:r>
        <w:t xml:space="preserve"> </w:t>
      </w:r>
      <w:r>
        <w:t xml:space="preserve">“Perturbation-seeking generative adversarial networks: a defense framework for remote sensing image scene classification,”</w:t>
      </w:r>
      <w:r>
        <w:t xml:space="preserve"> </w:t>
      </w:r>
      <w:r>
        <w:t xml:space="preserve">IEEE Transactions on Geoscience and Remote Sensing, 2021. doi:</w:t>
      </w:r>
      <w:r>
        <w:t xml:space="preserve"> </w:t>
      </w:r>
      <w:hyperlink r:id="rId83">
        <w:r>
          <w:rPr>
            <w:rStyle w:val="Hyperlink"/>
          </w:rPr>
          <w:t xml:space="preserve">10.1109/TGRS.2021.3081421</w:t>
        </w:r>
      </w:hyperlink>
    </w:p>
    <w:p>
      <w:pPr>
        <w:pStyle w:val="BodyText"/>
      </w:pPr>
      <w:bookmarkStart w:id="84" w:name="ref-12"/>
      <w:bookmarkEnd w:id="84"/>
      <w:r>
        <w:t xml:space="preserve">12. D. Shen, C. Sheaff, G. Chen, M. Guo, E. Blasch, and K. Pham,</w:t>
      </w:r>
      <w:r>
        <w:t xml:space="preserve"> </w:t>
      </w:r>
      <w:r>
        <w:t xml:space="preserve">“General-sum game modeling of generative adversarial networks for satellite maneuver detection,”</w:t>
      </w:r>
      <w:r>
        <w:t xml:space="preserve"> </w:t>
      </w:r>
      <w:r>
        <w:t xml:space="preserve">in Proc. AMOS Technical Conference, 2022.</w:t>
      </w:r>
    </w:p>
    <w:p>
      <w:pPr>
        <w:pStyle w:val="BodyText"/>
      </w:pPr>
      <w:bookmarkStart w:id="85" w:name="ref-13"/>
      <w:bookmarkEnd w:id="85"/>
      <w:r>
        <w:t xml:space="preserve">13. A. Du Mont et al.,</w:t>
      </w:r>
      <w:r>
        <w:t xml:space="preserve"> </w:t>
      </w:r>
      <w:r>
        <w:t xml:space="preserve">“Adversarial attacks on aerial imagery classifiers,”</w:t>
      </w:r>
      <w:r>
        <w:t xml:space="preserve"> </w:t>
      </w:r>
      <w:r>
        <w:t xml:space="preserve">2018. arXiv:1811.06628.</w:t>
      </w:r>
    </w:p>
    <w:bookmarkEnd w:id="86"/>
    <w:bookmarkStart w:id="87" w:name="specification"/>
    <w:p>
      <w:pPr>
        <w:pStyle w:val="Heading2"/>
      </w:pPr>
      <w:r>
        <w:t xml:space="preserve">Specification</w:t>
      </w:r>
    </w:p>
    <w:p>
      <w:pPr>
        <w:pStyle w:val="FirstParagraph"/>
      </w:pPr>
      <m:oMathPara>
        <m:oMathParaPr>
          <m:jc m:val="center"/>
        </m:oMathParaPr>
        <m:oMath>
          <m:r>
            <m:rPr>
              <m:sty m:val="p"/>
            </m:rPr>
            <m:t>Pr</m:t>
          </m:r>
          <m:r>
            <m:rPr>
              <m:sty m:val="p"/>
            </m:rPr>
            <m:t>(</m:t>
          </m:r>
          <m:r>
            <m:rPr>
              <m:nor/>
              <m:sty m:val="p"/>
            </m:rPr>
            <m:t>attack_success</m:t>
          </m:r>
          <m:r>
            <m:rPr>
              <m:sty m:val="p"/>
            </m:rPr>
            <m:t>=</m:t>
          </m:r>
          <m:r>
            <m:t>1</m:t>
          </m:r>
          <m:r>
            <m:rPr>
              <m:sty m:val="p"/>
            </m:rPr>
            <m:t>∣</m:t>
          </m:r>
          <m:r>
            <m:rPr>
              <m:sty m:val="b"/>
            </m:rPr>
            <m:t>x</m:t>
          </m:r>
          <m:r>
            <m:rPr>
              <m:sty m:val="p"/>
            </m:rPr>
            <m:t>)</m:t>
          </m:r>
          <m:r>
            <m:rPr>
              <m:sty m:val="p"/>
            </m:rPr>
            <m:t>=</m:t>
          </m:r>
          <m:f>
            <m:fPr>
              <m:type m:val="bar"/>
            </m:fPr>
            <m:num>
              <m:r>
                <m:t>1</m:t>
              </m:r>
            </m:num>
            <m:den>
              <m:r>
                <m:t>1</m:t>
              </m:r>
              <m:r>
                <m:rPr>
                  <m:sty m:val="p"/>
                </m:rPr>
                <m:t>+</m:t>
              </m:r>
              <m:r>
                <m:rPr>
                  <m:sty m:val="p"/>
                </m:rPr>
                <m:t>exp</m:t>
              </m:r>
              <m:r>
                <m:t>​</m:t>
              </m:r>
              <m:d>
                <m:dPr>
                  <m:begChr m:val="("/>
                  <m:sepChr m:val=""/>
                  <m:endChr m:val=")"/>
                  <m:grow/>
                </m:dPr>
                <m:e>
                  <m:r>
                    <m:rPr>
                      <m:sty m:val="p"/>
                    </m:rPr>
                    <m:t>−</m:t>
                  </m:r>
                  <m:d>
                    <m:dPr>
                      <m:begChr m:val="("/>
                      <m:sepChr m:val=""/>
                      <m:endChr m:val=")"/>
                      <m:grow/>
                    </m:dPr>
                    <m:e>
                      <m:sSub>
                        <m:e>
                          <m:r>
                            <m:t>β</m:t>
                          </m:r>
                        </m:e>
                        <m:sub>
                          <m:r>
                            <m:t>0</m:t>
                          </m:r>
                        </m:sub>
                      </m:sSub>
                      <m:r>
                        <m:rPr>
                          <m:sty m:val="p"/>
                        </m:rPr>
                        <m:t>+</m:t>
                      </m:r>
                      <m:sSub>
                        <m:e>
                          <m:r>
                            <m:t>β</m:t>
                          </m:r>
                        </m:e>
                        <m:sub>
                          <m:r>
                            <m:t>1</m:t>
                          </m:r>
                        </m:sub>
                      </m:sSub>
                      <m:r>
                        <m:t> </m:t>
                      </m:r>
                      <m:r>
                        <m:t>ϵ</m:t>
                      </m:r>
                      <m:r>
                        <m:rPr>
                          <m:sty m:val="p"/>
                        </m:rPr>
                        <m:t>+</m:t>
                      </m:r>
                      <m:sSub>
                        <m:e>
                          <m:r>
                            <m:t>β</m:t>
                          </m:r>
                        </m:e>
                        <m:sub>
                          <m:r>
                            <m:t>2</m:t>
                          </m:r>
                        </m:sub>
                      </m:sSub>
                      <m:r>
                        <m:t> </m:t>
                      </m:r>
                      <m:r>
                        <m:t>P</m:t>
                      </m:r>
                      <m:r>
                        <m:rPr>
                          <m:sty m:val="p"/>
                        </m:rPr>
                        <m:t>+</m:t>
                      </m:r>
                      <m:sSub>
                        <m:e>
                          <m:r>
                            <m:t>β</m:t>
                          </m:r>
                        </m:e>
                        <m:sub>
                          <m:r>
                            <m:t>3</m:t>
                          </m:r>
                        </m:sub>
                      </m:sSub>
                      <m:r>
                        <m:t> </m:t>
                      </m:r>
                      <m:r>
                        <m:t>D</m:t>
                      </m:r>
                    </m:e>
                  </m:d>
                </m:e>
              </m:d>
            </m:den>
          </m:f>
        </m:oMath>
      </m:oMathPara>
    </w:p>
    <w:bookmarkEnd w:id="87"/>
    <w:bookmarkStart w:id="9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-1.7768</w:t>
            </w:r>
          </w:p>
        </w:tc>
        <w:tc>
          <w:tcPr>
            <w:tcW w:w="0" w:type="auto"/>
          </w:tcPr>
          <w:p>
            <w:pPr>
              <w:spacing w:line="240" w:lineRule="auto" w:before="0" w:after="0"/>
              <w:pStyle w:val="Compact"/>
            </w:pPr>
            <w:r>
              <w:rPr>
                <w:sz w:val="20"/>
                <w:szCs w:val="20"/>
              </w:rPr>
              <w:t xml:space="preserve">1.598</w:t>
            </w:r>
          </w:p>
        </w:tc>
        <w:tc>
          <w:tcPr>
            <w:tcW w:w="0" w:type="auto"/>
          </w:tcPr>
          <w:p>
            <w:pPr>
              <w:spacing w:line="240" w:lineRule="auto" w:before="0" w:after="0"/>
              <w:pStyle w:val="Compact"/>
            </w:pPr>
            <w:r>
              <w:rPr>
                <w:sz w:val="20"/>
                <w:szCs w:val="20"/>
              </w:rPr>
              <w:t xml:space="preserve">-1.1119</w:t>
            </w:r>
          </w:p>
        </w:tc>
        <w:tc>
          <w:tcPr>
            <w:tcW w:w="0" w:type="auto"/>
          </w:tcPr>
          <w:p>
            <w:pPr>
              <w:spacing w:line="240" w:lineRule="auto" w:before="0" w:after="0"/>
              <w:pStyle w:val="Compact"/>
            </w:pPr>
            <w:r>
              <w:rPr>
                <w:sz w:val="20"/>
                <w:szCs w:val="20"/>
              </w:rPr>
              <w:t xml:space="preserve">0.2662</w:t>
            </w:r>
          </w:p>
        </w:tc>
        <w:tc>
          <w:tcPr>
            <w:tcW w:w="0" w:type="auto"/>
          </w:tcPr>
          <w:p>
            <w:pPr>
              <w:spacing w:line="240" w:lineRule="auto" w:before="0" w:after="0"/>
              <w:pStyle w:val="Compact"/>
            </w:pPr>
            <w:r>
              <w:rPr>
                <w:sz w:val="20"/>
                <w:szCs w:val="20"/>
              </w:rPr>
              <w:t xml:space="preserve">[-4.9089, 1.3552]</w:t>
            </w:r>
          </w:p>
        </w:tc>
      </w:tr>
      <w:tr>
        <w:tc>
          <w:tcPr>
            <w:tcW w:w="0" w:type="auto"/>
          </w:tcPr>
          <w:p>
            <w:pPr>
              <w:spacing w:line="240" w:lineRule="auto" w:before="0" w:after="0"/>
              <w:pStyle w:val="Compact"/>
            </w:pPr>
            <w:r>
              <w:rPr>
                <w:sz w:val="20"/>
                <w:szCs w:val="20"/>
              </w:rPr>
              <w:t xml:space="preserve">epsilon</w:t>
            </w:r>
          </w:p>
        </w:tc>
        <w:tc>
          <w:tcPr>
            <w:tcW w:w="0" w:type="auto"/>
          </w:tcPr>
          <w:p>
            <w:pPr>
              <w:spacing w:line="240" w:lineRule="auto" w:before="0" w:after="0"/>
              <w:pStyle w:val="Compact"/>
            </w:pPr>
            <w:r>
              <w:rPr>
                <w:sz w:val="20"/>
                <w:szCs w:val="20"/>
              </w:rPr>
              <w:t xml:space="preserve">489.3226</w:t>
            </w:r>
          </w:p>
        </w:tc>
        <w:tc>
          <w:tcPr>
            <w:tcW w:w="0" w:type="auto"/>
          </w:tcPr>
          <w:p>
            <w:pPr>
              <w:spacing w:line="240" w:lineRule="auto" w:before="0" w:after="0"/>
              <w:pStyle w:val="Compact"/>
            </w:pPr>
            <w:r>
              <w:rPr>
                <w:sz w:val="20"/>
                <w:szCs w:val="20"/>
              </w:rPr>
              <w:t xml:space="preserve">249.5652</w:t>
            </w:r>
          </w:p>
        </w:tc>
        <w:tc>
          <w:tcPr>
            <w:tcW w:w="0" w:type="auto"/>
          </w:tcPr>
          <w:p>
            <w:pPr>
              <w:spacing w:line="240" w:lineRule="auto" w:before="0" w:after="0"/>
              <w:pStyle w:val="Compact"/>
            </w:pPr>
            <w:r>
              <w:rPr>
                <w:sz w:val="20"/>
                <w:szCs w:val="20"/>
              </w:rPr>
              <w:t xml:space="preserve">1.9607</w:t>
            </w:r>
          </w:p>
        </w:tc>
        <w:tc>
          <w:tcPr>
            <w:tcW w:w="0" w:type="auto"/>
          </w:tcPr>
          <w:p>
            <w:pPr>
              <w:spacing w:line="240" w:lineRule="auto" w:before="0" w:after="0"/>
              <w:pStyle w:val="Compact"/>
            </w:pPr>
            <w:r>
              <w:rPr>
                <w:sz w:val="20"/>
                <w:szCs w:val="20"/>
              </w:rPr>
              <w:t xml:space="preserve">0.0499</w:t>
            </w:r>
          </w:p>
        </w:tc>
        <w:tc>
          <w:tcPr>
            <w:tcW w:w="0" w:type="auto"/>
          </w:tcPr>
          <w:p>
            <w:pPr>
              <w:spacing w:line="240" w:lineRule="auto" w:before="0" w:after="0"/>
              <w:pStyle w:val="Compact"/>
            </w:pPr>
            <w:r>
              <w:rPr>
                <w:sz w:val="20"/>
                <w:szCs w:val="20"/>
              </w:rPr>
              <w:t xml:space="preserve">[0.1837, 978.4615]</w:t>
            </w:r>
          </w:p>
        </w:tc>
      </w:tr>
      <w:tr>
        <w:tc>
          <w:tcPr>
            <w:tcW w:w="0" w:type="auto"/>
          </w:tcPr>
          <w:p>
            <w:pPr>
              <w:spacing w:line="240" w:lineRule="auto" w:before="0" w:after="0"/>
              <w:pStyle w:val="Compact"/>
            </w:pPr>
            <w:r>
              <w:rPr>
                <w:sz w:val="20"/>
                <w:szCs w:val="20"/>
              </w:rPr>
              <w:t xml:space="preserve">model_params_M</w:t>
            </w:r>
          </w:p>
        </w:tc>
        <w:tc>
          <w:tcPr>
            <w:tcW w:w="0" w:type="auto"/>
          </w:tcPr>
          <w:p>
            <w:pPr>
              <w:spacing w:line="240" w:lineRule="auto" w:before="0" w:after="0"/>
              <w:pStyle w:val="Compact"/>
            </w:pPr>
            <w:r>
              <w:rPr>
                <w:sz w:val="20"/>
                <w:szCs w:val="20"/>
              </w:rPr>
              <w:t xml:space="preserve">-0.0074</w:t>
            </w:r>
          </w:p>
        </w:tc>
        <w:tc>
          <w:tcPr>
            <w:tcW w:w="0" w:type="auto"/>
          </w:tcPr>
          <w:p>
            <w:pPr>
              <w:spacing w:line="240" w:lineRule="auto" w:before="0" w:after="0"/>
              <w:pStyle w:val="Compact"/>
            </w:pPr>
            <w:r>
              <w:rPr>
                <w:sz w:val="20"/>
                <w:szCs w:val="20"/>
              </w:rPr>
              <w:t xml:space="preserve">0.0186</w:t>
            </w:r>
          </w:p>
        </w:tc>
        <w:tc>
          <w:tcPr>
            <w:tcW w:w="0" w:type="auto"/>
          </w:tcPr>
          <w:p>
            <w:pPr>
              <w:spacing w:line="240" w:lineRule="auto" w:before="0" w:after="0"/>
              <w:pStyle w:val="Compact"/>
            </w:pPr>
            <w:r>
              <w:rPr>
                <w:sz w:val="20"/>
                <w:szCs w:val="20"/>
              </w:rPr>
              <w:t xml:space="preserve">-0.3961</w:t>
            </w:r>
          </w:p>
        </w:tc>
        <w:tc>
          <w:tcPr>
            <w:tcW w:w="0" w:type="auto"/>
          </w:tcPr>
          <w:p>
            <w:pPr>
              <w:spacing w:line="240" w:lineRule="auto" w:before="0" w:after="0"/>
              <w:pStyle w:val="Compact"/>
            </w:pPr>
            <w:r>
              <w:rPr>
                <w:sz w:val="20"/>
                <w:szCs w:val="20"/>
              </w:rPr>
              <w:t xml:space="preserve">0.692</w:t>
            </w:r>
          </w:p>
        </w:tc>
        <w:tc>
          <w:tcPr>
            <w:tcW w:w="0" w:type="auto"/>
          </w:tcPr>
          <w:p>
            <w:pPr>
              <w:spacing w:line="240" w:lineRule="auto" w:before="0" w:after="0"/>
              <w:pStyle w:val="Compact"/>
            </w:pPr>
            <w:r>
              <w:rPr>
                <w:sz w:val="20"/>
                <w:szCs w:val="20"/>
              </w:rPr>
              <w:t xml:space="preserve">[-0.0438, 0.0291]</w:t>
            </w:r>
          </w:p>
        </w:tc>
      </w:tr>
      <w:tr>
        <w:tc>
          <w:tcPr>
            <w:tcW w:w="0" w:type="auto"/>
          </w:tcPr>
          <w:p>
            <w:pPr>
              <w:spacing w:line="240" w:lineRule="auto" w:before="0" w:after="0"/>
              <w:pStyle w:val="Compact"/>
            </w:pPr>
            <w:r>
              <w:rPr>
                <w:sz w:val="20"/>
                <w:szCs w:val="20"/>
              </w:rPr>
              <w:t xml:space="preserve">defense_present</w:t>
            </w:r>
          </w:p>
        </w:tc>
        <w:tc>
          <w:tcPr>
            <w:tcW w:w="0" w:type="auto"/>
          </w:tcPr>
          <w:p>
            <w:pPr>
              <w:spacing w:line="240" w:lineRule="auto" w:before="0" w:after="0"/>
              <w:pStyle w:val="Compact"/>
            </w:pPr>
            <w:r>
              <w:rPr>
                <w:sz w:val="20"/>
                <w:szCs w:val="20"/>
              </w:rPr>
              <w:t xml:space="preserve">-3.105</w:t>
            </w:r>
          </w:p>
        </w:tc>
        <w:tc>
          <w:tcPr>
            <w:tcW w:w="0" w:type="auto"/>
          </w:tcPr>
          <w:p>
            <w:pPr>
              <w:spacing w:line="240" w:lineRule="auto" w:before="0" w:after="0"/>
              <w:pStyle w:val="Compact"/>
            </w:pPr>
            <w:r>
              <w:rPr>
                <w:sz w:val="20"/>
                <w:szCs w:val="20"/>
              </w:rPr>
              <w:t xml:space="preserve">1.364</w:t>
            </w:r>
          </w:p>
        </w:tc>
        <w:tc>
          <w:tcPr>
            <w:tcW w:w="0" w:type="auto"/>
          </w:tcPr>
          <w:p>
            <w:pPr>
              <w:spacing w:line="240" w:lineRule="auto" w:before="0" w:after="0"/>
              <w:pStyle w:val="Compact"/>
            </w:pPr>
            <w:r>
              <w:rPr>
                <w:sz w:val="20"/>
                <w:szCs w:val="20"/>
              </w:rPr>
              <w:t xml:space="preserve">-2.2763</w:t>
            </w:r>
          </w:p>
        </w:tc>
        <w:tc>
          <w:tcPr>
            <w:tcW w:w="0" w:type="auto"/>
          </w:tcPr>
          <w:p>
            <w:pPr>
              <w:spacing w:line="240" w:lineRule="auto" w:before="0" w:after="0"/>
              <w:pStyle w:val="Compact"/>
            </w:pPr>
            <w:r>
              <w:rPr>
                <w:sz w:val="20"/>
                <w:szCs w:val="20"/>
              </w:rPr>
              <w:t xml:space="preserve">0.0228</w:t>
            </w:r>
          </w:p>
        </w:tc>
        <w:tc>
          <w:tcPr>
            <w:tcW w:w="0" w:type="auto"/>
          </w:tcPr>
          <w:p>
            <w:pPr>
              <w:spacing w:line="240" w:lineRule="auto" w:before="0" w:after="0"/>
              <w:pStyle w:val="Compact"/>
            </w:pPr>
            <w:r>
              <w:rPr>
                <w:sz w:val="20"/>
                <w:szCs w:val="20"/>
              </w:rPr>
              <w:t xml:space="preserve">[-5.7785, -0.4315]</w:t>
            </w:r>
          </w:p>
        </w:tc>
      </w:tr>
    </w:tbl>
    <w:p>
      <w:pPr>
        <w:pStyle w:val="BodyText"/>
      </w:pPr>
      <w:r>
        <w:t xml:space="preserve">Fit: N = 36 pseudo_R2 = 0.3525 LL = -12.3466</w:t>
      </w:r>
    </w:p>
    <w:p>
      <w:pPr>
        <w:pStyle w:val="CaptionedFigure"/>
      </w:pPr>
      <w:r>
        <w:drawing>
          <wp:inline>
            <wp:extent cx="5669280" cy="3657600"/>
            <wp:effectExtent b="0" l="0" r="0" t="0"/>
            <wp:docPr descr="Figure 1. Predicted probability of attack success against L-infinity perturbation magnitude, with model parameter count and defense indicator held at sample means." title="" id="89" name="Picture"/>
            <a:graphic>
              <a:graphicData uri="http://schemas.openxmlformats.org/drawingml/2006/picture">
                <pic:pic>
                  <pic:nvPicPr>
                    <pic:cNvPr descr="D:\Claude_Code\brain\collegium\candidates\dissertations\CYBER_AI_04\research_papers\p2\paper_fig1.png" id="90" name="Picture"/>
                    <pic:cNvPicPr>
                      <a:picLocks noChangeArrowheads="1" noChangeAspect="1"/>
                    </pic:cNvPicPr>
                  </pic:nvPicPr>
                  <pic:blipFill>
                    <a:blip r:embed="rId8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Predicted probability of attack success against L-infinity perturbation magnitude, with model parameter count and defense indicator held at sample means.</w:t>
      </w:r>
    </w:p>
    <w:bookmarkEnd w:id="91"/>
    <w:bookmarkStart w:id="9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trial_id</w:t>
            </w:r>
          </w:p>
        </w:tc>
        <w:tc>
          <w:tcPr>
            <w:tcW w:w="0" w:type="auto"/>
          </w:tcPr>
          <w:p>
            <w:pPr>
              <w:spacing w:line="240" w:lineRule="auto" w:before="0" w:after="0"/>
              <w:pStyle w:val="Compact"/>
            </w:pPr>
            <w:r>
              <w:rPr>
                <w:sz w:val="20"/>
                <w:szCs w:val="20"/>
              </w:rPr>
              <w:t xml:space="preserve">study</w:t>
            </w:r>
          </w:p>
        </w:tc>
        <w:tc>
          <w:tcPr>
            <w:tcW w:w="0" w:type="auto"/>
          </w:tcPr>
          <w:p>
            <w:pPr>
              <w:spacing w:line="240" w:lineRule="auto" w:before="0" w:after="0"/>
              <w:pStyle w:val="Compact"/>
            </w:pPr>
            <w:r>
              <w:rPr>
                <w:sz w:val="20"/>
                <w:szCs w:val="20"/>
              </w:rPr>
              <w:t xml:space="preserve">model</w:t>
            </w:r>
          </w:p>
        </w:tc>
        <w:tc>
          <w:tcPr>
            <w:tcW w:w="0" w:type="auto"/>
          </w:tcPr>
          <w:p>
            <w:pPr>
              <w:spacing w:line="240" w:lineRule="auto" w:before="0" w:after="0"/>
              <w:pStyle w:val="Compact"/>
            </w:pPr>
            <w:r>
              <w:rPr>
                <w:sz w:val="20"/>
                <w:szCs w:val="20"/>
              </w:rPr>
              <w:t xml:space="preserve">modality</w:t>
            </w:r>
          </w:p>
        </w:tc>
        <w:tc>
          <w:tcPr>
            <w:tcW w:w="0" w:type="auto"/>
          </w:tcPr>
          <w:p>
            <w:pPr>
              <w:spacing w:line="240" w:lineRule="auto" w:before="0" w:after="0"/>
              <w:pStyle w:val="Compact"/>
            </w:pPr>
            <w:r>
              <w:rPr>
                <w:sz w:val="20"/>
                <w:szCs w:val="20"/>
              </w:rPr>
              <w:t xml:space="preserve">perturbation_type</w:t>
            </w:r>
          </w:p>
        </w:tc>
        <w:tc>
          <w:tcPr>
            <w:tcW w:w="0" w:type="auto"/>
          </w:tcPr>
          <w:p>
            <w:pPr>
              <w:spacing w:line="240" w:lineRule="auto" w:before="0" w:after="0"/>
              <w:pStyle w:val="Compact"/>
            </w:pPr>
            <w:r>
              <w:rPr>
                <w:sz w:val="20"/>
                <w:szCs w:val="20"/>
              </w:rPr>
              <w:t xml:space="preserve">epsilon</w:t>
            </w:r>
          </w:p>
        </w:tc>
        <w:tc>
          <w:tcPr>
            <w:tcW w:w="0" w:type="auto"/>
          </w:tcPr>
          <w:p>
            <w:pPr>
              <w:spacing w:line="240" w:lineRule="auto" w:before="0" w:after="0"/>
              <w:pStyle w:val="Compact"/>
            </w:pPr>
            <w:r>
              <w:rPr>
                <w:sz w:val="20"/>
                <w:szCs w:val="20"/>
              </w:rPr>
              <w:t xml:space="preserve">model_params_M</w:t>
            </w:r>
          </w:p>
        </w:tc>
        <w:tc>
          <w:tcPr>
            <w:tcW w:w="0" w:type="auto"/>
          </w:tcPr>
          <w:p>
            <w:pPr>
              <w:spacing w:line="240" w:lineRule="auto" w:before="0" w:after="0"/>
              <w:pStyle w:val="Compact"/>
            </w:pPr>
            <w:r>
              <w:rPr>
                <w:sz w:val="20"/>
                <w:szCs w:val="20"/>
              </w:rPr>
              <w:t xml:space="preserve">defense_present</w:t>
            </w:r>
          </w:p>
        </w:tc>
        <w:tc>
          <w:tcPr>
            <w:tcW w:w="0" w:type="auto"/>
          </w:tcPr>
          <w:p>
            <w:pPr>
              <w:spacing w:line="240" w:lineRule="auto" w:before="0" w:after="0"/>
              <w:pStyle w:val="Compact"/>
            </w:pPr>
            <w:r>
              <w:rPr>
                <w:sz w:val="20"/>
                <w:szCs w:val="20"/>
              </w:rPr>
              <w:t xml:space="preserve">clean_acc</w:t>
            </w:r>
          </w:p>
        </w:tc>
        <w:tc>
          <w:tcPr>
            <w:tcW w:w="0" w:type="auto"/>
          </w:tcPr>
          <w:p>
            <w:pPr>
              <w:spacing w:line="240" w:lineRule="auto" w:before="0" w:after="0"/>
              <w:pStyle w:val="Compact"/>
            </w:pPr>
            <w:r>
              <w:rPr>
                <w:sz w:val="20"/>
                <w:szCs w:val="20"/>
              </w:rPr>
              <w:t xml:space="preserve">attacked_acc</w:t>
            </w:r>
          </w:p>
        </w:tc>
        <w:tc>
          <w:tcPr>
            <w:tcW w:w="0" w:type="auto"/>
          </w:tcPr>
          <w:p>
            <w:pPr>
              <w:spacing w:line="240" w:lineRule="auto" w:before="0" w:after="0"/>
              <w:pStyle w:val="Compact"/>
            </w:pPr>
            <w:r>
              <w:rPr>
                <w:sz w:val="20"/>
                <w:szCs w:val="20"/>
              </w:rPr>
              <w:t xml:space="preserve">acc_drop_pp</w:t>
            </w:r>
          </w:p>
        </w:tc>
        <w:tc>
          <w:tcPr>
            <w:tcW w:w="0" w:type="auto"/>
          </w:tcPr>
          <w:p>
            <w:pPr>
              <w:spacing w:line="240" w:lineRule="auto" w:before="0" w:after="0"/>
              <w:pStyle w:val="Compact"/>
            </w:pPr>
            <w:r>
              <w:rPr>
                <w:sz w:val="20"/>
                <w:szCs w:val="20"/>
              </w:rPr>
              <w:t xml:space="preserve">attack_success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Czaja2018</w:t>
            </w:r>
          </w:p>
        </w:tc>
        <w:tc>
          <w:tcPr>
            <w:tcW w:w="0" w:type="auto"/>
          </w:tcPr>
          <w:p>
            <w:pPr>
              <w:spacing w:line="240" w:lineRule="auto" w:before="0" w:after="0"/>
              <w:pStyle w:val="Compact"/>
            </w:pPr>
            <w:r>
              <w:rPr>
                <w:sz w:val="20"/>
                <w:szCs w:val="20"/>
              </w:rPr>
              <w:t xml:space="preserve">InceptionV3</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Czaja et al. 2018, Adversarial examples in remote sensing, ACM SIGSPATIAL, arXiv:1805.10997</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Czaja2018</w:t>
            </w:r>
          </w:p>
        </w:tc>
        <w:tc>
          <w:tcPr>
            <w:tcW w:w="0" w:type="auto"/>
          </w:tcPr>
          <w:p>
            <w:pPr>
              <w:spacing w:line="240" w:lineRule="auto" w:before="0" w:after="0"/>
              <w:pStyle w:val="Compact"/>
            </w:pPr>
            <w:r>
              <w:rPr>
                <w:sz w:val="20"/>
                <w:szCs w:val="20"/>
              </w:rPr>
              <w:t xml:space="preserve">InceptionV3</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Czaja et al. 2018, Adversarial examples in remote sensing, arXiv:1805.10997</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Czaja2018</w:t>
            </w:r>
          </w:p>
        </w:tc>
        <w:tc>
          <w:tcPr>
            <w:tcW w:w="0" w:type="auto"/>
          </w:tcPr>
          <w:p>
            <w:pPr>
              <w:spacing w:line="240" w:lineRule="auto" w:before="0" w:after="0"/>
              <w:pStyle w:val="Compact"/>
            </w:pPr>
            <w:r>
              <w:rPr>
                <w:sz w:val="20"/>
                <w:szCs w:val="20"/>
              </w:rPr>
              <w:t xml:space="preserve">InceptionV3</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DeepFool</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Czaja et al. 2018, Adversarial examples in remote sensing, arXiv:1805.10997</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Chen2021</w:t>
            </w:r>
          </w:p>
        </w:tc>
        <w:tc>
          <w:tcPr>
            <w:tcW w:w="0" w:type="auto"/>
          </w:tcPr>
          <w:p>
            <w:pPr>
              <w:spacing w:line="240" w:lineRule="auto" w:before="0" w:after="0"/>
              <w:pStyle w:val="Compact"/>
            </w:pPr>
            <w:r>
              <w:rPr>
                <w:sz w:val="20"/>
                <w:szCs w:val="20"/>
              </w:rPr>
              <w:t xml:space="preserve">ResNet18</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Chen et al. 2021, Empirical study of adversarial examples on remote sensing image scene classification, IEEE TGRS, doi:10.1109/TGRS.2021.3051641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Chen2021</w:t>
            </w:r>
          </w:p>
        </w:tc>
        <w:tc>
          <w:tcPr>
            <w:tcW w:w="0" w:type="auto"/>
          </w:tcPr>
          <w:p>
            <w:pPr>
              <w:spacing w:line="240" w:lineRule="auto" w:before="0" w:after="0"/>
              <w:pStyle w:val="Compact"/>
            </w:pPr>
            <w:r>
              <w:rPr>
                <w:sz w:val="20"/>
                <w:szCs w:val="20"/>
              </w:rPr>
              <w:t xml:space="preserve">ResNet18</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Chen et al. 2021, IEEE TGRS, doi:10.1109/TGRS.2021.3051641</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Chen2021</w:t>
            </w:r>
          </w:p>
        </w:tc>
        <w:tc>
          <w:tcPr>
            <w:tcW w:w="0" w:type="auto"/>
          </w:tcPr>
          <w:p>
            <w:pPr>
              <w:spacing w:line="240" w:lineRule="auto" w:before="0" w:after="0"/>
              <w:pStyle w:val="Compact"/>
            </w:pPr>
            <w:r>
              <w:rPr>
                <w:sz w:val="20"/>
                <w:szCs w:val="20"/>
              </w:rPr>
              <w:t xml:space="preserve">ResNet18</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Chen et al. 2021, IEEE TGRS, doi:10.1109/TGRS.2021.3051641</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Chen2021</w:t>
            </w:r>
          </w:p>
        </w:tc>
        <w:tc>
          <w:tcPr>
            <w:tcW w:w="0" w:type="auto"/>
          </w:tcPr>
          <w:p>
            <w:pPr>
              <w:spacing w:line="240" w:lineRule="auto" w:before="0" w:after="0"/>
              <w:pStyle w:val="Compact"/>
            </w:pPr>
            <w:r>
              <w:rPr>
                <w:sz w:val="20"/>
                <w:szCs w:val="20"/>
              </w:rPr>
              <w:t xml:space="preserve">ResNet50</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Chen et al. 2021, IEEE TGRS, doi:10.1109/TGRS.2021.3051641</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Chen2021</w:t>
            </w:r>
          </w:p>
        </w:tc>
        <w:tc>
          <w:tcPr>
            <w:tcW w:w="0" w:type="auto"/>
          </w:tcPr>
          <w:p>
            <w:pPr>
              <w:spacing w:line="240" w:lineRule="auto" w:before="0" w:after="0"/>
              <w:pStyle w:val="Compact"/>
            </w:pPr>
            <w:r>
              <w:rPr>
                <w:sz w:val="20"/>
                <w:szCs w:val="20"/>
              </w:rPr>
              <w:t xml:space="preserve">DenseNet121</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Chen et al. 2021, IEEE TGRS, doi:10.1109/TGRS.2021.3051641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Xu2020</w:t>
            </w:r>
          </w:p>
        </w:tc>
        <w:tc>
          <w:tcPr>
            <w:tcW w:w="0" w:type="auto"/>
          </w:tcPr>
          <w:p>
            <w:pPr>
              <w:spacing w:line="240" w:lineRule="auto" w:before="0" w:after="0"/>
              <w:pStyle w:val="Compact"/>
            </w:pPr>
            <w:r>
              <w:rPr>
                <w:sz w:val="20"/>
                <w:szCs w:val="20"/>
              </w:rPr>
              <w:t xml:space="preserve">ResNet50</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0.89</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Xu et al. 2020, Assessing the threat of adversarial examples on deep neural networks for remote sensing scene classification, Remote Sensing 12(16):2671, doi:10.3390/rs12162671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Xu2020</w:t>
            </w:r>
          </w:p>
        </w:tc>
        <w:tc>
          <w:tcPr>
            <w:tcW w:w="0" w:type="auto"/>
          </w:tcPr>
          <w:p>
            <w:pPr>
              <w:spacing w:line="240" w:lineRule="auto" w:before="0" w:after="0"/>
              <w:pStyle w:val="Compact"/>
            </w:pPr>
            <w:r>
              <w:rPr>
                <w:sz w:val="20"/>
                <w:szCs w:val="20"/>
              </w:rPr>
              <w:t xml:space="preserve">ResNet50</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0.89</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Xu et al. 2020, Remote Sensing 12(16):2671, doi:10.3390/rs12162671</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Xu2020</w:t>
            </w:r>
          </w:p>
        </w:tc>
        <w:tc>
          <w:tcPr>
            <w:tcW w:w="0" w:type="auto"/>
          </w:tcPr>
          <w:p>
            <w:pPr>
              <w:spacing w:line="240" w:lineRule="auto" w:before="0" w:after="0"/>
              <w:pStyle w:val="Compact"/>
            </w:pPr>
            <w:r>
              <w:rPr>
                <w:sz w:val="20"/>
                <w:szCs w:val="20"/>
              </w:rPr>
              <w:t xml:space="preserve">VGG16</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0.09</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Xu et al. 2020, Remote Sensing 12(16):2671, doi:10.3390/rs12162671</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Xu2020</w:t>
            </w:r>
          </w:p>
        </w:tc>
        <w:tc>
          <w:tcPr>
            <w:tcW w:w="0" w:type="auto"/>
          </w:tcPr>
          <w:p>
            <w:pPr>
              <w:spacing w:line="240" w:lineRule="auto" w:before="0" w:after="0"/>
              <w:pStyle w:val="Compact"/>
            </w:pPr>
            <w:r>
              <w:rPr>
                <w:sz w:val="20"/>
                <w:szCs w:val="20"/>
              </w:rPr>
              <w:t xml:space="preserve">VGG16</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Xu et al. 2020, Remote Sensing 12(16):2671, doi:10.3390/rs12162671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Xu2020</w:t>
            </w:r>
          </w:p>
        </w:tc>
        <w:tc>
          <w:tcPr>
            <w:tcW w:w="0" w:type="auto"/>
          </w:tcPr>
          <w:p>
            <w:pPr>
              <w:spacing w:line="240" w:lineRule="auto" w:before="0" w:after="0"/>
              <w:pStyle w:val="Compact"/>
            </w:pPr>
            <w:r>
              <w:rPr>
                <w:sz w:val="20"/>
                <w:szCs w:val="20"/>
              </w:rPr>
              <w:t xml:space="preserve">DenseNet</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0.91</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Xu et al. 2020, Remote Sensing 12(16):2671, doi:10.3390/rs12162671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DuMont2018</w:t>
            </w:r>
          </w:p>
        </w:tc>
        <w:tc>
          <w:tcPr>
            <w:tcW w:w="0" w:type="auto"/>
          </w:tcPr>
          <w:p>
            <w:pPr>
              <w:spacing w:line="240" w:lineRule="auto" w:before="0" w:after="0"/>
              <w:pStyle w:val="Compact"/>
            </w:pPr>
            <w:r>
              <w:rPr>
                <w:sz w:val="20"/>
                <w:szCs w:val="20"/>
              </w:rPr>
              <w:t xml:space="preserve">VGG19</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JSMA</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143.7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Du Mont et al. 2018, Adversarial attacks on aerial imagery classifiers, arXiv:1811.06628</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DuMont2018</w:t>
            </w:r>
          </w:p>
        </w:tc>
        <w:tc>
          <w:tcPr>
            <w:tcW w:w="0" w:type="auto"/>
          </w:tcPr>
          <w:p>
            <w:pPr>
              <w:spacing w:line="240" w:lineRule="auto" w:before="0" w:after="0"/>
              <w:pStyle w:val="Compact"/>
            </w:pPr>
            <w:r>
              <w:rPr>
                <w:sz w:val="20"/>
                <w:szCs w:val="20"/>
              </w:rPr>
              <w:t xml:space="preserve">VGG19</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143.7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Du Mont et al. 2018, arXiv:1811.06628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Burnel2021</w:t>
            </w:r>
          </w:p>
        </w:tc>
        <w:tc>
          <w:tcPr>
            <w:tcW w:w="0" w:type="auto"/>
          </w:tcPr>
          <w:p>
            <w:pPr>
              <w:spacing w:line="240" w:lineRule="auto" w:before="0" w:after="0"/>
              <w:pStyle w:val="Compact"/>
            </w:pPr>
            <w:r>
              <w:rPr>
                <w:sz w:val="20"/>
                <w:szCs w:val="20"/>
              </w:rPr>
              <w:t xml:space="preserve">ResNet18</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Burnel et al. 2021, Generating adversarial examples for remote sensing classification with adversarial training defense, IGARSS 2021, doi:10.1109/IGARSS47720.2021.9554364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Burnel2021</w:t>
            </w:r>
          </w:p>
        </w:tc>
        <w:tc>
          <w:tcPr>
            <w:tcW w:w="0" w:type="auto"/>
          </w:tcPr>
          <w:p>
            <w:pPr>
              <w:spacing w:line="240" w:lineRule="auto" w:before="0" w:after="0"/>
              <w:pStyle w:val="Compact"/>
            </w:pPr>
            <w:r>
              <w:rPr>
                <w:sz w:val="20"/>
                <w:szCs w:val="20"/>
              </w:rPr>
              <w:t xml:space="preserve">ResNet18</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0.51</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Burnel et al. 2021, IGARSS 2021, doi:10.1109/IGARSS47720.2021.9554364</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Burnel2021</w:t>
            </w:r>
          </w:p>
        </w:tc>
        <w:tc>
          <w:tcPr>
            <w:tcW w:w="0" w:type="auto"/>
          </w:tcPr>
          <w:p>
            <w:pPr>
              <w:spacing w:line="240" w:lineRule="auto" w:before="0" w:after="0"/>
              <w:pStyle w:val="Compact"/>
            </w:pPr>
            <w:r>
              <w:rPr>
                <w:sz w:val="20"/>
                <w:szCs w:val="20"/>
              </w:rPr>
              <w:t xml:space="preserve">ResNet18</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Burnel et al. 2021, IGARSS 2021, doi:10.1109/IGARSS47720.2021.9554364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Cheng2021</w:t>
            </w:r>
          </w:p>
        </w:tc>
        <w:tc>
          <w:tcPr>
            <w:tcW w:w="0" w:type="auto"/>
          </w:tcPr>
          <w:p>
            <w:pPr>
              <w:spacing w:line="240" w:lineRule="auto" w:before="0" w:after="0"/>
              <w:pStyle w:val="Compact"/>
            </w:pPr>
            <w:r>
              <w:rPr>
                <w:sz w:val="20"/>
                <w:szCs w:val="20"/>
              </w:rPr>
              <w:t xml:space="preserve">ResNet50</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Cheng et al. 2021, Perturbation-seeking generative adversarial networks: a defense framework for remote sensing image scene classification, IEEE TGRS, doi:10.1109/TGRS.2021.3081421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Cheng2021</w:t>
            </w:r>
          </w:p>
        </w:tc>
        <w:tc>
          <w:tcPr>
            <w:tcW w:w="0" w:type="auto"/>
          </w:tcPr>
          <w:p>
            <w:pPr>
              <w:spacing w:line="240" w:lineRule="auto" w:before="0" w:after="0"/>
              <w:pStyle w:val="Compact"/>
            </w:pPr>
            <w:r>
              <w:rPr>
                <w:sz w:val="20"/>
                <w:szCs w:val="20"/>
              </w:rPr>
              <w:t xml:space="preserve">ResNet50</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Cheng et al. 2021, IEEE TGRS, doi:10.1109/TGRS.2021.3081421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Cheng2021</w:t>
            </w:r>
          </w:p>
        </w:tc>
        <w:tc>
          <w:tcPr>
            <w:tcW w:w="0" w:type="auto"/>
          </w:tcPr>
          <w:p>
            <w:pPr>
              <w:spacing w:line="240" w:lineRule="auto" w:before="0" w:after="0"/>
              <w:pStyle w:val="Compact"/>
            </w:pPr>
            <w:r>
              <w:rPr>
                <w:sz w:val="20"/>
                <w:szCs w:val="20"/>
              </w:rPr>
              <w:t xml:space="preserve">ResNet50</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Cheng et al. 2021, IEEE TGRS, doi:10.1109/TGRS.2021.3081421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Furfaro2018</w:t>
            </w:r>
          </w:p>
        </w:tc>
        <w:tc>
          <w:tcPr>
            <w:tcW w:w="0" w:type="auto"/>
          </w:tcPr>
          <w:p>
            <w:pPr>
              <w:spacing w:line="240" w:lineRule="auto" w:before="0" w:after="0"/>
              <w:pStyle w:val="Compact"/>
            </w:pPr>
            <w:r>
              <w:rPr>
                <w:sz w:val="20"/>
                <w:szCs w:val="20"/>
              </w:rPr>
              <w:t xml:space="preserve">CNN_lc</w:t>
            </w:r>
          </w:p>
        </w:tc>
        <w:tc>
          <w:tcPr>
            <w:tcW w:w="0" w:type="auto"/>
          </w:tcPr>
          <w:p>
            <w:pPr>
              <w:spacing w:line="240" w:lineRule="auto" w:before="0" w:after="0"/>
              <w:pStyle w:val="Compact"/>
            </w:pPr>
            <w:r>
              <w:rPr>
                <w:sz w:val="20"/>
                <w:szCs w:val="20"/>
              </w:rPr>
              <w:t xml:space="preserve">light_curve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Furfaro et al. 2018, Space objects classification via light-curve measurements: deep CNN and transfer learning, AMOS 2018</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Furfaro2018</w:t>
            </w:r>
          </w:p>
        </w:tc>
        <w:tc>
          <w:tcPr>
            <w:tcW w:w="0" w:type="auto"/>
          </w:tcPr>
          <w:p>
            <w:pPr>
              <w:spacing w:line="240" w:lineRule="auto" w:before="0" w:after="0"/>
              <w:pStyle w:val="Compact"/>
            </w:pPr>
            <w:r>
              <w:rPr>
                <w:sz w:val="20"/>
                <w:szCs w:val="20"/>
              </w:rPr>
              <w:t xml:space="preserve">CNN_lc</w:t>
            </w:r>
          </w:p>
        </w:tc>
        <w:tc>
          <w:tcPr>
            <w:tcW w:w="0" w:type="auto"/>
          </w:tcPr>
          <w:p>
            <w:pPr>
              <w:spacing w:line="240" w:lineRule="auto" w:before="0" w:after="0"/>
              <w:pStyle w:val="Compact"/>
            </w:pPr>
            <w:r>
              <w:rPr>
                <w:sz w:val="20"/>
                <w:szCs w:val="20"/>
              </w:rPr>
              <w:t xml:space="preserve">light_curve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Furfaro et al. 2018, AMOS 2018 [illustrative]</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Linares2019</w:t>
            </w:r>
          </w:p>
        </w:tc>
        <w:tc>
          <w:tcPr>
            <w:tcW w:w="0" w:type="auto"/>
          </w:tcPr>
          <w:p>
            <w:pPr>
              <w:spacing w:line="240" w:lineRule="auto" w:before="0" w:after="0"/>
              <w:pStyle w:val="Compact"/>
            </w:pPr>
            <w:r>
              <w:rPr>
                <w:sz w:val="20"/>
                <w:szCs w:val="20"/>
              </w:rPr>
              <w:t xml:space="preserve">DNN_lc</w:t>
            </w:r>
          </w:p>
        </w:tc>
        <w:tc>
          <w:tcPr>
            <w:tcW w:w="0" w:type="auto"/>
          </w:tcPr>
          <w:p>
            <w:pPr>
              <w:spacing w:line="240" w:lineRule="auto" w:before="0" w:after="0"/>
              <w:pStyle w:val="Compact"/>
            </w:pPr>
            <w:r>
              <w:rPr>
                <w:sz w:val="20"/>
                <w:szCs w:val="20"/>
              </w:rPr>
              <w:t xml:space="preserve">light_curve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Linares &amp; Furfaro 2019, Space object classification using deep CNN, IEEE Aerospace 2019, doi:10.1109/AERO.2019.8741958 [illustrative]</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Linares2019</w:t>
            </w:r>
          </w:p>
        </w:tc>
        <w:tc>
          <w:tcPr>
            <w:tcW w:w="0" w:type="auto"/>
          </w:tcPr>
          <w:p>
            <w:pPr>
              <w:spacing w:line="240" w:lineRule="auto" w:before="0" w:after="0"/>
              <w:pStyle w:val="Compact"/>
            </w:pPr>
            <w:r>
              <w:rPr>
                <w:sz w:val="20"/>
                <w:szCs w:val="20"/>
              </w:rPr>
              <w:t xml:space="preserve">DNN_lc</w:t>
            </w:r>
          </w:p>
        </w:tc>
        <w:tc>
          <w:tcPr>
            <w:tcW w:w="0" w:type="auto"/>
          </w:tcPr>
          <w:p>
            <w:pPr>
              <w:spacing w:line="240" w:lineRule="auto" w:before="0" w:after="0"/>
              <w:pStyle w:val="Compact"/>
            </w:pPr>
            <w:r>
              <w:rPr>
                <w:sz w:val="20"/>
                <w:szCs w:val="20"/>
              </w:rPr>
              <w:t xml:space="preserve">light_curve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Linares &amp; Furfaro 2019, IEEE Aerospace 2019, doi:10.1109/AERO.2019.8741958 [illustrative]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Adriano2024</w:t>
            </w:r>
          </w:p>
        </w:tc>
        <w:tc>
          <w:tcPr>
            <w:tcW w:w="0" w:type="auto"/>
          </w:tcPr>
          <w:p>
            <w:pPr>
              <w:spacing w:line="240" w:lineRule="auto" w:before="0" w:after="0"/>
              <w:pStyle w:val="Compact"/>
            </w:pPr>
            <w:r>
              <w:rPr>
                <w:sz w:val="20"/>
                <w:szCs w:val="20"/>
              </w:rPr>
              <w:t xml:space="preserve">XGB_lc</w:t>
            </w:r>
          </w:p>
        </w:tc>
        <w:tc>
          <w:tcPr>
            <w:tcW w:w="0" w:type="auto"/>
          </w:tcPr>
          <w:p>
            <w:pPr>
              <w:spacing w:line="240" w:lineRule="auto" w:before="0" w:after="0"/>
              <w:pStyle w:val="Compact"/>
            </w:pPr>
            <w:r>
              <w:rPr>
                <w:sz w:val="20"/>
                <w:szCs w:val="20"/>
              </w:rPr>
              <w:t xml:space="preserve">light_curve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Adriano et al. 2024, Extreme gradient boosting and deep learning for synthetic space debris light curves, AMOS 2024, doi:10.64861/RBAG6762 [illustrative]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Adriano2024</w:t>
            </w:r>
          </w:p>
        </w:tc>
        <w:tc>
          <w:tcPr>
            <w:tcW w:w="0" w:type="auto"/>
          </w:tcPr>
          <w:p>
            <w:pPr>
              <w:spacing w:line="240" w:lineRule="auto" w:before="0" w:after="0"/>
              <w:pStyle w:val="Compact"/>
            </w:pPr>
            <w:r>
              <w:rPr>
                <w:sz w:val="20"/>
                <w:szCs w:val="20"/>
              </w:rPr>
              <w:t xml:space="preserve">CNN1D_lc</w:t>
            </w:r>
          </w:p>
        </w:tc>
        <w:tc>
          <w:tcPr>
            <w:tcW w:w="0" w:type="auto"/>
          </w:tcPr>
          <w:p>
            <w:pPr>
              <w:spacing w:line="240" w:lineRule="auto" w:before="0" w:after="0"/>
              <w:pStyle w:val="Compact"/>
            </w:pPr>
            <w:r>
              <w:rPr>
                <w:sz w:val="20"/>
                <w:szCs w:val="20"/>
              </w:rPr>
              <w:t xml:space="preserve">light_curve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0.89</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Adriano et al. 2024, AMOS 2024, doi:10.64861/RBAG6762 [illustrative]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Adriano2024</w:t>
            </w:r>
          </w:p>
        </w:tc>
        <w:tc>
          <w:tcPr>
            <w:tcW w:w="0" w:type="auto"/>
          </w:tcPr>
          <w:p>
            <w:pPr>
              <w:spacing w:line="240" w:lineRule="auto" w:before="0" w:after="0"/>
              <w:pStyle w:val="Compact"/>
            </w:pPr>
            <w:r>
              <w:rPr>
                <w:sz w:val="20"/>
                <w:szCs w:val="20"/>
              </w:rPr>
              <w:t xml:space="preserve">CNN1D_lc</w:t>
            </w:r>
          </w:p>
        </w:tc>
        <w:tc>
          <w:tcPr>
            <w:tcW w:w="0" w:type="auto"/>
          </w:tcPr>
          <w:p>
            <w:pPr>
              <w:spacing w:line="240" w:lineRule="auto" w:before="0" w:after="0"/>
              <w:pStyle w:val="Compact"/>
            </w:pPr>
            <w:r>
              <w:rPr>
                <w:sz w:val="20"/>
                <w:szCs w:val="20"/>
              </w:rPr>
              <w:t xml:space="preserve">light_curve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0.89</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Adriano et al. 2024, AMOS 2024, doi:10.64861/RBAG6762 [illustrative]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McQuaid2018</w:t>
            </w:r>
          </w:p>
        </w:tc>
        <w:tc>
          <w:tcPr>
            <w:tcW w:w="0" w:type="auto"/>
          </w:tcPr>
          <w:p>
            <w:pPr>
              <w:spacing w:line="240" w:lineRule="auto" w:before="0" w:after="0"/>
              <w:pStyle w:val="Compact"/>
            </w:pPr>
            <w:r>
              <w:rPr>
                <w:sz w:val="20"/>
                <w:szCs w:val="20"/>
              </w:rPr>
              <w:t xml:space="preserve">DNN_geo</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0.91</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McQuaid et al. 2018, Space object identification using deep neural networks, AMOS 2018 [illustrative]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McQuaid2018</w:t>
            </w:r>
          </w:p>
        </w:tc>
        <w:tc>
          <w:tcPr>
            <w:tcW w:w="0" w:type="auto"/>
          </w:tcPr>
          <w:p>
            <w:pPr>
              <w:spacing w:line="240" w:lineRule="auto" w:before="0" w:after="0"/>
              <w:pStyle w:val="Compact"/>
            </w:pPr>
            <w:r>
              <w:rPr>
                <w:sz w:val="20"/>
                <w:szCs w:val="20"/>
              </w:rPr>
              <w:t xml:space="preserve">DNN_geo</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0.91</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McQuaid et al. 2018, AMOS 2018 [illustrative]</w:t>
            </w:r>
          </w:p>
        </w:tc>
      </w:tr>
      <w:tr>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Shen2022</w:t>
            </w:r>
          </w:p>
        </w:tc>
        <w:tc>
          <w:tcPr>
            <w:tcW w:w="0" w:type="auto"/>
          </w:tcPr>
          <w:p>
            <w:pPr>
              <w:spacing w:line="240" w:lineRule="auto" w:before="0" w:after="0"/>
              <w:pStyle w:val="Compact"/>
            </w:pPr>
            <w:r>
              <w:rPr>
                <w:sz w:val="20"/>
                <w:szCs w:val="20"/>
              </w:rPr>
              <w:t xml:space="preserve">GAN_disc</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Shen et al. 2022, General-sum game modeling of GANs for satellite maneuver detection, AMOS 2022</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Shen2022</w:t>
            </w:r>
          </w:p>
        </w:tc>
        <w:tc>
          <w:tcPr>
            <w:tcW w:w="0" w:type="auto"/>
          </w:tcPr>
          <w:p>
            <w:pPr>
              <w:spacing w:line="240" w:lineRule="auto" w:before="0" w:after="0"/>
              <w:pStyle w:val="Compact"/>
            </w:pPr>
            <w:r>
              <w:rPr>
                <w:sz w:val="20"/>
                <w:szCs w:val="20"/>
              </w:rPr>
              <w:t xml:space="preserve">GAN_disc</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Shen et al. 2022, AMOS 2022</w:t>
            </w:r>
          </w:p>
        </w:tc>
      </w:tr>
      <w:tr>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Olson2024</w:t>
            </w:r>
          </w:p>
        </w:tc>
        <w:tc>
          <w:tcPr>
            <w:tcW w:w="0" w:type="auto"/>
          </w:tcPr>
          <w:p>
            <w:pPr>
              <w:spacing w:line="240" w:lineRule="auto" w:before="0" w:after="0"/>
              <w:pStyle w:val="Compact"/>
            </w:pPr>
            <w:r>
              <w:rPr>
                <w:sz w:val="20"/>
                <w:szCs w:val="20"/>
              </w:rPr>
              <w:t xml:space="preserve">CNN_photo</w:t>
            </w:r>
          </w:p>
        </w:tc>
        <w:tc>
          <w:tcPr>
            <w:tcW w:w="0" w:type="auto"/>
          </w:tcPr>
          <w:p>
            <w:pPr>
              <w:spacing w:line="240" w:lineRule="auto" w:before="0" w:after="0"/>
              <w:pStyle w:val="Compact"/>
            </w:pPr>
            <w:r>
              <w:rPr>
                <w:sz w:val="20"/>
                <w:szCs w:val="20"/>
              </w:rPr>
              <w:t xml:space="preserve">light_curve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Olson et al. 2024, ML-based photometric fingerprinting at scale for LEO satellite monitoring, AMOS 2024, doi:10.64861/ITMJ4093 [illustrative]</w:t>
            </w:r>
          </w:p>
        </w:tc>
      </w:tr>
      <w:tr>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Olson2024</w:t>
            </w:r>
          </w:p>
        </w:tc>
        <w:tc>
          <w:tcPr>
            <w:tcW w:w="0" w:type="auto"/>
          </w:tcPr>
          <w:p>
            <w:pPr>
              <w:spacing w:line="240" w:lineRule="auto" w:before="0" w:after="0"/>
              <w:pStyle w:val="Compact"/>
            </w:pPr>
            <w:r>
              <w:rPr>
                <w:sz w:val="20"/>
                <w:szCs w:val="20"/>
              </w:rPr>
              <w:t xml:space="preserve">CNN_photo</w:t>
            </w:r>
          </w:p>
        </w:tc>
        <w:tc>
          <w:tcPr>
            <w:tcW w:w="0" w:type="auto"/>
          </w:tcPr>
          <w:p>
            <w:pPr>
              <w:spacing w:line="240" w:lineRule="auto" w:before="0" w:after="0"/>
              <w:pStyle w:val="Compact"/>
            </w:pPr>
            <w:r>
              <w:rPr>
                <w:sz w:val="20"/>
                <w:szCs w:val="20"/>
              </w:rPr>
              <w:t xml:space="preserve">light_curve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Olson et al. 2024, AMOS 2024, doi:10.64861/ITMJ4093 [illustrative]</w:t>
            </w:r>
          </w:p>
        </w:tc>
      </w:tr>
      <w:tr>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Badura2020</w:t>
            </w:r>
          </w:p>
        </w:tc>
        <w:tc>
          <w:tcPr>
            <w:tcW w:w="0" w:type="auto"/>
          </w:tcPr>
          <w:p>
            <w:pPr>
              <w:spacing w:line="240" w:lineRule="auto" w:before="0" w:after="0"/>
              <w:pStyle w:val="Compact"/>
            </w:pPr>
            <w:r>
              <w:rPr>
                <w:sz w:val="20"/>
                <w:szCs w:val="20"/>
              </w:rPr>
              <w:t xml:space="preserve">CNN_attitude</w:t>
            </w:r>
          </w:p>
        </w:tc>
        <w:tc>
          <w:tcPr>
            <w:tcW w:w="0" w:type="auto"/>
          </w:tcPr>
          <w:p>
            <w:pPr>
              <w:spacing w:line="240" w:lineRule="auto" w:before="0" w:after="0"/>
              <w:pStyle w:val="Compact"/>
            </w:pPr>
            <w:r>
              <w:rPr>
                <w:sz w:val="20"/>
                <w:szCs w:val="20"/>
              </w:rPr>
              <w:t xml:space="preserve">light_curve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Badura et al. 2020, CNNs for inference of space object attitude status, AMOS 2020 [illustrative]</w:t>
            </w:r>
          </w:p>
        </w:tc>
      </w:tr>
      <w:tr>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Badura2020</w:t>
            </w:r>
          </w:p>
        </w:tc>
        <w:tc>
          <w:tcPr>
            <w:tcW w:w="0" w:type="auto"/>
          </w:tcPr>
          <w:p>
            <w:pPr>
              <w:spacing w:line="240" w:lineRule="auto" w:before="0" w:after="0"/>
              <w:pStyle w:val="Compact"/>
            </w:pPr>
            <w:r>
              <w:rPr>
                <w:sz w:val="20"/>
                <w:szCs w:val="20"/>
              </w:rPr>
              <w:t xml:space="preserve">CNN_attitude</w:t>
            </w:r>
          </w:p>
        </w:tc>
        <w:tc>
          <w:tcPr>
            <w:tcW w:w="0" w:type="auto"/>
          </w:tcPr>
          <w:p>
            <w:pPr>
              <w:spacing w:line="240" w:lineRule="auto" w:before="0" w:after="0"/>
              <w:pStyle w:val="Compact"/>
            </w:pPr>
            <w:r>
              <w:rPr>
                <w:sz w:val="20"/>
                <w:szCs w:val="20"/>
              </w:rPr>
              <w:t xml:space="preserve">light_curve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Badura et al. 2020, AMOS 2020 [illustrative]</w:t>
            </w:r>
          </w:p>
        </w:tc>
      </w:tr>
    </w:tbl>
    <w:bookmarkEnd w:id="92"/>
    <w:bookmarkStart w:id="9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attack_success</w:t>
            </w:r>
          </w:p>
        </w:tc>
        <w:tc>
          <w:tcPr>
            <w:tcW w:w="0" w:type="auto"/>
          </w:tcPr>
          <w:p>
            <w:pPr>
              <w:spacing w:line="240" w:lineRule="auto" w:before="0" w:after="0"/>
              <w:pStyle w:val="Compact"/>
            </w:pPr>
            <w:r>
              <w:rPr>
                <w:sz w:val="20"/>
                <w:szCs w:val="20"/>
              </w:rPr>
              <w:t xml:space="preserve">Binary indicator equal to 1 when an adversarial perturbation drives reported top-1 accuracy down by more than 20 percentage points relative to the clean baseline, otherwise 0.</w:t>
            </w:r>
          </w:p>
        </w:tc>
        <w:tc>
          <w:tcPr>
            <w:tcW w:w="0" w:type="auto"/>
          </w:tcPr>
          <w:p>
            <w:pPr>
              <w:spacing w:line="240" w:lineRule="auto" w:before="0" w:after="0"/>
              <w:pStyle w:val="Compact"/>
            </w:pPr>
            <w:r>
              <w:rPr>
                <w:sz w:val="20"/>
                <w:szCs w:val="20"/>
              </w:rPr>
              <w:t xml:space="preserve">Authors’ coding from published adversarial-robustness studies on overhead and space-domain classifiers.</w:t>
            </w:r>
          </w:p>
        </w:tc>
      </w:tr>
      <w:tr>
        <w:tc>
          <w:tcPr>
            <w:tcW w:w="0" w:type="auto"/>
          </w:tcPr>
          <w:p>
            <w:pPr>
              <w:spacing w:line="240" w:lineRule="auto" w:before="0" w:after="0"/>
              <w:pStyle w:val="Compact"/>
            </w:pPr>
            <w:r>
              <w:rPr>
                <w:sz w:val="20"/>
                <w:szCs w:val="20"/>
              </w:rPr>
              <w:t xml:space="preserve">epsilon</w:t>
            </w:r>
          </w:p>
        </w:tc>
        <w:tc>
          <w:tcPr>
            <w:tcW w:w="0" w:type="auto"/>
          </w:tcPr>
          <w:p>
            <w:pPr>
              <w:spacing w:line="240" w:lineRule="auto" w:before="0" w:after="0"/>
              <w:pStyle w:val="Compact"/>
            </w:pPr>
            <w:r>
              <w:rPr>
                <w:sz w:val="20"/>
                <w:szCs w:val="20"/>
              </w:rPr>
              <w:t xml:space="preserve">Adversarial perturbation budget in the L-infinity norm reported by the source study (image pixel intensity scale or normalized light-curve amplitude).</w:t>
            </w:r>
          </w:p>
        </w:tc>
        <w:tc>
          <w:tcPr>
            <w:tcW w:w="0" w:type="auto"/>
          </w:tcPr>
          <w:p>
            <w:pPr>
              <w:spacing w:line="240" w:lineRule="auto" w:before="0" w:after="0"/>
              <w:pStyle w:val="Compact"/>
            </w:pPr>
            <w:r>
              <w:rPr>
                <w:sz w:val="20"/>
                <w:szCs w:val="20"/>
              </w:rPr>
              <w:t xml:space="preserve">Per-row source study.</w:t>
            </w:r>
          </w:p>
        </w:tc>
      </w:tr>
      <w:tr>
        <w:tc>
          <w:tcPr>
            <w:tcW w:w="0" w:type="auto"/>
          </w:tcPr>
          <w:p>
            <w:pPr>
              <w:spacing w:line="240" w:lineRule="auto" w:before="0" w:after="0"/>
              <w:pStyle w:val="Compact"/>
            </w:pPr>
            <w:r>
              <w:rPr>
                <w:sz w:val="20"/>
                <w:szCs w:val="20"/>
              </w:rPr>
              <w:t xml:space="preserve">model_params_M</w:t>
            </w:r>
          </w:p>
        </w:tc>
        <w:tc>
          <w:tcPr>
            <w:tcW w:w="0" w:type="auto"/>
          </w:tcPr>
          <w:p>
            <w:pPr>
              <w:spacing w:line="240" w:lineRule="auto" w:before="0" w:after="0"/>
              <w:pStyle w:val="Compact"/>
            </w:pPr>
            <w:r>
              <w:rPr>
                <w:sz w:val="20"/>
                <w:szCs w:val="20"/>
              </w:rPr>
              <w:t xml:space="preserve">Trainable parameter count of the target classifier, in millions.</w:t>
            </w:r>
          </w:p>
        </w:tc>
        <w:tc>
          <w:tcPr>
            <w:tcW w:w="0" w:type="auto"/>
          </w:tcPr>
          <w:p>
            <w:pPr>
              <w:spacing w:line="240" w:lineRule="auto" w:before="0" w:after="0"/>
              <w:pStyle w:val="Compact"/>
            </w:pPr>
            <w:r>
              <w:rPr>
                <w:sz w:val="20"/>
                <w:szCs w:val="20"/>
              </w:rPr>
              <w:t xml:space="preserve">Published model cards: He et al. (2016) for ResNet, Simonyan and Zisserman (2015) for VGG, Huang et al. (2017) for DenseNet, Szegedy et al. (2016) for InceptionV3, plus per-study reports for the AMOS light-curve and photometric models.</w:t>
            </w:r>
          </w:p>
        </w:tc>
      </w:tr>
      <w:tr>
        <w:tc>
          <w:tcPr>
            <w:tcW w:w="0" w:type="auto"/>
          </w:tcPr>
          <w:p>
            <w:pPr>
              <w:spacing w:line="240" w:lineRule="auto" w:before="0" w:after="0"/>
              <w:pStyle w:val="Compact"/>
            </w:pPr>
            <w:r>
              <w:rPr>
                <w:sz w:val="20"/>
                <w:szCs w:val="20"/>
              </w:rPr>
              <w:t xml:space="preserve">defense_present</w:t>
            </w:r>
          </w:p>
        </w:tc>
        <w:tc>
          <w:tcPr>
            <w:tcW w:w="0" w:type="auto"/>
          </w:tcPr>
          <w:p>
            <w:pPr>
              <w:spacing w:line="240" w:lineRule="auto" w:before="0" w:after="0"/>
              <w:pStyle w:val="Compact"/>
            </w:pPr>
            <w:r>
              <w:rPr>
                <w:sz w:val="20"/>
                <w:szCs w:val="20"/>
              </w:rPr>
              <w:t xml:space="preserve">Indicator equal to 1 when the target model was trained with an adversarial defense (adversarial training, PSGAN, or equivalent), otherwise 0.</w:t>
            </w:r>
          </w:p>
        </w:tc>
        <w:tc>
          <w:tcPr>
            <w:tcW w:w="0" w:type="auto"/>
          </w:tcPr>
          <w:p>
            <w:pPr>
              <w:spacing w:line="240" w:lineRule="auto" w:before="0" w:after="0"/>
              <w:pStyle w:val="Compact"/>
            </w:pPr>
            <w:r>
              <w:rPr>
                <w:sz w:val="20"/>
                <w:szCs w:val="20"/>
              </w:rPr>
              <w:t xml:space="preserve">Per-row source study.</w:t>
            </w:r>
          </w:p>
        </w:tc>
      </w:tr>
    </w:tbl>
    <w:bookmarkEnd w:id="93"/>
    <w:bookmarkStart w:id="9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-1.7768</w:t>
            </w:r>
          </w:p>
        </w:tc>
        <w:tc>
          <w:tcPr>
            <w:tcW w:w="0" w:type="auto"/>
          </w:tcPr>
          <w:p>
            <w:pPr>
              <w:spacing w:line="240" w:lineRule="auto" w:before="0" w:after="0"/>
              <w:pStyle w:val="Compact"/>
            </w:pPr>
            <w:r>
              <w:rPr>
                <w:sz w:val="20"/>
                <w:szCs w:val="20"/>
              </w:rPr>
              <w:t xml:space="preserve">1.598</w:t>
            </w:r>
          </w:p>
        </w:tc>
        <w:tc>
          <w:tcPr>
            <w:tcW w:w="0" w:type="auto"/>
          </w:tcPr>
          <w:p>
            <w:pPr>
              <w:spacing w:line="240" w:lineRule="auto" w:before="0" w:after="0"/>
              <w:pStyle w:val="Compact"/>
            </w:pPr>
            <w:r>
              <w:rPr>
                <w:sz w:val="20"/>
                <w:szCs w:val="20"/>
              </w:rPr>
              <w:t xml:space="preserve">-1.1119</w:t>
            </w:r>
          </w:p>
        </w:tc>
        <w:tc>
          <w:tcPr>
            <w:tcW w:w="0" w:type="auto"/>
          </w:tcPr>
          <w:p>
            <w:pPr>
              <w:spacing w:line="240" w:lineRule="auto" w:before="0" w:after="0"/>
              <w:pStyle w:val="Compact"/>
            </w:pPr>
            <w:r>
              <w:rPr>
                <w:sz w:val="20"/>
                <w:szCs w:val="20"/>
              </w:rPr>
              <w:t xml:space="preserve">0.2662</w:t>
            </w:r>
          </w:p>
        </w:tc>
        <w:tc>
          <w:tcPr>
            <w:tcW w:w="0" w:type="auto"/>
          </w:tcPr>
          <w:p>
            <w:pPr>
              <w:spacing w:line="240" w:lineRule="auto" w:before="0" w:after="0"/>
              <w:pStyle w:val="Compact"/>
            </w:pPr>
            <w:r>
              <w:rPr>
                <w:sz w:val="20"/>
                <w:szCs w:val="20"/>
              </w:rPr>
              <w:t xml:space="preserve">[-4.9089, 1.3552]</w:t>
            </w:r>
          </w:p>
        </w:tc>
      </w:tr>
      <w:tr>
        <w:tc>
          <w:tcPr>
            <w:tcW w:w="0" w:type="auto"/>
          </w:tcPr>
          <w:p>
            <w:pPr>
              <w:spacing w:line="240" w:lineRule="auto" w:before="0" w:after="0"/>
              <w:pStyle w:val="Compact"/>
            </w:pPr>
            <w:r>
              <w:rPr>
                <w:sz w:val="20"/>
                <w:szCs w:val="20"/>
              </w:rPr>
              <w:t xml:space="preserve">epsilon</w:t>
            </w:r>
          </w:p>
        </w:tc>
        <w:tc>
          <w:tcPr>
            <w:tcW w:w="0" w:type="auto"/>
          </w:tcPr>
          <w:p>
            <w:pPr>
              <w:spacing w:line="240" w:lineRule="auto" w:before="0" w:after="0"/>
              <w:pStyle w:val="Compact"/>
            </w:pPr>
            <w:r>
              <w:rPr>
                <w:sz w:val="20"/>
                <w:szCs w:val="20"/>
              </w:rPr>
              <w:t xml:space="preserve">489.3226</w:t>
            </w:r>
          </w:p>
        </w:tc>
        <w:tc>
          <w:tcPr>
            <w:tcW w:w="0" w:type="auto"/>
          </w:tcPr>
          <w:p>
            <w:pPr>
              <w:spacing w:line="240" w:lineRule="auto" w:before="0" w:after="0"/>
              <w:pStyle w:val="Compact"/>
            </w:pPr>
            <w:r>
              <w:rPr>
                <w:sz w:val="20"/>
                <w:szCs w:val="20"/>
              </w:rPr>
              <w:t xml:space="preserve">249.5652</w:t>
            </w:r>
          </w:p>
        </w:tc>
        <w:tc>
          <w:tcPr>
            <w:tcW w:w="0" w:type="auto"/>
          </w:tcPr>
          <w:p>
            <w:pPr>
              <w:spacing w:line="240" w:lineRule="auto" w:before="0" w:after="0"/>
              <w:pStyle w:val="Compact"/>
            </w:pPr>
            <w:r>
              <w:rPr>
                <w:sz w:val="20"/>
                <w:szCs w:val="20"/>
              </w:rPr>
              <w:t xml:space="preserve">1.9607</w:t>
            </w:r>
          </w:p>
        </w:tc>
        <w:tc>
          <w:tcPr>
            <w:tcW w:w="0" w:type="auto"/>
          </w:tcPr>
          <w:p>
            <w:pPr>
              <w:spacing w:line="240" w:lineRule="auto" w:before="0" w:after="0"/>
              <w:pStyle w:val="Compact"/>
            </w:pPr>
            <w:r>
              <w:rPr>
                <w:sz w:val="20"/>
                <w:szCs w:val="20"/>
              </w:rPr>
              <w:t xml:space="preserve">0.0499</w:t>
            </w:r>
          </w:p>
        </w:tc>
        <w:tc>
          <w:tcPr>
            <w:tcW w:w="0" w:type="auto"/>
          </w:tcPr>
          <w:p>
            <w:pPr>
              <w:spacing w:line="240" w:lineRule="auto" w:before="0" w:after="0"/>
              <w:pStyle w:val="Compact"/>
            </w:pPr>
            <w:r>
              <w:rPr>
                <w:sz w:val="20"/>
                <w:szCs w:val="20"/>
              </w:rPr>
              <w:t xml:space="preserve">[0.1837, 978.4615]</w:t>
            </w:r>
          </w:p>
        </w:tc>
      </w:tr>
      <w:tr>
        <w:tc>
          <w:tcPr>
            <w:tcW w:w="0" w:type="auto"/>
          </w:tcPr>
          <w:p>
            <w:pPr>
              <w:spacing w:line="240" w:lineRule="auto" w:before="0" w:after="0"/>
              <w:pStyle w:val="Compact"/>
            </w:pPr>
            <w:r>
              <w:rPr>
                <w:sz w:val="20"/>
                <w:szCs w:val="20"/>
              </w:rPr>
              <w:t xml:space="preserve">model_params_M</w:t>
            </w:r>
          </w:p>
        </w:tc>
        <w:tc>
          <w:tcPr>
            <w:tcW w:w="0" w:type="auto"/>
          </w:tcPr>
          <w:p>
            <w:pPr>
              <w:spacing w:line="240" w:lineRule="auto" w:before="0" w:after="0"/>
              <w:pStyle w:val="Compact"/>
            </w:pPr>
            <w:r>
              <w:rPr>
                <w:sz w:val="20"/>
                <w:szCs w:val="20"/>
              </w:rPr>
              <w:t xml:space="preserve">-0.0074</w:t>
            </w:r>
          </w:p>
        </w:tc>
        <w:tc>
          <w:tcPr>
            <w:tcW w:w="0" w:type="auto"/>
          </w:tcPr>
          <w:p>
            <w:pPr>
              <w:spacing w:line="240" w:lineRule="auto" w:before="0" w:after="0"/>
              <w:pStyle w:val="Compact"/>
            </w:pPr>
            <w:r>
              <w:rPr>
                <w:sz w:val="20"/>
                <w:szCs w:val="20"/>
              </w:rPr>
              <w:t xml:space="preserve">0.0186</w:t>
            </w:r>
          </w:p>
        </w:tc>
        <w:tc>
          <w:tcPr>
            <w:tcW w:w="0" w:type="auto"/>
          </w:tcPr>
          <w:p>
            <w:pPr>
              <w:spacing w:line="240" w:lineRule="auto" w:before="0" w:after="0"/>
              <w:pStyle w:val="Compact"/>
            </w:pPr>
            <w:r>
              <w:rPr>
                <w:sz w:val="20"/>
                <w:szCs w:val="20"/>
              </w:rPr>
              <w:t xml:space="preserve">-0.3961</w:t>
            </w:r>
          </w:p>
        </w:tc>
        <w:tc>
          <w:tcPr>
            <w:tcW w:w="0" w:type="auto"/>
          </w:tcPr>
          <w:p>
            <w:pPr>
              <w:spacing w:line="240" w:lineRule="auto" w:before="0" w:after="0"/>
              <w:pStyle w:val="Compact"/>
            </w:pPr>
            <w:r>
              <w:rPr>
                <w:sz w:val="20"/>
                <w:szCs w:val="20"/>
              </w:rPr>
              <w:t xml:space="preserve">0.692</w:t>
            </w:r>
          </w:p>
        </w:tc>
        <w:tc>
          <w:tcPr>
            <w:tcW w:w="0" w:type="auto"/>
          </w:tcPr>
          <w:p>
            <w:pPr>
              <w:spacing w:line="240" w:lineRule="auto" w:before="0" w:after="0"/>
              <w:pStyle w:val="Compact"/>
            </w:pPr>
            <w:r>
              <w:rPr>
                <w:sz w:val="20"/>
                <w:szCs w:val="20"/>
              </w:rPr>
              <w:t xml:space="preserve">[-0.0438, 0.0291]</w:t>
            </w:r>
          </w:p>
        </w:tc>
      </w:tr>
      <w:tr>
        <w:tc>
          <w:tcPr>
            <w:tcW w:w="0" w:type="auto"/>
          </w:tcPr>
          <w:p>
            <w:pPr>
              <w:spacing w:line="240" w:lineRule="auto" w:before="0" w:after="0"/>
              <w:pStyle w:val="Compact"/>
            </w:pPr>
            <w:r>
              <w:rPr>
                <w:sz w:val="20"/>
                <w:szCs w:val="20"/>
              </w:rPr>
              <w:t xml:space="preserve">defense_present</w:t>
            </w:r>
          </w:p>
        </w:tc>
        <w:tc>
          <w:tcPr>
            <w:tcW w:w="0" w:type="auto"/>
          </w:tcPr>
          <w:p>
            <w:pPr>
              <w:spacing w:line="240" w:lineRule="auto" w:before="0" w:after="0"/>
              <w:pStyle w:val="Compact"/>
            </w:pPr>
            <w:r>
              <w:rPr>
                <w:sz w:val="20"/>
                <w:szCs w:val="20"/>
              </w:rPr>
              <w:t xml:space="preserve">-3.105</w:t>
            </w:r>
          </w:p>
        </w:tc>
        <w:tc>
          <w:tcPr>
            <w:tcW w:w="0" w:type="auto"/>
          </w:tcPr>
          <w:p>
            <w:pPr>
              <w:spacing w:line="240" w:lineRule="auto" w:before="0" w:after="0"/>
              <w:pStyle w:val="Compact"/>
            </w:pPr>
            <w:r>
              <w:rPr>
                <w:sz w:val="20"/>
                <w:szCs w:val="20"/>
              </w:rPr>
              <w:t xml:space="preserve">1.364</w:t>
            </w:r>
          </w:p>
        </w:tc>
        <w:tc>
          <w:tcPr>
            <w:tcW w:w="0" w:type="auto"/>
          </w:tcPr>
          <w:p>
            <w:pPr>
              <w:spacing w:line="240" w:lineRule="auto" w:before="0" w:after="0"/>
              <w:pStyle w:val="Compact"/>
            </w:pPr>
            <w:r>
              <w:rPr>
                <w:sz w:val="20"/>
                <w:szCs w:val="20"/>
              </w:rPr>
              <w:t xml:space="preserve">-2.2763</w:t>
            </w:r>
          </w:p>
        </w:tc>
        <w:tc>
          <w:tcPr>
            <w:tcW w:w="0" w:type="auto"/>
          </w:tcPr>
          <w:p>
            <w:pPr>
              <w:spacing w:line="240" w:lineRule="auto" w:before="0" w:after="0"/>
              <w:pStyle w:val="Compact"/>
            </w:pPr>
            <w:r>
              <w:rPr>
                <w:sz w:val="20"/>
                <w:szCs w:val="20"/>
              </w:rPr>
              <w:t xml:space="preserve">0.0228</w:t>
            </w:r>
          </w:p>
        </w:tc>
        <w:tc>
          <w:tcPr>
            <w:tcW w:w="0" w:type="auto"/>
          </w:tcPr>
          <w:p>
            <w:pPr>
              <w:spacing w:line="240" w:lineRule="auto" w:before="0" w:after="0"/>
              <w:pStyle w:val="Compact"/>
            </w:pPr>
            <w:r>
              <w:rPr>
                <w:sz w:val="20"/>
                <w:szCs w:val="20"/>
              </w:rPr>
              <w:t xml:space="preserve">[-5.7785, -0.4315]</w:t>
            </w:r>
          </w:p>
        </w:tc>
      </w:tr>
    </w:tbl>
    <w:p>
      <w:pPr>
        <w:pStyle w:val="BodyText"/>
      </w:pPr>
      <w:r>
        <w:t xml:space="preserve">Fit: N = 36 pseudo_R2 = 0.3525 LL = -12.3466</w:t>
      </w:r>
    </w:p>
    <w:bookmarkEnd w:id="94"/>
    <w:bookmarkEnd w:id="95"/>
    <w:bookmarkEnd w:id="9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8" Target="media/rId88.png" /><Relationship Type="http://schemas.openxmlformats.org/officeDocument/2006/relationships/hyperlink" Id="rId73" Target="https://doi.org/10.1109/IGARSS47720.2021.9554364" TargetMode="External" /><Relationship Type="http://schemas.openxmlformats.org/officeDocument/2006/relationships/hyperlink" Id="rId69" Target="https://doi.org/10.1109/TGRS.2021.3051641" TargetMode="External" /><Relationship Type="http://schemas.openxmlformats.org/officeDocument/2006/relationships/hyperlink" Id="rId83" Target="https://doi.org/10.1109/TGRS.2021.3081421" TargetMode="External" /><Relationship Type="http://schemas.openxmlformats.org/officeDocument/2006/relationships/hyperlink" Id="rId71" Target="https://doi.org/10.3390/rs12162671" TargetMode="External" /><Relationship Type="http://schemas.openxmlformats.org/officeDocument/2006/relationships/hyperlink" Id="rId81" Target="https://doi.org/10.64861/ITMJ4093" TargetMode="External" /><Relationship Type="http://schemas.openxmlformats.org/officeDocument/2006/relationships/hyperlink" Id="rId79" Target="https://doi.org/10.64861/RBAG6762"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1109/IGARSS47720.2021.9554364" TargetMode="External" /><Relationship Type="http://schemas.openxmlformats.org/officeDocument/2006/relationships/hyperlink" Id="rId69" Target="https://doi.org/10.1109/TGRS.2021.3051641" TargetMode="External" /><Relationship Type="http://schemas.openxmlformats.org/officeDocument/2006/relationships/hyperlink" Id="rId83" Target="https://doi.org/10.1109/TGRS.2021.3081421" TargetMode="External" /><Relationship Type="http://schemas.openxmlformats.org/officeDocument/2006/relationships/hyperlink" Id="rId71" Target="https://doi.org/10.3390/rs12162671" TargetMode="External" /><Relationship Type="http://schemas.openxmlformats.org/officeDocument/2006/relationships/hyperlink" Id="rId81" Target="https://doi.org/10.64861/ITMJ4093" TargetMode="External" /><Relationship Type="http://schemas.openxmlformats.org/officeDocument/2006/relationships/hyperlink" Id="rId79" Target="https://doi.org/10.64861/RBAG676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2026-06-27T13:10:28Z</dcterms:created>
  <dcterms:modified xsi:type="dcterms:W3CDTF">2026-06-27T13:10:28Z</dcterms:modified>
</cp:coreProperties>
</file>

<file path=docProps/custom.xml><?xml version="1.0" encoding="utf-8"?>
<Properties xmlns="http://schemas.openxmlformats.org/officeDocument/2006/custom-properties" xmlns:vt="http://schemas.openxmlformats.org/officeDocument/2006/docPropsVTypes"/>
</file>