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ADVERSARIAL INPUTS TO SPACE AI: MEASURING THE SENSITIVITY OF ON-ORBIT OBJECT-CLASSIFICATION MODELS</w:t>
      </w:r>
    </w:p>
    <w:p>
      <w:pPr>
        <w:jc w:val="center"/>
      </w:pPr>
    </w:p>
    <w:p>
      <w:pPr>
        <w:jc w:val="center"/>
      </w:pPr>
      <w:r>
        <w:rPr>
          <w:rFonts w:ascii="Times New Roman" w:hAnsi="Times New Roman"/>
          <w:sz w:val="24"/>
        </w:rPr>
        <w:t>by</w:t>
      </w:r>
    </w:p>
    <w:p>
      <w:pPr>
        <w:jc w:val="center"/>
      </w:pPr>
      <w:r>
        <w:rPr>
          <w:rFonts w:ascii="Times New Roman" w:hAnsi="Times New Roman"/>
          <w:b/>
          <w:sz w:val="28"/>
        </w:rPr>
        <w:t>Tessa Lindqvist</w:t>
      </w:r>
    </w:p>
    <w:p>
      <w:pPr>
        <w:jc w:val="center"/>
      </w:pPr>
      <w:r>
        <w:rPr>
          <w:rFonts w:ascii="Times New Roman" w:hAnsi="Times New Roman"/>
          <w:sz w:val="24"/>
        </w:rPr>
        <w:t>1B-ITI-125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operational-problem"/>
    <w:p>
      <w:pPr>
        <w:pStyle w:val="Heading2"/>
        <w:spacing w:line="480" w:lineRule="auto"/>
      </w:pPr>
      <w:r>
        <w:t xml:space="preserve">1.1 The Operational Problem</w:t>
      </w:r>
    </w:p>
    <w:p>
      <w:pPr>
        <w:pStyle w:val="FirstParagraph"/>
        <w:spacing w:line="480" w:lineRule="auto"/>
      </w:pPr>
      <w:r>
        <w:t xml:space="preserve">Inside a single decade, space situational awareness (SSA) has moved from a discipline run on classical astrodynamics and human-in-the-loop catalog maintenance to one in which deep neural classifiers sit directly inside the chain of inference that connects a photon arriving at a sensor to a label pinned on a resident space object (RSO). Convolutional architectures, trained on simulated and observatory-collected light curves, now recover shape, attitude regime, and behavioural class from unresolved photometric sequences; on in-distribution benchmarks their accuracy rivals what classical feature-engineering pipelines could only approximate [1, 3, 5]. Physics-based rendering pipelines, propagated through high-fidelity astrodynamics libraries, have handed the community its first synthesised debris corpora at scales large enough to feed modern deep architectures</w:t>
      </w:r>
      <w:r>
        <w:t xml:space="preserve"> </w:t>
      </w:r>
      <w:hyperlink w:anchor="ref-2">
        <w:r>
          <w:rPr>
            <w:rStyle w:val="Hyperlink"/>
          </w:rPr>
          <w:t xml:space="preserve">[2]</w:t>
        </w:r>
      </w:hyperlink>
      <w:r>
        <w:t xml:space="preserve">. Operational integrations followed. Spin-status characterisation and initial orbit determination from single optical tracks now run inside AI-augmented pipelines that ingest light curves and emit decision-grade products</w:t>
      </w:r>
      <w:r>
        <w:t xml:space="preserve"> </w:t>
      </w:r>
      <w:hyperlink w:anchor="ref-4">
        <w:r>
          <w:rPr>
            <w:rStyle w:val="Hyperlink"/>
          </w:rPr>
          <w:t xml:space="preserve">[4]</w:t>
        </w:r>
      </w:hyperlink>
      <w:r>
        <w:t xml:space="preserve">. When the survey literature maps the SSA stack, it places learning-based methods, and convolutional networks above all, as a maturing pillar alongside batch and sequential estimation [6, 28].</w:t>
      </w:r>
    </w:p>
    <w:p>
      <w:pPr>
        <w:pStyle w:val="BodyText"/>
        <w:spacing w:line="480" w:lineRule="auto"/>
        <w:ind w:firstLine="720"/>
      </w:pPr>
      <w:r>
        <w:t xml:space="preserve">That same integration is visible inside the United States civil space architecture. NASA’s Conjunction Assessment Risk Analysis function and its partner organisations at the Jet Propulsion Laboratory (JPL) steward the high-value robotic missions whose conjunction screening, manoeuvre planning, and custody handover increasingly draw on third-party catalog products, and they sit downstream of exactly the class of classifier this dissertation studies. A conjunction screening result is only as sound as two things: the covariance of the underlying state estimate, whose probabilistic structure has been examined at length</w:t>
      </w:r>
      <w:r>
        <w:t xml:space="preserve"> </w:t>
      </w:r>
      <w:hyperlink w:anchor="ref-31">
        <w:r>
          <w:rPr>
            <w:rStyle w:val="Hyperlink"/>
          </w:rPr>
          <w:t xml:space="preserve">[31]</w:t>
        </w:r>
      </w:hyperlink>
      <w:r>
        <w:t xml:space="preserve">, and the correctness of the upstream behavioural and shape labels that condition propagation assumptions, ballistic coefficients, and active-versus-debris status. Mislabel a resident object, and the error travels through the screening pipeline into manoeuvre recommendations whose financial and mission consequences are large, irreversible, and concentrated on a handful of high-value assets in the JPL portfolio. So the operational stake is not abstract. It is denominated in mission days, propellant budgets, and the credibility of automated decision aids whose adoption is a precondition for the scale at which civil and commercial SSA must now operate.</w:t>
      </w:r>
    </w:p>
    <w:bookmarkEnd w:id="61"/>
    <w:bookmarkStart w:id="62" w:name="Xfb30a41fba4608d8473ab95b710f0afe8cf38cf"/>
    <w:p>
      <w:pPr>
        <w:pStyle w:val="Heading2"/>
        <w:spacing w:line="480" w:lineRule="auto"/>
      </w:pPr>
      <w:r>
        <w:t xml:space="preserve">1.2 Why Adversarial Sensitivity Is the Right Question</w:t>
      </w:r>
    </w:p>
    <w:p>
      <w:pPr>
        <w:pStyle w:val="FirstParagraph"/>
        <w:spacing w:line="480" w:lineRule="auto"/>
      </w:pPr>
      <w:r>
        <w:t xml:space="preserve">This dissertation asks one narrow, deliberate question. Not whether deep classifiers reach high in-distribution accuracy, since that answer is settled [1, 2, 3, 5]. Not whether the SSA community can build adversarial models for synthetic-data augmentation or generative manoeuvre detection, since that too has been shown [7, 8, 20, 21]. The question is how sensitive the published classifier is to small, physically plausible perturbations of its input observable, and whether that sensitivity can be told apart, statistically, from the classifier’s natural fragility under stochastic photometric noise of equal energy. That quantity is the adversarial-robustness boundary of an on-orbit classification pipeline, and it is precisely what an acquisition officer, a mission director, or a JPL conjunction analyst must price before wiring a classifier into an automated decision aid.</w:t>
      </w:r>
    </w:p>
    <w:p>
      <w:pPr>
        <w:pStyle w:val="BodyText"/>
        <w:spacing w:line="480" w:lineRule="auto"/>
        <w:ind w:firstLine="720"/>
      </w:pPr>
      <w:r>
        <w:t xml:space="preserve">Three observations make adversarial sensitivity the operative measurement. Start with the threat model, which is not speculative. Across architectures, and repeatedly, the adversarial-examples literature on overhead and remote-sensing imagery has shown standard convolutional classifiers dropping large amounts of accuracy under small L-infinity or L-two perturbations [9, 10, 11, 12, 18]. What produces those drops, namely high-dimensional decision surfaces along which gradient-aligned perturbations accumulate disproportionate loss, is a property of the architectures themselves rather than of the sensing modality. No first-principles reason exists to expect a convolutional classifier trained on light curves to be immune to the failure mode already documented on remote-sensing scene classification.</w:t>
      </w:r>
    </w:p>
    <w:p>
      <w:pPr>
        <w:pStyle w:val="BodyText"/>
        <w:spacing w:line="480" w:lineRule="auto"/>
        <w:ind w:firstLine="720"/>
      </w:pPr>
      <w:r>
        <w:t xml:space="preserve">Consider next how the SSA literature has met the adversarial frame: on the constructive side, and almost nowhere else. Shen and colleagues put generative adversarial networks to work on satellite manoeuvre detection and game-theoretic synthetic-data generation [7, 8, 20]. Abay and colleagues turned adversarial generative architectures on manoeuvre detection over space-object track data</w:t>
      </w:r>
      <w:r>
        <w:t xml:space="preserve"> </w:t>
      </w:r>
      <w:hyperlink w:anchor="ref-21">
        <w:r>
          <w:rPr>
            <w:rStyle w:val="Hyperlink"/>
          </w:rPr>
          <w:t xml:space="preserve">[21]</w:t>
        </w:r>
      </w:hyperlink>
      <w:r>
        <w:t xml:space="preserve">. Boh, Funke, and Akella opened up game-theoretical formulations of cislunar SSA</w:t>
      </w:r>
      <w:r>
        <w:t xml:space="preserve"> </w:t>
      </w:r>
      <w:hyperlink w:anchor="ref-22">
        <w:r>
          <w:rPr>
            <w:rStyle w:val="Hyperlink"/>
          </w:rPr>
          <w:t xml:space="preserve">[22]</w:t>
        </w:r>
      </w:hyperlink>
      <w:r>
        <w:t xml:space="preserve">. Paligo and Fields simulated adversary actions meant to disrupt space operations, using the simulation as a rehearsal vehicle for detection and response</w:t>
      </w:r>
      <w:r>
        <w:t xml:space="preserve"> </w:t>
      </w:r>
      <w:hyperlink w:anchor="ref-23">
        <w:r>
          <w:rPr>
            <w:rStyle w:val="Hyperlink"/>
          </w:rPr>
          <w:t xml:space="preserve">[23]</w:t>
        </w:r>
      </w:hyperlink>
      <w:r>
        <w:t xml:space="preserve">. In the closely related domain of autonomous planetary landing guidance, navigation, and control, Wang and Aouf began to study efficient detection of adversarial attacks on deep reinforcement-learning agents</w:t>
      </w:r>
      <w:r>
        <w:t xml:space="preserve"> </w:t>
      </w:r>
      <w:hyperlink w:anchor="ref-26">
        <w:r>
          <w:rPr>
            <w:rStyle w:val="Hyperlink"/>
          </w:rPr>
          <w:t xml:space="preserve">[26]</w:t>
        </w:r>
      </w:hyperlink>
      <w:r>
        <w:t xml:space="preserve">. So the adversarial toolkit is already present in the space-AI literature. What is missing, conspicuously, is its use as a threat model against the dominant published light-curve classifier families.</w:t>
      </w:r>
    </w:p>
    <w:p>
      <w:pPr>
        <w:pStyle w:val="BodyText"/>
        <w:spacing w:line="480" w:lineRule="auto"/>
        <w:ind w:firstLine="720"/>
      </w:pPr>
      <w:r>
        <w:t xml:space="preserve">The policy environment supplies the third reason, and it is the one that makes the measurement urgent rather than merely interesting. Writing in the legal-policy literature, Bratu and Freeland have argued that the militarisation of outer space and the arrival of autonomous systems in orbital operations carry implications the existing legal apparatus has yet to absorb</w:t>
      </w:r>
      <w:r>
        <w:t xml:space="preserve"> </w:t>
      </w:r>
      <w:hyperlink w:anchor="ref-27">
        <w:r>
          <w:rPr>
            <w:rStyle w:val="Hyperlink"/>
          </w:rPr>
          <w:t xml:space="preserve">[27]</w:t>
        </w:r>
      </w:hyperlink>
      <w:r>
        <w:t xml:space="preserve">. Insert a classifier whose sensitivity profile under bounded adversarial perturbation is unknown into a decision aid whose outputs may soon condition autonomous responses, and responsibility is compromised at the point of integration. On the policy face of it, the measurement is a precondition.</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Sweep the AMOS Conference proceedings and Acta Astronautica systematically, as the candidate did under the applicable research protocols, and the return is substantial: work on building and benchmarking deep classifiers for SSA light curves [1, 2, 3, 5, 13, 14, 16], on folding those classifiers into operational pipelines</w:t>
      </w:r>
      <w:r>
        <w:t xml:space="preserve"> </w:t>
      </w:r>
      <w:hyperlink w:anchor="ref-4">
        <w:r>
          <w:rPr>
            <w:rStyle w:val="Hyperlink"/>
          </w:rPr>
          <w:t xml:space="preserve">[4]</w:t>
        </w:r>
      </w:hyperlink>
      <w:r>
        <w:t xml:space="preserve">, and on survey-level mapping of learning-based methods across the SSA stack [6, 28, 29]. Substantial work comes back, too, on the constructive use of adversarial architectures for manoeuvre detection and synthetic-data generation [7, 8, 20, 21]. Adjacent hits arrive on adversarial-attack detection in deep reinforcement-learning agents for autonomous landing</w:t>
      </w:r>
      <w:r>
        <w:t xml:space="preserve"> </w:t>
      </w:r>
      <w:hyperlink w:anchor="ref-26">
        <w:r>
          <w:rPr>
            <w:rStyle w:val="Hyperlink"/>
          </w:rPr>
          <w:t xml:space="preserve">[26]</w:t>
        </w:r>
      </w:hyperlink>
      <w:r>
        <w:t xml:space="preserve">, on sensitivity analysis of collision-probability estimates [25, 31], and on the broader instrumentation, sensor, and mission-engineering envelope within which SSA observables are produced [19, 24, 30, 32, 33]. Query the conjunction of adversarial-input robustness with on-orbit object classification, and the Acta Astronautica corpus returns zero hits; the AMOS corpus returns no robustness-specific paper beyond the constructive generative-adversarial usage of Shen and colleagues [7, 8].</w:t>
      </w:r>
    </w:p>
    <w:p>
      <w:pPr>
        <w:pStyle w:val="BodyText"/>
        <w:spacing w:line="480" w:lineRule="auto"/>
        <w:ind w:firstLine="720"/>
      </w:pPr>
      <w:r>
        <w:t xml:space="preserve">By contrast, the remote-sensing adversarial-examples literature has matured along exactly the axis the SSA literature has not. Czaja and colleagues established the baseline pattern of accuracy degradation under bounded perturbations on overhead imagery</w:t>
      </w:r>
      <w:r>
        <w:t xml:space="preserve"> </w:t>
      </w:r>
      <w:hyperlink w:anchor="ref-9">
        <w:r>
          <w:rPr>
            <w:rStyle w:val="Hyperlink"/>
          </w:rPr>
          <w:t xml:space="preserve">[9]</w:t>
        </w:r>
      </w:hyperlink>
      <w:r>
        <w:t xml:space="preserve">. An empirical study across architectures and budget regimes came from Chen and colleagues on remote-sensing scene classification</w:t>
      </w:r>
      <w:r>
        <w:t xml:space="preserve"> </w:t>
      </w:r>
      <w:hyperlink w:anchor="ref-10">
        <w:r>
          <w:rPr>
            <w:rStyle w:val="Hyperlink"/>
          </w:rPr>
          <w:t xml:space="preserve">[10]</w:t>
        </w:r>
      </w:hyperlink>
      <w:r>
        <w:t xml:space="preserve">. Xu, Du, and Zhang assessed the threat of adversarial examples on deep classifiers for remote-sensing scenes and reported how attack success depends on perturbation magnitude</w:t>
      </w:r>
      <w:r>
        <w:t xml:space="preserve"> </w:t>
      </w:r>
      <w:hyperlink w:anchor="ref-11">
        <w:r>
          <w:rPr>
            <w:rStyle w:val="Hyperlink"/>
          </w:rPr>
          <w:t xml:space="preserve">[11]</w:t>
        </w:r>
      </w:hyperlink>
      <w:r>
        <w:t xml:space="preserve">. Burnel, Chan-Hon-Tong, and Audebert generated adversarial examples with explicit adversarial-training defences held out as a comparison condition</w:t>
      </w:r>
      <w:r>
        <w:t xml:space="preserve"> </w:t>
      </w:r>
      <w:hyperlink w:anchor="ref-12">
        <w:r>
          <w:rPr>
            <w:rStyle w:val="Hyperlink"/>
          </w:rPr>
          <w:t xml:space="preserve">[12]</w:t>
        </w:r>
      </w:hyperlink>
      <w:r>
        <w:t xml:space="preserve">. Cheng and colleagues introduced perturbation-seeking generative defences as a hardening intervention whose effect on attack success could be measured</w:t>
      </w:r>
      <w:r>
        <w:t xml:space="preserve"> </w:t>
      </w:r>
      <w:hyperlink w:anchor="ref-17">
        <w:r>
          <w:rPr>
            <w:rStyle w:val="Hyperlink"/>
          </w:rPr>
          <w:t xml:space="preserve">[17]</w:t>
        </w:r>
      </w:hyperlink>
      <w:r>
        <w:t xml:space="preserve">. Controlled perturbation-budget grids, paired attack-and-defence conditions, regression-based estimands relating attack success to design choices: this is the methodological apparatus the SSA light-curve literature lacks.</w:t>
      </w:r>
    </w:p>
    <w:p>
      <w:pPr>
        <w:pStyle w:val="BodyText"/>
        <w:spacing w:line="480" w:lineRule="auto"/>
        <w:ind w:firstLine="720"/>
      </w:pPr>
      <w:r>
        <w:t xml:space="preserve">State the gap precisely, and it is a missing measurement. Classifiers, labelled corpora, operational integration pathways: the SSA domain literature has all three [1, 2, 3, 4, 5, 6]. Experimental design and inferential machinery: the econometric method literature, as instantiated in the remote-sensing adversarial-examples community, has both [9, 10, 11, 12, 17, 18]. Yet no paper in either corpus has run, on the dominant SSA light-curve architecture family, a controlled perturbation-budget experiment whose primary estimand is the sensitivity of classifier accuracy to bounded adversarial perturbation, benchmarked against matched-energy stochastic photometric noise. The companion analysis in the candidate’s second research paper pools thirty-six attack trials across overhead-imagery and space-domain classifiers into a single logistic regression of attack success on perturbation budget, parameter count, and defence status; it shows the econometric machinery can be brought to bear on the pooled evidence, and it names perturbation budget and defence status as the channels through which attack risk concentrates. What that pooled analysis cannot do, by construction, is deliver an architecture-specific, dataset-specific, falsifiable sensitivity estimate for the SSA light-curve classifier on which NASA and JPL operational integration would actually rest. That estimate is the measurement this dissertation produces.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quantitative estimand comes out of this dissertation. Let R denote the adversarial-to-noise sensitivity ratio: the absolute slope of top-one classification accuracy with respect to perturbation budget under a worst-case bounded adversarial perturbation, divided by the absolute slope of top-one classification accuracy with respect to perturbation budget under matched-energy stochastic photometric noise. Both are evaluated on a fixed held-out partition of the Adriano, Scott, and Azad synthetic-debris light-curve benchmark</w:t>
      </w:r>
      <w:r>
        <w:t xml:space="preserve"> </w:t>
      </w:r>
      <w:hyperlink w:anchor="ref-2">
        <w:r>
          <w:rPr>
            <w:rStyle w:val="Hyperlink"/>
          </w:rPr>
          <w:t xml:space="preserve">[2]</w:t>
        </w:r>
      </w:hyperlink>
      <w:r>
        <w:t xml:space="preserve">, with a reproduction of the Furfaro, Linares, and Reddy convolutional architecture</w:t>
      </w:r>
      <w:r>
        <w:t xml:space="preserve"> </w:t>
      </w:r>
      <w:hyperlink w:anchor="ref-1">
        <w:r>
          <w:rPr>
            <w:rStyle w:val="Hyperlink"/>
          </w:rPr>
          <w:t xml:space="preserve">[1]</w:t>
        </w:r>
      </w:hyperlink>
      <w:r>
        <w:t xml:space="preserve"> </w:t>
      </w:r>
      <w:r>
        <w:t xml:space="preserve">as the primary classifier. Slopes are estimated over the linear regime of the accuracy-versus-budget curve. The perturbation budget grid is pre-registered to bracket the photometric noise floor reported in the source dataset, the bootstrap-resample seed list and partitioning scheme are pre-registered ahead of any evaluation run, and a bootstrap resampling of the held-out partition builds the confidence interval on R.</w:t>
      </w:r>
    </w:p>
    <w:p>
      <w:pPr>
        <w:pStyle w:val="BodyText"/>
        <w:spacing w:line="480" w:lineRule="auto"/>
        <w:ind w:firstLine="720"/>
      </w:pPr>
      <w:r>
        <w:t xml:space="preserve">Two hypotheses follow.</w:t>
      </w:r>
    </w:p>
    <w:p>
      <w:pPr>
        <w:pStyle w:val="BodyText"/>
        <w:spacing w:line="480" w:lineRule="auto"/>
        <w:ind w:firstLine="720"/>
      </w:pPr>
      <w:r>
        <w:t xml:space="preserve">H0: R equals one. Against a bounded adversarial perturbation of L-two energy E, the published light-curve classifier is no more sensitive than it is to stochastic photometric noise of L-two energy E. Whatever fragility the classifier shows under adversarial input is fully accounted for by its fragility under sensor noise of equal magnitude, and adversarial-input risk raises no distinct concern beyond the noise budget that conjunction analysts and mission directors already price.</w:t>
      </w:r>
    </w:p>
    <w:p>
      <w:pPr>
        <w:pStyle w:val="BodyText"/>
        <w:spacing w:line="480" w:lineRule="auto"/>
        <w:ind w:firstLine="720"/>
      </w:pPr>
      <w:r>
        <w:t xml:space="preserve">H1: R is greater than one, with a pre-registered minimum effect size of R greater than or equal to two. A structured adversarial perturbation moves the classifier materially more than matched-energy noise does, and the difference is large enough to demand separate accounting in any responsible operational integration.</w:t>
      </w:r>
    </w:p>
    <w:p>
      <w:pPr>
        <w:pStyle w:val="BodyText"/>
        <w:spacing w:line="480" w:lineRule="auto"/>
        <w:ind w:firstLine="720"/>
      </w:pPr>
      <w:r>
        <w:t xml:space="preserve">Testing H0 against H1 is a one-sided bootstrap test for R greater than two at alpha equal to 0.05. Fail to reject H0, and the working hypothesis is falsified, namely that adversarial-input risk is a distinct concern beyond ordinary sensor noise for this class of model. Reject H0 in favour of H1, and the magnitude of the distinct concern is established in a unit, the slope ratio, that downstream operational risk pricing can ingest without further translation. Single, pre-registered, falsifiable: that is the estimand.</w:t>
      </w:r>
    </w:p>
    <w:p>
      <w:pPr>
        <w:pStyle w:val="BodyText"/>
        <w:spacing w:line="480" w:lineRule="auto"/>
        <w:ind w:firstLine="720"/>
      </w:pPr>
      <w:r>
        <w:t xml:space="preserve">Architecture, dataset, and perturbation primitive are each chosen deliberately, and each choice is defended against the obvious objections in Chapter 4. Fix the architecture, because architecture choice would otherwise confound the estimand</w:t>
      </w:r>
      <w:r>
        <w:t xml:space="preserve"> </w:t>
      </w:r>
      <w:hyperlink w:anchor="ref-1">
        <w:r>
          <w:rPr>
            <w:rStyle w:val="Hyperlink"/>
          </w:rPr>
          <w:t xml:space="preserve">[1]</w:t>
        </w:r>
      </w:hyperlink>
      <w:r>
        <w:t xml:space="preserve">. Fix the dataset, because data-distribution shift would otherwise confound it</w:t>
      </w:r>
      <w:r>
        <w:t xml:space="preserve"> </w:t>
      </w:r>
      <w:hyperlink w:anchor="ref-2">
        <w:r>
          <w:rPr>
            <w:rStyle w:val="Hyperlink"/>
          </w:rPr>
          <w:t xml:space="preserve">[2]</w:t>
        </w:r>
      </w:hyperlink>
      <w:r>
        <w:t xml:space="preserve">. Constrain the perturbation on a single physically interpretable axis, the L-two energy of the additive perturbation in photometric units, because a multi-axis specification would dilute the falsifiable content. Robustness checks against the Adriano extreme-gradient-boosting baseline</w:t>
      </w:r>
      <w:r>
        <w:t xml:space="preserve"> </w:t>
      </w:r>
      <w:hyperlink w:anchor="ref-2">
        <w:r>
          <w:rPr>
            <w:rStyle w:val="Hyperlink"/>
          </w:rPr>
          <w:t xml:space="preserve">[2]</w:t>
        </w:r>
      </w:hyperlink>
      <w:r>
        <w:t xml:space="preserve"> </w:t>
      </w:r>
      <w:r>
        <w:t xml:space="preserve">and against the non-resolved deep architecture of McQuaid and colleagues</w:t>
      </w:r>
      <w:r>
        <w:t xml:space="preserve"> </w:t>
      </w:r>
      <w:hyperlink w:anchor="ref-3">
        <w:r>
          <w:rPr>
            <w:rStyle w:val="Hyperlink"/>
          </w:rPr>
          <w:t xml:space="preserve">[3]</w:t>
        </w:r>
      </w:hyperlink>
      <w:r>
        <w:t xml:space="preserve"> </w:t>
      </w:r>
      <w:r>
        <w:t xml:space="preserve">answer the construct-validity concern. White-box access to the reproduced classifier is a deliberate choice, since it yields the upper bound on classifier fragility, which is the quantity an operational integrator must price.</w:t>
      </w:r>
    </w:p>
    <w:p>
      <w:pPr>
        <w:pStyle w:val="BodyText"/>
        <w:spacing w:line="480" w:lineRule="auto"/>
        <w:ind w:firstLine="720"/>
      </w:pPr>
      <w:r>
        <w:t xml:space="preserve">None of this amounts to a general theory of adversarial robustness in space AI. It is one estimate, of one ratio, on one architecture, on one dataset, under one perturbation primitive, with pre-registered design and bootstrap inference. Narrowness is the point. Promise a general theory and deliver a survey, and NASA or JPL still lacks the number needed to write a robustness specification into a classifier-integration contract. Promise one falsifiable number and deliver it, and they have it.</w:t>
      </w:r>
    </w:p>
    <w:bookmarkEnd w:id="64"/>
    <w:bookmarkStart w:id="65" w:name="roadmap"/>
    <w:p>
      <w:pPr>
        <w:pStyle w:val="Heading2"/>
        <w:spacing w:line="480" w:lineRule="auto"/>
      </w:pPr>
      <w:r>
        <w:t xml:space="preserve">1.5 Roadmap</w:t>
      </w:r>
    </w:p>
    <w:p>
      <w:pPr>
        <w:pStyle w:val="FirstParagraph"/>
        <w:spacing w:line="480" w:lineRule="auto"/>
      </w:pPr>
      <w:r>
        <w:t xml:space="preserve">Here is how the rest of the dissertation is organised. Chapter 2 reviews the two literatures whose intersection defines the gap. On the SSA side, it surveys light-curve classification, beginning with the convolutional and transfer-learned architectures of Furfaro, Linares, and Reddy</w:t>
      </w:r>
      <w:r>
        <w:t xml:space="preserve"> </w:t>
      </w:r>
      <w:hyperlink w:anchor="ref-1">
        <w:r>
          <w:rPr>
            <w:rStyle w:val="Hyperlink"/>
          </w:rPr>
          <w:t xml:space="preserve">[1]</w:t>
        </w:r>
      </w:hyperlink>
      <w:r>
        <w:t xml:space="preserve">, the deep neural architectures of McQuaid and colleagues for non-resolved observations</w:t>
      </w:r>
      <w:r>
        <w:t xml:space="preserve"> </w:t>
      </w:r>
      <w:hyperlink w:anchor="ref-3">
        <w:r>
          <w:rPr>
            <w:rStyle w:val="Hyperlink"/>
          </w:rPr>
          <w:t xml:space="preserve">[3]</w:t>
        </w:r>
      </w:hyperlink>
      <w:r>
        <w:t xml:space="preserve">, the operational AI integrations of Tsaprailis and colleagues</w:t>
      </w:r>
      <w:r>
        <w:t xml:space="preserve"> </w:t>
      </w:r>
      <w:hyperlink w:anchor="ref-4">
        <w:r>
          <w:rPr>
            <w:rStyle w:val="Hyperlink"/>
          </w:rPr>
          <w:t xml:space="preserve">[4]</w:t>
        </w:r>
      </w:hyperlink>
      <w:r>
        <w:t xml:space="preserve">, the brightness-measurement characterisation work of Balster and colleagues</w:t>
      </w:r>
      <w:r>
        <w:t xml:space="preserve"> </w:t>
      </w:r>
      <w:hyperlink w:anchor="ref-5">
        <w:r>
          <w:rPr>
            <w:rStyle w:val="Hyperlink"/>
          </w:rPr>
          <w:t xml:space="preserve">[5]</w:t>
        </w:r>
      </w:hyperlink>
      <w:r>
        <w:t xml:space="preserve">, the antecedent ontology-and-Bayesian-network work of Furfaro and colleagues</w:t>
      </w:r>
      <w:r>
        <w:t xml:space="preserve"> </w:t>
      </w:r>
      <w:hyperlink w:anchor="ref-13">
        <w:r>
          <w:rPr>
            <w:rStyle w:val="Hyperlink"/>
          </w:rPr>
          <w:t xml:space="preserve">[13]</w:t>
        </w:r>
      </w:hyperlink>
      <w:r>
        <w:t xml:space="preserve">, the attitude-status work of Badura and colleagues</w:t>
      </w:r>
      <w:r>
        <w:t xml:space="preserve"> </w:t>
      </w:r>
      <w:hyperlink w:anchor="ref-14">
        <w:r>
          <w:rPr>
            <w:rStyle w:val="Hyperlink"/>
          </w:rPr>
          <w:t xml:space="preserve">[14]</w:t>
        </w:r>
      </w:hyperlink>
      <w:r>
        <w:t xml:space="preserve">, the photometric-fingerprinting work of Olson and colleagues</w:t>
      </w:r>
      <w:r>
        <w:t xml:space="preserve"> </w:t>
      </w:r>
      <w:hyperlink w:anchor="ref-16">
        <w:r>
          <w:rPr>
            <w:rStyle w:val="Hyperlink"/>
          </w:rPr>
          <w:t xml:space="preserve">[16]</w:t>
        </w:r>
      </w:hyperlink>
      <w:r>
        <w:t xml:space="preserve">, and the orbit-determination survey of Kazemi and colleagues [6, 28]. On the remote-sensing side, it surveys the adversarial-examples literature, from Czaja and colleagues</w:t>
      </w:r>
      <w:r>
        <w:t xml:space="preserve"> </w:t>
      </w:r>
      <w:hyperlink w:anchor="ref-9">
        <w:r>
          <w:rPr>
            <w:rStyle w:val="Hyperlink"/>
          </w:rPr>
          <w:t xml:space="preserve">[9]</w:t>
        </w:r>
      </w:hyperlink>
      <w:r>
        <w:t xml:space="preserve"> </w:t>
      </w:r>
      <w:r>
        <w:t xml:space="preserve">through the empirical study of Chen and colleagues</w:t>
      </w:r>
      <w:r>
        <w:t xml:space="preserve"> </w:t>
      </w:r>
      <w:hyperlink w:anchor="ref-10">
        <w:r>
          <w:rPr>
            <w:rStyle w:val="Hyperlink"/>
          </w:rPr>
          <w:t xml:space="preserve">[10]</w:t>
        </w:r>
      </w:hyperlink>
      <w:r>
        <w:t xml:space="preserve">, the threat assessment of Xu, Du, and Zhang</w:t>
      </w:r>
      <w:r>
        <w:t xml:space="preserve"> </w:t>
      </w:r>
      <w:hyperlink w:anchor="ref-11">
        <w:r>
          <w:rPr>
            <w:rStyle w:val="Hyperlink"/>
          </w:rPr>
          <w:t xml:space="preserve">[11]</w:t>
        </w:r>
      </w:hyperlink>
      <w:r>
        <w:t xml:space="preserve">, the defence-comparison work of Burnel and colleagues</w:t>
      </w:r>
      <w:r>
        <w:t xml:space="preserve"> </w:t>
      </w:r>
      <w:hyperlink w:anchor="ref-12">
        <w:r>
          <w:rPr>
            <w:rStyle w:val="Hyperlink"/>
          </w:rPr>
          <w:t xml:space="preserve">[12]</w:t>
        </w:r>
      </w:hyperlink>
      <w:r>
        <w:t xml:space="preserve">, the perturbation-seeking generative defence of Cheng and colleagues</w:t>
      </w:r>
      <w:r>
        <w:t xml:space="preserve"> </w:t>
      </w:r>
      <w:hyperlink w:anchor="ref-17">
        <w:r>
          <w:rPr>
            <w:rStyle w:val="Hyperlink"/>
          </w:rPr>
          <w:t xml:space="preserve">[17]</w:t>
        </w:r>
      </w:hyperlink>
      <w:r>
        <w:t xml:space="preserve">, and the aerial-imagery work of Du Mont and colleagues</w:t>
      </w:r>
      <w:r>
        <w:t xml:space="preserve"> </w:t>
      </w:r>
      <w:hyperlink w:anchor="ref-18">
        <w:r>
          <w:rPr>
            <w:rStyle w:val="Hyperlink"/>
          </w:rPr>
          <w:t xml:space="preserve">[18]</w:t>
        </w:r>
      </w:hyperlink>
      <w:r>
        <w:t xml:space="preserve">. It closes by mapping the constructive generative-adversarial work in SSA [7, 8, 20, 21, 22, 23] and the adjacent adversarial-detection work in autonomous space GNC</w:t>
      </w:r>
      <w:r>
        <w:t xml:space="preserve"> </w:t>
      </w:r>
      <w:hyperlink w:anchor="ref-26">
        <w:r>
          <w:rPr>
            <w:rStyle w:val="Hyperlink"/>
          </w:rPr>
          <w:t xml:space="preserve">[26]</w:t>
        </w:r>
      </w:hyperlink>
      <w:r>
        <w:t xml:space="preserve"> </w:t>
      </w:r>
      <w:r>
        <w:t xml:space="preserve">onto the gap, then naming the precise measurement that no paper in either corpus has executed.</w:t>
      </w:r>
    </w:p>
    <w:p>
      <w:pPr>
        <w:pStyle w:val="BodyText"/>
        <w:spacing w:line="480" w:lineRule="auto"/>
        <w:ind w:firstLine="720"/>
      </w:pPr>
      <w:r>
        <w:t xml:space="preserve">Chapter 3 specifies the data, the reproduced classifier, the perturbation primitive, and the noise primitive. Its data is the Adriano, Scott, and Azad synthetic-debris light-curve corpus</w:t>
      </w:r>
      <w:r>
        <w:t xml:space="preserve"> </w:t>
      </w:r>
      <w:hyperlink w:anchor="ref-2">
        <w:r>
          <w:rPr>
            <w:rStyle w:val="Hyperlink"/>
          </w:rPr>
          <w:t xml:space="preserve">[2]</w:t>
        </w:r>
      </w:hyperlink>
      <w:r>
        <w:t xml:space="preserve">, cross-checked against the simulated and observatory light curves discussed by Furfaro, Linares, and Reddy</w:t>
      </w:r>
      <w:r>
        <w:t xml:space="preserve"> </w:t>
      </w:r>
      <w:hyperlink w:anchor="ref-1">
        <w:r>
          <w:rPr>
            <w:rStyle w:val="Hyperlink"/>
          </w:rPr>
          <w:t xml:space="preserve">[1]</w:t>
        </w:r>
      </w:hyperlink>
      <w:r>
        <w:t xml:space="preserve"> </w:t>
      </w:r>
      <w:r>
        <w:t xml:space="preserve">and the brightness-measurement corpus of Balster and colleagues</w:t>
      </w:r>
      <w:r>
        <w:t xml:space="preserve"> </w:t>
      </w:r>
      <w:hyperlink w:anchor="ref-5">
        <w:r>
          <w:rPr>
            <w:rStyle w:val="Hyperlink"/>
          </w:rPr>
          <w:t xml:space="preserve">[5]</w:t>
        </w:r>
      </w:hyperlink>
      <w:r>
        <w:t xml:space="preserve">. Its reproduced classifier follows the convolutional architecture and training protocol of</w:t>
      </w:r>
      <w:r>
        <w:t xml:space="preserve"> </w:t>
      </w:r>
      <w:hyperlink w:anchor="ref-1">
        <w:r>
          <w:rPr>
            <w:rStyle w:val="Hyperlink"/>
          </w:rPr>
          <w:t xml:space="preserve">[1]</w:t>
        </w:r>
      </w:hyperlink>
      <w:r>
        <w:t xml:space="preserve">. Its perturbation primitive is projected gradient descent under a bounded L-two budget, and its noise primitive is a zero-mean Gaussian model calibrated to the same L-two budget. Budget grid, partitioning scheme, bootstrap seed list, and secondary-analysis transfer-attack robustness check are all pre-registered there.</w:t>
      </w:r>
    </w:p>
    <w:p>
      <w:pPr>
        <w:pStyle w:val="BodyText"/>
        <w:spacing w:line="480" w:lineRule="auto"/>
        <w:ind w:firstLine="720"/>
      </w:pPr>
      <w:r>
        <w:t xml:space="preserve">Chapter 4 specifies the econometric apparatus: the slope estimators over the linear regime of the accuracy-versus-budget curve, the bootstrap inference procedure, and the one-sided test of H0 against H1. It draws on the methodological apparatus of the remote-sensing adversarial-examples literature [9, 10, 11, 12, 17], adapted to the slope-ratio estimand. The companion pooled-evidence logistic analysis in the candidate’s second research paper, which named perturbation budget and defence status as the channels concentrating attack risk, motivates both the slope-on-budget specification of the primary estimand and the budget-versus-noise contrast that separates adversarial sensitivity from natural fragility.</w:t>
      </w:r>
    </w:p>
    <w:p>
      <w:pPr>
        <w:pStyle w:val="BodyText"/>
        <w:spacing w:line="480" w:lineRule="auto"/>
        <w:ind w:firstLine="720"/>
      </w:pPr>
      <w:r>
        <w:t xml:space="preserve">Chapter 5 reports the measurement: the accuracy-versus-budget curves for the worst-case adversarial perturbation and the matched-energy noise on the primary classifier, the bootstrap confidence interval on R, the result of the H0-against-H1 test, and the robustness-check measurements against the extreme-gradient-boosting baseline</w:t>
      </w:r>
      <w:r>
        <w:t xml:space="preserve"> </w:t>
      </w:r>
      <w:hyperlink w:anchor="ref-2">
        <w:r>
          <w:rPr>
            <w:rStyle w:val="Hyperlink"/>
          </w:rPr>
          <w:t xml:space="preserve">[2]</w:t>
        </w:r>
      </w:hyperlink>
      <w:r>
        <w:t xml:space="preserve"> </w:t>
      </w:r>
      <w:r>
        <w:t xml:space="preserve">and the McQuaid non-resolved deep architecture</w:t>
      </w:r>
      <w:r>
        <w:t xml:space="preserve"> </w:t>
      </w:r>
      <w:hyperlink w:anchor="ref-3">
        <w:r>
          <w:rPr>
            <w:rStyle w:val="Hyperlink"/>
          </w:rPr>
          <w:t xml:space="preserve">[3]</w:t>
        </w:r>
      </w:hyperlink>
      <w:r>
        <w:t xml:space="preserve">. It reports the transfer-attack secondary analysis. And it reports, without paper-over, the construct-validity, internal-validity, external-validity, statistical-validity, and adversarial-realism limitations of the estimand.</w:t>
      </w:r>
    </w:p>
    <w:p>
      <w:pPr>
        <w:pStyle w:val="BodyText"/>
        <w:spacing w:line="480" w:lineRule="auto"/>
        <w:ind w:firstLine="720"/>
      </w:pPr>
      <w:r>
        <w:t xml:space="preserve">Chapter 6 turns the measurement into operational implications for NASA and JPL. It expresses R in units a conjunction analyst, a mission director, or an acquisition officer can ingest, and it ties the measurement to the broader probability-of-collision pricing apparatus of Alfano and Oltrogge</w:t>
      </w:r>
      <w:r>
        <w:t xml:space="preserve"> </w:t>
      </w:r>
      <w:hyperlink w:anchor="ref-31">
        <w:r>
          <w:rPr>
            <w:rStyle w:val="Hyperlink"/>
          </w:rPr>
          <w:t xml:space="preserve">[31]</w:t>
        </w:r>
      </w:hyperlink>
      <w:r>
        <w:t xml:space="preserve"> </w:t>
      </w:r>
      <w:r>
        <w:t xml:space="preserve">and to the sensitivity-analysis tradition of Chandramouli and Shockley</w:t>
      </w:r>
      <w:r>
        <w:t xml:space="preserve"> </w:t>
      </w:r>
      <w:hyperlink w:anchor="ref-25">
        <w:r>
          <w:rPr>
            <w:rStyle w:val="Hyperlink"/>
          </w:rPr>
          <w:t xml:space="preserve">[25]</w:t>
        </w:r>
      </w:hyperlink>
      <w:r>
        <w:t xml:space="preserve">. It closes with a precise statement of what the measurement does not establish, namely a general theory of adversarial robustness in space AI, and with a forward agenda whose first item is replication of the estimand against architectures the operational community will have migrated to by the time of evaluation.</w:t>
      </w:r>
    </w:p>
    <w:p>
      <w:pPr>
        <w:pStyle w:val="BodyText"/>
        <w:spacing w:line="480" w:lineRule="auto"/>
        <w:ind w:firstLine="720"/>
      </w:pPr>
      <w:r>
        <w:t xml:space="preserve">Chapter 7 concludes.</w:t>
      </w:r>
    </w:p>
    <w:bookmarkEnd w:id="65"/>
    <w:bookmarkEnd w:id="66"/>
    <w:bookmarkStart w:id="73" w:name="chapter-2.-literature-review"/>
    <w:p>
      <w:pPr>
        <w:pStyle w:val="Heading1"/>
        <w:spacing w:line="480" w:lineRule="auto"/>
      </w:pPr>
      <w:r>
        <w:t xml:space="preserve">Chapter 2. Literature Review</w:t>
      </w:r>
    </w:p>
    <w:bookmarkStart w:id="67" w:name="purpose-and-organization"/>
    <w:p>
      <w:pPr>
        <w:pStyle w:val="Heading2"/>
        <w:spacing w:line="480" w:lineRule="auto"/>
      </w:pPr>
      <w:r>
        <w:t xml:space="preserve">2.1 Purpose and Organization</w:t>
      </w:r>
    </w:p>
    <w:p>
      <w:pPr>
        <w:pStyle w:val="FirstParagraph"/>
        <w:spacing w:line="480" w:lineRule="auto"/>
      </w:pPr>
      <w:r>
        <w:t xml:space="preserve">Two literatures have, to date, developed in near-isolation from each other, and this chapter situates the dissertation in the space between them. One is the technical literature on machine learning for space situational awareness (SSA), and specifically on deep neural classifiers operating over photometric light curves and non-resolved optical observables of resident space objects (RSOs). The other is the cliometric and econometric methodology literature, broadly construed, which supplies the tooling for pooling dispersed evaluation outcomes from heterogeneous experiments into a single estimable model of an effect of policy or design interest. Joining the two means treating each published adversarial-attack evaluation against a space-domain or overhead-imagery classifier as a unit of observation in a pooled empirical model, then estimating the partial effect of perturbation budget, model scale, and explicit defense hardening on the probability of attack success. This chapter is built on that organizing logic. Section 2.2 reviews the SSA classification literature. Section 2.3 reviews the adversarial-examples literature on remote sensing and overhead imagery, the nearest neighbor to the SSA classification problem in modality and threat model. Section 2.4 reviews the narrower literature on adversarial methods inside the space domain, attending to how those methods have been used constructively rather than as a threat model. Section 2.5 reviews the imported cliometric and econometric methodology. Section 2.6 synthesizes the two bodies of work and states the gap the dissertation closes.</w:t>
      </w:r>
    </w:p>
    <w:bookmarkEnd w:id="67"/>
    <w:bookmarkStart w:id="68" w:name="Xcc9802cc1b9178c1a0c0f546572b3fa9c44a05e"/>
    <w:p>
      <w:pPr>
        <w:pStyle w:val="Heading2"/>
        <w:spacing w:line="480" w:lineRule="auto"/>
      </w:pPr>
      <w:r>
        <w:t xml:space="preserve">2.2 Deep Classifiers over Light Curves and Non-Resolved Optical Observables</w:t>
      </w:r>
    </w:p>
    <w:p>
      <w:pPr>
        <w:pStyle w:val="FirstParagraph"/>
        <w:spacing w:line="480" w:lineRule="auto"/>
      </w:pPr>
      <w:r>
        <w:t xml:space="preserve">Over the last decade, supervised deep learning to label RSOs by shape, attitude regime, and behavioral class has become a settled feature of the SSA research agenda. Furfaro, Linares, and Reddy established the canonical convolutional architecture and a model-based transfer-learning protocol for classifying space objects from light-curve measurements, training first on simulated curves and transferring the learned representation to observatory-collected data</w:t>
      </w:r>
      <w:r>
        <w:t xml:space="preserve"> </w:t>
      </w:r>
      <w:hyperlink w:anchor="ref-1">
        <w:r>
          <w:rPr>
            <w:rStyle w:val="Hyperlink"/>
          </w:rPr>
          <w:t xml:space="preserve">[1]</w:t>
        </w:r>
      </w:hyperlink>
      <w:r>
        <w:t xml:space="preserve">. Subsequent contributions in the AMOS Technical Conference proceedings still position themselves against that architecture as a baseline. McQuaid, Merkle, Borghetti, Cobb, and Fletcher carried the deep-neural approach into space-object identification from non-resolved optical observations, showing that a sufficiently expressive convolutional model can pull discriminative features out of photometric sequences that lack any spatial structure the imaging system can resolve</w:t>
      </w:r>
      <w:r>
        <w:t xml:space="preserve"> </w:t>
      </w:r>
      <w:hyperlink w:anchor="ref-3">
        <w:r>
          <w:rPr>
            <w:rStyle w:val="Hyperlink"/>
          </w:rPr>
          <w:t xml:space="preserve">[3]</w:t>
        </w:r>
      </w:hyperlink>
      <w:r>
        <w:t xml:space="preserve">. Between them, these two contributions established that the SSA community could leave hand-crafted photometric features behind and move into representation learning even when the input collapses to a one-dimensional brightness time series.</w:t>
      </w:r>
    </w:p>
    <w:p>
      <w:pPr>
        <w:pStyle w:val="BodyText"/>
        <w:spacing w:line="480" w:lineRule="auto"/>
        <w:ind w:firstLine="720"/>
      </w:pPr>
      <w:r>
        <w:t xml:space="preserve">Light-curve classification has a longer lineage, reaching back through the earlier ontology-based work of Furfaro, Linares, Gaylor, Jah, and Walls, who proposed a hybrid scheme pairing machine-learned feature extraction with ontology-based Bayesian networks to support RSO characterization and behavior understanding</w:t>
      </w:r>
      <w:r>
        <w:t xml:space="preserve"> </w:t>
      </w:r>
      <w:hyperlink w:anchor="ref-13">
        <w:r>
          <w:rPr>
            <w:rStyle w:val="Hyperlink"/>
          </w:rPr>
          <w:t xml:space="preserve">[13]</w:t>
        </w:r>
      </w:hyperlink>
      <w:r>
        <w:t xml:space="preserve">. That earlier framing matters because it shows the SSA community already alert to the need to make classifier outputs interpretable to downstream operational consumers, even before end-to-end deep learning consolidated as the dominant paradigm. Badura, Gunter, and Valenta then sharpened the focus onto attitude inference specifically, showing that convolutional neural networks could be trained to infer space-object attitude status from observable signatures</w:t>
      </w:r>
      <w:r>
        <w:t xml:space="preserve"> </w:t>
      </w:r>
      <w:hyperlink w:anchor="ref-14">
        <w:r>
          <w:rPr>
            <w:rStyle w:val="Hyperlink"/>
          </w:rPr>
          <w:t xml:space="preserve">[14]</w:t>
        </w:r>
      </w:hyperlink>
      <w:r>
        <w:t xml:space="preserve">. An attitude-status label, operationally meaningful for stability monitoring and anomaly detection, could be recovered with adequate accuracy from the same family of input sequences the shape classifiers used.</w:t>
      </w:r>
    </w:p>
    <w:p>
      <w:pPr>
        <w:pStyle w:val="BodyText"/>
        <w:spacing w:line="480" w:lineRule="auto"/>
        <w:ind w:firstLine="720"/>
      </w:pPr>
      <w:r>
        <w:t xml:space="preserve">Adriano, Scott, and Azad supplied the most recent benchmark in the synthetic-debris classification subfield, comparing extreme gradient boosting directly against deep learning architectures on a published corpus of synthetic light curves generated through a documented Blender and Orekit pipeline [2, 15]. Theirs is the only published SSA light-curve corpus that satisfies the four conditions a credible adversarial-robustness measurement demands: it is released, it is labelled by shape and attitude regime, it is generated by a physics-based pipeline whose provenance can be re-instantiated, and it ships with a baseline classifier benchmark. In the same conference year, Olson and colleagues contributed an industrial-scale photometric-fingerprinting study of low-Earth-orbit satellites, showing that machine-learned photometric signatures can drive ongoing monitoring at population scale</w:t>
      </w:r>
      <w:r>
        <w:t xml:space="preserve"> </w:t>
      </w:r>
      <w:hyperlink w:anchor="ref-16">
        <w:r>
          <w:rPr>
            <w:rStyle w:val="Hyperlink"/>
          </w:rPr>
          <w:t xml:space="preserve">[16]</w:t>
        </w:r>
      </w:hyperlink>
      <w:r>
        <w:t xml:space="preserve">. Balster, Jones, Hofer, Newsom, and Frueh consolidated the brightness-measurement characterization literature, pattern-of-life inference included, on unresolved targets</w:t>
      </w:r>
      <w:r>
        <w:t xml:space="preserve"> </w:t>
      </w:r>
      <w:hyperlink w:anchor="ref-5">
        <w:r>
          <w:rPr>
            <w:rStyle w:val="Hyperlink"/>
          </w:rPr>
          <w:t xml:space="preserve">[5]</w:t>
        </w:r>
      </w:hyperlink>
      <w:r>
        <w:t xml:space="preserve">. Tsaprailis, Choumos, Kontoes, and Lappas folded AI directly into the operational loop, combining spin-status characterization with initial orbit determination from single optical tracks</w:t>
      </w:r>
      <w:r>
        <w:t xml:space="preserve"> </w:t>
      </w:r>
      <w:hyperlink w:anchor="ref-4">
        <w:r>
          <w:rPr>
            <w:rStyle w:val="Hyperlink"/>
          </w:rPr>
          <w:t xml:space="preserve">[4]</w:t>
        </w:r>
      </w:hyperlink>
      <w:r>
        <w:t xml:space="preserve">. Their work marks the emerging operationalization of light-curve learning: the classifier stops being a research artifact and becomes a component of the live processing chain.</w:t>
      </w:r>
    </w:p>
    <w:p>
      <w:pPr>
        <w:pStyle w:val="BodyText"/>
        <w:spacing w:line="480" w:lineRule="auto"/>
        <w:ind w:firstLine="720"/>
      </w:pPr>
      <w:r>
        <w:t xml:space="preserve">Broader survey literature confirms the trajectory. In their Acta Astronautica survey of orbit determination for space situational awareness, Kazemi, Azad, Scott, Oqab, and Dietrich identify learning-based methods, convolutional neural networks on photometric and astrometric observables among them, as a maturing pillar of the SSA stack, and describe their integration with classical estimation methods [6, 28]. In an earlier framing piece, Frueh, Jah, Valdez, Kervin, and Kelecy set out an initial taxonomy and classification scheme for artificial space objects based on ancestral relation and clustering, providing the conceptual vocabulary that downstream learned classifiers operationalize</w:t>
      </w:r>
      <w:r>
        <w:t xml:space="preserve"> </w:t>
      </w:r>
      <w:hyperlink w:anchor="ref-24">
        <w:r>
          <w:rPr>
            <w:rStyle w:val="Hyperlink"/>
          </w:rPr>
          <w:t xml:space="preserve">[24]</w:t>
        </w:r>
      </w:hyperlink>
      <w:r>
        <w:t xml:space="preserve">. Reviewing machine learning in robotic grasping control in space for Acta Astronautica, Jahanshahi and Zhu document the broader spread of learning-based methods into adjacent on-orbit decision tasks, which reinforces the operational significance of any robustness deficit diagnosed in the classification literature</w:t>
      </w:r>
      <w:r>
        <w:t xml:space="preserve"> </w:t>
      </w:r>
      <w:hyperlink w:anchor="ref-29">
        <w:r>
          <w:rPr>
            <w:rStyle w:val="Hyperlink"/>
          </w:rPr>
          <w:t xml:space="preserve">[29]</w:t>
        </w:r>
      </w:hyperlink>
      <w:r>
        <w:t xml:space="preserve">. Yang and colleagues recently demonstrated intelligent prediction of satellite antenna main beam patterns from thermal-deformation point clouds, showing learned models now integrated into payload-level diagnostics as well as catalog-level characterization</w:t>
      </w:r>
      <w:r>
        <w:t xml:space="preserve"> </w:t>
      </w:r>
      <w:hyperlink w:anchor="ref-30">
        <w:r>
          <w:rPr>
            <w:rStyle w:val="Hyperlink"/>
          </w:rPr>
          <w:t xml:space="preserve">[30]</w:t>
        </w:r>
      </w:hyperlink>
      <w:r>
        <w:t xml:space="preserve">. In a 2026 systematic mapping of sun-sensor calibration algorithms, Herman, Pinon Fischer, and Mavris demonstrate the parallel spread of data-driven methods into the upstream sensor-conditioning layer that feeds the classifiers reviewed here</w:t>
      </w:r>
      <w:r>
        <w:t xml:space="preserve"> </w:t>
      </w:r>
      <w:hyperlink w:anchor="ref-33">
        <w:r>
          <w:rPr>
            <w:rStyle w:val="Hyperlink"/>
          </w:rPr>
          <w:t xml:space="preserve">[33]</w:t>
        </w:r>
      </w:hyperlink>
      <w:r>
        <w:t xml:space="preserve">.</w:t>
      </w:r>
    </w:p>
    <w:p>
      <w:pPr>
        <w:pStyle w:val="BodyText"/>
        <w:spacing w:line="480" w:lineRule="auto"/>
        <w:ind w:firstLine="720"/>
      </w:pPr>
      <w:r>
        <w:t xml:space="preserve">Three observations fall out of this review. First, a stable family of architectures, training protocols, and labelled corpora now exists, enough to support a controlled robustness study. Second, the literature has moved from research demonstrations to integration into operational AI pipelines, so how those integrated pipelines behave under adversarial input pressure is a live operational question rather than a purely academic one. Third, and this is the pivot on which the present dissertation turns, that same literature has produced no measured estimate of how its classifiers behave under bounded adversarial perturbation of the input observable. Robustness has never been an organizing concern, and the literature accordingly holds no benchmark, no estimand, and no pre-registered measurement protocol against which a robustness claim might be tested.</w:t>
      </w:r>
    </w:p>
    <w:bookmarkEnd w:id="68"/>
    <w:bookmarkStart w:id="69" w:name="X0496aeb3bad0f09e1fa2f041dfccebcf8554c54"/>
    <w:p>
      <w:pPr>
        <w:pStyle w:val="Heading2"/>
        <w:spacing w:line="480" w:lineRule="auto"/>
      </w:pPr>
      <w:r>
        <w:t xml:space="preserve">2.3 Adversarial Examples on Overhead and Remote-Sensing Imagery</w:t>
      </w:r>
    </w:p>
    <w:p>
      <w:pPr>
        <w:pStyle w:val="FirstParagraph"/>
        <w:spacing w:line="480" w:lineRule="auto"/>
      </w:pPr>
      <w:r>
        <w:t xml:space="preserve">Closest to the SSA classification problem in modality and threat model is the adversarial-examples literature on overhead and remote-sensing imagery. It shares with SSA classification the use of convolutional architectures over observations produced by an instrument staring at a target whose geometry the analyst cannot fully control, and it shares the operational constraint that misclassifying the input carries downstream consequences for decision-making.</w:t>
      </w:r>
    </w:p>
    <w:p>
      <w:pPr>
        <w:pStyle w:val="BodyText"/>
        <w:spacing w:line="480" w:lineRule="auto"/>
        <w:ind w:firstLine="720"/>
      </w:pPr>
      <w:r>
        <w:t xml:space="preserve">Czaja, Fendley, Pekala, Ratto, and Wang produced the foundational study, showing that standard convolutional classifiers trained on aerial and satellite imagery are vulnerable to small adversarial perturbations of the input image and that the vulnerability extends across the canonical attack families</w:t>
      </w:r>
      <w:r>
        <w:t xml:space="preserve"> </w:t>
      </w:r>
      <w:hyperlink w:anchor="ref-9">
        <w:r>
          <w:rPr>
            <w:rStyle w:val="Hyperlink"/>
          </w:rPr>
          <w:t xml:space="preserve">[9]</w:t>
        </w:r>
      </w:hyperlink>
      <w:r>
        <w:t xml:space="preserve">. An empirical study of adversarial examples on remote-sensing image scene classification followed from Chen, Xu, Li, Peng, Wang, and Li, cataloguing attack-success rates systematically across architectures and budgets</w:t>
      </w:r>
      <w:r>
        <w:t xml:space="preserve"> </w:t>
      </w:r>
      <w:hyperlink w:anchor="ref-10">
        <w:r>
          <w:rPr>
            <w:rStyle w:val="Hyperlink"/>
          </w:rPr>
          <w:t xml:space="preserve">[10]</w:t>
        </w:r>
      </w:hyperlink>
      <w:r>
        <w:t xml:space="preserve">. Their finding that accuracy degrades sharply across a narrow range of L-infinity perturbation budgets is the empirical regularity motivating the perturbation-budget channel of the dissertation’s pooled model. Independently, Xu, Du, and Zhang assessed the threat of adversarial examples on deep neural networks for remote sensing scene classification, reaching the same qualitative conclusion under a different experimental protocol and across an overlapping but distinct architecture set</w:t>
      </w:r>
      <w:r>
        <w:t xml:space="preserve"> </w:t>
      </w:r>
      <w:hyperlink w:anchor="ref-11">
        <w:r>
          <w:rPr>
            <w:rStyle w:val="Hyperlink"/>
          </w:rPr>
          <w:t xml:space="preserve">[11]</w:t>
        </w:r>
      </w:hyperlink>
      <w:r>
        <w:t xml:space="preserve">. Du Mont and colleagues extended the analysis to aerial imagery classifiers, confirming that the regularity holds beyond the satellite-imagery setting and into the broader overhead-imagery setting</w:t>
      </w:r>
      <w:r>
        <w:t xml:space="preserve"> </w:t>
      </w:r>
      <w:hyperlink w:anchor="ref-18">
        <w:r>
          <w:rPr>
            <w:rStyle w:val="Hyperlink"/>
          </w:rPr>
          <w:t xml:space="preserve">[18]</w:t>
        </w:r>
      </w:hyperlink>
      <w:r>
        <w:t xml:space="preserve">.</w:t>
      </w:r>
    </w:p>
    <w:p>
      <w:pPr>
        <w:pStyle w:val="BodyText"/>
        <w:spacing w:line="480" w:lineRule="auto"/>
        <w:ind w:firstLine="720"/>
      </w:pPr>
      <w:r>
        <w:t xml:space="preserve">Two consequential constructions came out of the defense literature in this corner of the field. Burnel, Chan-Hon-Tong, and Audebert showed that adversarial training, in which the classifier learns from a mixture of clean and adversarially perturbed examples, can materially cut the success rate of subsequent attacks on remote-sensing classifiers</w:t>
      </w:r>
      <w:r>
        <w:t xml:space="preserve"> </w:t>
      </w:r>
      <w:hyperlink w:anchor="ref-12">
        <w:r>
          <w:rPr>
            <w:rStyle w:val="Hyperlink"/>
          </w:rPr>
          <w:t xml:space="preserve">[12]</w:t>
        </w:r>
      </w:hyperlink>
      <w:r>
        <w:t xml:space="preserve">. Cheng, Sun, Li, Guo, and Han introduced perturbation-seeking generative adversarial networks as a defense framework for remote-sensing image scene classification, showing that a generator can be trained to anticipate the perturbations an attacker would select and to harden the discriminator against them</w:t>
      </w:r>
      <w:r>
        <w:t xml:space="preserve"> </w:t>
      </w:r>
      <w:hyperlink w:anchor="ref-17">
        <w:r>
          <w:rPr>
            <w:rStyle w:val="Hyperlink"/>
          </w:rPr>
          <w:t xml:space="preserve">[17]</w:t>
        </w:r>
      </w:hyperlink>
      <w:r>
        <w:t xml:space="preserve">. Those two defense constructions are the principal sources of the defense indicator in the dissertation’s pooled model. Their empirical performance, expressed as a reduction in attack-success probability conditional on perturbation budget, is what the dissertation’s first paper estimates explicitly, with a coefficient on defense_present of roughly minus 3.11 and an odds ratio of about 0.044.</w:t>
      </w:r>
    </w:p>
    <w:p>
      <w:pPr>
        <w:pStyle w:val="BodyText"/>
        <w:spacing w:line="480" w:lineRule="auto"/>
        <w:ind w:firstLine="720"/>
      </w:pPr>
      <w:r>
        <w:t xml:space="preserve">Two structural features of this literature deserve emphasis. Its findings arrive paper by paper, each contribution evaluating one or a small number of architectures against one or a small number of attack budgets on one corpus; no consolidated meta-analysis of attack-success probability as a function of design choices exists. And parameter count enters only indirectly as a candidate robustness lever. Larger backbones get reported, but no systematic pooled estimate of the partial effect of scale on attack success has been produced. Filling that absence is what the dissertation’s pooled logistic estimate does, finding a coefficient of minus 0.0074 on model_params_M with a p-value of 0.69, the kind of pooled estimate the field has lacked.</w:t>
      </w:r>
    </w:p>
    <w:bookmarkEnd w:id="69"/>
    <w:bookmarkStart w:id="70" w:name="X32437ab24cda77d62b904eedd1111740232fd41"/>
    <w:p>
      <w:pPr>
        <w:pStyle w:val="Heading2"/>
        <w:spacing w:line="480" w:lineRule="auto"/>
      </w:pPr>
      <w:r>
        <w:t xml:space="preserve">2.4 Adversarial Methods Inside the Space Domain</w:t>
      </w:r>
    </w:p>
    <w:p>
      <w:pPr>
        <w:pStyle w:val="FirstParagraph"/>
        <w:spacing w:line="480" w:lineRule="auto"/>
      </w:pPr>
      <w:r>
        <w:t xml:space="preserve">Inside the space domain, a narrower literature has applied adversarial-learning techniques, but almost exclusively in a constructive register rather than as a threat-model investigation. Shen, Sheaff, Chen, Guo, Blasch, and Pham proposed a general-sum game-theoretic modeling of generative adversarial networks for satellite maneuver detection, in which the adversarial framework sharpens the detector rather than attacks it [7, 20]. Their earlier game-theoretic synthetic-data generation work used the adversarial generator to enlarge the available training set for behavior detection</w:t>
      </w:r>
      <w:r>
        <w:t xml:space="preserve"> </w:t>
      </w:r>
      <w:hyperlink w:anchor="ref-8">
        <w:r>
          <w:rPr>
            <w:rStyle w:val="Hyperlink"/>
          </w:rPr>
          <w:t xml:space="preserve">[8]</w:t>
        </w:r>
      </w:hyperlink>
      <w:r>
        <w:t xml:space="preserve">. Abay, Gehly, Balage, Brown, and Boyce explored generative adversarial networks for maneuver detection of space objects, again as a constructive technique rather than an audit of classifier fragility</w:t>
      </w:r>
      <w:r>
        <w:t xml:space="preserve"> </w:t>
      </w:r>
      <w:hyperlink w:anchor="ref-21">
        <w:r>
          <w:rPr>
            <w:rStyle w:val="Hyperlink"/>
          </w:rPr>
          <w:t xml:space="preserve">[21]</w:t>
        </w:r>
      </w:hyperlink>
      <w:r>
        <w:t xml:space="preserve">. Boh, Funke, and Akella carried the game-theoretic framing into cislunar L1 and L2 space situational awareness using Bayesian games</w:t>
      </w:r>
      <w:r>
        <w:t xml:space="preserve"> </w:t>
      </w:r>
      <w:hyperlink w:anchor="ref-22">
        <w:r>
          <w:rPr>
            <w:rStyle w:val="Hyperlink"/>
          </w:rPr>
          <w:t xml:space="preserve">[22]</w:t>
        </w:r>
      </w:hyperlink>
      <w:r>
        <w:t xml:space="preserve">. Working in the operational-simulation space, Paligo and Fields examined indications of adversary actions meant to disrupt space operations and the simulation of detection and response; their threat model, though, is the adversary acting on the operational environment, not the adversary acting on the classifier’s input</w:t>
      </w:r>
      <w:r>
        <w:t xml:space="preserve"> </w:t>
      </w:r>
      <w:hyperlink w:anchor="ref-23">
        <w:r>
          <w:rPr>
            <w:rStyle w:val="Hyperlink"/>
          </w:rPr>
          <w:t xml:space="preserve">[23]</w:t>
        </w:r>
      </w:hyperlink>
      <w:r>
        <w:t xml:space="preserve">.</w:t>
      </w:r>
    </w:p>
    <w:p>
      <w:pPr>
        <w:pStyle w:val="BodyText"/>
        <w:spacing w:line="480" w:lineRule="auto"/>
        <w:ind w:firstLine="720"/>
      </w:pPr>
      <w:r>
        <w:t xml:space="preserve">One piece of literature does pose the question of classifier robustness inside the space domain, and it closely resembles the dissertation’s framing: the work of Wang and Aouf on efficient adversarial-attack detection for deep reinforcement-learning-based autonomous planetary landing guidance, navigation, and control</w:t>
      </w:r>
      <w:r>
        <w:t xml:space="preserve"> </w:t>
      </w:r>
      <w:hyperlink w:anchor="ref-26">
        <w:r>
          <w:rPr>
            <w:rStyle w:val="Hyperlink"/>
          </w:rPr>
          <w:t xml:space="preserve">[26]</w:t>
        </w:r>
      </w:hyperlink>
      <w:r>
        <w:t xml:space="preserve">. Their setting sits close by. A learned controller operates on observables, evaluated against an adversarial perturbation of those observables. Their measurement orientation, asking how detector design changes the rate of correct identification of an attack, is the closest exemplar in the space literature of the kind of measurement experiment the dissertation undertakes for the classification task. Yet their work is an island; the SSA light-curve classification literature has not converged on its framing. On the policy side, Bratu and Freeland frame the broader question of legal implications of autonomous weapons systems and the militarization of outer space, supplying the normative backdrop against which the operational integration of vulnerable classifiers should be understood</w:t>
      </w:r>
      <w:r>
        <w:t xml:space="preserve"> </w:t>
      </w:r>
      <w:hyperlink w:anchor="ref-27">
        <w:r>
          <w:rPr>
            <w:rStyle w:val="Hyperlink"/>
          </w:rPr>
          <w:t xml:space="preserve">[27]</w:t>
        </w:r>
      </w:hyperlink>
      <w:r>
        <w:t xml:space="preserve">.</w:t>
      </w:r>
    </w:p>
    <w:p>
      <w:pPr>
        <w:pStyle w:val="BodyText"/>
        <w:spacing w:line="480" w:lineRule="auto"/>
        <w:ind w:firstLine="720"/>
      </w:pPr>
      <w:r>
        <w:t xml:space="preserve">Earlier still, the WENESSA work of Albarait, Payne, LeVan, Luu, Spillar, Freiwald, Hamada, and Houchard built the Wide Eye-Narrow Eye Space Simulation for Situational Awareness, the kind of high-fidelity simulation environment in which a measured adversarial-robustness study would ultimately need to be exercised end-to-end</w:t>
      </w:r>
      <w:r>
        <w:t xml:space="preserve"> </w:t>
      </w:r>
      <w:hyperlink w:anchor="ref-19">
        <w:r>
          <w:rPr>
            <w:rStyle w:val="Hyperlink"/>
          </w:rPr>
          <w:t xml:space="preserve">[19]</w:t>
        </w:r>
      </w:hyperlink>
      <w:r>
        <w:t xml:space="preserve">. The dissertation does not exercise WENESSA, yet its existence in the literature marks out the operational simulation ecology into which a robustness estimate would feed.</w:t>
      </w:r>
    </w:p>
    <w:p>
      <w:pPr>
        <w:pStyle w:val="BodyText"/>
        <w:spacing w:line="480" w:lineRule="auto"/>
        <w:ind w:firstLine="720"/>
      </w:pPr>
      <w:r>
        <w:t xml:space="preserve">The pattern is clear enough. Space-domain researchers imported the adversarial-learning toolkit, but they imported it as a constructive tool, for data augmentation, for detector hardening, and for game-theoretic modeling of the adversary’s strategic situation. They did not import it as a measurement instrument trained on their own classifiers. The threat-model frame, in which the adversarial perturbation is the independent variable and the classifier’s behavior is the dependent variable, is essentially absent from the SSA light-curve classification literature.</w:t>
      </w:r>
    </w:p>
    <w:bookmarkEnd w:id="70"/>
    <w:bookmarkStart w:id="71" w:name="cliometric-and-econometric-methodology"/>
    <w:p>
      <w:pPr>
        <w:pStyle w:val="Heading2"/>
        <w:spacing w:line="480" w:lineRule="auto"/>
      </w:pPr>
      <w:r>
        <w:t xml:space="preserve">2.5 Cliometric and Econometric Methodology</w:t>
      </w:r>
    </w:p>
    <w:p>
      <w:pPr>
        <w:pStyle w:val="FirstParagraph"/>
        <w:spacing w:line="480" w:lineRule="auto"/>
      </w:pPr>
      <w:r>
        <w:t xml:space="preserve">Importing the pooling logic of cliometric and econometric measurement into the SSA classifier-robustness problem is the dissertation’s methodological contribution. The relevant methodological literature is the broader tradition of treating dispersed experimental outcomes as units of observation in a single estimable model, with attention to the identification assumptions that license a partial-effect reading of the resulting coefficients.</w:t>
      </w:r>
    </w:p>
    <w:p>
      <w:pPr>
        <w:pStyle w:val="BodyText"/>
        <w:spacing w:line="480" w:lineRule="auto"/>
        <w:ind w:firstLine="720"/>
      </w:pPr>
      <w:r>
        <w:t xml:space="preserve">Two features of that tradition carry weight here. One is the use of a binary outcome with a logit or probit link to model the probability of an event conditional on a set of design covariates. The dissertation’s first paper estimates a logistic model of attack_success on perturbation budget epsilon, parameter count in millions, and a binary indicator for the presence of an explicit defense, with the canonical logit link and maximum-likelihood estimation [1, 2, 3, 4, 11]. Its pseudo R-squared of 0.353, log-likelihood of minus 12.35 on N equal to 36 trials, and coefficient estimates are the products of that methodological choice. The other feature is the explicit construction of a panel of evaluations drawn from heterogeneous sources, with provenance preserved at the row level. That first paper’s CSV uses the source column to cite each row to the originating paper, and it flags reconstructed rows with the marker</w:t>
      </w:r>
      <w:r>
        <w:t xml:space="preserve"> </w:t>
      </w:r>
      <w:r>
        <w:t xml:space="preserve">“[illustrative]”</w:t>
      </w:r>
      <w:r>
        <w:t xml:space="preserve"> </w:t>
      </w:r>
      <w:r>
        <w:t xml:space="preserve">so downstream readers can audit the provenance of the pooled estimate.</w:t>
      </w:r>
    </w:p>
    <w:p>
      <w:pPr>
        <w:pStyle w:val="BodyText"/>
        <w:spacing w:line="480" w:lineRule="auto"/>
        <w:ind w:firstLine="720"/>
      </w:pPr>
      <w:r>
        <w:t xml:space="preserve">Extending the same apparatus into the design of a controlled measurement experiment whose output is a single quantitative estimand is the work of the dissertation’s second paper. The estimand R is defined as the ratio of the absolute slope of accuracy with respect to perturbation budget under a worst-case adversarial perturbation to the same slope under a matched-energy stochastic noise perturbation, evaluated on the Adriano et al. corpus with the Furfaro et al. convolutional baseline [1, 2]. Its hypothesis structure, H0 of R equal to one and H1 of R greater than or equal to two, applies pre-registered hypothesis-testing logic directly to a measurement the SSA literature has not previously framed in those terms. Bootstrap resampling constructs the confidence interval on R, and the one-sided bootstrap test for R greater than two at alpha equal to 0.05 is textbook econometric methodology aimed at a novel measurement target.</w:t>
      </w:r>
    </w:p>
    <w:p>
      <w:pPr>
        <w:pStyle w:val="BodyText"/>
        <w:spacing w:line="480" w:lineRule="auto"/>
        <w:ind w:firstLine="720"/>
      </w:pPr>
      <w:r>
        <w:t xml:space="preserve">One further methodological asset comes from the cliometric tradition, and the dissertation leans on it explicitly: the discipline of stating threats to validity in five distinct registers, namely construct, internal, external, statistical, and what the dissertation calls adversarial-realism validity. The prospectus enumerates each in turn and pre-commits to robustness checks for each, including replication against the extreme gradient boosting baseline of Adriano et al. </w:t>
      </w:r>
      <w:hyperlink w:anchor="ref-2">
        <w:r>
          <w:rPr>
            <w:rStyle w:val="Hyperlink"/>
          </w:rPr>
          <w:t xml:space="preserve">[2]</w:t>
        </w:r>
      </w:hyperlink>
      <w:r>
        <w:t xml:space="preserve"> </w:t>
      </w:r>
      <w:r>
        <w:t xml:space="preserve">and the deep architecture of McQuaid et al. </w:t>
      </w:r>
      <w:hyperlink w:anchor="ref-3">
        <w:r>
          <w:rPr>
            <w:rStyle w:val="Hyperlink"/>
          </w:rPr>
          <w:t xml:space="preserve">[3]</w:t>
        </w:r>
      </w:hyperlink>
      <w:r>
        <w:t xml:space="preserve"> </w:t>
      </w:r>
      <w:r>
        <w:t xml:space="preserve">as construct-validity checks, transfer-attack robustness checks for internal validity, explicit acknowledgement of the synthetic-versus-observed nature of the corpus for external validity, pre-registration of the partition and bootstrap protocol for statistical validity, and explicit narrowing of the operational claim for adversarial-realism validity. That is the cliometric posture: the estimand is small, the protocol is fixed, and threats to inference are itemized rather than papered over.</w:t>
      </w:r>
    </w:p>
    <w:p>
      <w:pPr>
        <w:pStyle w:val="BodyText"/>
        <w:spacing w:line="480" w:lineRule="auto"/>
        <w:ind w:firstLine="720"/>
      </w:pPr>
      <w:r>
        <w:t xml:space="preserve">A useful methodological adjacency lives in the SSA literature itself. In their Acta Astronautica treatment of the probability of collision, Alfano and Oltrogge parse valuation, variability, visualization, and validity as distinct concerns and treat the headline statistic as something to be calibrated rather than assumed</w:t>
      </w:r>
      <w:r>
        <w:t xml:space="preserve"> </w:t>
      </w:r>
      <w:hyperlink w:anchor="ref-31">
        <w:r>
          <w:rPr>
            <w:rStyle w:val="Hyperlink"/>
          </w:rPr>
          <w:t xml:space="preserve">[31]</w:t>
        </w:r>
      </w:hyperlink>
      <w:r>
        <w:t xml:space="preserve">. In their sensitivity analysis of debris-assessment-software lifetime collision probability estimates, Chandramouli and Shockley apply the same cliometric posture of treating the inferential pipeline as itself an object of measurement</w:t>
      </w:r>
      <w:r>
        <w:t xml:space="preserve"> </w:t>
      </w:r>
      <w:hyperlink w:anchor="ref-25">
        <w:r>
          <w:rPr>
            <w:rStyle w:val="Hyperlink"/>
          </w:rPr>
          <w:t xml:space="preserve">[25]</w:t>
        </w:r>
      </w:hyperlink>
      <w:r>
        <w:t xml:space="preserve">. In their treatment of long-baseline multistatic and bistatic synthetic-aperture-radar products for the RODiO mission, Gigantino and colleagues frame the experimental measurement design with the same discipline of stating what the measurement targets and what it does not</w:t>
      </w:r>
      <w:r>
        <w:t xml:space="preserve"> </w:t>
      </w:r>
      <w:hyperlink w:anchor="ref-32">
        <w:r>
          <w:rPr>
            <w:rStyle w:val="Hyperlink"/>
          </w:rPr>
          <w:t xml:space="preserve">[32]</w:t>
        </w:r>
      </w:hyperlink>
      <w:r>
        <w:t xml:space="preserve">. These adjacencies show the cliometric posture is not foreign to the SSA literature; it has simply not been turned upon the learned-classifier robustness question.</w:t>
      </w:r>
    </w:p>
    <w:bookmarkEnd w:id="71"/>
    <w:bookmarkStart w:id="72" w:name="synthesis-and-the-gap"/>
    <w:p>
      <w:pPr>
        <w:pStyle w:val="Heading2"/>
        <w:spacing w:line="480" w:lineRule="auto"/>
      </w:pPr>
      <w:r>
        <w:t xml:space="preserve">2.6 Synthesis and the Gap</w:t>
      </w:r>
    </w:p>
    <w:p>
      <w:pPr>
        <w:pStyle w:val="FirstParagraph"/>
        <w:spacing w:line="480" w:lineRule="auto"/>
      </w:pPr>
      <w:r>
        <w:t xml:space="preserve">At present the two literatures reviewed here do not meet. On one side, the SSA classification literature has produced a stable family of architectures, a published labelled corpus, an operational integration pathway, and an emerging survey consensus that learning-based methods are now a pillar of the SSA stack [1, 2, 3, 4, 5, 6, 13, 14, 15, 16, 24, 28]. What it has not produced is a measured estimate of how sensitive those classifiers are to bounded adversarial perturbation of the input observable. On the other side, the adversarial-examples literature on remote-sensing imagery has produced a rich body of empirical findings and two defense constructions whose effects are measurable [9, 10, 11, 12, 17, 18]. What it has not done is pool those findings into a single estimable model whose coefficients read as partial effects of design choices on the probability of attack success, nor extend them onto the photometric-light-curve modality that defines SSA classification. Between them sits the narrower space-domain adversarial literature, which imported the adversarial-learning toolkit as a constructive tool but never turned it into a measurement instrument against SSA classifiers [7, 8, 20, 21, 22, 23, 26].</w:t>
      </w:r>
    </w:p>
    <w:p>
      <w:pPr>
        <w:pStyle w:val="BodyText"/>
        <w:spacing w:line="480" w:lineRule="auto"/>
        <w:ind w:firstLine="720"/>
      </w:pPr>
      <w:r>
        <w:t xml:space="preserve">So the gap is twofold. First, the SSA literature lacks a measured estimate of classifier sensitivity to bounded perturbations of the light-curve input, expressed as a function of perturbation magnitude and benchmarked against the same classifier’s natural fragility under matched-energy photometric noise. Closing it is the job of the dissertation’s second paper, through the controlled in-silico measurement of the estimand R on the Adriano et al. corpus with the Furfaro et al. baseline [1, 2]. Second, the broader adversarial-imagery literature lacks a pooled empirical model whose coefficients deliver partial effects of perturbation budget, model scale, and defense presence on the probability of attack success. Closing that one is the job of the dissertation’s first paper, through the logistic estimation on the 36-trial panel [9, 10, 11, 12, 17].</w:t>
      </w:r>
    </w:p>
    <w:p>
      <w:pPr>
        <w:pStyle w:val="BodyText"/>
        <w:spacing w:line="480" w:lineRule="auto"/>
        <w:ind w:firstLine="720"/>
      </w:pPr>
      <w:r>
        <w:t xml:space="preserve">Closing both gaps takes the methodological joining this chapter has set up. Into a literature that had reported its findings paper by paper, the first paper imports cliometric pooling logic, producing a panel-level estimate where none existed. Into a literature that had never framed classifier robustness as a measurement target, the second paper imports a pre-registered measurement protocol, producing a single falsifiable estimand against which subsequent SSA work can position itself. Read the two together, as intended. The pooled logistic estimate fixes the qualitative ordering of the three principal design levers: perturbation magnitude as the dominant driver of attack success, defense hardening as the lever that delivers a statistically credible reduction in attack-success probability, and naive scaling of the backbone as essentially null relative to the other two channels. The controlled measurement of R then quantifies, in the specific case of the published synthetic-debris light-curve benchmark, how much of the attack-versus-noise asymmetry the pooled estimate predicts actually obtains in a clean, replicable experimental setting. Together, the two contributions move the SSA classifier-robustness conversation from an unstated assumption that the published architectures are good enough for operational integration to a measured estimate of how much fragility those architectures carry and which design lever can be expected to reduce it.</w:t>
      </w:r>
    </w:p>
    <w:p>
      <w:pPr>
        <w:pStyle w:val="BodyText"/>
        <w:spacing w:line="480" w:lineRule="auto"/>
        <w:ind w:firstLine="720"/>
      </w:pPr>
      <w:r>
        <w:t xml:space="preserve">The remainder of the dissertation pursues that joining. Chapter 3 sets out the data, the measurement protocol, and the identification assumptions that license the partial-effect reading of the pooled logistic coefficients and the bootstrap-confidence-interval reading of the controlled measurement of R. Chapter 4 reports the results of both estimations and stages the robustness checks pre-committed to in the prospectus. Chapter 5 develops the operational implications for the SSA processing chain into which the classifiers reviewed in Section 2.2 are now being integrated [4, 6, 28], and locates those implications inside the policy and legal frame articulated by Bratu and Freeland</w:t>
      </w:r>
      <w:r>
        <w:t xml:space="preserve"> </w:t>
      </w:r>
      <w:hyperlink w:anchor="ref-27">
        <w:r>
          <w:rPr>
            <w:rStyle w:val="Hyperlink"/>
          </w:rPr>
          <w:t xml:space="preserve">[27]</w:t>
        </w:r>
      </w:hyperlink>
      <w:r>
        <w:t xml:space="preserve">. Chapter 6 closes by stating the limits of the joining and identifying the next measurement targets the cliometric posture suggests.</w:t>
      </w:r>
    </w:p>
    <w:bookmarkEnd w:id="72"/>
    <w:bookmarkEnd w:id="73"/>
    <w:bookmarkStart w:id="85" w:name="Xcfcc00a3ded59aed0c781c16bfc121f2a509603"/>
    <w:p>
      <w:pPr>
        <w:pStyle w:val="Heading1"/>
        <w:spacing w:line="480" w:lineRule="auto"/>
      </w:pPr>
      <w:r>
        <w:t xml:space="preserve">Chapter 3. Theoretical Framework and Hypotheses</w:t>
      </w:r>
    </w:p>
    <w:bookmarkStart w:id="74" w:name="purpose-and-position-of-the-chapter"/>
    <w:p>
      <w:pPr>
        <w:pStyle w:val="Heading2"/>
        <w:spacing w:line="480" w:lineRule="auto"/>
      </w:pPr>
      <w:r>
        <w:t xml:space="preserve">3.1 Purpose and Position of the Chapter</w:t>
      </w:r>
    </w:p>
    <w:p>
      <w:pPr>
        <w:pStyle w:val="FirstParagraph"/>
        <w:spacing w:line="480" w:lineRule="auto"/>
      </w:pPr>
      <w:r>
        <w:t xml:space="preserve">Here the dissertation develops the theoretical framework underwriting its empirical program and formalizes the hypotheses that program is built to test. Chapter 1 framed the operational problem: deep neural classifiers are being folded into space situational awareness (SSA) pipelines, where they ingest unresolved optical observables, principally photometric light curves, and emit categorical labels that flow downstream into conjunction screening, custody handover, and behavior characterization</w:t>
      </w:r>
      <w:r>
        <w:t xml:space="preserve"> </w:t>
      </w:r>
      <w:hyperlink w:anchor="ref-6">
        <w:r>
          <w:rPr>
            <w:rStyle w:val="Hyperlink"/>
          </w:rPr>
          <w:t xml:space="preserve">[6]</w:t>
        </w:r>
      </w:hyperlink>
      <w:r>
        <w:t xml:space="preserve">. Chapter 2 surveyed the two literatures bearing on that integration: a space-domain classification literature that has shown high in-distribution accuracy for convolutional and transfer-learned architectures on simulated and observatory-collected light curves [1, 2, 3, 5, 13, 14], and an adversarial-machine-learning literature on overhead and remote-sensing imagery that has shown large accuracy losses under small, structured perturbations of classifier inputs [9, 10, 11, 12, 17, 18]. Until the work reported here, no one had pooled the two into a single explanatory model of classifier sensitivity specific to the SSA observable.</w:t>
      </w:r>
    </w:p>
    <w:p>
      <w:pPr>
        <w:pStyle w:val="BodyText"/>
        <w:spacing w:line="480" w:lineRule="auto"/>
        <w:ind w:firstLine="720"/>
      </w:pPr>
      <w:r>
        <w:t xml:space="preserve">Section 3.2 names the theoretical primitives the framework is built on. Section 3.3 develops the causal logic in three steps, from the geometry of decision boundaries to the photometric channel through which an adversary or an unmodelled nuisance acts. Section 3.4 specifies the estimand R, the adversarial-to-noise sensitivity ratio, and explains why it is the right scalar for summarizing the mechanism. Section 3.5 states the formal hypotheses H0 and H1, pre-registered minimum effect size included. Section 3.6 derives ancillary hypotheses Ha through Hc that follow from the same mechanism and that the empirical chapters will test as robustness checks. Section 3.7 discusses what would count as falsification. Section 3.8 closes by mapping each construct in the framework to the measurement protocol of Chapter 4 and to the threats-to-validity register first introduced in the prospectus.</w:t>
      </w:r>
    </w:p>
    <w:bookmarkEnd w:id="74"/>
    <w:bookmarkStart w:id="75" w:name="theoretical-primitives"/>
    <w:p>
      <w:pPr>
        <w:pStyle w:val="Heading2"/>
        <w:spacing w:line="480" w:lineRule="auto"/>
      </w:pPr>
      <w:r>
        <w:t xml:space="preserve">3.2 Theoretical Primitives</w:t>
      </w:r>
    </w:p>
    <w:p>
      <w:pPr>
        <w:pStyle w:val="FirstParagraph"/>
        <w:spacing w:line="480" w:lineRule="auto"/>
      </w:pPr>
      <w:r>
        <w:t xml:space="preserve">Four primitives suffice to specify the framework.</w:t>
      </w:r>
    </w:p>
    <w:p>
      <w:pPr>
        <w:pStyle w:val="BodyText"/>
        <w:spacing w:line="480" w:lineRule="auto"/>
        <w:ind w:firstLine="720"/>
      </w:pPr>
      <w:r>
        <w:t xml:space="preserve">First is the</w:t>
      </w:r>
      <w:r>
        <w:t xml:space="preserve"> </w:t>
      </w:r>
      <w:r>
        <w:rPr>
          <w:i/>
          <w:iCs/>
        </w:rPr>
        <w:t xml:space="preserve">light-curve observable</w:t>
      </w:r>
      <w:r>
        <w:t xml:space="preserve">. A light curve is a time-indexed sequence of apparent-magnitude or flux values produced when a resident space object (RSO) is observed against the celestial background by a passive optical sensor. Shape, attitude regime, surface scattering properties, and motion all get encoded through the photometric channel; this is the input on which the classifiers of [1, 2, 3, 5, 13, 14] operate. As a continuous-valued vector, the observable lives in a finite-dimensional space whose dimension is set by sample cadence and integration window.</w:t>
      </w:r>
    </w:p>
    <w:p>
      <w:pPr>
        <w:pStyle w:val="BodyText"/>
        <w:spacing w:line="480" w:lineRule="auto"/>
        <w:ind w:firstLine="720"/>
      </w:pPr>
      <w:r>
        <w:t xml:space="preserve">Second is the</w:t>
      </w:r>
      <w:r>
        <w:t xml:space="preserve"> </w:t>
      </w:r>
      <w:r>
        <w:rPr>
          <w:i/>
          <w:iCs/>
        </w:rPr>
        <w:t xml:space="preserve">learned classifier</w:t>
      </w:r>
      <w:r>
        <w:t xml:space="preserve">, a parameterized function mapping a light-curve observable to a probability distribution over a finite label set, where labels correspond to shape, attitude regime, or behavior category. Architectures of interest in SSA practice include convolutional networks trained with model-based transfer learning</w:t>
      </w:r>
      <w:r>
        <w:t xml:space="preserve"> </w:t>
      </w:r>
      <w:hyperlink w:anchor="ref-1">
        <w:r>
          <w:rPr>
            <w:rStyle w:val="Hyperlink"/>
          </w:rPr>
          <w:t xml:space="preserve">[1]</w:t>
        </w:r>
      </w:hyperlink>
      <w:r>
        <w:t xml:space="preserve">, deep architectures benchmarked against gradient-boosted trees on synthetic debris light curves [2, 15], and convolutional and recurrent variants tailored to attitude-status inference and operational fusion [4, 14]. The framework holds the classifier fixed at the moment of measurement and concerns itself with the geometry the training procedure has induced.</w:t>
      </w:r>
    </w:p>
    <w:p>
      <w:pPr>
        <w:pStyle w:val="BodyText"/>
        <w:spacing w:line="480" w:lineRule="auto"/>
        <w:ind w:firstLine="720"/>
      </w:pPr>
      <w:r>
        <w:t xml:space="preserve">Third is the</w:t>
      </w:r>
      <w:r>
        <w:t xml:space="preserve"> </w:t>
      </w:r>
      <w:r>
        <w:rPr>
          <w:i/>
          <w:iCs/>
        </w:rPr>
        <w:t xml:space="preserve">perturbation</w:t>
      </w:r>
      <w:r>
        <w:t xml:space="preserve">, an additive vector in the same space as the observable, parameterized by its energy, expressed for the formal model as the L2 norm in photometric units. Two families are distinguished. A</w:t>
      </w:r>
      <w:r>
        <w:t xml:space="preserve"> </w:t>
      </w:r>
      <w:r>
        <w:rPr>
          <w:i/>
          <w:iCs/>
        </w:rPr>
        <w:t xml:space="preserve">worst-case adversarial perturbation</w:t>
      </w:r>
      <w:r>
        <w:t xml:space="preserve"> </w:t>
      </w:r>
      <w:r>
        <w:t xml:space="preserve">solves an inner maximization problem, selecting within an L2 budget the perturbation that maximizes the classifier’s loss with respect to the true label. A</w:t>
      </w:r>
      <w:r>
        <w:t xml:space="preserve"> </w:t>
      </w:r>
      <w:r>
        <w:rPr>
          <w:i/>
          <w:iCs/>
        </w:rPr>
        <w:t xml:space="preserve">matched-energy stochastic perturbation</w:t>
      </w:r>
      <w:r>
        <w:t xml:space="preserve"> </w:t>
      </w:r>
      <w:r>
        <w:t xml:space="preserve">is a zero-mean Gaussian draw with covariance calibrated so its expected L2 norm equals that of the adversarial vector. Contrasting the two families is the lever by which the framework isolates structure from magnitude.</w:t>
      </w:r>
    </w:p>
    <w:p>
      <w:pPr>
        <w:pStyle w:val="BodyText"/>
        <w:spacing w:line="480" w:lineRule="auto"/>
        <w:ind w:firstLine="720"/>
      </w:pPr>
      <w:r>
        <w:t xml:space="preserve">Fourth is the</w:t>
      </w:r>
      <w:r>
        <w:t xml:space="preserve"> </w:t>
      </w:r>
      <w:r>
        <w:rPr>
          <w:i/>
          <w:iCs/>
        </w:rPr>
        <w:t xml:space="preserve">decision</w:t>
      </w:r>
      <w:r>
        <w:t xml:space="preserve">, the top-1 label the classifier emits. From how that label changes, in expectation, as a function of perturbation energy, the estimand is constructed. Because the decision is what feeds downstream SSA processes [4, 6], it is the appropriate unit at which to measure sensitivity.</w:t>
      </w:r>
    </w:p>
    <w:bookmarkEnd w:id="75"/>
    <w:bookmarkStart w:id="79" w:name="causal-logic-in-three-steps"/>
    <w:p>
      <w:pPr>
        <w:pStyle w:val="Heading2"/>
        <w:spacing w:line="480" w:lineRule="auto"/>
      </w:pPr>
      <w:r>
        <w:t xml:space="preserve">3.3 Causal Logic in Three Steps</w:t>
      </w:r>
    </w:p>
    <w:p>
      <w:pPr>
        <w:pStyle w:val="FirstParagraph"/>
        <w:spacing w:line="480" w:lineRule="auto"/>
      </w:pPr>
      <w:r>
        <w:t xml:space="preserve">A three-step causal chain connects the geometry of trained classifiers to the operational risk that motivates the dissertation.</w:t>
      </w:r>
    </w:p>
    <w:bookmarkStart w:id="76" w:name="Xd14e22e293e9687b41bfe769122f0a18155d2c8"/>
    <w:p>
      <w:pPr>
        <w:pStyle w:val="Heading3"/>
        <w:spacing w:line="480" w:lineRule="auto"/>
      </w:pPr>
      <w:r>
        <w:t xml:space="preserve">3.3.1 Step One: Decision Boundaries Are Locally Anisotropic</w:t>
      </w:r>
    </w:p>
    <w:p>
      <w:pPr>
        <w:pStyle w:val="FirstParagraph"/>
        <w:spacing w:line="480" w:lineRule="auto"/>
      </w:pPr>
      <w:r>
        <w:t xml:space="preserve">Modern deep classifiers, the convolutional architectures used on light curves among them [1, 2, 3, 13, 14], partition input space into regions of constant top-1 label. Boundaries between those regions are, in general, locally anisotropic. Put concretely, the gradient of the loss with respect to the input at a correctly classified point is non-uniform: along one direction a small step crosses the boundary, while along orthogonal directions much larger steps do not. This anisotropy is the empirical regularity the remote-sensing adversarial literature documents repeatedly for image classifiers under FGSM, PGD, DeepFool, and JSMA attack families [9, 10, 11, 12, 18]. By analogy, and on the strength of the first empirical paper of this dissertation, the framework asserts the same anisotropy is present for light-curve classifiers.</w:t>
      </w:r>
    </w:p>
    <w:p>
      <w:pPr>
        <w:pStyle w:val="BodyText"/>
        <w:spacing w:line="480" w:lineRule="auto"/>
        <w:ind w:firstLine="720"/>
      </w:pPr>
      <w:r>
        <w:t xml:space="preserve">None of this is a claim about adversaries. It is a claim about the geometry of trained models. An anisotropic boundary means the classifier’s response to an input perturbation depends on the direction of that perturbation in input space. Align a perturbation with the local gradient and the loss changes a lot; draw it isotropically and, in expectation, the loss changes much less. That dependence of response on direction is where the asymmetry the dissertation measures comes from.</w:t>
      </w:r>
    </w:p>
    <w:bookmarkEnd w:id="76"/>
    <w:bookmarkStart w:id="77" w:name="Xf9df5f791fd4c63f27a214ecc00971b66d243a8"/>
    <w:p>
      <w:pPr>
        <w:pStyle w:val="Heading3"/>
        <w:spacing w:line="480" w:lineRule="auto"/>
      </w:pPr>
      <w:r>
        <w:t xml:space="preserve">3.3.2 Step Two: The Photometric Channel Carries Both Signal and Adversary</w:t>
      </w:r>
    </w:p>
    <w:p>
      <w:pPr>
        <w:pStyle w:val="FirstParagraph"/>
        <w:spacing w:line="480" w:lineRule="auto"/>
      </w:pPr>
      <w:r>
        <w:t xml:space="preserve">Shared by the legitimate signal, by sensor and atmospheric noise, and, in principle, by any adversarial component, the photometric channel is the one through which a light-curve sample is acquired. Nuisance contributions to that channel are diverse, and the brightness-measurement characterization literature documents them: atmospheric scintillation, sensor read noise, background variability</w:t>
      </w:r>
      <w:r>
        <w:t xml:space="preserve"> </w:t>
      </w:r>
      <w:hyperlink w:anchor="ref-5">
        <w:r>
          <w:rPr>
            <w:rStyle w:val="Hyperlink"/>
          </w:rPr>
          <w:t xml:space="preserve">[5]</w:t>
        </w:r>
      </w:hyperlink>
      <w:r>
        <w:t xml:space="preserve">. The orbit-determination survey of Kazemi et al. consolidates these channels in the broader SSA pipeline and identifies learning-based methods as an emerging pillar that ingests them</w:t>
      </w:r>
      <w:r>
        <w:t xml:space="preserve"> </w:t>
      </w:r>
      <w:hyperlink w:anchor="ref-6">
        <w:r>
          <w:rPr>
            <w:rStyle w:val="Hyperlink"/>
          </w:rPr>
          <w:t xml:space="preserve">[6]</w:t>
        </w:r>
      </w:hyperlink>
      <w:r>
        <w:t xml:space="preserve">. Maneuver-detection work by Shen et al. and Abay et al. shows that generative adversarial constructions can be exercised against the SSA observable as a constructive tool [7, 8, 20, 21], confirming that the channel is, at minimum, formally addressable by structured perturbations. Sensitivity studies in adjacent SSA pipelines, such as the lifetime-collision-probability sensitivity analysis of Chandramouli and Shockley</w:t>
      </w:r>
      <w:r>
        <w:t xml:space="preserve"> </w:t>
      </w:r>
      <w:hyperlink w:anchor="ref-25">
        <w:r>
          <w:rPr>
            <w:rStyle w:val="Hyperlink"/>
          </w:rPr>
          <w:t xml:space="preserve">[25]</w:t>
        </w:r>
      </w:hyperlink>
      <w:r>
        <w:t xml:space="preserve"> </w:t>
      </w:r>
      <w:r>
        <w:t xml:space="preserve">and the conjunction-probability work of Alfano and Oltrogge</w:t>
      </w:r>
      <w:r>
        <w:t xml:space="preserve"> </w:t>
      </w:r>
      <w:hyperlink w:anchor="ref-31">
        <w:r>
          <w:rPr>
            <w:rStyle w:val="Hyperlink"/>
          </w:rPr>
          <w:t xml:space="preserve">[31]</w:t>
        </w:r>
      </w:hyperlink>
      <w:r>
        <w:t xml:space="preserve">, establish that the SSA community already prices sensitivity to small input variations in non-learning contexts.</w:t>
      </w:r>
    </w:p>
    <w:p>
      <w:pPr>
        <w:pStyle w:val="BodyText"/>
        <w:spacing w:line="480" w:lineRule="auto"/>
        <w:ind w:firstLine="720"/>
      </w:pPr>
      <w:r>
        <w:t xml:space="preserve">Note what the framework does not assert. It does not claim an operational adversary can in fact inject an arbitrary perturbation into a real observatory light curve. It asserts the weaker, sufficient claim: the photometric channel is the locus through which any structured input variation, deliberate or nuisance, must pass to reach the classifier, and the classifier’s response to that variation is governed by the local geometry of step one.</w:t>
      </w:r>
    </w:p>
    <w:bookmarkEnd w:id="77"/>
    <w:bookmarkStart w:id="78" w:name="Xad8f546abd140f2dd3af654d46ac0c859a51a7f"/>
    <w:p>
      <w:pPr>
        <w:pStyle w:val="Heading3"/>
        <w:spacing w:line="480" w:lineRule="auto"/>
      </w:pPr>
      <w:r>
        <w:t xml:space="preserve">3.3.3 Step Three: Structure Beats Magnitude Inside the Energy Envelope</w:t>
      </w:r>
    </w:p>
    <w:p>
      <w:pPr>
        <w:pStyle w:val="FirstParagraph"/>
        <w:spacing w:line="480" w:lineRule="auto"/>
      </w:pPr>
      <w:r>
        <w:t xml:space="preserve">Combine the two preceding steps and the core mechanistic claim of the framework emerges. For a fixed energy budget on the perturbation, expressed as L2 norm in photometric units, a structured perturbation that exploits the local anisotropy of the decision boundary crosses that boundary at a lower budget than an isotropic perturbation of equal energy. Said the other way: the slope of top-1 accuracy with respect to perturbation budget is steeper under structured perturbation than under matched-energy stochastic perturbation. Empirical results in the first paper of this dissertation are consistent with the claim. The budget channel is the dominant first-order driver of attack success, the effect of explicit hardening, conditional on budget, compresses that channel, and naive scaling of the backbone does not.</w:t>
      </w:r>
    </w:p>
    <w:p>
      <w:pPr>
        <w:pStyle w:val="BodyText"/>
        <w:spacing w:line="480" w:lineRule="auto"/>
        <w:ind w:firstLine="720"/>
      </w:pPr>
      <w:r>
        <w:t xml:space="preserve">The claim is not that classifiers are arbitrarily fragile. It is that, within the energy envelope where the matched-energy noise comparison is informative, the per-unit-energy effect of structure exceeds the per-unit-energy effect of magnitude alone. That asymmetry is what the dissertation measures and tests.</w:t>
      </w:r>
    </w:p>
    <w:bookmarkEnd w:id="78"/>
    <w:bookmarkEnd w:id="79"/>
    <w:bookmarkStart w:id="80" w:name="Xc58246978d5547a35de6d3163bf0433cf9ab96b"/>
    <w:p>
      <w:pPr>
        <w:pStyle w:val="Heading2"/>
        <w:spacing w:line="480" w:lineRule="auto"/>
      </w:pPr>
      <w:r>
        <w:t xml:space="preserve">3.4 The Estimand: Adversarial-to-Noise Sensitivity Ratio R</w:t>
      </w:r>
    </w:p>
    <w:p>
      <w:pPr>
        <w:pStyle w:val="FirstParagraph"/>
        <w:spacing w:line="480" w:lineRule="auto"/>
      </w:pPr>
      <w:r>
        <w:t xml:space="preserve">A single scalar estimand summarizes the mechanism, and the three-step causal logic licenses it. Let A(b) denote the expected top-1 accuracy of the reproduced classifier evaluated on the held-out partition of the Adriano et al. synthetic-debris benchmark [2, 15] under a worst-case adversarial perturbation of L2 budget b, and let N(b) denote the expected top-1 accuracy under a matched-energy stochastic perturbation of the same L2 budget b. Define the absolute slopes</w:t>
      </w:r>
    </w:p>
    <w:p>
      <w:pPr>
        <w:pStyle w:val="BodyText"/>
        <w:spacing w:line="480" w:lineRule="auto"/>
        <w:ind w:firstLine="720"/>
      </w:pPr>
      <w:r>
        <w:t xml:space="preserve">m_A = | dA(b) / db |</w:t>
      </w:r>
      <w:r>
        <w:t xml:space="preserve"> </w:t>
      </w:r>
      <w:r>
        <w:t xml:space="preserve">m_N = | dN(b) / db |</w:t>
      </w:r>
    </w:p>
    <w:p>
      <w:pPr>
        <w:pStyle w:val="BodyText"/>
        <w:spacing w:line="480" w:lineRule="auto"/>
        <w:ind w:firstLine="720"/>
      </w:pPr>
      <w:r>
        <w:t xml:space="preserve">evaluated over the linear regime of each accuracy-versus-budget curve, where linear regime is operationalized in Chapter 4 as the contiguous range of b values over which a least-squares fit yields a coefficient of determination at or above a pre-registered threshold. The estimand is the ratio</w:t>
      </w:r>
    </w:p>
    <w:p>
      <w:pPr>
        <w:pStyle w:val="BodyText"/>
        <w:spacing w:line="480" w:lineRule="auto"/>
        <w:ind w:firstLine="720"/>
      </w:pPr>
      <w:r>
        <w:t xml:space="preserve">R = m_A / m_N.</w:t>
      </w:r>
    </w:p>
    <w:p>
      <w:pPr>
        <w:pStyle w:val="BodyText"/>
        <w:spacing w:line="480" w:lineRule="auto"/>
        <w:ind w:firstLine="720"/>
      </w:pPr>
      <w:r>
        <w:t xml:space="preserve">Three properties make R the right scalar for the framework. It is a pure number, so it does not depend on the units of b. It inverts under the same transformation for either family, so it can be reported without auxiliary scaling. And it carries a clean operational reading: R is the number of times more accuracy a classifier loses, per unit of L2-budget energy, when the perturbation is structured than when it is stochastic.</w:t>
      </w:r>
    </w:p>
    <w:p>
      <w:pPr>
        <w:pStyle w:val="BodyText"/>
        <w:spacing w:line="480" w:lineRule="auto"/>
        <w:ind w:firstLine="720"/>
      </w:pPr>
      <w:r>
        <w:t xml:space="preserve">Defined against the published architecture family of</w:t>
      </w:r>
      <w:r>
        <w:t xml:space="preserve"> </w:t>
      </w:r>
      <w:hyperlink w:anchor="ref-1">
        <w:r>
          <w:rPr>
            <w:rStyle w:val="Hyperlink"/>
          </w:rPr>
          <w:t xml:space="preserve">[1]</w:t>
        </w:r>
      </w:hyperlink>
      <w:r>
        <w:t xml:space="preserve"> </w:t>
      </w:r>
      <w:r>
        <w:t xml:space="preserve">and</w:t>
      </w:r>
      <w:r>
        <w:t xml:space="preserve"> </w:t>
      </w:r>
      <w:hyperlink w:anchor="ref-2">
        <w:r>
          <w:rPr>
            <w:rStyle w:val="Hyperlink"/>
          </w:rPr>
          <w:t xml:space="preserve">[2]</w:t>
        </w:r>
      </w:hyperlink>
      <w:r>
        <w:t xml:space="preserve">, the estimand is anchored on the published, DOI-released synthetic-debris corpus of Adriano et al. [2, 15], with cross-checks against the brightness-measurement nuisance envelope of Balster et al. </w:t>
      </w:r>
      <w:hyperlink w:anchor="ref-5">
        <w:r>
          <w:rPr>
            <w:rStyle w:val="Hyperlink"/>
          </w:rPr>
          <w:t xml:space="preserve">[5]</w:t>
        </w:r>
      </w:hyperlink>
      <w:r>
        <w:t xml:space="preserve"> </w:t>
      </w:r>
      <w:r>
        <w:t xml:space="preserve">and the operational-fusion pipeline of Tsaprailis et al. </w:t>
      </w:r>
      <w:hyperlink w:anchor="ref-4">
        <w:r>
          <w:rPr>
            <w:rStyle w:val="Hyperlink"/>
          </w:rPr>
          <w:t xml:space="preserve">[4]</w:t>
        </w:r>
      </w:hyperlink>
      <w:r>
        <w:t xml:space="preserve">. Reporting comes in the empirical chapters: R together with a 95 percent bootstrap confidence interval built by resampling the held-out partition.</w:t>
      </w:r>
    </w:p>
    <w:bookmarkEnd w:id="80"/>
    <w:bookmarkStart w:id="81" w:name="formal-hypotheses"/>
    <w:p>
      <w:pPr>
        <w:pStyle w:val="Heading2"/>
        <w:spacing w:line="480" w:lineRule="auto"/>
      </w:pPr>
      <w:r>
        <w:t xml:space="preserve">3.5 Formal Hypotheses</w:t>
      </w:r>
    </w:p>
    <w:p>
      <w:pPr>
        <w:pStyle w:val="FirstParagraph"/>
        <w:spacing w:line="480" w:lineRule="auto"/>
      </w:pPr>
      <w:r>
        <w:t xml:space="preserve">One pair of formal hypotheses falls out of the framework, stated as competing claims about R, with a pre-registered minimum effect size.</w:t>
      </w:r>
    </w:p>
    <w:p>
      <w:pPr>
        <w:pStyle w:val="BodyText"/>
        <w:spacing w:line="480" w:lineRule="auto"/>
        <w:ind w:firstLine="720"/>
      </w:pPr>
      <w:r>
        <w:rPr>
          <w:b/>
          <w:bCs/>
        </w:rPr>
        <w:t xml:space="preserve">H0 (null).</w:t>
      </w:r>
      <w:r>
        <w:t xml:space="preserve"> </w:t>
      </w:r>
      <w:r>
        <w:t xml:space="preserve">R = 1. Within the energy envelope, the classifier is no more sensitive to a structured adversarial perturbation than to a stochastic perturbation of equal L2 budget. Per-unit-energy slope of accuracy decay is the same for the two families. Under H0, the asymmetry asserted in step three of Section 3.3 does not survive measurement on this corpus and this architecture family; the SSA risk from adversarial inputs reduces to the SSA risk from ordinary photometric noise; and the operational community can absorb adversarial-input concerns into its existing noise-budget practice [5, 6, 25, 31].</w:t>
      </w:r>
    </w:p>
    <w:p>
      <w:pPr>
        <w:pStyle w:val="BodyText"/>
        <w:spacing w:line="480" w:lineRule="auto"/>
        <w:ind w:firstLine="720"/>
      </w:pPr>
      <w:r>
        <w:rPr>
          <w:b/>
          <w:bCs/>
        </w:rPr>
        <w:t xml:space="preserve">H1 (alternative).</w:t>
      </w:r>
      <w:r>
        <w:t xml:space="preserve"> </w:t>
      </w:r>
      <w:r>
        <w:t xml:space="preserve">R &gt; 1, with pre-registered minimum effect size R &gt;= 2. Within the energy envelope, the classifier is materially more sensitive to a structured adversarial perturbation than to a stochastic perturbation of equal L2 budget, and the per-unit-energy slope of accuracy decay is at least twice as steep under structure as under stochasticity. Under H1, the asymmetry survives measurement; the SSA risk from adversarial inputs is a distinct concern that cannot be priced as a noise-budget extension; and the operational community must price structure separately when integrating these classifiers into automated decision aids [4, 6].</w:t>
      </w:r>
    </w:p>
    <w:p>
      <w:pPr>
        <w:pStyle w:val="BodyText"/>
        <w:spacing w:line="480" w:lineRule="auto"/>
        <w:ind w:firstLine="720"/>
      </w:pPr>
      <w:r>
        <w:t xml:space="preserve">Set before any evaluation run, the minimum effect size R &gt;= 2 rests on operational grounds rather than statistical convenience. A sensitivity ratio of two means an adversary or an unmodelled structured nuisance buys, per unit of injected energy, twice the accuracy loss of an ordinary noise event of the same energy. Because the SSA community already tracks accuracy budgets for ordinary noise [5, 6], a sensitivity ratio that doubles the per-unit-energy effect is the smallest difference unambiguously material to that practice. A ratio strictly greater than one but below two would be statistically interesting but operationally borderline, and the pre-registration deliberately commits the dissertation to the stronger operational claim.</w:t>
      </w:r>
    </w:p>
    <w:p>
      <w:pPr>
        <w:pStyle w:val="BodyText"/>
        <w:spacing w:line="480" w:lineRule="auto"/>
        <w:ind w:firstLine="720"/>
      </w:pPr>
      <w:r>
        <w:t xml:space="preserve">Testing H0 against H1 is a one-sided bootstrap test for R &gt; 2 at alpha = 0.05, with the test statistic, the resampling unit, the seed list, and the budget grid pre-registered before any evaluation run, consistent with the reproducibility norms identified by the orbit-determination survey of Kazemi et al. </w:t>
      </w:r>
      <w:hyperlink w:anchor="ref-6">
        <w:r>
          <w:rPr>
            <w:rStyle w:val="Hyperlink"/>
          </w:rPr>
          <w:t xml:space="preserve">[6]</w:t>
        </w:r>
      </w:hyperlink>
      <w:r>
        <w:t xml:space="preserve">.</w:t>
      </w:r>
    </w:p>
    <w:bookmarkEnd w:id="81"/>
    <w:bookmarkStart w:id="82" w:name="ancillary-hypotheses"/>
    <w:p>
      <w:pPr>
        <w:pStyle w:val="Heading2"/>
        <w:spacing w:line="480" w:lineRule="auto"/>
      </w:pPr>
      <w:r>
        <w:t xml:space="preserve">3.6 Ancillary Hypotheses</w:t>
      </w:r>
    </w:p>
    <w:p>
      <w:pPr>
        <w:pStyle w:val="FirstParagraph"/>
        <w:spacing w:line="480" w:lineRule="auto"/>
      </w:pPr>
      <w:r>
        <w:t xml:space="preserve">Three ancillary hypotheses follow from the same mechanism. They are not the primary contribution; they are robustness predictions the framework makes and the empirical chapters test as confirmatory checks.</w:t>
      </w:r>
    </w:p>
    <w:p>
      <w:pPr>
        <w:pStyle w:val="BodyText"/>
        <w:spacing w:line="480" w:lineRule="auto"/>
        <w:ind w:firstLine="720"/>
      </w:pPr>
      <w:r>
        <w:rPr>
          <w:b/>
          <w:bCs/>
        </w:rPr>
        <w:t xml:space="preserve">Ha (architecture transfer).</w:t>
      </w:r>
      <w:r>
        <w:t xml:space="preserve"> </w:t>
      </w:r>
      <w:r>
        <w:t xml:space="preserve">The qualitative inequality R &gt; 1 persists when the reproduced convolutional architecture of Furfaro et al. </w:t>
      </w:r>
      <w:hyperlink w:anchor="ref-1">
        <w:r>
          <w:rPr>
            <w:rStyle w:val="Hyperlink"/>
          </w:rPr>
          <w:t xml:space="preserve">[1]</w:t>
        </w:r>
      </w:hyperlink>
      <w:r>
        <w:t xml:space="preserve"> </w:t>
      </w:r>
      <w:r>
        <w:t xml:space="preserve">gives way to the extreme gradient boosting baseline of Adriano et al. [2, 15] and to the deep architecture used by McQuaid et al. for non-resolved observations</w:t>
      </w:r>
      <w:r>
        <w:t xml:space="preserve"> </w:t>
      </w:r>
      <w:hyperlink w:anchor="ref-3">
        <w:r>
          <w:rPr>
            <w:rStyle w:val="Hyperlink"/>
          </w:rPr>
          <w:t xml:space="preserve">[3]</w:t>
        </w:r>
      </w:hyperlink>
      <w:r>
        <w:t xml:space="preserve">. Because the mechanism rests on local anisotropy of decision boundaries, a property the adversarial-ML literature documents across architecture families [9, 10, 11, 18], Ha asserts the property is not unique to one reproduced model.</w:t>
      </w:r>
    </w:p>
    <w:p>
      <w:pPr>
        <w:pStyle w:val="BodyText"/>
        <w:spacing w:line="480" w:lineRule="auto"/>
        <w:ind w:firstLine="720"/>
      </w:pPr>
      <w:r>
        <w:rPr>
          <w:b/>
          <w:bCs/>
        </w:rPr>
        <w:t xml:space="preserve">Hb (defense compression).</w:t>
      </w:r>
      <w:r>
        <w:t xml:space="preserve"> </w:t>
      </w:r>
      <w:r>
        <w:t xml:space="preserve">Conditional on perturbation budget, classifiers trained with explicit adversarial defenses, adversarial training</w:t>
      </w:r>
      <w:r>
        <w:t xml:space="preserve"> </w:t>
      </w:r>
      <w:hyperlink w:anchor="ref-12">
        <w:r>
          <w:rPr>
            <w:rStyle w:val="Hyperlink"/>
          </w:rPr>
          <w:t xml:space="preserve">[12]</w:t>
        </w:r>
      </w:hyperlink>
      <w:r>
        <w:t xml:space="preserve"> </w:t>
      </w:r>
      <w:r>
        <w:t xml:space="preserve">and perturbation-seeking generative defense</w:t>
      </w:r>
      <w:r>
        <w:t xml:space="preserve"> </w:t>
      </w:r>
      <w:hyperlink w:anchor="ref-17">
        <w:r>
          <w:rPr>
            <w:rStyle w:val="Hyperlink"/>
          </w:rPr>
          <w:t xml:space="preserve">[17]</w:t>
        </w:r>
      </w:hyperlink>
      <w:r>
        <w:t xml:space="preserve"> </w:t>
      </w:r>
      <w:r>
        <w:t xml:space="preserve">included, exhibit a smaller R than undefended classifiers. An odds ratio of approximately 0.044 for the defense indicator in a pooled logistic model, reported in the first empirical paper of this dissertation, is consistent with the direction Hb asserts. The mechanism: explicit hardening flattens local anisotropy in the directions the attack search procedure can find, compressing m_A toward m_N without moving the matched-energy noise baseline.</w:t>
      </w:r>
    </w:p>
    <w:p>
      <w:pPr>
        <w:pStyle w:val="BodyText"/>
        <w:spacing w:line="480" w:lineRule="auto"/>
        <w:ind w:firstLine="720"/>
      </w:pPr>
      <w:r>
        <w:rPr>
          <w:b/>
          <w:bCs/>
        </w:rPr>
        <w:t xml:space="preserve">Hc (scale neutrality).</w:t>
      </w:r>
      <w:r>
        <w:t xml:space="preserve"> </w:t>
      </w:r>
      <w:r>
        <w:t xml:space="preserve">Within the observed parameter range of approximately 0.5 million to 144 million trainable parameters, R does not decline monotonically with model scale. A parameter-count coefficient of approximately negative 0.0074 with a Wald p-value of 0.69 in the pooled logistic, reported in the first empirical paper, is consistent with Hc. The mechanism: scaling the backbone without explicit adversarial training preserves the local anisotropy that drives R, so scaling is the wrong dial.</w:t>
      </w:r>
    </w:p>
    <w:p>
      <w:pPr>
        <w:pStyle w:val="BodyText"/>
        <w:spacing w:line="480" w:lineRule="auto"/>
        <w:ind w:firstLine="720"/>
      </w:pPr>
      <w:r>
        <w:t xml:space="preserve">Ha, Hb, and Hc are predictions of the framework rather than competing alternatives to H1. Their role is to bound the conditions under which the primary inequality holds.</w:t>
      </w:r>
    </w:p>
    <w:bookmarkEnd w:id="82"/>
    <w:bookmarkStart w:id="83" w:name="what-would-count-as-falsification"/>
    <w:p>
      <w:pPr>
        <w:pStyle w:val="Heading2"/>
        <w:spacing w:line="480" w:lineRule="auto"/>
      </w:pPr>
      <w:r>
        <w:t xml:space="preserve">3.7 What Would Count as Falsification</w:t>
      </w:r>
    </w:p>
    <w:p>
      <w:pPr>
        <w:pStyle w:val="FirstParagraph"/>
        <w:spacing w:line="480" w:lineRule="auto"/>
      </w:pPr>
      <w:r>
        <w:t xml:space="preserve">Falsifiable on multiple axes, the framework commits the dissertation to reporting falsification on any of them.</w:t>
      </w:r>
    </w:p>
    <w:p>
      <w:pPr>
        <w:pStyle w:val="BodyText"/>
        <w:spacing w:line="480" w:lineRule="auto"/>
        <w:ind w:firstLine="720"/>
      </w:pPr>
      <w:r>
        <w:t xml:space="preserve">Primary falsification is a failure to reject H0. Should the bootstrap test for R &gt; 2 not reach significance at alpha = 0.05 on the pre-registered held-out partition, the dissertation reports failure to reject H0 and treats the working hypothesis, that adversarial-input risk is a distinct concern beyond ordinary sensor noise for this class of model, as falsified on this corpus.</w:t>
      </w:r>
    </w:p>
    <w:p>
      <w:pPr>
        <w:pStyle w:val="BodyText"/>
        <w:spacing w:line="480" w:lineRule="auto"/>
        <w:ind w:firstLine="720"/>
      </w:pPr>
      <w:r>
        <w:t xml:space="preserve">Three secondary falsifications attach to the ancillary hypotheses. Reverse Ha, so that R &gt; 1 fails for one of the alternative architectures, and the mechanism would be architecture-specific in a way the framework does not currently accommodate. Reverse Hb, so that the defense indicator does not compress R, and either the defenses considered are ineffective in the light-curve regime or the framework has misidentified the compression channel. Reverse Hc, so that R declines monotonically with model scale in the observed range, and the framework would have understated the role of capacity in setting decision-boundary anisotropy.</w:t>
      </w:r>
    </w:p>
    <w:p>
      <w:pPr>
        <w:pStyle w:val="BodyText"/>
        <w:spacing w:line="480" w:lineRule="auto"/>
        <w:ind w:firstLine="720"/>
      </w:pPr>
      <w:r>
        <w:t xml:space="preserve">Construct falsification is a further exposure. Defined against the published architecture family of</w:t>
      </w:r>
      <w:r>
        <w:t xml:space="preserve"> </w:t>
      </w:r>
      <w:hyperlink w:anchor="ref-1">
        <w:r>
          <w:rPr>
            <w:rStyle w:val="Hyperlink"/>
          </w:rPr>
          <w:t xml:space="preserve">[1]</w:t>
        </w:r>
      </w:hyperlink>
      <w:r>
        <w:t xml:space="preserve"> </w:t>
      </w:r>
      <w:r>
        <w:t xml:space="preserve">and</w:t>
      </w:r>
      <w:r>
        <w:t xml:space="preserve"> </w:t>
      </w:r>
      <w:hyperlink w:anchor="ref-2">
        <w:r>
          <w:rPr>
            <w:rStyle w:val="Hyperlink"/>
          </w:rPr>
          <w:t xml:space="preserve">[2]</w:t>
        </w:r>
      </w:hyperlink>
      <w:r>
        <w:t xml:space="preserve">, the estimand R may not generalize if, by the time of evaluation, the operational SSA community has migrated to architectures not represented in those references. Ha’s robustness checks are the intended mitigation, but the dissertation states the construct limit explicitly rather than papering over it.</w:t>
      </w:r>
    </w:p>
    <w:p>
      <w:pPr>
        <w:pStyle w:val="BodyText"/>
        <w:spacing w:line="480" w:lineRule="auto"/>
        <w:ind w:firstLine="720"/>
      </w:pPr>
      <w:r>
        <w:t xml:space="preserve">Adversarial-realism falsification is the last exposure. A standard adversarial-machine-learning primitive [9, 10, 11, 12], the L2-bounded perturbation is not a sensor-physics model. The dissertation does not claim an adversary can inject an arbitrary L2-budget perturbation into a real observatory light curve. Because the legal and doctrinal context for what an operational adversary may or may not do in the space domain is itself in flux</w:t>
      </w:r>
      <w:r>
        <w:t xml:space="preserve"> </w:t>
      </w:r>
      <w:hyperlink w:anchor="ref-27">
        <w:r>
          <w:rPr>
            <w:rStyle w:val="Hyperlink"/>
          </w:rPr>
          <w:t xml:space="preserve">[27]</w:t>
        </w:r>
      </w:hyperlink>
      <w:r>
        <w:t xml:space="preserve">, the empirical reach of the framework stops at the controlled in-silico measurement. The threats-to-validity register of the prospectus carries forward unchanged.</w:t>
      </w:r>
    </w:p>
    <w:bookmarkEnd w:id="83"/>
    <w:bookmarkStart w:id="84" w:name="X2ab34a93f5777b615643a72c4ad633a2b7cdffd"/>
    <w:p>
      <w:pPr>
        <w:pStyle w:val="Heading2"/>
        <w:spacing w:line="480" w:lineRule="auto"/>
      </w:pPr>
      <w:r>
        <w:t xml:space="preserve">3.8 Mapping to Measurement and to the Validity Register</w:t>
      </w:r>
    </w:p>
    <w:p>
      <w:pPr>
        <w:pStyle w:val="FirstParagraph"/>
        <w:spacing w:line="480" w:lineRule="auto"/>
      </w:pPr>
      <w:r>
        <w:t xml:space="preserve">Cleanly, the framework specified here maps to the measurement protocol Chapter 4 details. Each primitive of Section 3.2 maps to a measurement object: the light-curve observable to the held-out partition of the Adriano et al. corpus [2, 15], the learned classifier to the reproduced architecture of Furfaro et al. </w:t>
      </w:r>
      <w:hyperlink w:anchor="ref-1">
        <w:r>
          <w:rPr>
            <w:rStyle w:val="Hyperlink"/>
          </w:rPr>
          <w:t xml:space="preserve">[1]</w:t>
        </w:r>
      </w:hyperlink>
      <w:r>
        <w:t xml:space="preserve"> </w:t>
      </w:r>
      <w:r>
        <w:t xml:space="preserve">and the comparison classifiers of [2, 3, 15], the perturbation to the PGD-generated adversarial family and the matched-energy Gaussian family, and the decision to the top-1 label evaluated on the same partition. Each step of the causal logic of Section 3.3 maps to a measurable quantity: anisotropy to the empirical curvature of the loss surface at correctly classified points, the photometric channel to the L2 norm of the additive perturbation, and structure-beats-magnitude to the estimand R itself. The hypotheses of Section 3.5 map to the bootstrap test specified in Section 3.4.</w:t>
      </w:r>
    </w:p>
    <w:p>
      <w:pPr>
        <w:pStyle w:val="BodyText"/>
        <w:spacing w:line="480" w:lineRule="auto"/>
        <w:ind w:firstLine="720"/>
      </w:pPr>
      <w:r>
        <w:t xml:space="preserve">The validity register carries forward as follows. Construct validity is bounded by the architecture family on which R is defined and is addressed by Ha. Internal validity is bounded by the white-box access assumed in the worst-case inner maximization and is addressed by a transfer-attack robustness check designated as a secondary analysis. External validity is bounded by the synthetic nature of the Adriano corpus and is addressed by cross-reference to the brightness-measurement nuisance envelope of</w:t>
      </w:r>
      <w:r>
        <w:t xml:space="preserve"> </w:t>
      </w:r>
      <w:hyperlink w:anchor="ref-5">
        <w:r>
          <w:rPr>
            <w:rStyle w:val="Hyperlink"/>
          </w:rPr>
          <w:t xml:space="preserve">[5]</w:t>
        </w:r>
      </w:hyperlink>
      <w:r>
        <w:t xml:space="preserve"> </w:t>
      </w:r>
      <w:r>
        <w:t xml:space="preserve">and the operational pipeline of</w:t>
      </w:r>
      <w:r>
        <w:t xml:space="preserve"> </w:t>
      </w:r>
      <w:hyperlink w:anchor="ref-4">
        <w:r>
          <w:rPr>
            <w:rStyle w:val="Hyperlink"/>
          </w:rPr>
          <w:t xml:space="preserve">[4]</w:t>
        </w:r>
      </w:hyperlink>
      <w:r>
        <w:t xml:space="preserve">. Statistical validity is bounded by the assumption that the held-out partition is representative of the labelled population and is addressed by pre-registration of the partition, the budget grid, the perturbation algorithms, and the bootstrap seed list, consistent with the reproducibility norms identified in</w:t>
      </w:r>
      <w:r>
        <w:t xml:space="preserve"> </w:t>
      </w:r>
      <w:hyperlink w:anchor="ref-6">
        <w:r>
          <w:rPr>
            <w:rStyle w:val="Hyperlink"/>
          </w:rPr>
          <w:t xml:space="preserve">[6]</w:t>
        </w:r>
      </w:hyperlink>
      <w:r>
        <w:t xml:space="preserve">. Adversarial-realism validity is bounded by the L2 primitive and is addressed by stating explicitly that the framework measures a fragility profile under controlled conditions rather than predicting an operational attack rate, a posture compatible with the broader doctrinal uncertainty surveyed in</w:t>
      </w:r>
      <w:r>
        <w:t xml:space="preserve"> </w:t>
      </w:r>
      <w:hyperlink w:anchor="ref-27">
        <w:r>
          <w:rPr>
            <w:rStyle w:val="Hyperlink"/>
          </w:rPr>
          <w:t xml:space="preserve">[27]</w:t>
        </w:r>
      </w:hyperlink>
      <w:r>
        <w:t xml:space="preserve"> </w:t>
      </w:r>
      <w:r>
        <w:t xml:space="preserve">and with the adversarial-attack detection work in adjacent autonomous-GNC contexts</w:t>
      </w:r>
      <w:r>
        <w:t xml:space="preserve"> </w:t>
      </w:r>
      <w:hyperlink w:anchor="ref-26">
        <w:r>
          <w:rPr>
            <w:rStyle w:val="Hyperlink"/>
          </w:rPr>
          <w:t xml:space="preserve">[26]</w:t>
        </w:r>
      </w:hyperlink>
      <w:r>
        <w:t xml:space="preserve">.</w:t>
      </w:r>
    </w:p>
    <w:p>
      <w:pPr>
        <w:pStyle w:val="BodyText"/>
        <w:spacing w:line="480" w:lineRule="auto"/>
        <w:ind w:firstLine="720"/>
      </w:pPr>
      <w:r>
        <w:t xml:space="preserve">With the primitives named, the causal logic stated, the estimand defined, the hypotheses formalized, and the falsification criteria committed in advance, the framework is ready to be exercised against the measurement protocol of Chapter 4 and the results reported in Chapter 5.</w:t>
      </w:r>
    </w:p>
    <w:bookmarkEnd w:id="84"/>
    <w:bookmarkEnd w:id="85"/>
    <w:bookmarkStart w:id="103" w:name="chapter-4.-data-and-measurement"/>
    <w:p>
      <w:pPr>
        <w:pStyle w:val="Heading1"/>
        <w:spacing w:line="480" w:lineRule="auto"/>
      </w:pPr>
      <w:r>
        <w:t xml:space="preserve">Chapter 4. Data and Measurement</w:t>
      </w:r>
    </w:p>
    <w:bookmarkStart w:id="86" w:name="purpose-and-scope-of-the-chapter"/>
    <w:p>
      <w:pPr>
        <w:pStyle w:val="Heading2"/>
        <w:spacing w:line="480" w:lineRule="auto"/>
      </w:pPr>
      <w:r>
        <w:t xml:space="preserve">4.1 Purpose and Scope of the Chapter</w:t>
      </w:r>
    </w:p>
    <w:p>
      <w:pPr>
        <w:pStyle w:val="FirstParagraph"/>
        <w:spacing w:line="480" w:lineRule="auto"/>
      </w:pPr>
      <w:r>
        <w:t xml:space="preserve">The two empirical studies that anchor this dissertation answer different questions while drawing on the same evidentiary base: the public record of light-curve and overhead-imagery classifier behaviour produced by the SSA and remote-sensing research communities. Paper 1 is a controlled in-silico measurement of classifier fragility on a fixed synthetic light-curve corpus. Paper 2 is a paper-anchored logistic analysis of attack-success outcomes harvested from the adversarial-robustness literature. Distinct units of analysis, distinct primary sources, distinct variable-construction logics separate the two studies; a single epistemic commitment binds them: every numeric input must be traceable to a published record an external auditor can retrieve from the cited source. Documenting that commitment in operational detail is the work of this chapter. It states the populations from which the samples are drawn, the procedures by which raw records become coded variables, the provenance trail for each artefact, and the measurement properties that condition how the results in later chapters are read.</w:t>
      </w:r>
    </w:p>
    <w:p>
      <w:pPr>
        <w:pStyle w:val="BodyText"/>
        <w:spacing w:line="480" w:lineRule="auto"/>
        <w:ind w:firstLine="720"/>
      </w:pPr>
      <w:r>
        <w:t xml:space="preserve">Organization follows the two papers. Section 4.2 documents the synthetic light-curve corpus supplying Paper 1, together with the classifier reproduction and the perturbation budget that operationalise the dependent and independent variables of that study. Section 4.3 documents the paper-anchored trial-level dataset supplying Paper 2, its inclusion rules, its source coding, and the construction of each predictor and the binary outcome. Section 4.4 addresses the cross-paper measurement issues linking the two studies, including the relationship between the L2-energy budget of Paper 1 and the L-infinity budget of Paper 2, and the data-management practices that preserve replicability.</w:t>
      </w:r>
    </w:p>
    <w:bookmarkEnd w:id="86"/>
    <w:bookmarkStart w:id="92" w:name="paper-1-the-synthetic-light-curve-corpus"/>
    <w:p>
      <w:pPr>
        <w:pStyle w:val="Heading2"/>
        <w:spacing w:line="480" w:lineRule="auto"/>
      </w:pPr>
      <w:r>
        <w:t xml:space="preserve">4.2 Paper 1: The Synthetic Light-Curve Corpus</w:t>
      </w:r>
    </w:p>
    <w:bookmarkStart w:id="87" w:name="primary-source-and-authority"/>
    <w:p>
      <w:pPr>
        <w:pStyle w:val="Heading3"/>
        <w:spacing w:line="480" w:lineRule="auto"/>
      </w:pPr>
      <w:r>
        <w:t xml:space="preserve">4.2.1 Primary Source and Authority</w:t>
      </w:r>
    </w:p>
    <w:p>
      <w:pPr>
        <w:pStyle w:val="FirstParagraph"/>
        <w:spacing w:line="480" w:lineRule="auto"/>
      </w:pPr>
      <w:r>
        <w:t xml:space="preserve">Adriano, Scott, and Azad released the synthetic space-debris light-curve corpus that serves as the primary dataset for Paper 1, alongside their AMOS 2024 paper</w:t>
      </w:r>
      <w:r>
        <w:t xml:space="preserve"> </w:t>
      </w:r>
      <w:hyperlink w:anchor="ref-2">
        <w:r>
          <w:rPr>
            <w:rStyle w:val="Hyperlink"/>
          </w:rPr>
          <w:t xml:space="preserve">[2]</w:t>
        </w:r>
      </w:hyperlink>
      <w:r>
        <w:t xml:space="preserve">. Its authoritative source is the conference release indexed under DOI 10.64861/RBAG6762</w:t>
      </w:r>
      <w:r>
        <w:t xml:space="preserve"> </w:t>
      </w:r>
      <w:hyperlink w:anchor="ref-2">
        <w:r>
          <w:rPr>
            <w:rStyle w:val="Hyperlink"/>
          </w:rPr>
          <w:t xml:space="preserve">[2]</w:t>
        </w:r>
      </w:hyperlink>
      <w:r>
        <w:t xml:space="preserve">. A documented physics-based pipeline generates the corpus, coupling the open-source Blender rendering engine to the Orekit astrodynamics library to produce photometric time series for parametrically varied debris shapes observed under controlled illumination and viewing geometries</w:t>
      </w:r>
      <w:r>
        <w:t xml:space="preserve"> </w:t>
      </w:r>
      <w:hyperlink w:anchor="ref-2">
        <w:r>
          <w:rPr>
            <w:rStyle w:val="Hyperlink"/>
          </w:rPr>
          <w:t xml:space="preserve">[2]</w:t>
        </w:r>
      </w:hyperlink>
      <w:r>
        <w:t xml:space="preserve">. In the same paper, Adriano et al. report and benchmark this corpus against an extreme gradient boosting model and a deep neural baseline, which establishes both the reference classifier behaviour and the labelling convention used in the present study</w:t>
      </w:r>
      <w:r>
        <w:t xml:space="preserve"> </w:t>
      </w:r>
      <w:hyperlink w:anchor="ref-2">
        <w:r>
          <w:rPr>
            <w:rStyle w:val="Hyperlink"/>
          </w:rPr>
          <w:t xml:space="preserve">[2]</w:t>
        </w:r>
      </w:hyperlink>
      <w:r>
        <w:t xml:space="preserve">.</w:t>
      </w:r>
    </w:p>
    <w:p>
      <w:pPr>
        <w:pStyle w:val="BodyText"/>
        <w:spacing w:line="480" w:lineRule="auto"/>
        <w:ind w:firstLine="720"/>
      </w:pPr>
      <w:r>
        <w:t xml:space="preserve">Three features qualify this corpus as the authoritative input for the controlled measurement experiment of Paper 1. Being published and citable, it permits external replication. Its labels come from the generator state rather than from human annotation, which removes inter-annotator variability as a source of measurement error. And its physics pipeline is documented in enough detail that the relationship between the simulated photometric magnitude and the underlying scattering geometry is reconstructible from the source paper, the property that lets the perturbation budget be expressed in interpretable photometric units rather than in dimensionless model-space units</w:t>
      </w:r>
      <w:r>
        <w:t xml:space="preserve"> </w:t>
      </w:r>
      <w:hyperlink w:anchor="ref-2">
        <w:r>
          <w:rPr>
            <w:rStyle w:val="Hyperlink"/>
          </w:rPr>
          <w:t xml:space="preserve">[2]</w:t>
        </w:r>
      </w:hyperlink>
      <w:r>
        <w:t xml:space="preserve">.</w:t>
      </w:r>
    </w:p>
    <w:p>
      <w:pPr>
        <w:pStyle w:val="BodyText"/>
        <w:spacing w:line="480" w:lineRule="auto"/>
        <w:ind w:firstLine="720"/>
      </w:pPr>
      <w:r>
        <w:t xml:space="preserve">For cross-checking, not for training, the dataset is augmented by the qualitative descriptions of simulated and observational light curves in Furfaro, Linares, and Reddy</w:t>
      </w:r>
      <w:r>
        <w:t xml:space="preserve"> </w:t>
      </w:r>
      <w:hyperlink w:anchor="ref-1">
        <w:r>
          <w:rPr>
            <w:rStyle w:val="Hyperlink"/>
          </w:rPr>
          <w:t xml:space="preserve">[1]</w:t>
        </w:r>
      </w:hyperlink>
      <w:r>
        <w:t xml:space="preserve"> </w:t>
      </w:r>
      <w:r>
        <w:t xml:space="preserve">and by the brightness-measurement characterization material in Balster, Jones, Hofer, Newsom, and Frueh</w:t>
      </w:r>
      <w:r>
        <w:t xml:space="preserve"> </w:t>
      </w:r>
      <w:hyperlink w:anchor="ref-5">
        <w:r>
          <w:rPr>
            <w:rStyle w:val="Hyperlink"/>
          </w:rPr>
          <w:t xml:space="preserve">[5]</w:t>
        </w:r>
      </w:hyperlink>
      <w:r>
        <w:t xml:space="preserve">. Those sources supply no additional training data. Their sole use is to verify that the perturbation budget grid built in Paper 1 spans photometric magnitudes plausible against the range of real-instrument light curves reported in the open literature [1, 5]. Observational track-level descriptions from Tsaprailis, Choumos, Kontoes, and Lappas</w:t>
      </w:r>
      <w:r>
        <w:t xml:space="preserve"> </w:t>
      </w:r>
      <w:hyperlink w:anchor="ref-4">
        <w:r>
          <w:rPr>
            <w:rStyle w:val="Hyperlink"/>
          </w:rPr>
          <w:t xml:space="preserve">[4]</w:t>
        </w:r>
      </w:hyperlink>
      <w:r>
        <w:t xml:space="preserve"> </w:t>
      </w:r>
      <w:r>
        <w:t xml:space="preserve">provide a parallel sanity check for the temporal sampling cadence used in the corpus, since their operational pipeline ingests light curves at cadences the Adriano release brackets</w:t>
      </w:r>
      <w:r>
        <w:t xml:space="preserve"> </w:t>
      </w:r>
      <w:hyperlink w:anchor="ref-4">
        <w:r>
          <w:rPr>
            <w:rStyle w:val="Hyperlink"/>
          </w:rPr>
          <w:t xml:space="preserve">[4]</w:t>
        </w:r>
      </w:hyperlink>
      <w:r>
        <w:t xml:space="preserve">.</w:t>
      </w:r>
    </w:p>
    <w:bookmarkEnd w:id="87"/>
    <w:bookmarkStart w:id="88" w:name="unit-of-analysis"/>
    <w:p>
      <w:pPr>
        <w:pStyle w:val="Heading3"/>
        <w:spacing w:line="480" w:lineRule="auto"/>
      </w:pPr>
      <w:r>
        <w:t xml:space="preserve">4.2.2 Unit of Analysis</w:t>
      </w:r>
    </w:p>
    <w:p>
      <w:pPr>
        <w:pStyle w:val="FirstParagraph"/>
        <w:spacing w:line="480" w:lineRule="auto"/>
      </w:pPr>
      <w:r>
        <w:t xml:space="preserve">A single light-curve sample is the unit of analysis for Paper 1, defined as one labelled photometric time series produced by one realisation of the Blender and Orekit pipeline as released by Adriano et al. </w:t>
      </w:r>
      <w:hyperlink w:anchor="ref-2">
        <w:r>
          <w:rPr>
            <w:rStyle w:val="Hyperlink"/>
          </w:rPr>
          <w:t xml:space="preserve">[2]</w:t>
        </w:r>
      </w:hyperlink>
      <w:r>
        <w:t xml:space="preserve">. Every sample carries the labels the generator assigns: a shape class and an attitude regime. The estimand R, defined in the prospectus as the ratio of the slope of top-1 accuracy decay under adversarial perturbation to the slope of top-1 accuracy decay under matched-energy stochastic perturbation, is a sample-aggregated quantity. Computing it means passing every sample in the held-out partition through the reproduced classifier under each value of the perturbation budget grid and aggregating the resulting top-1 outcomes into a partition-level accuracy at that budget.</w:t>
      </w:r>
    </w:p>
    <w:p>
      <w:pPr>
        <w:pStyle w:val="BodyText"/>
        <w:spacing w:line="480" w:lineRule="auto"/>
        <w:ind w:firstLine="720"/>
      </w:pPr>
      <w:r>
        <w:t xml:space="preserve">This unit choice matches how Adriano et al. report classifier performance in the source paper, treating each light curve as the atomic evaluation object</w:t>
      </w:r>
      <w:r>
        <w:t xml:space="preserve"> </w:t>
      </w:r>
      <w:hyperlink w:anchor="ref-2">
        <w:r>
          <w:rPr>
            <w:rStyle w:val="Hyperlink"/>
          </w:rPr>
          <w:t xml:space="preserve">[2]</w:t>
        </w:r>
      </w:hyperlink>
      <w:r>
        <w:t xml:space="preserve">, and how Furfaro et al. report transfer-learning accuracy on simulated and observed curves in the reproduced baseline</w:t>
      </w:r>
      <w:r>
        <w:t xml:space="preserve"> </w:t>
      </w:r>
      <w:hyperlink w:anchor="ref-1">
        <w:r>
          <w:rPr>
            <w:rStyle w:val="Hyperlink"/>
          </w:rPr>
          <w:t xml:space="preserve">[1]</w:t>
        </w:r>
      </w:hyperlink>
      <w:r>
        <w:t xml:space="preserve">. It matches, too, the survey-level treatment in Kazemi, Azad, Scott, Oqab, and Dietrich, which characterises light-curve classifiers as operating on the individual track as the inferential unit</w:t>
      </w:r>
      <w:r>
        <w:t xml:space="preserve"> </w:t>
      </w:r>
      <w:hyperlink w:anchor="ref-6">
        <w:r>
          <w:rPr>
            <w:rStyle w:val="Hyperlink"/>
          </w:rPr>
          <w:t xml:space="preserve">[6]</w:t>
        </w:r>
      </w:hyperlink>
      <w:r>
        <w:t xml:space="preserve">. Pinning the unit at the sample level preserves the comparability of R against any future replication that uses the same corpus.</w:t>
      </w:r>
    </w:p>
    <w:bookmarkEnd w:id="88"/>
    <w:bookmarkStart w:id="89" w:name="X3194b80491e1abd55327a2787b10f1403a2a78b"/>
    <w:p>
      <w:pPr>
        <w:pStyle w:val="Heading3"/>
        <w:spacing w:line="480" w:lineRule="auto"/>
      </w:pPr>
      <w:r>
        <w:t xml:space="preserve">4.2.3 Construction of the Independent Variable: Perturbation Budget</w:t>
      </w:r>
    </w:p>
    <w:p>
      <w:pPr>
        <w:pStyle w:val="FirstParagraph"/>
        <w:spacing w:line="480" w:lineRule="auto"/>
      </w:pPr>
      <w:r>
        <w:t xml:space="preserve">Paper 1’s independent variable is the L2 energy of the additive perturbation applied to the input light curve, denoted epsilon and expressed in photometric units. Construction proceeds in three steps.</w:t>
      </w:r>
    </w:p>
    <w:p>
      <w:pPr>
        <w:pStyle w:val="BodyText"/>
        <w:spacing w:line="480" w:lineRule="auto"/>
        <w:ind w:firstLine="720"/>
      </w:pPr>
      <w:r>
        <w:t xml:space="preserve">Step one fixes the input distribution. Raw photometric values of each light curve are read from the Adriano release and used without rescaling or whitening, so an L2 budget computed in input units corresponds directly to a photometric energy an external reviewer can compare against the magnitudes described in</w:t>
      </w:r>
      <w:r>
        <w:t xml:space="preserve"> </w:t>
      </w:r>
      <w:hyperlink w:anchor="ref-1">
        <w:r>
          <w:rPr>
            <w:rStyle w:val="Hyperlink"/>
          </w:rPr>
          <w:t xml:space="preserve">[1]</w:t>
        </w:r>
      </w:hyperlink>
      <w:r>
        <w:t xml:space="preserve"> </w:t>
      </w:r>
      <w:r>
        <w:t xml:space="preserve">and</w:t>
      </w:r>
      <w:r>
        <w:t xml:space="preserve"> </w:t>
      </w:r>
      <w:hyperlink w:anchor="ref-5">
        <w:r>
          <w:rPr>
            <w:rStyle w:val="Hyperlink"/>
          </w:rPr>
          <w:t xml:space="preserve">[5]</w:t>
        </w:r>
      </w:hyperlink>
      <w:r>
        <w:t xml:space="preserve">. Between the released file and the perturbation budget, no undocumented normalisation is interposed, because the interpretability of R as a photometric quantity depends on that absence.</w:t>
      </w:r>
    </w:p>
    <w:p>
      <w:pPr>
        <w:pStyle w:val="BodyText"/>
        <w:spacing w:line="480" w:lineRule="auto"/>
        <w:ind w:firstLine="720"/>
      </w:pPr>
      <w:r>
        <w:t xml:space="preserve">Step two calibrates the budget grid against the noise floor reported in the source corpus. Beginning below the photometric noise magnitude the Adriano pipeline injects into its synthetic curves, the grid extends through magnitudes the brightness-measurement work of Balster et al. documents as observable in operational instruments</w:t>
      </w:r>
      <w:r>
        <w:t xml:space="preserve"> </w:t>
      </w:r>
      <w:hyperlink w:anchor="ref-5">
        <w:r>
          <w:rPr>
            <w:rStyle w:val="Hyperlink"/>
          </w:rPr>
          <w:t xml:space="preserve">[5]</w:t>
        </w:r>
      </w:hyperlink>
      <w:r>
        <w:t xml:space="preserve">. It is pre-registered before any evaluation is run, in keeping with the reproducibility norms Kazemi et al. identify for SSA machine-learning studies</w:t>
      </w:r>
      <w:r>
        <w:t xml:space="preserve"> </w:t>
      </w:r>
      <w:hyperlink w:anchor="ref-6">
        <w:r>
          <w:rPr>
            <w:rStyle w:val="Hyperlink"/>
          </w:rPr>
          <w:t xml:space="preserve">[6]</w:t>
        </w:r>
      </w:hyperlink>
      <w:r>
        <w:t xml:space="preserve">.</w:t>
      </w:r>
    </w:p>
    <w:p>
      <w:pPr>
        <w:pStyle w:val="BodyText"/>
        <w:spacing w:line="480" w:lineRule="auto"/>
        <w:ind w:firstLine="720"/>
      </w:pPr>
      <w:r>
        <w:t xml:space="preserve">Step three constructs the two perturbation families at each budget value. Projected gradient descent against the reproduced classifier of Furfaro et al. </w:t>
      </w:r>
      <w:hyperlink w:anchor="ref-1">
        <w:r>
          <w:rPr>
            <w:rStyle w:val="Hyperlink"/>
          </w:rPr>
          <w:t xml:space="preserve">[1]</w:t>
        </w:r>
      </w:hyperlink>
      <w:r>
        <w:t xml:space="preserve">, projected onto the L2 ball of radius epsilon, generates the adversarial family. A zero-mean Gaussian whose covariance is scaled so that the expected L2 norm equals epsilon generates the matched-energy stochastic family. Each family is generated per sample, so the budget binds at the sample level rather than at the partition level. That sample-level binding ensures R is computed against equally tight constraints on the two families, the comparability condition the prospectus places on the estimand.</w:t>
      </w:r>
    </w:p>
    <w:bookmarkEnd w:id="89"/>
    <w:bookmarkStart w:id="90" w:name="X4293c77e6a437f5174f337e592d51ad59ab1b9e"/>
    <w:p>
      <w:pPr>
        <w:pStyle w:val="Heading3"/>
        <w:spacing w:line="480" w:lineRule="auto"/>
      </w:pPr>
      <w:r>
        <w:t xml:space="preserve">4.2.4 Construction of the Dependent Variable: Top-1 Accuracy</w:t>
      </w:r>
    </w:p>
    <w:p>
      <w:pPr>
        <w:pStyle w:val="FirstParagraph"/>
        <w:spacing w:line="480" w:lineRule="auto"/>
      </w:pPr>
      <w:r>
        <w:t xml:space="preserve">For Paper 1, the dependent variable is the top-1 classification accuracy of the reproduced classifier on the held-out partition. The classifier is the convolutional architecture Furfaro, Linares, and Reddy describe</w:t>
      </w:r>
      <w:r>
        <w:t xml:space="preserve"> </w:t>
      </w:r>
      <w:hyperlink w:anchor="ref-1">
        <w:r>
          <w:rPr>
            <w:rStyle w:val="Hyperlink"/>
          </w:rPr>
          <w:t xml:space="preserve">[1]</w:t>
        </w:r>
      </w:hyperlink>
      <w:r>
        <w:t xml:space="preserve">, reproduced under the training protocol that paper reports and evaluated against the Adriano labelling</w:t>
      </w:r>
      <w:r>
        <w:t xml:space="preserve"> </w:t>
      </w:r>
      <w:hyperlink w:anchor="ref-2">
        <w:r>
          <w:rPr>
            <w:rStyle w:val="Hyperlink"/>
          </w:rPr>
          <w:t xml:space="preserve">[2]</w:t>
        </w:r>
      </w:hyperlink>
      <w:r>
        <w:t xml:space="preserve">. Top-1 accuracy is the proportion of held-out samples for which the classifier’s highest-probability label matches the generator label assigned by the Adriano release. Argmax over class probabilities is the decision rule; no thresholding or rejection option is admitted, because the operational descriptions in</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w:t>
      </w:r>
      <w:r>
        <w:t xml:space="preserve">treat the SSA-domain classifier as producing a forced label that downstream consumers act on.</w:t>
      </w:r>
    </w:p>
    <w:p>
      <w:pPr>
        <w:pStyle w:val="BodyText"/>
        <w:spacing w:line="480" w:lineRule="auto"/>
        <w:ind w:firstLine="720"/>
      </w:pPr>
      <w:r>
        <w:t xml:space="preserve">The robustness checks repeat the same construction against the extreme gradient boosting baseline and the deep model reported by Adriano et al. </w:t>
      </w:r>
      <w:hyperlink w:anchor="ref-2">
        <w:r>
          <w:rPr>
            <w:rStyle w:val="Hyperlink"/>
          </w:rPr>
          <w:t xml:space="preserve">[2]</w:t>
        </w:r>
      </w:hyperlink>
      <w:r>
        <w:t xml:space="preserve"> </w:t>
      </w:r>
      <w:r>
        <w:t xml:space="preserve">and, as a secondary check on architectural generality, against the deep architecture McQuaid, Merkle, Borghetti, Cobb, and Fletcher use for non-resolved space object identification</w:t>
      </w:r>
      <w:r>
        <w:t xml:space="preserve"> </w:t>
      </w:r>
      <w:hyperlink w:anchor="ref-3">
        <w:r>
          <w:rPr>
            <w:rStyle w:val="Hyperlink"/>
          </w:rPr>
          <w:t xml:space="preserve">[3]</w:t>
        </w:r>
      </w:hyperlink>
      <w:r>
        <w:t xml:space="preserve">. These robustness classifiers use the same dependent variable definition. They are not pooled with the primary classifier; they are reported separately so any architecture-specific behaviour is visible in the result tables.</w:t>
      </w:r>
    </w:p>
    <w:bookmarkEnd w:id="90"/>
    <w:bookmarkStart w:id="91" w:name="X982efac496c9bce18383835fcc0c600b072c635"/>
    <w:p>
      <w:pPr>
        <w:pStyle w:val="Heading3"/>
        <w:spacing w:line="480" w:lineRule="auto"/>
      </w:pPr>
      <w:r>
        <w:t xml:space="preserve">4.2.5 Held-Out Partition and Provenance Artefacts</w:t>
      </w:r>
    </w:p>
    <w:p>
      <w:pPr>
        <w:pStyle w:val="FirstParagraph"/>
        <w:spacing w:line="480" w:lineRule="auto"/>
      </w:pPr>
      <w:r>
        <w:t xml:space="preserve">Drawing on the Adriano release using a fixed seed recorded in the pre-registration produces the held-out partition. It is stratified on the shape and attitude labels published with the corpus</w:t>
      </w:r>
      <w:r>
        <w:t xml:space="preserve"> </w:t>
      </w:r>
      <w:hyperlink w:anchor="ref-2">
        <w:r>
          <w:rPr>
            <w:rStyle w:val="Hyperlink"/>
          </w:rPr>
          <w:t xml:space="preserve">[2]</w:t>
        </w:r>
      </w:hyperlink>
      <w:r>
        <w:t xml:space="preserve">, because unbalanced partitioning of those labels would induce a confound between class prior shift and perturbation sensitivity that the estimand R is not designed to absorb. Bootstrap inference on R uses resampling within the held-out partition under a pre-registered seed list, consistent with the reproducibility expectations stated in the SSA survey literature</w:t>
      </w:r>
      <w:r>
        <w:t xml:space="preserve"> </w:t>
      </w:r>
      <w:hyperlink w:anchor="ref-6">
        <w:r>
          <w:rPr>
            <w:rStyle w:val="Hyperlink"/>
          </w:rPr>
          <w:t xml:space="preserve">[6]</w:t>
        </w:r>
      </w:hyperlink>
      <w:r>
        <w:t xml:space="preserve">.</w:t>
      </w:r>
    </w:p>
    <w:p>
      <w:pPr>
        <w:pStyle w:val="BodyText"/>
        <w:spacing w:line="480" w:lineRule="auto"/>
        <w:ind w:firstLine="720"/>
      </w:pPr>
      <w:r>
        <w:t xml:space="preserve">Four provenance artefacts are deposited alongside the dissertation. First, the exact Adriano release version with its DOI is archived, with a hash of the downloaded files</w:t>
      </w:r>
      <w:r>
        <w:t xml:space="preserve"> </w:t>
      </w:r>
      <w:hyperlink w:anchor="ref-2">
        <w:r>
          <w:rPr>
            <w:rStyle w:val="Hyperlink"/>
          </w:rPr>
          <w:t xml:space="preserve">[2]</w:t>
        </w:r>
      </w:hyperlink>
      <w:r>
        <w:t xml:space="preserve">. Second, the trained classifier weights produced under the reproduced Furfaro protocol are archived</w:t>
      </w:r>
      <w:r>
        <w:t xml:space="preserve"> </w:t>
      </w:r>
      <w:hyperlink w:anchor="ref-1">
        <w:r>
          <w:rPr>
            <w:rStyle w:val="Hyperlink"/>
          </w:rPr>
          <w:t xml:space="preserve">[1]</w:t>
        </w:r>
      </w:hyperlink>
      <w:r>
        <w:t xml:space="preserve">. Third, the perturbation generator and noise generator scripts are archived. Fourth, the bootstrap seed list, the partition assignments, and the pre-registered budget grid are archived. Taken together, these four artefacts constitute the replication package for Paper 1.</w:t>
      </w:r>
    </w:p>
    <w:bookmarkEnd w:id="91"/>
    <w:bookmarkEnd w:id="92"/>
    <w:bookmarkStart w:id="98" w:name="X9dec839ee28e114c513a55da04233236b757612"/>
    <w:p>
      <w:pPr>
        <w:pStyle w:val="Heading2"/>
        <w:spacing w:line="480" w:lineRule="auto"/>
      </w:pPr>
      <w:r>
        <w:t xml:space="preserve">4.3 Paper 2: The Paper-Anchored Trial-Level Dataset</w:t>
      </w:r>
    </w:p>
    <w:bookmarkStart w:id="93" w:name="primary-source-logic-and-authority"/>
    <w:p>
      <w:pPr>
        <w:pStyle w:val="Heading3"/>
        <w:spacing w:line="480" w:lineRule="auto"/>
      </w:pPr>
      <w:r>
        <w:t xml:space="preserve">4.3.1 Primary Source Logic and Authority</w:t>
      </w:r>
    </w:p>
    <w:p>
      <w:pPr>
        <w:pStyle w:val="FirstParagraph"/>
        <w:spacing w:line="480" w:lineRule="auto"/>
      </w:pPr>
      <w:r>
        <w:t xml:space="preserve">Paper 2 runs no classifier. It aggregates published evaluations into a logistic model, so its authoritative sources are the published papers themselves rather than a single dataset release. The dataset contains 36 reported attack trials drawn from peer-reviewed and AMOS Technical Conference sources covering overhead-imagery and space-object classifiers [9, 10, 11, 12, 13, 14, 15, 16, 17, 18]. Each row is anchored to an originating paper, and each paper is cited inline in the source column of the underlying CSV so a downstream reader can audit the row against its source.</w:t>
      </w:r>
    </w:p>
    <w:p>
      <w:pPr>
        <w:pStyle w:val="BodyText"/>
        <w:spacing w:line="480" w:lineRule="auto"/>
        <w:ind w:firstLine="720"/>
      </w:pPr>
      <w:r>
        <w:t xml:space="preserve">For a trial to be included, the originating paper must report, in numeric terms recoverable from its tables or text, the four quantities required to construct the variables of the logistic model: a perturbation magnitude under an adversarial attack, a target-model identity from which a parameter count can be read or estimated, a clean accuracy and an attacked accuracy on the same evaluation set, and a clear statement of whether the model was trained under an adversarial defense. Papers reporting only qualitative attack outcomes are excluded. Papers reporting adversarial evaluations against modalities other than overhead imagery or space-domain classifiers are excluded. This restriction confines the population to the two strands of literature the paper pools, namely the adversarial-examples literature on remote-sensing imagery [9, 10, 11, 12] and the space-domain light-curve and non-resolved photometric classification literature [1, 2, 3, 13, 14, 15, 16].</w:t>
      </w:r>
    </w:p>
    <w:p>
      <w:pPr>
        <w:pStyle w:val="BodyText"/>
        <w:spacing w:line="480" w:lineRule="auto"/>
        <w:ind w:firstLine="720"/>
      </w:pPr>
      <w:r>
        <w:t xml:space="preserve">On the defense side, the dataset draws additionally on the two adversarial-training and generative-defense studies the literature treats as the canonical defenses against this attack class on overhead imagery, namely Burnel, Chan-Hon-Tong, and Audebert</w:t>
      </w:r>
      <w:r>
        <w:t xml:space="preserve"> </w:t>
      </w:r>
      <w:hyperlink w:anchor="ref-12">
        <w:r>
          <w:rPr>
            <w:rStyle w:val="Hyperlink"/>
          </w:rPr>
          <w:t xml:space="preserve">[12]</w:t>
        </w:r>
      </w:hyperlink>
      <w:r>
        <w:t xml:space="preserve"> </w:t>
      </w:r>
      <w:r>
        <w:t xml:space="preserve">and the perturbation-seeking generative adversarial network defense of Cheng, Sun, Li, Guo, and Han</w:t>
      </w:r>
      <w:r>
        <w:t xml:space="preserve"> </w:t>
      </w:r>
      <w:hyperlink w:anchor="ref-17">
        <w:r>
          <w:rPr>
            <w:rStyle w:val="Hyperlink"/>
          </w:rPr>
          <w:t xml:space="preserve">[17]</w:t>
        </w:r>
      </w:hyperlink>
      <w:r>
        <w:t xml:space="preserve">. Game-theoretic generative-defense work by Shen, Sheaff, Chen, Guo, Blasch, and Pham [7, 20] is included where it reports attack-success metrics in a form reducible to the binary outcome defined below. The aerial-imagery adversarial-attack study of Du Mont et al. is included to extend the coverage of the imagery side of the pool</w:t>
      </w:r>
      <w:r>
        <w:t xml:space="preserve"> </w:t>
      </w:r>
      <w:hyperlink w:anchor="ref-18">
        <w:r>
          <w:rPr>
            <w:rStyle w:val="Hyperlink"/>
          </w:rPr>
          <w:t xml:space="preserve">[18]</w:t>
        </w:r>
      </w:hyperlink>
      <w:r>
        <w:t xml:space="preserve">.</w:t>
      </w:r>
    </w:p>
    <w:bookmarkEnd w:id="93"/>
    <w:bookmarkStart w:id="94" w:name="unit-of-analysis-1"/>
    <w:p>
      <w:pPr>
        <w:pStyle w:val="Heading3"/>
        <w:spacing w:line="480" w:lineRule="auto"/>
      </w:pPr>
      <w:r>
        <w:t xml:space="preserve">4.3.2 Unit of Analysis</w:t>
      </w:r>
    </w:p>
    <w:p>
      <w:pPr>
        <w:pStyle w:val="FirstParagraph"/>
        <w:spacing w:line="480" w:lineRule="auto"/>
      </w:pPr>
      <w:r>
        <w:t xml:space="preserve">One reported attack trial is the unit of analysis for Paper 2, defined as the smallest evaluation block in a source paper that fixes a target model, an attack family, and a perturbation budget and reports the resulting attacked accuracy. A single source paper can therefore contribute multiple rows when it reports evaluations across several budgets, several attack families, or several target models. Choosing trial-as-unit rather than paper-as-unit follows the logistic specification of the paper, which models the binary outcome attack_success as a function of trial-level predictors. Treating a paper-level aggregate as the unit would conflate distinct epsilon values within a paper and would discard the very within-paper variation that identifies the slope on the perturbation budget.</w:t>
      </w:r>
    </w:p>
    <w:p>
      <w:pPr>
        <w:pStyle w:val="BodyText"/>
        <w:spacing w:line="480" w:lineRule="auto"/>
        <w:ind w:firstLine="720"/>
      </w:pPr>
      <w:r>
        <w:t xml:space="preserve">This unit choice matches how the source literature itself reports adversarial outcomes. Remote-sensing studies tabulate attacked accuracy as a function of epsilon at fixed target models [9, 10, 11], and the defense studies tabulate attacked accuracy with and without the defense at fixed budgets [12, 17]. Treating each row of those tables as a trial preserves the granularity at which the original authors report their results.</w:t>
      </w:r>
    </w:p>
    <w:bookmarkEnd w:id="94"/>
    <w:bookmarkStart w:id="95" w:name="variable-construction"/>
    <w:p>
      <w:pPr>
        <w:pStyle w:val="Heading3"/>
        <w:spacing w:line="480" w:lineRule="auto"/>
      </w:pPr>
      <w:r>
        <w:t xml:space="preserve">4.3.3 Variable Construction</w:t>
      </w:r>
    </w:p>
    <w:p>
      <w:pPr>
        <w:pStyle w:val="FirstParagraph"/>
        <w:spacing w:line="480" w:lineRule="auto"/>
      </w:pPr>
      <w:r>
        <w:t xml:space="preserve">Nine fields are recorded per row. The source field carries the citation to the originating paper. The target_model field records the architecture identity reported in the source. The modality field is coded as image when the input is overhead or aerial imagery [9, 10, 11, 12, 17, 18] and as light curve when the input is a photometric time series [1, 2, 3, 13, 14, 15, 16]. The attack family field is coded into one of four standard categories, FGSM, PGD, DeepFool, or JSMA, taken from the explicit attack designation in the source paper. The epsilon field records the L-infinity perturbation budget at which the trial was run, in the units reported by the source. The model_params_M field records the trainable parameter count of the target model in millions, read directly from the source where reported and otherwise derived from the canonical reference for the architecture cited in the source. The defense_present field is a binary indicator coded one when the source paper documents that the evaluated model was trained under an adversarial-training regime or under a generative defense such as the perturbation-seeking GAN of Cheng et al. </w:t>
      </w:r>
      <w:hyperlink w:anchor="ref-17">
        <w:r>
          <w:rPr>
            <w:rStyle w:val="Hyperlink"/>
          </w:rPr>
          <w:t xml:space="preserve">[17]</w:t>
        </w:r>
      </w:hyperlink>
      <w:r>
        <w:t xml:space="preserve"> </w:t>
      </w:r>
      <w:r>
        <w:t xml:space="preserve">or the game-theoretic generative defense of Shen et al. [7, 20], and coded zero otherwise. The clean accuracy and attacked accuracy fields record the two accuracies on the same evaluation set as reported in the source.</w:t>
      </w:r>
    </w:p>
    <w:p>
      <w:pPr>
        <w:pStyle w:val="BodyText"/>
        <w:spacing w:line="480" w:lineRule="auto"/>
        <w:ind w:firstLine="720"/>
      </w:pPr>
      <w:r>
        <w:t xml:space="preserve">Constructed deterministically from the clean and attacked accuracies, the dependent variable attack_success is built as follows. Accuracy drop in percentage points is the clean minus attacked accuracy. The binary outcome is coded one when the drop exceeds twenty percentage points and zero otherwise. Fixed before the model is fit and held constant across all rows, the twenty-point threshold is chosen because the remote-sensing adversarial literature treats drops below roughly twenty points as within the range of clean-accuracy variability across architectures [9, 10, 11], and drops above that range as evidence of attack success the deploying community treats as operationally meaningful [12, 17].</w:t>
      </w:r>
    </w:p>
    <w:p>
      <w:pPr>
        <w:pStyle w:val="BodyText"/>
        <w:spacing w:line="480" w:lineRule="auto"/>
        <w:ind w:firstLine="720"/>
      </w:pPr>
      <w:r>
        <w:t xml:space="preserve">A minority of rows for AMOS light-curve studies have adversarial evaluations reconstructed from reported attack settings rather than read directly from a table of attacked accuracies. Flagged in the source column with the marker</w:t>
      </w:r>
      <w:r>
        <w:t xml:space="preserve"> </w:t>
      </w:r>
      <w:r>
        <w:t xml:space="preserve">“illustrative”</w:t>
      </w:r>
      <w:r>
        <w:t xml:space="preserve"> </w:t>
      </w:r>
      <w:r>
        <w:t xml:space="preserve">so downstream readers can audit them, these rows account for less than fifteen percent of the file. That flagging is essential to the chain of provenance because it makes the partial-reconstruction step visible at the row level rather than hiding it inside an aggregate.</w:t>
      </w:r>
    </w:p>
    <w:bookmarkEnd w:id="95"/>
    <w:bookmarkStart w:id="96" w:name="Xf0207f7430c60ce32cced7392ab119d27e24b93"/>
    <w:p>
      <w:pPr>
        <w:pStyle w:val="Heading3"/>
        <w:spacing w:line="480" w:lineRule="auto"/>
      </w:pPr>
      <w:r>
        <w:t xml:space="preserve">4.3.4 Treatment of Heterogeneity Within Predictors</w:t>
      </w:r>
    </w:p>
    <w:p>
      <w:pPr>
        <w:pStyle w:val="FirstParagraph"/>
        <w:spacing w:line="480" w:lineRule="auto"/>
      </w:pPr>
      <w:r>
        <w:t xml:space="preserve">Two predictors compress heterogeneity the source literature reports as material. The defense_present indicator collapses adversarial training</w:t>
      </w:r>
      <w:r>
        <w:t xml:space="preserve"> </w:t>
      </w:r>
      <w:hyperlink w:anchor="ref-12">
        <w:r>
          <w:rPr>
            <w:rStyle w:val="Hyperlink"/>
          </w:rPr>
          <w:t xml:space="preserve">[12]</w:t>
        </w:r>
      </w:hyperlink>
      <w:r>
        <w:t xml:space="preserve"> </w:t>
      </w:r>
      <w:r>
        <w:t xml:space="preserve">and generative defenses [7, 17, 20] into one bit. The model_params_M field collapses backbones that differ in convolutional depth, in residual structure, and in receptive-field characteristics into a single scalar [9, 10, 11]. Recording this compression openly is how the chapter ensures the coefficients reported in Paper 2 are read with the appropriate caveats. The defense coefficient is to be read as an average treatment intensity across defense families rather than as a property of any single technique. The parameter-count coefficient is to be read as the effect of moving along the scalar axis of parameter count holding everything else in the source studies constant, which it is not.</w:t>
      </w:r>
    </w:p>
    <w:bookmarkEnd w:id="96"/>
    <w:bookmarkStart w:id="97" w:name="sample-size-and-power"/>
    <w:p>
      <w:pPr>
        <w:pStyle w:val="Heading3"/>
        <w:spacing w:line="480" w:lineRule="auto"/>
      </w:pPr>
      <w:r>
        <w:t xml:space="preserve">4.3.5 Sample Size and Power</w:t>
      </w:r>
    </w:p>
    <w:p>
      <w:pPr>
        <w:pStyle w:val="FirstParagraph"/>
        <w:spacing w:line="480" w:lineRule="auto"/>
      </w:pPr>
      <w:r>
        <w:t xml:space="preserve">The sample comprises 36 trials. Sample size is bounded by the population of source papers that satisfy the inclusion criteria stated above. Expanding beyond that bound would require either weakening the inclusion criteria, which would import qualitative evaluations whose attack-success status cannot be coded deterministically, or extending the modality scope beyond imagery and light curves, which would dilute the SSA-relevance of the model. Both expansions are rejected on construct-validity grounds. The 36-trial size is therefore reported as a binding feature of the available evidence rather than as a sampling choice, and the model is interpreted with the conservatism small-sample logistic inference demands.</w:t>
      </w:r>
    </w:p>
    <w:bookmarkEnd w:id="97"/>
    <w:bookmarkEnd w:id="98"/>
    <w:bookmarkStart w:id="102" w:name="X9aa6073ef7d150e49393746104459153b8fc857"/>
    <w:p>
      <w:pPr>
        <w:pStyle w:val="Heading2"/>
        <w:spacing w:line="480" w:lineRule="auto"/>
      </w:pPr>
      <w:r>
        <w:t xml:space="preserve">4.4 Cross-Paper Measurement Issues and Data Management</w:t>
      </w:r>
    </w:p>
    <w:bookmarkStart w:id="99" w:name="the-l2-versus-l-infinity-question"/>
    <w:p>
      <w:pPr>
        <w:pStyle w:val="Heading3"/>
        <w:spacing w:line="480" w:lineRule="auto"/>
      </w:pPr>
      <w:r>
        <w:t xml:space="preserve">4.4.1 The L2-Versus-L-Infinity Question</w:t>
      </w:r>
    </w:p>
    <w:p>
      <w:pPr>
        <w:pStyle w:val="FirstParagraph"/>
        <w:spacing w:line="480" w:lineRule="auto"/>
      </w:pPr>
      <w:r>
        <w:t xml:space="preserve">Paper 1 reports its perturbation budget in L2 energy because the dependent variable is the slope of accuracy decay with respect to photometric energy and because the source corpus is a photometric time series for which L2 is the physically meaningful norm</w:t>
      </w:r>
      <w:r>
        <w:t xml:space="preserve"> </w:t>
      </w:r>
      <w:hyperlink w:anchor="ref-2">
        <w:r>
          <w:rPr>
            <w:rStyle w:val="Hyperlink"/>
          </w:rPr>
          <w:t xml:space="preserve">[2]</w:t>
        </w:r>
      </w:hyperlink>
      <w:r>
        <w:t xml:space="preserve">. Paper 2 reports its perturbation budget in L-infinity because the source remote-sensing and SSA-imagery literature reports attack budgets in L-infinity [9, 10, 11, 12, 17]. The two budgets are not interchangeable, and the dissertation attempts no numerical conversion between them. It treats the L2 budget of Paper 1 as an internally calibrated quantity whose interpretation rests on the photometric provenance from</w:t>
      </w:r>
      <w:r>
        <w:t xml:space="preserve"> </w:t>
      </w:r>
      <w:hyperlink w:anchor="ref-1">
        <w:r>
          <w:rPr>
            <w:rStyle w:val="Hyperlink"/>
          </w:rPr>
          <w:t xml:space="preserve">[1]</w:t>
        </w:r>
      </w:hyperlink>
      <w:r>
        <w:t xml:space="preserve"> </w:t>
      </w:r>
      <w:r>
        <w:t xml:space="preserve">and</w:t>
      </w:r>
      <w:r>
        <w:t xml:space="preserve"> </w:t>
      </w:r>
      <w:hyperlink w:anchor="ref-5">
        <w:r>
          <w:rPr>
            <w:rStyle w:val="Hyperlink"/>
          </w:rPr>
          <w:t xml:space="preserve">[5]</w:t>
        </w:r>
      </w:hyperlink>
      <w:r>
        <w:t xml:space="preserve">, and it treats the L-infinity budget of Paper 2 as a source-faithful pass-through of what the originating papers report. So the estimands of the two papers are related as design choices, not as numerically commensurate quantities. Stating this explicitly here ensures no later analysis silently treats one as a rescaling of the other.</w:t>
      </w:r>
    </w:p>
    <w:bookmarkEnd w:id="99"/>
    <w:bookmarkStart w:id="100" w:name="provenance-and-replication-package"/>
    <w:p>
      <w:pPr>
        <w:pStyle w:val="Heading3"/>
        <w:spacing w:line="480" w:lineRule="auto"/>
      </w:pPr>
      <w:r>
        <w:t xml:space="preserve">4.4.2 Provenance and Replication Package</w:t>
      </w:r>
    </w:p>
    <w:p>
      <w:pPr>
        <w:pStyle w:val="FirstParagraph"/>
        <w:spacing w:line="480" w:lineRule="auto"/>
      </w:pPr>
      <w:r>
        <w:t xml:space="preserve">For Paper 1 the replication package is the four-artefact deposit described in Section 4.2.5: the Adriano release hash</w:t>
      </w:r>
      <w:r>
        <w:t xml:space="preserve"> </w:t>
      </w:r>
      <w:hyperlink w:anchor="ref-2">
        <w:r>
          <w:rPr>
            <w:rStyle w:val="Hyperlink"/>
          </w:rPr>
          <w:t xml:space="preserve">[2]</w:t>
        </w:r>
      </w:hyperlink>
      <w:r>
        <w:t xml:space="preserve">, the reproduced classifier weights under the Furfaro protocol</w:t>
      </w:r>
      <w:r>
        <w:t xml:space="preserve"> </w:t>
      </w:r>
      <w:hyperlink w:anchor="ref-1">
        <w:r>
          <w:rPr>
            <w:rStyle w:val="Hyperlink"/>
          </w:rPr>
          <w:t xml:space="preserve">[1]</w:t>
        </w:r>
      </w:hyperlink>
      <w:r>
        <w:t xml:space="preserve">, the perturbation and noise generator scripts, and the pre-registered partition and seed files. For Paper 2 the replication package is the CSV of 36 trials with the source field populated for every row, the fitted-model output including coefficients, standard errors, Wald p-values, the pseudo R-squared, and the log-likelihood, and the documentation recording the inclusion rules and the twenty-point coding threshold. Both replication packages are archived together so a reader who replicates Paper 2 has the source artefacts of Paper 1 in hand and can cross-reference the two studies without further retrieval.</w:t>
      </w:r>
    </w:p>
    <w:bookmarkEnd w:id="100"/>
    <w:bookmarkStart w:id="101" w:name="X8423c0ea93dc1179378ac536382807207aaa65d"/>
    <w:p>
      <w:pPr>
        <w:pStyle w:val="Heading3"/>
        <w:spacing w:line="480" w:lineRule="auto"/>
      </w:pPr>
      <w:r>
        <w:t xml:space="preserve">4.4.3 Measurement Properties That Condition Interpretation</w:t>
      </w:r>
    </w:p>
    <w:p>
      <w:pPr>
        <w:pStyle w:val="FirstParagraph"/>
        <w:spacing w:line="480" w:lineRule="auto"/>
      </w:pPr>
      <w:r>
        <w:t xml:space="preserve">Three measurement properties condition how the results in the chapters that follow are read. First, all classifier behaviour in Paper 1 is observed on synthetic curves</w:t>
      </w:r>
      <w:r>
        <w:t xml:space="preserve"> </w:t>
      </w:r>
      <w:hyperlink w:anchor="ref-2">
        <w:r>
          <w:rPr>
            <w:rStyle w:val="Hyperlink"/>
          </w:rPr>
          <w:t xml:space="preserve">[2]</w:t>
        </w:r>
      </w:hyperlink>
      <w:r>
        <w:t xml:space="preserve">; the corpus deliberately strips atmospheric variability and sensor read-noise that complicate observatory light curves of the kind discussed in [1, 4, 5]. So the slope of accuracy decay observed under controlled L2 perturbation is a lower bound on real-world adversarial sensitivity to the extent that the synthetic distribution underrepresents operational nuisance variability. Second, the trial-level pool of Paper 2 mixes modalities, attack families, and defense families [9, 10, 11, 12, 13, 14, 15, 16, 17, 18]; the coefficients of the logistic model are averaged effects over that mixture and should not be read as point predictions for any single deployment. Third, the survey-level characterisation of SSA learning by Kazemi et al. identifies pre-registration of evaluation grids and seeds as a baseline reproducibility expectation</w:t>
      </w:r>
      <w:r>
        <w:t xml:space="preserve"> </w:t>
      </w:r>
      <w:hyperlink w:anchor="ref-6">
        <w:r>
          <w:rPr>
            <w:rStyle w:val="Hyperlink"/>
          </w:rPr>
          <w:t xml:space="preserve">[6]</w:t>
        </w:r>
      </w:hyperlink>
      <w:r>
        <w:t xml:space="preserve">; both papers in this dissertation comply, and the chapter records the deposit locations so compliance is auditable.</w:t>
      </w:r>
    </w:p>
    <w:p>
      <w:pPr>
        <w:pStyle w:val="BodyText"/>
        <w:spacing w:line="480" w:lineRule="auto"/>
        <w:ind w:firstLine="720"/>
      </w:pPr>
      <w:r>
        <w:t xml:space="preserve">These three properties are not weaknesses to apologise for. They are the measurement boundary of the studies, and stating them precisely is the substantive content of this chapter. The chapters that follow report results within these boundaries and frame their implications accordingly.</w:t>
      </w:r>
    </w:p>
    <w:bookmarkEnd w:id="101"/>
    <w:bookmarkEnd w:id="102"/>
    <w:bookmarkEnd w:id="103"/>
    <w:bookmarkStart w:id="111" w:name="chapter-5.-methods-and-identification"/>
    <w:p>
      <w:pPr>
        <w:pStyle w:val="Heading1"/>
        <w:spacing w:line="480" w:lineRule="auto"/>
      </w:pPr>
      <w:r>
        <w:t xml:space="preserve">Chapter 5. Methods and Identification</w:t>
      </w:r>
    </w:p>
    <w:bookmarkStart w:id="104" w:name="overview-and-logic-of-the-design"/>
    <w:p>
      <w:pPr>
        <w:pStyle w:val="Heading2"/>
        <w:spacing w:line="480" w:lineRule="auto"/>
      </w:pPr>
      <w:r>
        <w:t xml:space="preserve">5.1 Overview and Logic of the Design</w:t>
      </w:r>
    </w:p>
    <w:p>
      <w:pPr>
        <w:pStyle w:val="FirstParagraph"/>
        <w:spacing w:line="480" w:lineRule="auto"/>
      </w:pPr>
      <w:r>
        <w:t xml:space="preserve">This chapter lays out three things: the estimators, the way identification is secured, and the validity concerns that surround the measurement of R, the adversarial-to-noise sensitivity ratio for an on-orbit light-curve classifier. A controlled in-silico measurement is what the study is. It is neither a field trial nor an audit of a fielded system. Design here answers to the shape of the estimand. Two slopes make up R, and each traces how top-1 classification accuracy falls off as the budget of an input perturbation grows. The numerator slope comes from a worst-case structured adversarial perturbation aimed at the system under evaluation; the denominator slope comes from a stochastic photometric perturbation carrying the same L2 energy. Dividing one by the other yields the number operators care about, because it strips out sheer magnitude and leaves the marginal damage that structure alone inflicts. On the sourcing side,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w:t>
      </w:r>
      <w:r>
        <w:t xml:space="preserve"> </w:t>
      </w:r>
      <w:hyperlink w:anchor="ref-6">
        <w:r>
          <w:rPr>
            <w:rStyle w:val="Hyperlink"/>
          </w:rPr>
          <w:t xml:space="preserve">[6]</w:t>
        </w:r>
      </w:hyperlink>
      <w:r>
        <w:t xml:space="preserve"> </w:t>
      </w:r>
      <w:r>
        <w:t xml:space="preserve">pin down the classifier family and the dataset the measurement runs against, and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and</w:t>
      </w:r>
      <w:r>
        <w:t xml:space="preserve"> </w:t>
      </w:r>
      <w:hyperlink w:anchor="ref-26">
        <w:r>
          <w:rPr>
            <w:rStyle w:val="Hyperlink"/>
          </w:rPr>
          <w:t xml:space="preserve">[26]</w:t>
        </w:r>
      </w:hyperlink>
      <w:r>
        <w:t xml:space="preserve"> </w:t>
      </w:r>
      <w:r>
        <w:t xml:space="preserve">furnish the adversarial-machine-learning building blocks the estimator adapts to the SSA setting.</w:t>
      </w:r>
    </w:p>
    <w:p>
      <w:pPr>
        <w:pStyle w:val="BodyText"/>
        <w:spacing w:line="480" w:lineRule="auto"/>
        <w:ind w:firstLine="720"/>
      </w:pPr>
      <w:r>
        <w:t xml:space="preserve">What comes where: Section 5.2 pins down the classifier reproductions standing in as the system under evaluation. Section 5.3 lays out the perturbation generators and the budget grid. Section 5.4 gives the estimators for the two accuracy-decay slopes and for R, and names the inferential procedure. Section 5.5 makes the identification case, spelling out why an estimated R reads as classifier sensitivity to structured perturbation and not as an artefact of tangled design choices. Section 5.6 walks the validity concerns and bounds each, keeping the five-part structure of the prospectus while adding the protocol-level commitments this chapter supplies.</w:t>
      </w:r>
    </w:p>
    <w:bookmarkEnd w:id="104"/>
    <w:bookmarkStart w:id="105" w:name="classifiers-under-test"/>
    <w:p>
      <w:pPr>
        <w:pStyle w:val="Heading2"/>
        <w:spacing w:line="480" w:lineRule="auto"/>
      </w:pPr>
      <w:r>
        <w:t xml:space="preserve">5.2 Classifiers Under Test</w:t>
      </w:r>
    </w:p>
    <w:p>
      <w:pPr>
        <w:pStyle w:val="FirstParagraph"/>
        <w:spacing w:line="480" w:lineRule="auto"/>
      </w:pPr>
      <w:r>
        <w:t xml:space="preserve">Rebuilding the convolutional architecture and training recipe of Furfaro, Linares, and Reddy</w:t>
      </w:r>
      <w:r>
        <w:t xml:space="preserve"> </w:t>
      </w:r>
      <w:hyperlink w:anchor="ref-1">
        <w:r>
          <w:rPr>
            <w:rStyle w:val="Hyperlink"/>
          </w:rPr>
          <w:t xml:space="preserve">[1]</w:t>
        </w:r>
      </w:hyperlink>
      <w:r>
        <w:t xml:space="preserve">, the canonical published deep classifier for SSA light curves, gives the primary system under evaluation. Rebuilding means re-instantiation straight from the published account, hyperparameters pinned at the values</w:t>
      </w:r>
      <w:r>
        <w:t xml:space="preserve"> </w:t>
      </w:r>
      <w:hyperlink w:anchor="ref-1">
        <w:r>
          <w:rPr>
            <w:rStyle w:val="Hyperlink"/>
          </w:rPr>
          <w:t xml:space="preserve">[1]</w:t>
        </w:r>
      </w:hyperlink>
      <w:r>
        <w:t xml:space="preserve"> </w:t>
      </w:r>
      <w:r>
        <w:t xml:space="preserve">reports, and any hyperparameter left unspecified there set to whatever convention the cited follow-on work adopts most often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 Wherever</w:t>
      </w:r>
      <w:r>
        <w:t xml:space="preserve"> </w:t>
      </w:r>
      <w:hyperlink w:anchor="ref-1">
        <w:r>
          <w:rPr>
            <w:rStyle w:val="Hyperlink"/>
          </w:rPr>
          <w:t xml:space="preserve">[1]</w:t>
        </w:r>
      </w:hyperlink>
      <w:r>
        <w:t xml:space="preserve"> </w:t>
      </w:r>
      <w:r>
        <w:t xml:space="preserve">says nothing, the study falls back on the settings recorded in the Adriano, Scott, and Azad benchmark</w:t>
      </w:r>
      <w:r>
        <w:t xml:space="preserve"> </w:t>
      </w:r>
      <w:hyperlink w:anchor="ref-2">
        <w:r>
          <w:rPr>
            <w:rStyle w:val="Hyperlink"/>
          </w:rPr>
          <w:t xml:space="preserve">[2]</w:t>
        </w:r>
      </w:hyperlink>
      <w:r>
        <w:t xml:space="preserve">, since</w:t>
      </w:r>
      <w:r>
        <w:t xml:space="preserve"> </w:t>
      </w:r>
      <w:hyperlink w:anchor="ref-2">
        <w:r>
          <w:rPr>
            <w:rStyle w:val="Hyperlink"/>
          </w:rPr>
          <w:t xml:space="preserve">[2]</w:t>
        </w:r>
      </w:hyperlink>
      <w:r>
        <w:t xml:space="preserve"> </w:t>
      </w:r>
      <w:r>
        <w:t xml:space="preserve">is the freshest published replication of the</w:t>
      </w:r>
      <w:r>
        <w:t xml:space="preserve"> </w:t>
      </w:r>
      <w:hyperlink w:anchor="ref-1">
        <w:r>
          <w:rPr>
            <w:rStyle w:val="Hyperlink"/>
          </w:rPr>
          <w:t xml:space="preserve">[1]</w:t>
        </w:r>
      </w:hyperlink>
      <w:r>
        <w:t xml:space="preserve"> </w:t>
      </w:r>
      <w:r>
        <w:t xml:space="preserve">family on a documented synthetic distribution and therefore the soundest line of descent to inherit from. Checking the rebuild happens by training to convergence on the Adriano synthetic-debris corpus shipped with</w:t>
      </w:r>
      <w:r>
        <w:t xml:space="preserve"> </w:t>
      </w:r>
      <w:hyperlink w:anchor="ref-2">
        <w:r>
          <w:rPr>
            <w:rStyle w:val="Hyperlink"/>
          </w:rPr>
          <w:t xml:space="preserve">[2]</w:t>
        </w:r>
      </w:hyperlink>
      <w:r>
        <w:t xml:space="preserve"> </w:t>
      </w:r>
      <w:r>
        <w:t xml:space="preserve">and confirming the resulting top-1 accuracy lands inside the confidence band</w:t>
      </w:r>
      <w:r>
        <w:t xml:space="preserve"> </w:t>
      </w:r>
      <w:hyperlink w:anchor="ref-2">
        <w:r>
          <w:rPr>
            <w:rStyle w:val="Hyperlink"/>
          </w:rPr>
          <w:t xml:space="preserve">[2]</w:t>
        </w:r>
      </w:hyperlink>
      <w:r>
        <w:t xml:space="preserve"> </w:t>
      </w:r>
      <w:r>
        <w:t xml:space="preserve">quotes for its deep-learning baseline. Land outside that band, and the mismatch is written down and the band widened; the system under evaluation is never quietly re-tuned to chase the published figure.</w:t>
      </w:r>
    </w:p>
    <w:p>
      <w:pPr>
        <w:pStyle w:val="BodyText"/>
        <w:spacing w:line="480" w:lineRule="auto"/>
        <w:ind w:firstLine="720"/>
      </w:pPr>
      <w:r>
        <w:t xml:space="preserve">Two further classifiers act as comparison baselines. One is the extreme gradient boosting model of</w:t>
      </w:r>
      <w:r>
        <w:t xml:space="preserve"> </w:t>
      </w:r>
      <w:hyperlink w:anchor="ref-2">
        <w:r>
          <w:rPr>
            <w:rStyle w:val="Hyperlink"/>
          </w:rPr>
          <w:t xml:space="preserve">[2]</w:t>
        </w:r>
      </w:hyperlink>
      <w:r>
        <w:t xml:space="preserve">, a non-deep, non-convolutional foil that reveals whether the measured fragility profile owes itself to convolutional inductive bias or carries over to a tree-ensemble decision surface. The other is the deep network McQuaid et al. built for non-resolved space-object identification</w:t>
      </w:r>
      <w:r>
        <w:t xml:space="preserve"> </w:t>
      </w:r>
      <w:hyperlink w:anchor="ref-3">
        <w:r>
          <w:rPr>
            <w:rStyle w:val="Hyperlink"/>
          </w:rPr>
          <w:t xml:space="preserve">[3]</w:t>
        </w:r>
      </w:hyperlink>
      <w:r>
        <w:t xml:space="preserve">, reaching past the</w:t>
      </w:r>
      <w:r>
        <w:t xml:space="preserve"> </w:t>
      </w:r>
      <w:hyperlink w:anchor="ref-1">
        <w:r>
          <w:rPr>
            <w:rStyle w:val="Hyperlink"/>
          </w:rPr>
          <w:t xml:space="preserve">[1]</w:t>
        </w:r>
      </w:hyperlink>
      <w:r>
        <w:t xml:space="preserve"> </w:t>
      </w:r>
      <w:r>
        <w:t xml:space="preserve">lineage. Pulling in</w:t>
      </w:r>
      <w:r>
        <w:t xml:space="preserve"> </w:t>
      </w:r>
      <w:hyperlink w:anchor="ref-3">
        <w:r>
          <w:rPr>
            <w:rStyle w:val="Hyperlink"/>
          </w:rPr>
          <w:t xml:space="preserve">[3]</w:t>
        </w:r>
      </w:hyperlink>
      <w:r>
        <w:t xml:space="preserve"> </w:t>
      </w:r>
      <w:r>
        <w:t xml:space="preserve">is a considered move:</w:t>
      </w:r>
      <w:r>
        <w:t xml:space="preserve"> </w:t>
      </w:r>
      <w:hyperlink w:anchor="ref-3">
        <w:r>
          <w:rPr>
            <w:rStyle w:val="Hyperlink"/>
          </w:rPr>
          <w:t xml:space="preserve">[3]</w:t>
        </w:r>
      </w:hyperlink>
      <w:r>
        <w:t xml:space="preserve"> </w:t>
      </w:r>
      <w:r>
        <w:t xml:space="preserve">arrived alongside</w:t>
      </w:r>
      <w:r>
        <w:t xml:space="preserve"> </w:t>
      </w:r>
      <w:hyperlink w:anchor="ref-1">
        <w:r>
          <w:rPr>
            <w:rStyle w:val="Hyperlink"/>
          </w:rPr>
          <w:t xml:space="preserve">[1]</w:t>
        </w:r>
      </w:hyperlink>
      <w:r>
        <w:t xml:space="preserve"> </w:t>
      </w:r>
      <w:r>
        <w:t xml:space="preserve">yet grew up independently for a different observable regime, and having it on hand protects the headline estimate from the charge that R rode on one, perhaps quirky, architectural pick.</w:t>
      </w:r>
    </w:p>
    <w:p>
      <w:pPr>
        <w:pStyle w:val="BodyText"/>
        <w:spacing w:line="480" w:lineRule="auto"/>
        <w:ind w:firstLine="720"/>
      </w:pPr>
      <w:r>
        <w:t xml:space="preserve">Brightness-measurement characterisation of the sort Balster et al. compile</w:t>
      </w:r>
      <w:r>
        <w:t xml:space="preserve"> </w:t>
      </w:r>
      <w:hyperlink w:anchor="ref-5">
        <w:r>
          <w:rPr>
            <w:rStyle w:val="Hyperlink"/>
          </w:rPr>
          <w:t xml:space="preserve">[5]</w:t>
        </w:r>
      </w:hyperlink>
      <w:r>
        <w:t xml:space="preserve"> </w:t>
      </w:r>
      <w:r>
        <w:t xml:space="preserve">and the photometric fingerprinting Olson et al. describe</w:t>
      </w:r>
      <w:r>
        <w:t xml:space="preserve"> </w:t>
      </w:r>
      <w:hyperlink w:anchor="ref-16">
        <w:r>
          <w:rPr>
            <w:rStyle w:val="Hyperlink"/>
          </w:rPr>
          <w:t xml:space="preserve">[16]</w:t>
        </w:r>
      </w:hyperlink>
      <w:r>
        <w:t xml:space="preserve"> </w:t>
      </w:r>
      <w:r>
        <w:t xml:space="preserve">are not rebuilt as systems under evaluation in this study. Their citation serves a narrower end: anchoring the photometric magnitude scale that sets the perturbation budget grid in Section 5.3.</w:t>
      </w:r>
    </w:p>
    <w:bookmarkEnd w:id="105"/>
    <w:bookmarkStart w:id="106" w:name="perturbation-generators-and-budget-grid"/>
    <w:p>
      <w:pPr>
        <w:pStyle w:val="Heading2"/>
        <w:spacing w:line="480" w:lineRule="auto"/>
      </w:pPr>
      <w:r>
        <w:t xml:space="preserve">5.3 Perturbation Generators and Budget Grid</w:t>
      </w:r>
    </w:p>
    <w:p>
      <w:pPr>
        <w:pStyle w:val="FirstParagraph"/>
        <w:spacing w:line="480" w:lineRule="auto"/>
      </w:pPr>
      <w:r>
        <w:t xml:space="preserve">One physically legible axis pins the perturbation down: its L2 energy, added to the input light curve and read in normalised photometric units. Picking L2 tracks the prevailing habit in the remote-sensing adversarial-examples work</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 and</w:t>
      </w:r>
      <w:r>
        <w:t xml:space="preserve"> </w:t>
      </w:r>
      <w:hyperlink w:anchor="ref-18">
        <w:r>
          <w:rPr>
            <w:rStyle w:val="Hyperlink"/>
          </w:rPr>
          <w:t xml:space="preserve">[18]</w:t>
        </w:r>
      </w:hyperlink>
      <w:r>
        <w:t xml:space="preserve">, where an L2 perturbation carries both a closed-form energy reading and a tidy match to additive Gaussian noise of matching variance. An L-infinity treatment enters only as a fallback specification later in this chapter, never the headline one, since L-infinity severs perturbation magnitude from any physical sensor-noise counterpart and would wreck the comparison to a matched-energy photometric noise model.</w:t>
      </w:r>
    </w:p>
    <w:p>
      <w:pPr>
        <w:pStyle w:val="BodyText"/>
        <w:spacing w:line="480" w:lineRule="auto"/>
        <w:ind w:firstLine="720"/>
      </w:pPr>
      <w:r>
        <w:t xml:space="preserve">The study names two generators. First comes the adversarial one. Built as projected gradient descent (PGD) on the cross-entropy loss of the system under evaluation and projected onto the L2 ball of radius epsilon, it locks the step count, the step size, and the random-start recipe ahead of any evaluation run. PGD beats a single-step Fast Gradient Sign generator here because the remote-sensing adversarial-examples record</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shows PGD pushing the ceiling on classifier fragility tighter, and it is exactly the size of that ceiling this study is after. Access-wise, the PGD generator runs white-box on the system under evaluation, reading its weights and gradients. Section 5.6 defends that white-box posture at length; it is chosen on purpose.</w:t>
      </w:r>
    </w:p>
    <w:p>
      <w:pPr>
        <w:pStyle w:val="BodyText"/>
        <w:spacing w:line="480" w:lineRule="auto"/>
        <w:ind w:firstLine="720"/>
      </w:pPr>
      <w:r>
        <w:t xml:space="preserve">Second comes the matched-energy stochastic perturbation. Paired with every PGD perturbation at budget epsilon, a Gaussian sample is drawn from a zero-mean isotropic distribution scaled until its realised L2 norm hits epsilon, then laid onto the same input light curve. Holding the energy equal leaves the two perturbations differing on structure alone, nowhere else. That single controlled contrast is what turns R into a legible ratio instead of a muddled one.</w:t>
      </w:r>
    </w:p>
    <w:p>
      <w:pPr>
        <w:pStyle w:val="BodyText"/>
        <w:spacing w:line="480" w:lineRule="auto"/>
        <w:ind w:firstLine="720"/>
      </w:pPr>
      <w:r>
        <w:t xml:space="preserve">Building the budget grid means bracketing the photometric noise floor</w:t>
      </w:r>
      <w:r>
        <w:t xml:space="preserve"> </w:t>
      </w:r>
      <w:hyperlink w:anchor="ref-2">
        <w:r>
          <w:rPr>
            <w:rStyle w:val="Hyperlink"/>
          </w:rPr>
          <w:t xml:space="preserve">[2]</w:t>
        </w:r>
      </w:hyperlink>
      <w:r>
        <w:t xml:space="preserve"> </w:t>
      </w:r>
      <w:r>
        <w:t xml:space="preserve">reports and checking it against the magnitude ranges Furfaro et al. </w:t>
      </w:r>
      <w:hyperlink w:anchor="ref-1">
        <w:r>
          <w:rPr>
            <w:rStyle w:val="Hyperlink"/>
          </w:rPr>
          <w:t xml:space="preserve">[1]</w:t>
        </w:r>
      </w:hyperlink>
      <w:r>
        <w:t xml:space="preserve"> </w:t>
      </w:r>
      <w:r>
        <w:t xml:space="preserve">and Balster et al. </w:t>
      </w:r>
      <w:hyperlink w:anchor="ref-5">
        <w:r>
          <w:rPr>
            <w:rStyle w:val="Hyperlink"/>
          </w:rPr>
          <w:t xml:space="preserve">[5]</w:t>
        </w:r>
      </w:hyperlink>
      <w:r>
        <w:t xml:space="preserve"> </w:t>
      </w:r>
      <w:r>
        <w:t xml:space="preserve">discuss. A low anchor sits beneath the dataset noise floor, where either perturbation family ought to leave accuracy near-flat. A middle band runs about one decade above that floor, where the accuracy-versus-budget curves should track close to linear. A high anchor caps the grid where accuracy under the structured perturbation has already fallen to chance. Slopes feeding R come off that middle band. Finding the linear stretch by measurement, rather than declaring it up front, counts as its own pre-registered procedural step.</w:t>
      </w:r>
    </w:p>
    <w:bookmarkEnd w:id="106"/>
    <w:bookmarkStart w:id="107" w:name="estimators-and-inference"/>
    <w:p>
      <w:pPr>
        <w:pStyle w:val="Heading2"/>
        <w:spacing w:line="480" w:lineRule="auto"/>
      </w:pPr>
      <w:r>
        <w:t xml:space="preserve">5.4 Estimators and Inference</w:t>
      </w:r>
    </w:p>
    <w:p>
      <w:pPr>
        <w:pStyle w:val="FirstParagraph"/>
        <w:spacing w:line="480" w:lineRule="auto"/>
      </w:pPr>
      <w:r>
        <w:t xml:space="preserve">Write A_a(epsilon) for the top-1 accuracy of the system under evaluation on the evaluation partition once every input has taken an adversarial perturbation at budget epsilon, and A_n(epsilon) for the same thing under the matched-energy noise generator. One partition, one common set of base light curves, scores both accuracy-versus-budget curves. Ordinary least squares of A_a and A_n on epsilon across the middle band of the grid described above returns the slopes. Name their absolute values beta_a and beta_n. Then the estimator of R reads</w:t>
      </w:r>
    </w:p>
    <w:p>
      <w:pPr>
        <w:pStyle w:val="BodyText"/>
        <w:spacing w:line="480" w:lineRule="auto"/>
        <w:ind w:firstLine="720"/>
      </w:pPr>
      <w:r>
        <w:t xml:space="preserve">R_hat = beta_a / beta_n.</w:t>
      </w:r>
    </w:p>
    <w:p>
      <w:pPr>
        <w:pStyle w:val="BodyText"/>
        <w:spacing w:line="480" w:lineRule="auto"/>
        <w:ind w:firstLine="720"/>
      </w:pPr>
      <w:r>
        <w:t xml:space="preserve">A nonparametric bootstrap over the evaluation partition carries the inference. Draw the held-out partition with replacement B times, B fixed ahead, re-fit both slopes on every draw, and recompute the ratio each time. Out come the 95 percent percentile-bootstrap confidence interval for R and the bootstrap distribution behind it. The one-sided test of H0: R = 1 against H1: R &gt;= 2 runs at alpha = 0.05, and it turns on whether the lower endpoint of that interval exceeds 2.</w:t>
      </w:r>
    </w:p>
    <w:p>
      <w:pPr>
        <w:pStyle w:val="BodyText"/>
        <w:spacing w:line="480" w:lineRule="auto"/>
        <w:ind w:firstLine="720"/>
      </w:pPr>
      <w:r>
        <w:t xml:space="preserve">Three traits of the estimator deserve a note. Its ratio form is scale-invariant in the units of epsilon, so no arbitrary photometric normalisation touches the answer, as long as numerator and denominator share one. Bias runs upward in R_hat whenever the matched-energy noise slope stays small next to its own sampling spread, because only with high probability does the denominator stay clear of zero; the study answers by reporting the whole bootstrap distribution, not the point estimate on its own, and by pre-registering a winsorisation rule for bootstrap draws whose beta_n drops under a small positive floor. Linearity, the assumption the OLS estimator leans on, gets a check through residual inspection and through a pre-registered sensitivity pass that re-fits the slopes with a robust regression and with a local-linear smoother. OLS carries the headline report; the sensitivity passes ride alongside and unseat the headline estimate only when they flip the sign of the inference, not when they nudge the point estimate.</w:t>
      </w:r>
    </w:p>
    <w:bookmarkEnd w:id="107"/>
    <w:bookmarkStart w:id="108" w:name="identification-strategy"/>
    <w:p>
      <w:pPr>
        <w:pStyle w:val="Heading2"/>
        <w:spacing w:line="480" w:lineRule="auto"/>
      </w:pPr>
      <w:r>
        <w:t xml:space="preserve">5.5 Identification Strategy</w:t>
      </w:r>
    </w:p>
    <w:p>
      <w:pPr>
        <w:pStyle w:val="FirstParagraph"/>
        <w:spacing w:line="480" w:lineRule="auto"/>
      </w:pPr>
      <w:r>
        <w:t xml:space="preserve">Three design choices let R stand as a measurement of classifier sensitivity to structured perturbation, and each shuts down a family of confounders.</w:t>
      </w:r>
    </w:p>
    <w:p>
      <w:pPr>
        <w:pStyle w:val="BodyText"/>
        <w:spacing w:line="480" w:lineRule="auto"/>
        <w:ind w:firstLine="720"/>
      </w:pPr>
      <w:r>
        <w:t xml:space="preserve">Choice one holds the classifier still. Rebuild one published architecture and its training recipe</w:t>
      </w:r>
      <w:r>
        <w:t xml:space="preserve"> </w:t>
      </w:r>
      <w:hyperlink w:anchor="ref-1">
        <w:r>
          <w:rPr>
            <w:rStyle w:val="Hyperlink"/>
          </w:rPr>
          <w:t xml:space="preserve">[1]</w:t>
        </w:r>
      </w:hyperlink>
      <w:r>
        <w:t xml:space="preserve">, then run that same frozen object through both the adversarial slope and the matched-noise slope, and architecture selection and training-recipe drift drop out as confounders of the gap between the two slopes. Any gap left standing between beta_a and beta_n traces back to the difference between the two perturbation families, not to any difference in what took the perturbation.</w:t>
      </w:r>
    </w:p>
    <w:p>
      <w:pPr>
        <w:pStyle w:val="BodyText"/>
        <w:spacing w:line="480" w:lineRule="auto"/>
        <w:ind w:firstLine="720"/>
      </w:pPr>
      <w:r>
        <w:t xml:space="preserve">Choice two holds the input distribution still. Drawing only from the Adriano et al. synthetic-debris corpus</w:t>
      </w:r>
      <w:r>
        <w:t xml:space="preserve"> </w:t>
      </w:r>
      <w:hyperlink w:anchor="ref-2">
        <w:r>
          <w:rPr>
            <w:rStyle w:val="Hyperlink"/>
          </w:rPr>
          <w:t xml:space="preserve">[2]</w:t>
        </w:r>
      </w:hyperlink>
      <w:r>
        <w:t xml:space="preserve">, with its logged Blender and Orekit provenance, closes off data-distribution shift across the two arms. Both generators perturb the same base light curves, both arms score on the same evaluation partition, and identification of R therefore stays within-sample at the base-light-curve level.</w:t>
      </w:r>
    </w:p>
    <w:p>
      <w:pPr>
        <w:pStyle w:val="BodyText"/>
        <w:spacing w:line="480" w:lineRule="auto"/>
        <w:ind w:firstLine="720"/>
      </w:pPr>
      <w:r>
        <w:t xml:space="preserve">Choice three holds the perturbation energy still. Forcing the matched-energy noise perturbation onto the same L2 norm as its paired PGD perturbation clears out perturbation-energy confounding. The one axis still moving between the arms is the structure the adversarial gradient writes in, and that structure is just what R exists to price.</w:t>
      </w:r>
    </w:p>
    <w:p>
      <w:pPr>
        <w:pStyle w:val="BodyText"/>
        <w:spacing w:line="480" w:lineRule="auto"/>
        <w:ind w:firstLine="720"/>
      </w:pPr>
      <w:r>
        <w:t xml:space="preserve">Stacked together, the three choices earn a clean causal reading of R_hat: it gauges the marginal fragility of the classifier to structure inside a bounded input perturbation, with classifier, input, and perturbation energy all held fast. They do not earn a reading of R_hat as the operational hazard of running the classifier inside the SSA chain. Reaching that reading would demand extra identifying assumptions about what an adversary can do, how the sensor behaves, and how the downstream decision unfolds, and none of those enter here. Narrower than the operational quantity by design, the estimand keeps that difference in the open rather than smoothing it away.</w:t>
      </w:r>
    </w:p>
    <w:bookmarkEnd w:id="108"/>
    <w:bookmarkStart w:id="109" w:name="threats-to-validity"/>
    <w:p>
      <w:pPr>
        <w:pStyle w:val="Heading2"/>
        <w:spacing w:line="480" w:lineRule="auto"/>
      </w:pPr>
      <w:r>
        <w:t xml:space="preserve">5.6 Threats to Validity</w:t>
      </w:r>
    </w:p>
    <w:p>
      <w:pPr>
        <w:pStyle w:val="FirstParagraph"/>
        <w:spacing w:line="480" w:lineRule="auto"/>
      </w:pPr>
      <w:r>
        <w:t xml:space="preserve">Five kinds of threat get treated. For each, the chapter names the threat, states its bound, and logs the protocol-level commitment that secures the bound.</w:t>
      </w:r>
    </w:p>
    <w:p>
      <w:pPr>
        <w:pStyle w:val="BodyText"/>
        <w:spacing w:line="480" w:lineRule="auto"/>
        <w:ind w:firstLine="720"/>
      </w:pPr>
      <w:r>
        <w:rPr>
          <w:b/>
          <w:bCs/>
        </w:rPr>
        <w:t xml:space="preserve">Construct validity.</w:t>
      </w:r>
      <w:r>
        <w:t xml:space="preserve"> </w:t>
      </w:r>
      <w:r>
        <w:t xml:space="preserve">R rests on the</w:t>
      </w:r>
      <w:r>
        <w:t xml:space="preserve"> </w:t>
      </w:r>
      <w:hyperlink w:anchor="ref-1">
        <w:r>
          <w:rPr>
            <w:rStyle w:val="Hyperlink"/>
          </w:rPr>
          <w:t xml:space="preserve">[1]</w:t>
        </w:r>
      </w:hyperlink>
      <w:r>
        <w:t xml:space="preserve"> </w:t>
      </w:r>
      <w:r>
        <w:t xml:space="preserve">family of convolutional classifiers, widened by the gradient-boosting baseline and by the deep model McQuaid et al. run for non-resolved observations</w:t>
      </w:r>
      <w:r>
        <w:t xml:space="preserve"> </w:t>
      </w:r>
      <w:hyperlink w:anchor="ref-3">
        <w:r>
          <w:rPr>
            <w:rStyle w:val="Hyperlink"/>
          </w:rPr>
          <w:t xml:space="preserve">[3]</w:t>
        </w:r>
      </w:hyperlink>
      <w:r>
        <w:t xml:space="preserve">. Let the SSA community shift to architectures beyond that family before the defence, and the reported R will address a legacy family rather than the operational one of the day. Two things bound the threat: seating</w:t>
      </w:r>
      <w:r>
        <w:t xml:space="preserve"> </w:t>
      </w:r>
      <w:hyperlink w:anchor="ref-3">
        <w:r>
          <w:rPr>
            <w:rStyle w:val="Hyperlink"/>
          </w:rPr>
          <w:t xml:space="preserve">[3]</w:t>
        </w:r>
      </w:hyperlink>
      <w:r>
        <w:t xml:space="preserve"> </w:t>
      </w:r>
      <w:r>
        <w:t xml:space="preserve">and the</w:t>
      </w:r>
      <w:r>
        <w:t xml:space="preserve"> </w:t>
      </w:r>
      <w:hyperlink w:anchor="ref-2">
        <w:r>
          <w:rPr>
            <w:rStyle w:val="Hyperlink"/>
          </w:rPr>
          <w:t xml:space="preserve">[2]</w:t>
        </w:r>
      </w:hyperlink>
      <w:r>
        <w:t xml:space="preserve"> </w:t>
      </w:r>
      <w:r>
        <w:t xml:space="preserve">gradient-boosting baseline as comparison baselines, and depositing the perturbation generator publicly so anyone can re-run the protocol against a later classifier. Beyond the architectures it actually measured, the study claims no reach for R.</w:t>
      </w:r>
    </w:p>
    <w:p>
      <w:pPr>
        <w:pStyle w:val="BodyText"/>
        <w:spacing w:line="480" w:lineRule="auto"/>
        <w:ind w:firstLine="720"/>
      </w:pPr>
      <w:r>
        <w:rPr>
          <w:b/>
          <w:bCs/>
        </w:rPr>
        <w:t xml:space="preserve">Internal validity.</w:t>
      </w:r>
      <w:r>
        <w:t xml:space="preserve"> </w:t>
      </w:r>
      <w:r>
        <w:t xml:space="preserve">White-box on the system under evaluation, weights and gradients in hand, is how the PGD generator runs. Out in the field, the adversary sketched qualitatively by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the autonomous-GNC adversarial-detection work of Wang and Aouf</w:t>
      </w:r>
      <w:r>
        <w:t xml:space="preserve"> </w:t>
      </w:r>
      <w:hyperlink w:anchor="ref-26">
        <w:r>
          <w:rPr>
            <w:rStyle w:val="Hyperlink"/>
          </w:rPr>
          <w:t xml:space="preserve">[26]</w:t>
        </w:r>
      </w:hyperlink>
      <w:r>
        <w:t xml:space="preserve"> </w:t>
      </w:r>
      <w:r>
        <w:t xml:space="preserve">may hold no such access. White-box is the deliberate pick because it returns a ceiling on classifier fragility, and a ceiling is what the SSA community needs to bound its risk. So the bound here is a matter of definition: R goes out as a ceiling estimand, not as a point estimate of what a transfer adversary would actually manage. A secondary transfer-attack pass rides along as a robustness check, generating PGD against the</w:t>
      </w:r>
      <w:r>
        <w:t xml:space="preserve"> </w:t>
      </w:r>
      <w:hyperlink w:anchor="ref-3">
        <w:r>
          <w:rPr>
            <w:rStyle w:val="Hyperlink"/>
          </w:rPr>
          <w:t xml:space="preserve">[3]</w:t>
        </w:r>
      </w:hyperlink>
      <w:r>
        <w:t xml:space="preserve"> </w:t>
      </w:r>
      <w:r>
        <w:t xml:space="preserve">model and scoring it on the rebuilt</w:t>
      </w:r>
      <w:r>
        <w:t xml:space="preserve"> </w:t>
      </w:r>
      <w:hyperlink w:anchor="ref-1">
        <w:r>
          <w:rPr>
            <w:rStyle w:val="Hyperlink"/>
          </w:rPr>
          <w:t xml:space="preserve">[1]</w:t>
        </w:r>
      </w:hyperlink>
      <w:r>
        <w:t xml:space="preserve"> </w:t>
      </w:r>
      <w:r>
        <w:t xml:space="preserve">model. That transfer figure sits beside the headline R and never stands in for it.</w:t>
      </w:r>
    </w:p>
    <w:p>
      <w:pPr>
        <w:pStyle w:val="BodyText"/>
        <w:spacing w:line="480" w:lineRule="auto"/>
        <w:ind w:firstLine="720"/>
      </w:pPr>
      <w:r>
        <w:rPr>
          <w:b/>
          <w:bCs/>
        </w:rPr>
        <w:t xml:space="preserve">External validity.</w:t>
      </w:r>
      <w:r>
        <w:t xml:space="preserve"> </w:t>
      </w:r>
      <w:r>
        <w:t xml:space="preserve">The Adriano corpus</w:t>
      </w:r>
      <w:r>
        <w:t xml:space="preserve"> </w:t>
      </w:r>
      <w:hyperlink w:anchor="ref-2">
        <w:r>
          <w:rPr>
            <w:rStyle w:val="Hyperlink"/>
          </w:rPr>
          <w:t xml:space="preserve">[2]</w:t>
        </w:r>
      </w:hyperlink>
      <w:r>
        <w:t xml:space="preserve"> </w:t>
      </w:r>
      <w:r>
        <w:t xml:space="preserve">is synthetic through and through. Gone from it are atmospheric turbulence, sensor read-noise, and observatory-specific systematics of the sort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w:t>
      </w:r>
      <w:r>
        <w:t xml:space="preserve"> </w:t>
      </w:r>
      <w:hyperlink w:anchor="ref-16">
        <w:r>
          <w:rPr>
            <w:rStyle w:val="Hyperlink"/>
          </w:rPr>
          <w:t xml:space="preserve">[16]</w:t>
        </w:r>
      </w:hyperlink>
      <w:r>
        <w:t xml:space="preserve"> </w:t>
      </w:r>
      <w:r>
        <w:t xml:space="preserve">discuss and the SSA orbit-determination survey</w:t>
      </w:r>
      <w:r>
        <w:t xml:space="preserve"> </w:t>
      </w:r>
      <w:hyperlink w:anchor="ref-6">
        <w:r>
          <w:rPr>
            <w:rStyle w:val="Hyperlink"/>
          </w:rPr>
          <w:t xml:space="preserve">[6]</w:t>
        </w:r>
      </w:hyperlink>
      <w:r>
        <w:t xml:space="preserve"> </w:t>
      </w:r>
      <w:r>
        <w:t xml:space="preserve">acknowledges. Two consequences land. The matched-energy noise floor anchoring the budget grid is the synthetic floor, not any real observatory’s. And R, measured in-distribution under controlled synthetic conditions, undershoots real-world adversarial sensitivity to whatever degree genuine observatory variability piles on further nuisance gradients an adversary might ride. Bounding all this, the study spells the asymmetry out plainly, declines to push R onto observatory data, and files the observational follow-on as its own research line rather than sliding it into the present number.</w:t>
      </w:r>
    </w:p>
    <w:p>
      <w:pPr>
        <w:pStyle w:val="BodyText"/>
        <w:spacing w:line="480" w:lineRule="auto"/>
        <w:ind w:firstLine="720"/>
      </w:pPr>
      <w:r>
        <w:rPr>
          <w:b/>
          <w:bCs/>
        </w:rPr>
        <w:t xml:space="preserve">Statistical validity.</w:t>
      </w:r>
      <w:r>
        <w:t xml:space="preserve"> </w:t>
      </w:r>
      <w:r>
        <w:t xml:space="preserve">Bootstrap inference banks on the held-out partition being exchangeable with the labelled population</w:t>
      </w:r>
      <w:r>
        <w:t xml:space="preserve"> </w:t>
      </w:r>
      <w:hyperlink w:anchor="ref-2">
        <w:r>
          <w:rPr>
            <w:rStyle w:val="Hyperlink"/>
          </w:rPr>
          <w:t xml:space="preserve">[2]</w:t>
        </w:r>
      </w:hyperlink>
      <w:r>
        <w:t xml:space="preserve"> </w:t>
      </w:r>
      <w:r>
        <w:t xml:space="preserve">released. Pre-registration is what bounds the threat. Ahead of any evaluation run, the study locks in the partitioning scheme, the budget grid, the PGD hyperparameters, the noise-generator seed list, the bootstrap resample count B, and the winsorisation rule for the bootstrap denominator. That pre-registered record ships beside the trained classifier weights, the perturbation generator, and the noise generator. The commitment keeps faith with the reproducibility norms in SSA machine learning that</w:t>
      </w:r>
      <w:r>
        <w:t xml:space="preserve"> </w:t>
      </w:r>
      <w:hyperlink w:anchor="ref-6">
        <w:r>
          <w:rPr>
            <w:rStyle w:val="Hyperlink"/>
          </w:rPr>
          <w:t xml:space="preserve">[6]</w:t>
        </w:r>
      </w:hyperlink>
      <w:r>
        <w:t xml:space="preserve"> </w:t>
      </w:r>
      <w:r>
        <w:t xml:space="preserve">acknowledges and the data-provenance practice</w:t>
      </w:r>
      <w:r>
        <w:t xml:space="preserve"> </w:t>
      </w:r>
      <w:hyperlink w:anchor="ref-2">
        <w:r>
          <w:rPr>
            <w:rStyle w:val="Hyperlink"/>
          </w:rPr>
          <w:t xml:space="preserve">[2]</w:t>
        </w:r>
      </w:hyperlink>
      <w:r>
        <w:t xml:space="preserve"> </w:t>
      </w:r>
      <w:r>
        <w:t xml:space="preserve">operationalises.</w:t>
      </w:r>
    </w:p>
    <w:p>
      <w:pPr>
        <w:pStyle w:val="BodyText"/>
        <w:spacing w:line="480" w:lineRule="auto"/>
        <w:ind w:firstLine="720"/>
      </w:pPr>
      <w:r>
        <w:rPr>
          <w:b/>
          <w:bCs/>
        </w:rPr>
        <w:t xml:space="preserve">Adversarial-realism validity.</w:t>
      </w:r>
      <w:r>
        <w:t xml:space="preserve"> </w:t>
      </w:r>
      <w:r>
        <w:t xml:space="preserve">A bounded L2 perturbation on a light-curve vector is a stock adversarial-machine-learning primitive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a sensor-physics model it is not. The study makes no claim that some adversary can truly push a perturbation of any L2 budget into a live observatory pipeline, nor that the threat models of</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or</w:t>
      </w:r>
      <w:r>
        <w:t xml:space="preserve"> </w:t>
      </w:r>
      <w:hyperlink w:anchor="ref-23">
        <w:r>
          <w:rPr>
            <w:rStyle w:val="Hyperlink"/>
          </w:rPr>
          <w:t xml:space="preserve">[23]</w:t>
        </w:r>
      </w:hyperlink>
      <w:r>
        <w:t xml:space="preserve"> </w:t>
      </w:r>
      <w:r>
        <w:t xml:space="preserve">collapse into additive L2 noise on the photometric vector. What bounds the threat is a deliberate narrowing of the operational claim: R goes out as the classifier’s fragility profile under a controlled, energy-bounded perturbation, with the recommendation that operators price the classifier on that basis before folding it into automated decision aids of the sort</w:t>
      </w:r>
      <w:r>
        <w:t xml:space="preserve"> </w:t>
      </w:r>
      <w:hyperlink w:anchor="ref-4">
        <w:r>
          <w:rPr>
            <w:rStyle w:val="Hyperlink"/>
          </w:rPr>
          <w:t xml:space="preserve">[4]</w:t>
        </w:r>
      </w:hyperlink>
      <w:r>
        <w:t xml:space="preserve"> </w:t>
      </w:r>
      <w:r>
        <w:t xml:space="preserve">catalogues and</w:t>
      </w:r>
      <w:r>
        <w:t xml:space="preserve"> </w:t>
      </w:r>
      <w:hyperlink w:anchor="ref-6">
        <w:r>
          <w:rPr>
            <w:rStyle w:val="Hyperlink"/>
          </w:rPr>
          <w:t xml:space="preserve">[6]</w:t>
        </w:r>
      </w:hyperlink>
      <w:r>
        <w:t xml:space="preserve"> </w:t>
      </w:r>
      <w:r>
        <w:t xml:space="preserve">surveys. Necessary for an operational risk case, the fragility profile does not on its own suffice.</w:t>
      </w:r>
    </w:p>
    <w:p>
      <w:pPr>
        <w:pStyle w:val="BodyText"/>
        <w:spacing w:line="480" w:lineRule="auto"/>
        <w:ind w:firstLine="720"/>
      </w:pPr>
      <w:r>
        <w:t xml:space="preserve">Raised informally more than once, a sixth concern asks whether the matched-energy noise comparator is the right counterfactual at all. An unperturbed baseline would be the rival. The matched-energy comparator wins out because an unperturbed baseline tangles the energy of the perturbation together with its structure, whereas R as built here pulls the two apart. Accuracy at the unperturbed baseline still appears, as a supplementary descriptive line, but plays no part in defining R.</w:t>
      </w:r>
    </w:p>
    <w:bookmarkEnd w:id="109"/>
    <w:bookmarkStart w:id="110" w:name="summary"/>
    <w:p>
      <w:pPr>
        <w:pStyle w:val="Heading2"/>
        <w:spacing w:line="480" w:lineRule="auto"/>
      </w:pPr>
      <w:r>
        <w:t xml:space="preserve">5.7 Summary</w:t>
      </w:r>
    </w:p>
    <w:p>
      <w:pPr>
        <w:pStyle w:val="FirstParagraph"/>
        <w:spacing w:line="480" w:lineRule="auto"/>
      </w:pPr>
      <w:r>
        <w:t xml:space="preserve">Three things now stand fixed from this methods chapter: the system under evaluation, the perturbation generators together with their budget grid, and the estimator of R alongside its inferential procedure. Under the three design choices, the identification case shows R_hat reading as the marginal fragility of the classifier to structure inside a bounded input perturbation, classifier and input and perturbation energy all pinned. Robustness anchors, pre-registration, and a deliberate narrowing of the operational claim together enumerate and bound the validity concerns. Next, the following chapter takes the protocol to the Adriano corpus and runs it, yielding the point estimate of R, the bootstrap confidence interval, the comparison baselines against the</w:t>
      </w:r>
      <w:r>
        <w:t xml:space="preserve"> </w:t>
      </w:r>
      <w:hyperlink w:anchor="ref-2">
        <w:r>
          <w:rPr>
            <w:rStyle w:val="Hyperlink"/>
          </w:rPr>
          <w:t xml:space="preserve">[2]</w:t>
        </w:r>
      </w:hyperlink>
      <w:r>
        <w:t xml:space="preserve"> </w:t>
      </w:r>
      <w:r>
        <w:t xml:space="preserve">gradient-boosting model and the</w:t>
      </w:r>
      <w:r>
        <w:t xml:space="preserve"> </w:t>
      </w:r>
      <w:hyperlink w:anchor="ref-3">
        <w:r>
          <w:rPr>
            <w:rStyle w:val="Hyperlink"/>
          </w:rPr>
          <w:t xml:space="preserve">[3]</w:t>
        </w:r>
      </w:hyperlink>
      <w:r>
        <w:t xml:space="preserve"> </w:t>
      </w:r>
      <w:r>
        <w:t xml:space="preserve">deep model, and the pre-registered sensitivity passes.</w:t>
      </w:r>
    </w:p>
    <w:bookmarkEnd w:id="110"/>
    <w:bookmarkEnd w:id="111"/>
    <w:bookmarkStart w:id="118"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research papers that anchor the dissertation. Paper 1 sets the prospective measurement frame for the adversarial-to-noise sensitivity ratio R against a reproduced convolutional light-curve classifier on the Adriano synthetic-debris corpus</w:t>
      </w:r>
      <w:r>
        <w:t xml:space="preserve"> </w:t>
      </w:r>
      <w:hyperlink w:anchor="ref-2">
        <w:r>
          <w:rPr>
            <w:rStyle w:val="Hyperlink"/>
          </w:rPr>
          <w:t xml:space="preserve">[2]</w:t>
        </w:r>
      </w:hyperlink>
      <w:r>
        <w:t xml:space="preserve">, and supplies the design under which a future in-silico measurement campaign will be executed [1, 2]. Paper 2 carries the empirical weight of the present chapter. It estimates a transparent, paper-anchored logistic model linking three observable design choices, the L-infinity perturbation budget, the trainable parameter count of the target classifier, and the presence of an explicit adversarial defense, to the binary outcome of a successful attack across 36 reported attack trials drawn from the overhead-imagery and space-object classification literatures [9, 10, 11, 12, 17, 18]. Reading the two papers together is the point of the chapter. On the strength of the assembled cross-study evidence, Paper 2 tells us which design levers actually move attack-success probability and by how much. Once executed, Paper 1’s pre-registered measurement will tell us whether the adversarial channel is structurally distinct from matched-energy photometric noise on the dominant published architecture family for SSA light curves [1, 2, 6].</w:t>
      </w:r>
    </w:p>
    <w:p>
      <w:pPr>
        <w:pStyle w:val="BodyText"/>
        <w:spacing w:line="480" w:lineRule="auto"/>
        <w:ind w:firstLine="720"/>
      </w:pPr>
      <w:r>
        <w:t xml:space="preserve">Four parts follow. Section 6.1 reports the fitted logistic model with the exact coefficients, standard errors, and Wald p-values returned by the estimator, together with the global fit diagnostics. Section 6.2 interprets each coefficient on the log-odds and odds-ratio scales and translates the effect of moving across the observed perturbation-budget range into a substantive change in attack-success probability. Section 6.3 reads the three effects against the three pre-registered hypotheses and against the cross-study patterns reported in the overhead-imagery and space-domain literatures [9, 10, 11, 12, 17]. Section 6.4 then situates Paper 1’s pre-registered measurement of the adversarial-to-noise sensitivity ratio R inside the empirical picture Paper 2 establishes, drawing the inferential bridge from a binary cross-study outcome to a continuous within-classifier slope. The tables, the figure that visualizes the predicted probability of attack success across the epsilon grid, and the formula block for the logistic specification are reproduced in Appendix A and are not duplicated here.</w:t>
      </w:r>
    </w:p>
    <w:bookmarkStart w:id="112" w:name="Xbc0ad95ae01f262e3fa97e41caad91a09e18164"/>
    <w:p>
      <w:pPr>
        <w:pStyle w:val="Heading2"/>
        <w:spacing w:line="480" w:lineRule="auto"/>
      </w:pPr>
      <w:r>
        <w:t xml:space="preserve">6.1 Estimated Logistic Model for Attack Success</w:t>
      </w:r>
    </w:p>
    <w:p>
      <w:pPr>
        <w:pStyle w:val="FirstParagraph"/>
        <w:spacing w:line="480" w:lineRule="auto"/>
      </w:pPr>
      <w:r>
        <w:t xml:space="preserve">The estimator is a maximum-likelihood logistic regression of the binary outcome attack_success on three covariates: the L-infinity perturbation budget epsilon, the trainable parameter count of the target classifier measured in millions and denoted model_params_M, and the binary indicator defense_present that takes the value one when the target was trained with an explicit adversarial defense and zero otherwise. The sample is N equal to 36 attack trials assembled from the paper-anchored sources described in Paper 2 and cited inline against the reference pool [9, 10, 11, 12, 13, 14, 15, 16, 17, 18]. The link is the canonical logit and the outcome is coded one when the reported clean-versus-attacked accuracy drop exceeds twenty percentage points and zero otherwise.</w:t>
      </w:r>
    </w:p>
    <w:p>
      <w:pPr>
        <w:pStyle w:val="BodyText"/>
        <w:spacing w:line="480" w:lineRule="auto"/>
        <w:ind w:firstLine="720"/>
      </w:pPr>
      <w:r>
        <w:t xml:space="preserve">At the maximum, the fitted log-likelihood is -12.346581876637325 and the McFadden pseudo R-squared is 0.3525456030435635. On a sample of this size, a pseudo R-squared of approximately 0.35 says the three-covariate specification absorbs a non-trivial fraction of the variation in attack-success outcomes around the null log-likelihood, consistent with the qualitative pattern in the cross-study literature that perturbation magnitude and defense status are the dominant moving parts in attack-success outcomes [10, 11, 12, 17]. The model is parsimonious by design. Paper 2 deliberately holds the specification to three transparent and observable predictors so each coefficient can be read as a stand-alone design lever without the interpretive overhead of higher-order interaction terms the 36-trial sample would not credibly support.</w:t>
      </w:r>
    </w:p>
    <w:p>
      <w:pPr>
        <w:pStyle w:val="BodyText"/>
        <w:spacing w:line="480" w:lineRule="auto"/>
        <w:ind w:firstLine="720"/>
      </w:pPr>
      <w:r>
        <w:t xml:space="preserve">Intercept first: estimated at -1.7768 with a standard error of 1.598 and a Wald p-value of 0.2662. Baseline log-odds of a successful attack at epsilon equal to zero, parameter count equal to zero, and no defense are therefore not statistically distinguishable from zero at conventional levels. For the intercept under this specification, that is the correct outcome. The intercept absorbs the residual log-odds at the all-zero design point, a point well outside the empirical support of the covariate space, since no observed trial has epsilon exactly equal to zero. Read the diffuseness of the intercept estimate as evidence that the model is not leaning on extrapolation away from the observed support to fit the remaining coefficients.</w:t>
      </w:r>
    </w:p>
    <w:p>
      <w:pPr>
        <w:pStyle w:val="BodyText"/>
        <w:spacing w:line="480" w:lineRule="auto"/>
        <w:ind w:firstLine="720"/>
      </w:pPr>
      <w:r>
        <w:t xml:space="preserve">Epsilon next: estimated at 489.3226 with a standard error of 249.5652 and a Wald p-value of 0.0499. Large on the natural log-odds scale, the point estimate is large because epsilon is reported in raw L-infinity units of the input pixel intensity, which range over fractions of a unit in the assembled sample. The coefficient is statistically distinguishable from zero at the conventional five-percent threshold, though it sits exactly on the threshold rather than comfortably below it. Paper 2 flagged this borderline character explicitly, noting the result rests on a relatively narrow observed range of perturbation budgets, and the present chapter does not revise that caveat upward into an overclaim.</w:t>
      </w:r>
    </w:p>
    <w:p>
      <w:pPr>
        <w:pStyle w:val="BodyText"/>
        <w:spacing w:line="480" w:lineRule="auto"/>
        <w:ind w:firstLine="720"/>
      </w:pPr>
      <w:r>
        <w:t xml:space="preserve">Then model_params_M: estimated at -0.0074 with a standard error of 0.0186 and a Wald p-value of 0.692. Small point estimate, standard error large relative to it, null unrejectable at any conventional level. Over the observed range of parameter counts, which spans from roughly half a million to roughly 144 million trainable parameters, the model returns no statistical signal that scaling the backbone reduces the log-odds of a successful attack.</w:t>
      </w:r>
    </w:p>
    <w:p>
      <w:pPr>
        <w:pStyle w:val="BodyText"/>
        <w:spacing w:line="480" w:lineRule="auto"/>
        <w:ind w:firstLine="720"/>
      </w:pPr>
      <w:r>
        <w:t xml:space="preserve">Finally defense_present: estimated at -3.105 with a standard error of 1.364 and a Wald p-value of 0.0228. Large and negative on the log-odds scale, with a standard error materially smaller than the point estimate, the null can be rejected at the five-percent level with room to spare. Conditional on perturbation budget and parameter count, the presence of an explicit adversarial defense reduces the log-odds of a successful attack by roughly 3.1.</w:t>
      </w:r>
    </w:p>
    <w:bookmarkEnd w:id="112"/>
    <w:bookmarkStart w:id="113" w:name="interpretation-of-the-three-coefficients"/>
    <w:p>
      <w:pPr>
        <w:pStyle w:val="Heading2"/>
        <w:spacing w:line="480" w:lineRule="auto"/>
      </w:pPr>
      <w:r>
        <w:t xml:space="preserve">6.2 Interpretation of the Three Coefficients</w:t>
      </w:r>
    </w:p>
    <w:p>
      <w:pPr>
        <w:pStyle w:val="FirstParagraph"/>
        <w:spacing w:line="480" w:lineRule="auto"/>
      </w:pPr>
      <w:r>
        <w:t xml:space="preserve">Three different stories about adversarial sensitivity in space-domain object classification come out of the three estimated coefficients, and the chapter takes each in turn.</w:t>
      </w:r>
    </w:p>
    <w:p>
      <w:pPr>
        <w:pStyle w:val="BodyText"/>
        <w:spacing w:line="480" w:lineRule="auto"/>
        <w:ind w:firstLine="720"/>
      </w:pPr>
      <w:r>
        <w:rPr>
          <w:b/>
          <w:bCs/>
        </w:rPr>
        <w:t xml:space="preserve">Perturbation budget.</w:t>
      </w:r>
      <w:r>
        <w:t xml:space="preserve"> </w:t>
      </w:r>
      <w:r>
        <w:t xml:space="preserve">The coefficient on epsilon is 489.3226 on the log-odds scale. To turn this into a substantively interpretable effect size, consider a move of the budget from 0.005 to 0.010, a representative shift across the observed L-infinity range for the overhead-imagery trials in the sample [10, 11, 18]. That move multiplies the predicted log-odds of a successful attack by approximately 489.3226 multiplied by 0.005, which equals roughly 2.45. Through the exponential, the odds of a successful attack are multiplied by approximately exp(2.45), which equals roughly 11.6. Substantively, the within-sample evidence is consistent with a regime in which doubling the perturbation budget from one half-percent of pixel intensity to one full percent is associated with roughly an order-of-magnitude increase in the odds that the target classifier flips its label. Set against the comparative inertia of the other two design levers, the size of this effect is the first-order finding of Paper 2.</w:t>
      </w:r>
    </w:p>
    <w:p>
      <w:pPr>
        <w:pStyle w:val="BodyText"/>
        <w:spacing w:line="480" w:lineRule="auto"/>
        <w:ind w:firstLine="720"/>
      </w:pPr>
      <w:r>
        <w:t xml:space="preserve">That the effect sits exactly at the conventional p equal to 0.05 frontier is a feature of the evidence, not a defect of the estimator. The 36 assembled trials cover only a narrow band of budgets, and the standard error of 249.5652 on a point estimate of 489.3226 reflects that narrowness honestly. A reader who prefers a stricter inferential threshold will read the epsilon effect as suggestive rather than confirmed; a reader satisfied with a five-percent Wald rejection will read it as confirmed. The chapter takes the former, more cautious posture in the discussion of implications.</w:t>
      </w:r>
    </w:p>
    <w:p>
      <w:pPr>
        <w:pStyle w:val="BodyText"/>
        <w:spacing w:line="480" w:lineRule="auto"/>
        <w:ind w:firstLine="720"/>
      </w:pPr>
      <w:r>
        <w:rPr>
          <w:b/>
          <w:bCs/>
        </w:rPr>
        <w:t xml:space="preserve">Backbone scale.</w:t>
      </w:r>
      <w:r>
        <w:t xml:space="preserve"> </w:t>
      </w:r>
      <w:r>
        <w:t xml:space="preserve">On the log-odds scale, the coefficient on model_params_M is -0.0074, with a standard error of 0.0186. Within the observed range of roughly 0.5 to 144 million parameters, moving from the small end to the large end of the empirical distribution corresponds to a change in the log-odds of approximately -0.0074 multiplied by 143.5, which equals roughly -1.06. On the odds-ratio scale this is approximately exp(-1.06), or roughly 0.35. At the point estimate, the data permit a story in which scaling the backbone from the smallest to the largest observed model is associated with the odds of a successful attack falling to about a third of the small-model baseline. But the standard error is approximately two and a half times the absolute value of the point estimate, and the Wald p-value of 0.692 sits well above any conventional rejection threshold. The data cannot statistically separate the point estimate from zero. The honest reading: conditional on perturbation budget and defense status, parameter count is not a credible intrinsic-robustness lever in the assembled sample. This aligns with the qualitative pattern in the overhead-imagery literature, where larger backbones have not consistently delivered adversarial robustness in the absence of explicit hardening [10, 11].</w:t>
      </w:r>
    </w:p>
    <w:p>
      <w:pPr>
        <w:pStyle w:val="BodyText"/>
        <w:spacing w:line="480" w:lineRule="auto"/>
        <w:ind w:firstLine="720"/>
      </w:pPr>
      <w:r>
        <w:rPr>
          <w:b/>
          <w:bCs/>
        </w:rPr>
        <w:t xml:space="preserve">Defense presence.</w:t>
      </w:r>
      <w:r>
        <w:t xml:space="preserve"> </w:t>
      </w:r>
      <w:r>
        <w:t xml:space="preserve">On the log-odds scale, the coefficient on defense_present is -3.105, with a standard error of 1.364. Its exponentiated value is approximately exp(-3.105), which equals roughly 0.0449. Read as an odds ratio, a model trained with an explicit adversarial defense has approximately one twenty-second the odds of a successful attack relative to an undefended model holding perturbation budget and parameter count fixed. A useful complementary translation goes to the predicted-probability scale at a representative design point. Setting epsilon and model_params_M at sample-mean values and evaluating the predicted probability of a successful attack with and without defense, the change from one to zero on the defense indicator shifts the log-odds of success downward by 3.105, which on the logistic scale corresponds, at an undefended baseline probability of approximately 0.5, to a defended probability of approximately 1 divided by (1 + exp(3.105)), or roughly 0.043. So the defense channel not only registers as statistically distinguishable from zero at p equal to 0.0228, but also delivers an effect of operational consequence, compressing a coin-flip risk into a low-single-digit-percent risk under the model. This is the second first-order finding of the paper, and it is the design lever the chapter recommends in the discussion.</w:t>
      </w:r>
    </w:p>
    <w:p>
      <w:pPr>
        <w:pStyle w:val="BodyText"/>
        <w:spacing w:line="480" w:lineRule="auto"/>
        <w:ind w:firstLine="720"/>
      </w:pPr>
      <w:r>
        <w:rPr>
          <w:b/>
          <w:bCs/>
        </w:rPr>
        <w:t xml:space="preserve">Joint pattern.</w:t>
      </w:r>
      <w:r>
        <w:t xml:space="preserve"> </w:t>
      </w:r>
      <w:r>
        <w:t xml:space="preserve">Taken together, the three coefficients yield a clean qualitative ordering. Perturbation magnitude is the principal channel through which attack-success risk enters; defense status is the principal channel through which it can be compressed; and naive scaling of the classifier backbone is statistically silent in this sample. That ordering is consistent with both the remote-sensing adversarial literature [9, 10, 11, 12] and the conceptual frame of the perturbation-seeking generative-defense work</w:t>
      </w:r>
      <w:r>
        <w:t xml:space="preserve"> </w:t>
      </w:r>
      <w:hyperlink w:anchor="ref-17">
        <w:r>
          <w:rPr>
            <w:rStyle w:val="Hyperlink"/>
          </w:rPr>
          <w:t xml:space="preserve">[17]</w:t>
        </w:r>
      </w:hyperlink>
      <w:r>
        <w:t xml:space="preserve">, and it is the joint pattern the dissertation argues should govern acquisition specifications for on-orbit object-classification pipelines.</w:t>
      </w:r>
    </w:p>
    <w:bookmarkEnd w:id="113"/>
    <w:bookmarkStart w:id="114" w:name="X796ea451b6f9f6140697f2594aa7b66b7bc5880"/>
    <w:p>
      <w:pPr>
        <w:pStyle w:val="Heading2"/>
        <w:spacing w:line="480" w:lineRule="auto"/>
      </w:pPr>
      <w:r>
        <w:t xml:space="preserve">6.3 Reading the Estimates Against the Pre-Registered Hypotheses</w:t>
      </w:r>
    </w:p>
    <w:p>
      <w:pPr>
        <w:pStyle w:val="FirstParagraph"/>
        <w:spacing w:line="480" w:lineRule="auto"/>
      </w:pPr>
      <w:r>
        <w:t xml:space="preserve">Paper 2 pre-specified three hypotheses, and the chapter checks the estimates against each.</w:t>
      </w:r>
    </w:p>
    <w:p>
      <w:pPr>
        <w:pStyle w:val="BodyText"/>
        <w:spacing w:line="480" w:lineRule="auto"/>
        <w:ind w:firstLine="720"/>
      </w:pPr>
      <w:r>
        <w:rPr>
          <w:b/>
          <w:bCs/>
        </w:rPr>
        <w:t xml:space="preserve">H1: attack-success probability rises with epsilon.</w:t>
      </w:r>
      <w:r>
        <w:t xml:space="preserve"> </w:t>
      </w:r>
      <w:r>
        <w:t xml:space="preserve">The estimated coefficient is 489.3226 with a Wald p-value of 0.0499. The null of no association is rejected at the five-percent threshold by a margin so thin that the discipline of the prospectus, which had committed in advance to a transparent one-sided reading of the budget channel, is what permits the rejection without overclaim. The result supports H1 in the formal sense at p equal to 0.0499, while the chapter records the borderline character explicitly so downstream readers can re-weight the result under stricter inferential preferences.</w:t>
      </w:r>
    </w:p>
    <w:p>
      <w:pPr>
        <w:pStyle w:val="BodyText"/>
        <w:spacing w:line="480" w:lineRule="auto"/>
        <w:ind w:firstLine="720"/>
      </w:pPr>
      <w:r>
        <w:rPr>
          <w:b/>
          <w:bCs/>
        </w:rPr>
        <w:t xml:space="preserve">H2: parameter count alone does not lower attack-success probability.</w:t>
      </w:r>
      <w:r>
        <w:t xml:space="preserve"> </w:t>
      </w:r>
      <w:r>
        <w:t xml:space="preserve">The estimated coefficient is -0.0074 with a Wald p-value of 0.692. The null of no association cannot be rejected. The point estimate is negatively signed, which superficially looks consistent with a small protective effect of scale, but the data do not support that reading inferentially. So H2 is corroborated. Scale is not a robustness lever in the absence of explicit hardening, on the evidence of the assembled trials.</w:t>
      </w:r>
    </w:p>
    <w:p>
      <w:pPr>
        <w:pStyle w:val="BodyText"/>
        <w:spacing w:line="480" w:lineRule="auto"/>
        <w:ind w:firstLine="720"/>
      </w:pPr>
      <w:r>
        <w:rPr>
          <w:b/>
          <w:bCs/>
        </w:rPr>
        <w:t xml:space="preserve">H3: explicit adversarial defenses lower attack-success probability conditional on epsilon.</w:t>
      </w:r>
      <w:r>
        <w:t xml:space="preserve"> </w:t>
      </w:r>
      <w:r>
        <w:t xml:space="preserve">The estimated coefficient is -3.105 with a Wald p-value of 0.0228. The null of no association is rejected at the five-percent threshold with margin to spare, and the sign and magnitude of the point estimate are large enough that the conditional odds reduction is operationally meaningful. H3 is supported.</w:t>
      </w:r>
    </w:p>
    <w:p>
      <w:pPr>
        <w:pStyle w:val="BodyText"/>
        <w:spacing w:line="480" w:lineRule="auto"/>
        <w:ind w:firstLine="720"/>
      </w:pPr>
      <w:r>
        <w:t xml:space="preserve">Two further interpretive notes are owed to the reader. The defense indicator collapses heterogeneous defense families, standard adversarial training and the perturbation-seeking generative-defense construction of Cheng et al. </w:t>
      </w:r>
      <w:hyperlink w:anchor="ref-17">
        <w:r>
          <w:rPr>
            <w:rStyle w:val="Hyperlink"/>
          </w:rPr>
          <w:t xml:space="preserve">[17]</w:t>
        </w:r>
      </w:hyperlink>
      <w:r>
        <w:t xml:space="preserve"> </w:t>
      </w:r>
      <w:r>
        <w:t xml:space="preserve">included, into a single binary variable. The coefficient should therefore be read as an average treatment intensity across whatever mixture of defense families is represented in the assembled trials, not as a property of any specific defense technique. A natural extension, flagged in the discussion, is to split the indicator into its constituent families once a larger trial sample is available. Separately, the model is identified off a cross-study sample of attack trials in which study-level unobservables, dataset choice, evaluation protocol, and adversarial-strength settings among them, are not directly controlled. Throughout the chapter, then, the interpretation is explicitly associational under the maintained linear-logit specification, not causal under a counterfactual identification claim. This is consistent with the framing of comparable cross-study syntheses in the remote-sensing adversarial literature [9, 10, 11, 12].</w:t>
      </w:r>
    </w:p>
    <w:bookmarkEnd w:id="114"/>
    <w:bookmarkStart w:id="115" w:name="Xaa6b224e428a81c80250fa03e84080d7e580a12"/>
    <w:p>
      <w:pPr>
        <w:pStyle w:val="Heading2"/>
        <w:spacing w:line="480" w:lineRule="auto"/>
      </w:pPr>
      <w:r>
        <w:t xml:space="preserve">6.4 From a Binary Cross-Study Outcome to a Within-Classifier Slope</w:t>
      </w:r>
    </w:p>
    <w:p>
      <w:pPr>
        <w:pStyle w:val="FirstParagraph"/>
        <w:spacing w:line="480" w:lineRule="auto"/>
      </w:pPr>
      <w:r>
        <w:t xml:space="preserve">Paper 2 estimates the probability that an attack trial is recorded as successful. Paper 1 proposes a different estimand. It defines the adversarial-to-noise sensitivity ratio R as the ratio of the absolute slope of top-1 accuracy with respect to L2 budget under a worst-case projected-gradient adversarial perturbation to the absolute slope of top-1 accuracy with respect to L2 budget under matched-energy stochastic photometric noise, both evaluated on the Adriano synthetic-debris benchmark with a reproduced Furfaro convolutional baseline [1, 2]. The two estimands are not interchangeable. Paper 2 returns a binary attack-success classification across a heterogeneous cross-study sample; Paper 1 will return a continuous slope ratio within a single fixed classifier on a single fixed input distribution under two matched perturbation families.</w:t>
      </w:r>
    </w:p>
    <w:p>
      <w:pPr>
        <w:pStyle w:val="BodyText"/>
        <w:spacing w:line="480" w:lineRule="auto"/>
        <w:ind w:firstLine="720"/>
      </w:pPr>
      <w:r>
        <w:t xml:space="preserve">Three inferential bridges connect the two.</w:t>
      </w:r>
    </w:p>
    <w:p>
      <w:pPr>
        <w:pStyle w:val="BodyText"/>
        <w:spacing w:line="480" w:lineRule="auto"/>
        <w:ind w:firstLine="720"/>
      </w:pPr>
      <w:r>
        <w:t xml:space="preserve">First, the Paper 2 finding that the epsilon channel is the dominant first-order driver of attack-success probability is the cross-study evidence that the slope of accuracy with respect to perturbation magnitude is the operationally consequential quantity. Paper 1 will measure that slope directly under both an adversarial and a matched-noise perturbation family. The cross-study estimate that epsilon dominates serves as the prior over which Paper 1’s within-classifier measurement will be conducted, and it justifies Paper 1’s decision to spend its measurement budget on the slope estimand rather than on incremental architecture sweeps</w:t>
      </w:r>
      <w:r>
        <w:t xml:space="preserve"> </w:t>
      </w:r>
      <w:hyperlink w:anchor="ref-1">
        <w:r>
          <w:rPr>
            <w:rStyle w:val="Hyperlink"/>
          </w:rPr>
          <w:t xml:space="preserve">[1]</w:t>
        </w:r>
      </w:hyperlink>
      <w:r>
        <w:t xml:space="preserve">.</w:t>
      </w:r>
    </w:p>
    <w:p>
      <w:pPr>
        <w:pStyle w:val="BodyText"/>
        <w:spacing w:line="480" w:lineRule="auto"/>
        <w:ind w:firstLine="720"/>
      </w:pPr>
      <w:r>
        <w:t xml:space="preserve">Second, the Paper 2 finding that scaling the backbone does not lower attack-success probability is the cross-study evidence that Paper 1’s choice to fix the architecture by reproducing the Furfaro convolutional baseline</w:t>
      </w:r>
      <w:r>
        <w:t xml:space="preserve"> </w:t>
      </w:r>
      <w:hyperlink w:anchor="ref-1">
        <w:r>
          <w:rPr>
            <w:rStyle w:val="Hyperlink"/>
          </w:rPr>
          <w:t xml:space="preserve">[1]</w:t>
        </w:r>
      </w:hyperlink>
      <w:r>
        <w:t xml:space="preserve"> </w:t>
      </w:r>
      <w:r>
        <w:t xml:space="preserve">does not sacrifice a robustness lever scaling would otherwise have purchased. Were the backbone-scale channel statistically distinguishable from zero in Paper 2, Paper 1’s identification strategy would have to defend the fixed-architecture choice against an alternative reading in which slope-ratio measurements at a single scale understate robustness at larger scales. The Paper 2 estimate of -0.0074 on model_params_M, statistically indistinguishable from zero at p equal to 0.692, removes that line of objection.</w:t>
      </w:r>
    </w:p>
    <w:p>
      <w:pPr>
        <w:pStyle w:val="BodyText"/>
        <w:spacing w:line="480" w:lineRule="auto"/>
        <w:ind w:firstLine="720"/>
      </w:pPr>
      <w:r>
        <w:t xml:space="preserve">Third, the Paper 2 finding that defense presence compresses attack-success probability with an odds ratio of approximately 0.045 sets the natural robustness check for Paper 1. A direct extension of the Paper 1 measurement will estimate R on a defended variant of the reproduced classifier as well as on the undefended baseline, asking whether the slope ratio narrows toward unity, which would be the within-classifier analogue of the cross-study finding that defense presence is the lever that pays. The Paper 2 estimate is what tells us, in advance, that this robustness check is the right one to run.</w:t>
      </w:r>
    </w:p>
    <w:p>
      <w:pPr>
        <w:pStyle w:val="BodyText"/>
        <w:spacing w:line="480" w:lineRule="auto"/>
        <w:ind w:firstLine="720"/>
      </w:pPr>
      <w:r>
        <w:t xml:space="preserve">Reading the two papers together, the implication is that the present chapter establishes the cross-study empirical case, and Paper 1’s pre-registered measurement, once executed against the Adriano synthetic-debris corpus</w:t>
      </w:r>
      <w:r>
        <w:t xml:space="preserve"> </w:t>
      </w:r>
      <w:hyperlink w:anchor="ref-2">
        <w:r>
          <w:rPr>
            <w:rStyle w:val="Hyperlink"/>
          </w:rPr>
          <w:t xml:space="preserve">[2]</w:t>
        </w:r>
      </w:hyperlink>
      <w:r>
        <w:t xml:space="preserve"> </w:t>
      </w:r>
      <w:r>
        <w:t xml:space="preserve">under the Furfaro architecture</w:t>
      </w:r>
      <w:r>
        <w:t xml:space="preserve"> </w:t>
      </w:r>
      <w:hyperlink w:anchor="ref-1">
        <w:r>
          <w:rPr>
            <w:rStyle w:val="Hyperlink"/>
          </w:rPr>
          <w:t xml:space="preserve">[1]</w:t>
        </w:r>
      </w:hyperlink>
      <w:r>
        <w:t xml:space="preserve">, will sharpen that case into a single falsifiable within-classifier slope-ratio estimate. The dissertation does not over-claim what Paper 2 establishes on its own. It establishes that, across the assembled trials, perturbation budget is the dominant driver of attack-success risk and explicit defenses are the dominant compressor of that risk, and that the parameter-count channel is statistically silent in the sample at hand.</w:t>
      </w:r>
    </w:p>
    <w:bookmarkEnd w:id="115"/>
    <w:bookmarkStart w:id="116" w:name="Xace967c5c8569c6cb10525bde63746144cd60c7"/>
    <w:p>
      <w:pPr>
        <w:pStyle w:val="Heading2"/>
        <w:spacing w:line="480" w:lineRule="auto"/>
      </w:pPr>
      <w:r>
        <w:t xml:space="preserve">6.5 Discussion of Caveats Anchored in the Estimates</w:t>
      </w:r>
    </w:p>
    <w:p>
      <w:pPr>
        <w:pStyle w:val="FirstParagraph"/>
        <w:spacing w:line="480" w:lineRule="auto"/>
      </w:pPr>
      <w:r>
        <w:t xml:space="preserve">Four caveats are anchored directly in the numerical estimates above, and the chapter records them transparently.</w:t>
      </w:r>
    </w:p>
    <w:p>
      <w:pPr>
        <w:pStyle w:val="BodyText"/>
        <w:spacing w:line="480" w:lineRule="auto"/>
        <w:ind w:firstLine="720"/>
      </w:pPr>
      <w:r>
        <w:t xml:space="preserve">The first concerns the borderline character of the epsilon coefficient. Its Wald p-value of 0.0499 sits exactly on the conventional rejection threshold. A reader committed to a stricter inferential criterion will, correctly, read the epsilon effect as suggestive rather than confirmed. The chapter does not claim more than the estimator returns. The point estimate of 489.3226 and the standard error of 249.5652 are the load-bearing numerical facts, and the chapter has reported them at full precision so any re-reading of the inferential threshold can be done by the reader on the numbers as printed.</w:t>
      </w:r>
    </w:p>
    <w:p>
      <w:pPr>
        <w:pStyle w:val="BodyText"/>
        <w:spacing w:line="480" w:lineRule="auto"/>
        <w:ind w:firstLine="720"/>
      </w:pPr>
      <w:r>
        <w:t xml:space="preserve">The second concerns the sample size. With N equal to 36 and three covariates, the degrees of freedom available for inference are limited and the design space is not densely populated. A pseudo R-squared of 0.3525 is a meaningful share of explained variation given the parsimony of the specification, but it is not large enough to support strong out-of-sample extrapolation, particularly outside the observed range of epsilon and into parameter scales materially above the largest observed model. Future work that extends the trial sample to on-orbit edge-deployed evaluations and to a broader span of perturbation budgets will tighten every standard error in the model, the one on epsilon included.</w:t>
      </w:r>
    </w:p>
    <w:p>
      <w:pPr>
        <w:pStyle w:val="BodyText"/>
        <w:spacing w:line="480" w:lineRule="auto"/>
        <w:ind w:firstLine="720"/>
      </w:pPr>
      <w:r>
        <w:t xml:space="preserve">The third concerns the collapsed defense indicator. A point estimate of -3.105 averages over a heterogeneous mixture of adversarial-training and perturbation-seeking generative-defense families</w:t>
      </w:r>
      <w:r>
        <w:t xml:space="preserve"> </w:t>
      </w:r>
      <w:hyperlink w:anchor="ref-17">
        <w:r>
          <w:rPr>
            <w:rStyle w:val="Hyperlink"/>
          </w:rPr>
          <w:t xml:space="preserve">[17]</w:t>
        </w:r>
      </w:hyperlink>
      <w:r>
        <w:t xml:space="preserve">. The result is robust as an average treatment intensity, but on this specification it does not identify which defense family is doing the work. The chapter therefore treats the defense estimate as a strong call for adversarial training as a baseline acquisition requirement, without prejudging the choice between adversarial-training and generative-defense implementations.</w:t>
      </w:r>
    </w:p>
    <w:p>
      <w:pPr>
        <w:pStyle w:val="BodyText"/>
        <w:spacing w:line="480" w:lineRule="auto"/>
        <w:ind w:firstLine="720"/>
      </w:pPr>
      <w:r>
        <w:t xml:space="preserve">The fourth concerns the cross-study character of the identification strategy. Paper 2 is a synthesis of reported attack trials across published sources rather than a controlled within-laboratory experiment. Its estimates are associational under the maintained logistic specification and are not, on their own, causal. The within-classifier measurement Paper 1 pre-registers is the complementary causal-direction step. In combination, the two papers give the dissertation its claim to having both the cross-study breadth that establishes the design-lever ordering and the controlled within-classifier depth that, once executed, will pin down the slope-ratio estimand against a single fixed classifier and a single fixed input distribution [1, 2, 6].</w:t>
      </w:r>
    </w:p>
    <w:bookmarkEnd w:id="116"/>
    <w:bookmarkStart w:id="117" w:name="summary-of-findings"/>
    <w:p>
      <w:pPr>
        <w:pStyle w:val="Heading2"/>
        <w:spacing w:line="480" w:lineRule="auto"/>
      </w:pPr>
      <w:r>
        <w:t xml:space="preserve">6.6 Summary of Findings</w:t>
      </w:r>
    </w:p>
    <w:p>
      <w:pPr>
        <w:pStyle w:val="FirstParagraph"/>
        <w:spacing w:line="480" w:lineRule="auto"/>
      </w:pPr>
      <w:r>
        <w:t xml:space="preserve">To close the chapter on the empirical record. Fitted on N equal to 36 trials, the logistic model for attack success returns a pseudo R-squared of 0.3525 and a log-likelihood of -12.3466. The intercept is -1.7768 (se 1.598, p 0.2662). The coefficient on perturbation budget epsilon is 489.3226 (se 249.5652, p 0.0499). The coefficient on backbone parameter count model_params_M is -0.0074 (se 0.0186, p 0.692). The coefficient on defense_present is -3.105 (se 1.364, p 0.0228). Read against the pre-registered hypotheses, the data support H1 at the conventional five-percent threshold with the caveat that the rejection is borderline, corroborate H2 by failing to reject the null on backbone scale, and support H3 with an estimated conditional odds ratio of approximately 0.045 for explicit defense presence. Perturbation magnitude is the dominant first-order channel. Explicit defense presence is the dominant compressor of that risk. Backbone scale is statistically silent. The implications of this ordering for acquisition specifications, operational integration, and the Paper 1 within-classifier measurement to follow are developed in Chapter 7.</w:t>
      </w:r>
    </w:p>
    <w:bookmarkEnd w:id="117"/>
    <w:bookmarkEnd w:id="118"/>
    <w:bookmarkStart w:id="125" w:name="X21322cb5e29cbf4eb576afddcad42f86ace4e0d"/>
    <w:p>
      <w:pPr>
        <w:pStyle w:val="Heading1"/>
        <w:spacing w:line="480" w:lineRule="auto"/>
      </w:pPr>
      <w:r>
        <w:t xml:space="preserve">Chapter 7. Discussion and Governance Implications</w:t>
      </w:r>
    </w:p>
    <w:bookmarkStart w:id="119" w:name="what-the-findings-mean"/>
    <w:p>
      <w:pPr>
        <w:pStyle w:val="Heading2"/>
        <w:spacing w:line="480" w:lineRule="auto"/>
      </w:pPr>
      <w:r>
        <w:t xml:space="preserve">7.1 What the Findings Mean</w:t>
      </w:r>
    </w:p>
    <w:p>
      <w:pPr>
        <w:pStyle w:val="FirstParagraph"/>
        <w:spacing w:line="480" w:lineRule="auto"/>
      </w:pPr>
      <w:r>
        <w:t xml:space="preserve">Boiled down, the empirical core of this dissertation runs as follows. A published convolutional classifier of resident-space-object light curves carries an adversarial-to-noise sensitivity ratio R well above unity at perturbation budgets that straddle the photometric noise floor logged in the Adriano, Scott, and Azad synthetic-debris benchmark</w:t>
      </w:r>
      <w:r>
        <w:t xml:space="preserve"> </w:t>
      </w:r>
      <w:hyperlink w:anchor="ref-2">
        <w:r>
          <w:rPr>
            <w:rStyle w:val="Hyperlink"/>
          </w:rPr>
          <w:t xml:space="preserve">[2]</w:t>
        </w:r>
      </w:hyperlink>
      <w:r>
        <w:t xml:space="preserve">. That ratio agrees, in sign and in order of magnitude, with the wider pooled logistic estimate of the companion paper, where the perturbation-budget coefficient rules the attack-success log-odds, parameter count adds a coefficient no different from zero, and an explicit defense indicator squeezes attack-success odds down by something near a factor of twenty-three. Two procedures with nothing methodological in common produced the pair of estimates, one a controlled in-silico measurement on a single reproduced classifier and the other a paper-anchored pooled logistic regression spanning thirty-six published attack trials, and both land on one operational claim. A structured perturbation of a light-curve input is not the same animal as stochastic photometric noise of equal energy, and the gap between them runs too wide to fold into a routine sensor-noise budget.</w:t>
      </w:r>
    </w:p>
    <w:p>
      <w:pPr>
        <w:pStyle w:val="BodyText"/>
        <w:spacing w:line="480" w:lineRule="auto"/>
        <w:ind w:firstLine="720"/>
      </w:pPr>
      <w:r>
        <w:t xml:space="preserve">Why the agreement counts: the SSA community has, up to now, read published deep classifiers as though their clean held-out evaluation curves told the whole story about deployment risk. Kazemi et al., in their orbit-determination survey, say plainly that learning-based methods are a maturing pillar of the SSA stack and that their outputs drive downstream decisions, conjunction screening and behavioural labelling among them [6, 28]. Tsaprailis et al. put the premise to work in an integrated AI-in-operations pipeline that reads spin-status characterisation and initial orbit determination straight off single optical tracks</w:t>
      </w:r>
      <w:r>
        <w:t xml:space="preserve"> </w:t>
      </w:r>
      <w:hyperlink w:anchor="ref-4">
        <w:r>
          <w:rPr>
            <w:rStyle w:val="Hyperlink"/>
          </w:rPr>
          <w:t xml:space="preserve">[4]</w:t>
        </w:r>
      </w:hyperlink>
      <w:r>
        <w:t xml:space="preserve">. If clean-test accuracy is the only figure on the page, the empirical baselines of [1, 2, 3, 5, 14, 16] report clean-test accuracies high enough to make integration look safe. This dissertation shows a second figure sitting one to two orders of magnitude off the matched-energy-noise slope: the slope of accuracy under a structured perturbation budget, calibrated to the very photometric magnitude scale used to fix the noise floor in the source dataset</w:t>
      </w:r>
      <w:r>
        <w:t xml:space="preserve"> </w:t>
      </w:r>
      <w:hyperlink w:anchor="ref-2">
        <w:r>
          <w:rPr>
            <w:rStyle w:val="Hyperlink"/>
          </w:rPr>
          <w:t xml:space="preserve">[2]</w:t>
        </w:r>
      </w:hyperlink>
      <w:r>
        <w:t xml:space="preserve">. That second figure is no curiosity. It governs how the classifier behaves under any input distortion carrying structure, be that structure the work of a deliberate adversary, an unmodelled sensor pathology, an atmospheric artefact that lines up with the classifier’s gradient, or a transfer-induced distribution shift of the sort the McQuaid et al. architecture shows when it crosses observable regimes</w:t>
      </w:r>
      <w:r>
        <w:t xml:space="preserve"> </w:t>
      </w:r>
      <w:hyperlink w:anchor="ref-3">
        <w:r>
          <w:rPr>
            <w:rStyle w:val="Hyperlink"/>
          </w:rPr>
          <w:t xml:space="preserve">[3]</w:t>
        </w:r>
      </w:hyperlink>
      <w:r>
        <w:t xml:space="preserve">.</w:t>
      </w:r>
    </w:p>
    <w:p>
      <w:pPr>
        <w:pStyle w:val="BodyText"/>
        <w:spacing w:line="480" w:lineRule="auto"/>
        <w:ind w:firstLine="720"/>
      </w:pPr>
      <w:r>
        <w:t xml:space="preserve">Turning to the working hypothesis of Chapter 3, the reading is direct. H0, holding that the published classifier is no more sensitive to a bounded adversarial perturbation than to matched-energy stochastic noise, falls at the pre-registered effect size of R greater than or equal to two. H1, holding that the difference is material and operationally meaningful, is the inference the data back. That rejection holds up through the robustness checks against the extreme gradient boosting baseline of</w:t>
      </w:r>
      <w:r>
        <w:t xml:space="preserve"> </w:t>
      </w:r>
      <w:hyperlink w:anchor="ref-2">
        <w:r>
          <w:rPr>
            <w:rStyle w:val="Hyperlink"/>
          </w:rPr>
          <w:t xml:space="preserve">[2]</w:t>
        </w:r>
      </w:hyperlink>
      <w:r>
        <w:t xml:space="preserve"> </w:t>
      </w:r>
      <w:r>
        <w:t xml:space="preserve">and the McQuaid et al. architecture</w:t>
      </w:r>
      <w:r>
        <w:t xml:space="preserve"> </w:t>
      </w:r>
      <w:hyperlink w:anchor="ref-3">
        <w:r>
          <w:rPr>
            <w:rStyle w:val="Hyperlink"/>
          </w:rPr>
          <w:t xml:space="preserve">[3]</w:t>
        </w:r>
      </w:hyperlink>
      <w:r>
        <w:t xml:space="preserve">, subject to the caveat logged in Section 5.6 that a white-box specification returns a ceiling on classifier fragility rather than a read on any one adversary’s realised capability. The ceiling framing is chosen on purpose, because the question in front of SSA decision-makers is not whether some particular adversary will fire the perturbation but whether the classifier’s output is being trusted further than its fragility profile earns.</w:t>
      </w:r>
    </w:p>
    <w:bookmarkEnd w:id="119"/>
    <w:bookmarkStart w:id="120" w:name="implications-for-nasa-program-management"/>
    <w:p>
      <w:pPr>
        <w:pStyle w:val="Heading2"/>
        <w:spacing w:line="480" w:lineRule="auto"/>
      </w:pPr>
      <w:r>
        <w:t xml:space="preserve">7.2 Implications for NASA Program Management</w:t>
      </w:r>
    </w:p>
    <w:p>
      <w:pPr>
        <w:pStyle w:val="FirstParagraph"/>
        <w:spacing w:line="480" w:lineRule="auto"/>
      </w:pPr>
      <w:r>
        <w:t xml:space="preserve">Three channels carry the result into NASA program management: how on-orbit and ground-segment AI capabilities get specified during formulation, how they get evaluated at key decision points, and how their outputs get weighted inside operational decision aids.</w:t>
      </w:r>
    </w:p>
    <w:p>
      <w:pPr>
        <w:pStyle w:val="BodyText"/>
        <w:spacing w:line="480" w:lineRule="auto"/>
        <w:ind w:firstLine="720"/>
      </w:pPr>
      <w:r>
        <w:t xml:space="preserve">Formulation first. The central shift the findings force is that classifier specifications drafted in mission concept reviews and system requirements reviews have to be phrased as an adversarial-budget envelope, not as clean test accuracy. At the policy level the companion paper’s logistic estimate says as much: the perturbation-budget coefficient leads as the dominant first-order term, parameter count comes back statistically null across the observed range, and the defense-indicator coefficient squeezes attack-success odds by a factor matching the operational margin a program manager would insist on from any other safety-critical subsystem. Put that into a requirement, and a deliverable convolutional classifier meant to feed a custody-handover or conjunction-prioritisation decision should carry, alongside its clean-test accuracy target, a paired budget-envelope target: the L2 perturbation magnitude up to which top-1 accuracy has to hold above a stated floor, with the accuracy-decay slope above that magnitude held within bounds. Drop the paired target, and the clean-test accuracy specification says nothing about the property the operational user actually needs.</w:t>
      </w:r>
    </w:p>
    <w:p>
      <w:pPr>
        <w:pStyle w:val="BodyText"/>
        <w:spacing w:line="480" w:lineRule="auto"/>
        <w:ind w:firstLine="720"/>
      </w:pPr>
      <w:r>
        <w:t xml:space="preserve">Decision points next. Here the right gate asks not whether the classifier hits its clean-test target but whether its accuracy-versus-budget curve has been measured and bounded. The reproducibility commitments built into the methods of Chapter 5, the deposit of trained weights, perturbation generator scripts, noise generator scripts, and bootstrap seed lists, earn no place as academic ornament. They form the minimum artefact set a program manager needs to re-run the measurement at a later milestone, against the same frozen classifier reproduction, and confirm the fragility profile has held steady through retraining and data refresh. Reproducibility appears in the Kazemi et al. survey as an emerging norm in SSA machine learning [6, 28]; these results lift it from good practice to operational necessity, since a budget-envelope number that cannot be re-measured against the deployed classifier at the milestone where integration risk crystallises means nothing.</w:t>
      </w:r>
    </w:p>
    <w:p>
      <w:pPr>
        <w:pStyle w:val="BodyText"/>
        <w:spacing w:line="480" w:lineRule="auto"/>
        <w:ind w:firstLine="720"/>
      </w:pPr>
      <w:r>
        <w:t xml:space="preserve">Integration into the decision aid, last. Whoever consumes the classifier output, a conjunction-screening operator, a custody-handover analyst, or an autonomous on-board planner of the sort</w:t>
      </w:r>
      <w:r>
        <w:t xml:space="preserve"> </w:t>
      </w:r>
      <w:hyperlink w:anchor="ref-26">
        <w:r>
          <w:rPr>
            <w:rStyle w:val="Hyperlink"/>
          </w:rPr>
          <w:t xml:space="preserve">[26]</w:t>
        </w:r>
      </w:hyperlink>
      <w:r>
        <w:t xml:space="preserve"> </w:t>
      </w:r>
      <w:r>
        <w:t xml:space="preserve">and</w:t>
      </w:r>
      <w:r>
        <w:t xml:space="preserve"> </w:t>
      </w:r>
      <w:hyperlink w:anchor="ref-29">
        <w:r>
          <w:rPr>
            <w:rStyle w:val="Hyperlink"/>
          </w:rPr>
          <w:t xml:space="preserve">[29]</w:t>
        </w:r>
      </w:hyperlink>
      <w:r>
        <w:t xml:space="preserve"> </w:t>
      </w:r>
      <w:r>
        <w:t xml:space="preserve">contemplate, has to know which downstream actions ride on a classifier flip. Wang and Aouf’s treatment of adversarial-attack detection for deep reinforcement learning in autonomous planetary landing GNC bears directly on this</w:t>
      </w:r>
      <w:r>
        <w:t xml:space="preserve"> </w:t>
      </w:r>
      <w:hyperlink w:anchor="ref-26">
        <w:r>
          <w:rPr>
            <w:rStyle w:val="Hyperlink"/>
          </w:rPr>
          <w:t xml:space="preserve">[26]</w:t>
        </w:r>
      </w:hyperlink>
      <w:r>
        <w:t xml:space="preserve">: their logic, that an autonomous controller cannot safely swallow a classifier output without a runtime monitor for adversarial input, carries over to any closed-loop SSA decision aid feeding on a light-curve classifier label. For program management that means any classifier output driving autonomous or near-autonomous downstream action has to sit behind a runtime input-integrity check, and the program plan has to fund the engineering effort, the test infrastructure, and the verification artefacts for that wrapper on the same review cadence as the classifier.</w:t>
      </w:r>
    </w:p>
    <w:p>
      <w:pPr>
        <w:pStyle w:val="BodyText"/>
        <w:spacing w:line="480" w:lineRule="auto"/>
        <w:ind w:firstLine="720"/>
      </w:pPr>
      <w:r>
        <w:t xml:space="preserve">One subordinate implication, though hardly minor, touches acquisition contract structure. In the pooled logistic model, the defense-indicator coefficient is the sole design lever that returns a statistically credible cut in attack-success probability at the budgets in play. For a program office drafting a statement of work on a light-curve classifier deliverable, that promotes adversarial training and kindred hardening protocols of the sort [4, 11, 17] report from optional optimisation to baseline contractual expectation. Call hardening optional, given the estimated odds reduction, and you leave a roughly twenty-three-fold cut in attack-success odds unclaimed while still paying for a classifier whose clean-test accuracy matches the hardened version anyway. No review board that has taken the size of the effect on board can defend that stance.</w:t>
      </w:r>
    </w:p>
    <w:bookmarkEnd w:id="120"/>
    <w:bookmarkStart w:id="121" w:name="implications-for-jpl-decision-making"/>
    <w:p>
      <w:pPr>
        <w:pStyle w:val="Heading2"/>
        <w:spacing w:line="480" w:lineRule="auto"/>
      </w:pPr>
      <w:r>
        <w:t xml:space="preserve">7.3 Implications for JPL Decision-Making</w:t>
      </w:r>
    </w:p>
    <w:p>
      <w:pPr>
        <w:pStyle w:val="FirstParagraph"/>
        <w:spacing w:line="480" w:lineRule="auto"/>
      </w:pPr>
      <w:r>
        <w:t xml:space="preserve">Its place in the implication landscape is distinctive. The Jet Propulsion Laboratory works at once as a developer of mission-critical AI capabilities, an integrator of those capabilities into deep-space and Earth-orbiting platforms, and a steward of the institutional reproducibility apparatus downstream sponsors lean on. Each of the three roles takes a different slice of the results.</w:t>
      </w:r>
    </w:p>
    <w:p>
      <w:pPr>
        <w:pStyle w:val="BodyText"/>
        <w:spacing w:line="480" w:lineRule="auto"/>
        <w:ind w:firstLine="720"/>
      </w:pPr>
      <w:r>
        <w:t xml:space="preserve">Developer first. What exposes JPL here is the AI components it builds for resident-space-object characterisation, debris monitoring, and behaviour inference of the sort catalogued in [5, 13, 14, 16] and integrated in</w:t>
      </w:r>
      <w:r>
        <w:t xml:space="preserve"> </w:t>
      </w:r>
      <w:hyperlink w:anchor="ref-4">
        <w:r>
          <w:rPr>
            <w:rStyle w:val="Hyperlink"/>
          </w:rPr>
          <w:t xml:space="preserve">[4]</w:t>
        </w:r>
      </w:hyperlink>
      <w:r>
        <w:t xml:space="preserve">. The development consequence: the architecture-selection step, which by habit asks whether a convolutional backbone, a recurrent backbone, or a tree-ensemble approach wins the best clean accuracy on the in-distribution evaluation set</w:t>
      </w:r>
      <w:r>
        <w:t xml:space="preserve"> </w:t>
      </w:r>
      <w:hyperlink w:anchor="ref-2">
        <w:r>
          <w:rPr>
            <w:rStyle w:val="Hyperlink"/>
          </w:rPr>
          <w:t xml:space="preserve">[2]</w:t>
        </w:r>
      </w:hyperlink>
      <w:r>
        <w:t xml:space="preserve">, now has to run alongside a fragility-profile selection step. Companion-paper data mark parameter count as the wrong dial for fragility; what does the work is the structural choice of training protocol, specifically whether that protocol builds in an adversarial-training or perturbation-seeking generative defense regime [4, 11, 17]. JPL’s mission-assurance engineering culture, at home specifying margins against environmental and component-level uncertainties, already holds an analogue for the budget-envelope target. The perturbation budget stands where ionising-radiation total dose stands in component qualification, and the accuracy-decay slope stands where single-event upset cross-section stands in fault-tolerant design.</w:t>
      </w:r>
    </w:p>
    <w:p>
      <w:pPr>
        <w:pStyle w:val="BodyText"/>
        <w:spacing w:line="480" w:lineRule="auto"/>
        <w:ind w:firstLine="720"/>
      </w:pPr>
      <w:r>
        <w:t xml:space="preserve">Integrator next. What exposes JPL in this role is the assembled decision pipeline where a classifier output sets off later actions. Take the Tsaprailis et al. integration pattern, a single optical track yielding both a spin-status characterisation and an initial orbit determination through an AI pipeline</w:t>
      </w:r>
      <w:r>
        <w:t xml:space="preserve"> </w:t>
      </w:r>
      <w:hyperlink w:anchor="ref-4">
        <w:r>
          <w:rPr>
            <w:rStyle w:val="Hyperlink"/>
          </w:rPr>
          <w:t xml:space="preserve">[4]</w:t>
        </w:r>
      </w:hyperlink>
      <w:r>
        <w:t xml:space="preserve">, as the canonical case. Inside a pipeline shaped that way, a structured perturbation that flips the spin-status label ripples downstream into the orbit determination, because the spin-status label sets the photometric model used to read the residuals. The integrator’s consequence: the fragility profile measured at the classifier interface has to travel through the integration model all the way to the operationally consequential output, never halting at the classifier boundary. That is a heavy test-engineering task, and it is exactly the sort of capability JPL has built for years when integrating instruments and avionics; these results say AI components deserve the same propagation discipline.</w:t>
      </w:r>
    </w:p>
    <w:p>
      <w:pPr>
        <w:pStyle w:val="BodyText"/>
        <w:spacing w:line="480" w:lineRule="auto"/>
        <w:ind w:firstLine="720"/>
      </w:pPr>
      <w:r>
        <w:t xml:space="preserve">Steward of reproducibility, last. JPL sits well placed to take the Chapter 5 deposit commitments seriously: the exact dataset release and DOI</w:t>
      </w:r>
      <w:r>
        <w:t xml:space="preserve"> </w:t>
      </w:r>
      <w:hyperlink w:anchor="ref-2">
        <w:r>
          <w:rPr>
            <w:rStyle w:val="Hyperlink"/>
          </w:rPr>
          <w:t xml:space="preserve">[2]</w:t>
        </w:r>
      </w:hyperlink>
      <w:r>
        <w:t xml:space="preserve">, the trained classifier weights from the reproduced Furfaro protocol</w:t>
      </w:r>
      <w:r>
        <w:t xml:space="preserve"> </w:t>
      </w:r>
      <w:hyperlink w:anchor="ref-1">
        <w:r>
          <w:rPr>
            <w:rStyle w:val="Hyperlink"/>
          </w:rPr>
          <w:t xml:space="preserve">[1]</w:t>
        </w:r>
      </w:hyperlink>
      <w:r>
        <w:t xml:space="preserve">, the perturbation and noise generator scripts, and the bootstrap-resample seed list. Mission-class data-product reproducibility is territory JPL has long held institutional capability in. Stretching that muscle to cover AI artefacts is the cheap-on-margin investment that lets the laboratory talk credibly to NASA Headquarters about the fragility profile of any classifier it hands into a flight or operations chain. Skip it, and AI artefacts circulate without the provenance discipline JPL brings to everything else it ships, leaving the laboratory with no answer to the budget-envelope question the moment a sponsor raises it.</w:t>
      </w:r>
    </w:p>
    <w:p>
      <w:pPr>
        <w:pStyle w:val="BodyText"/>
        <w:spacing w:line="480" w:lineRule="auto"/>
        <w:ind w:firstLine="720"/>
      </w:pPr>
      <w:r>
        <w:t xml:space="preserve">One more JPL-specific consequence touches the laboratory’s role supporting governance and policy bodies that consume SSA products. Both the orbit-determination survey of Kazemi et al. [6, 28] and the safety-of-flight collision-probability work of the sort Alfano and Oltrogge report</w:t>
      </w:r>
      <w:r>
        <w:t xml:space="preserve"> </w:t>
      </w:r>
      <w:hyperlink w:anchor="ref-31">
        <w:r>
          <w:rPr>
            <w:rStyle w:val="Hyperlink"/>
          </w:rPr>
          <w:t xml:space="preserve">[31]</w:t>
        </w:r>
      </w:hyperlink>
      <w:r>
        <w:t xml:space="preserve"> </w:t>
      </w:r>
      <w:r>
        <w:t xml:space="preserve">feed governance products that finally reach civil and international policy audiences. Leave the classifier outputs behind those governance products un-budgeted against an adversarial envelope, and the governance product carries an unstated fragility of its own. As a supplier of mission-class analyses to such audiences, JPL holds both the institutional standing and the technical capability to be the laboratory that measures the inherited fragility and reports it beside the headline number. Making the fragility envelope a standing companion to the headline metric is how the budget-envelope principle actually lands at the institutional layer where cross-agency credibility is won.</w:t>
      </w:r>
    </w:p>
    <w:p>
      <w:pPr>
        <w:pStyle w:val="BodyText"/>
        <w:spacing w:line="480" w:lineRule="auto"/>
        <w:ind w:firstLine="720"/>
      </w:pPr>
      <w:r>
        <w:t xml:space="preserve">The legal and normative ground these products fall onto is itself shifting. Bratu and Freeland’s recent treatment of autonomous weapons systems and the militarization of outer space records how unsettled the legal regime over autonomous decision-making in the orbital domain remains</w:t>
      </w:r>
      <w:r>
        <w:t xml:space="preserve"> </w:t>
      </w:r>
      <w:hyperlink w:anchor="ref-27">
        <w:r>
          <w:rPr>
            <w:rStyle w:val="Hyperlink"/>
          </w:rPr>
          <w:t xml:space="preserve">[27]</w:t>
        </w:r>
      </w:hyperlink>
      <w:r>
        <w:t xml:space="preserve">. Nothing here is a position paper on that regime, yet the findings speak straight to one of its premises: any claim that an autonomous on-orbit decision aid is reliable enough to be handed consequential action assumes the underlying classifier’s fragility profile has been measured and bounded. A regime that has not absorbed the budget-envelope construct will find it hard to write provisions that actually operate.</w:t>
      </w:r>
    </w:p>
    <w:bookmarkEnd w:id="121"/>
    <w:bookmarkStart w:id="122" w:name="limitations"/>
    <w:p>
      <w:pPr>
        <w:pStyle w:val="Heading2"/>
        <w:spacing w:line="480" w:lineRule="auto"/>
      </w:pPr>
      <w:r>
        <w:t xml:space="preserve">7.4 Limitations</w:t>
      </w:r>
    </w:p>
    <w:p>
      <w:pPr>
        <w:pStyle w:val="FirstParagraph"/>
        <w:spacing w:line="480" w:lineRule="auto"/>
      </w:pPr>
      <w:r>
        <w:t xml:space="preserve">The estimates carry several limitations past those laid out in the prospectus and worked through in Chapter 5, and each bears on how the result should be used in program and acquisition settings.</w:t>
      </w:r>
    </w:p>
    <w:p>
      <w:pPr>
        <w:pStyle w:val="BodyText"/>
        <w:spacing w:line="480" w:lineRule="auto"/>
        <w:ind w:firstLine="720"/>
      </w:pPr>
      <w:r>
        <w:t xml:space="preserve">Take the white-box specification of the adversarial generator, which returns a ceiling on classifier fragility rather than a read on any one adversary’s realised capability. Section 5.6 defends the choice on the operational logic that a ceiling is what the SSA community needs to price integration risk, but the ceiling reading has to ride all the way through into how the estimate gets used. Read R as a realised attack-success rate and you overstate the near-term operational risk; read R as proof the classifier shrugs off any plausible perturbation and you understate it. The correct reading holds R as the line above which the classifier output cannot be trusted without outside corroboration, with the cost of that corroboration priced into integration.</w:t>
      </w:r>
    </w:p>
    <w:p>
      <w:pPr>
        <w:pStyle w:val="BodyText"/>
        <w:spacing w:line="480" w:lineRule="auto"/>
        <w:ind w:firstLine="720"/>
      </w:pPr>
      <w:r>
        <w:t xml:space="preserve">Then the synthetic-debris corpus behind the primary measurement</w:t>
      </w:r>
      <w:r>
        <w:t xml:space="preserve"> </w:t>
      </w:r>
      <w:hyperlink w:anchor="ref-2">
        <w:r>
          <w:rPr>
            <w:rStyle w:val="Hyperlink"/>
          </w:rPr>
          <w:t xml:space="preserve">[2]</w:t>
        </w:r>
      </w:hyperlink>
      <w:r>
        <w:t xml:space="preserve">, which drops atmospheric variability, telescope-specific sensor read-noise, and operational nuisance variability of the sort Balster et al. </w:t>
      </w:r>
      <w:hyperlink w:anchor="ref-5">
        <w:r>
          <w:rPr>
            <w:rStyle w:val="Hyperlink"/>
          </w:rPr>
          <w:t xml:space="preserve">[5]</w:t>
        </w:r>
      </w:hyperlink>
      <w:r>
        <w:t xml:space="preserve"> </w:t>
      </w:r>
      <w:r>
        <w:t xml:space="preserve">and Furfaro et al. </w:t>
      </w:r>
      <w:hyperlink w:anchor="ref-1">
        <w:r>
          <w:rPr>
            <w:rStyle w:val="Hyperlink"/>
          </w:rPr>
          <w:t xml:space="preserve">[1]</w:t>
        </w:r>
      </w:hyperlink>
      <w:r>
        <w:t xml:space="preserve"> </w:t>
      </w:r>
      <w:r>
        <w:t xml:space="preserve">discuss. The dissertation has said outright, and not smoothed over, that R is estimated under controlled synthetic conditions. For the user that means R undershoots real-world adversarial sensitivity to whatever degree the synthetic distribution leaves out operational nuisance variability that would itself act like a structured perturbation. Olson et al.’s characterisation of photometric fingerprinting at scale</w:t>
      </w:r>
      <w:r>
        <w:t xml:space="preserve"> </w:t>
      </w:r>
      <w:hyperlink w:anchor="ref-16">
        <w:r>
          <w:rPr>
            <w:rStyle w:val="Hyperlink"/>
          </w:rPr>
          <w:t xml:space="preserve">[16]</w:t>
        </w:r>
      </w:hyperlink>
      <w:r>
        <w:t xml:space="preserve"> </w:t>
      </w:r>
      <w:r>
        <w:t xml:space="preserve">hints that operational LEO monitoring corpora carry real distributional structure the synthetic pipeline never shows, and that the distance between the controlled estimate and the operational one is not zero.</w:t>
      </w:r>
    </w:p>
    <w:p>
      <w:pPr>
        <w:pStyle w:val="BodyText"/>
        <w:spacing w:line="480" w:lineRule="auto"/>
        <w:ind w:firstLine="720"/>
      </w:pPr>
      <w:r>
        <w:t xml:space="preserve">Then the companion logistic model, which pools heterogeneous defense families, adversarial training, perturbation-seeking generative defenses</w:t>
      </w:r>
      <w:r>
        <w:t xml:space="preserve"> </w:t>
      </w:r>
      <w:hyperlink w:anchor="ref-17">
        <w:r>
          <w:rPr>
            <w:rStyle w:val="Hyperlink"/>
          </w:rPr>
          <w:t xml:space="preserve">[17]</w:t>
        </w:r>
      </w:hyperlink>
      <w:r>
        <w:t xml:space="preserve">, and game-theoretic generative defenses [7, 8, 20] among them, into one binary indicator. Its coefficient on that indicator is therefore an average treatment intensity across defense families, no property of any single technique. A program office cannot take the coefficient as a promise that some specific defense will hand back a twenty-three-fold cut in attack-success odds; it should take it as evidence that the population of defenses, run under their reported conditions, delivers that cut on average. The disaggregation work needed to turn that average into technique-specific guidance is the follow-on research the policy audience needs first.</w:t>
      </w:r>
    </w:p>
    <w:p>
      <w:pPr>
        <w:pStyle w:val="BodyText"/>
        <w:spacing w:line="480" w:lineRule="auto"/>
        <w:ind w:firstLine="720"/>
      </w:pPr>
      <w:r>
        <w:t xml:space="preserve">Take, fourth, the sample behind the pooled estimate: thirty-six trials, an epsilon coefficient sitting borderline at the 0.05 threshold, and a narrow observed span of perturbation budgets. The estimate hangs together internally and squares with the per-classifier measurement, yet it lacks the statistical headroom for strong claims about the shape of the dose-response curve beyond the observed range. On-orbit and ground-segment programs consuming the estimate should treat the curve as roughly linear inside the observed band and as unknown outside it, until more evaluations get deposited.</w:t>
      </w:r>
    </w:p>
    <w:p>
      <w:pPr>
        <w:pStyle w:val="BodyText"/>
        <w:spacing w:line="480" w:lineRule="auto"/>
        <w:ind w:firstLine="720"/>
      </w:pPr>
      <w:r>
        <w:t xml:space="preserve">A fifth limitation: the estimates say nothing about transfer settings. A real adversary may hold no white-box access. The companion paper’s pooled estimate takes in both white-box and surrogate-attack trials, but the per-classifier measurement is white-box throughout. How R holds up in a transfer setting is a secondary analysis flagged in the prospectus and touched by the robustness checks, not the primary specification. Transfer-attack analysis sits among the future-research priorities listed below.</w:t>
      </w:r>
    </w:p>
    <w:p>
      <w:pPr>
        <w:pStyle w:val="BodyText"/>
        <w:spacing w:line="480" w:lineRule="auto"/>
        <w:ind w:firstLine="720"/>
      </w:pPr>
      <w:r>
        <w:t xml:space="preserve">Sixth, the analysis stays with light-curve classifiers and overhead-imagery classifiers, reaching neither upstream sensor-level or detector-level adversarial effects nor downstream physics-based fusion stages of the sort long-baseline SAR products</w:t>
      </w:r>
      <w:r>
        <w:t xml:space="preserve"> </w:t>
      </w:r>
      <w:hyperlink w:anchor="ref-32">
        <w:r>
          <w:rPr>
            <w:rStyle w:val="Hyperlink"/>
          </w:rPr>
          <w:t xml:space="preserve">[32]</w:t>
        </w:r>
      </w:hyperlink>
      <w:r>
        <w:t xml:space="preserve">, sun-sensor calibration pipelines</w:t>
      </w:r>
      <w:r>
        <w:t xml:space="preserve"> </w:t>
      </w:r>
      <w:hyperlink w:anchor="ref-33">
        <w:r>
          <w:rPr>
            <w:rStyle w:val="Hyperlink"/>
          </w:rPr>
          <w:t xml:space="preserve">[33]</w:t>
        </w:r>
      </w:hyperlink>
      <w:r>
        <w:t xml:space="preserve">, or thermal-deformation prediction pipelines</w:t>
      </w:r>
      <w:r>
        <w:t xml:space="preserve"> </w:t>
      </w:r>
      <w:hyperlink w:anchor="ref-30">
        <w:r>
          <w:rPr>
            <w:rStyle w:val="Hyperlink"/>
          </w:rPr>
          <w:t xml:space="preserve">[30]</w:t>
        </w:r>
      </w:hyperlink>
      <w:r>
        <w:t xml:space="preserve"> </w:t>
      </w:r>
      <w:r>
        <w:t xml:space="preserve">demand. The dissertation has deliberately drawn its scope at the classifier interface and generalises no further.</w:t>
      </w:r>
    </w:p>
    <w:bookmarkEnd w:id="122"/>
    <w:bookmarkStart w:id="123" w:name="future-research"/>
    <w:p>
      <w:pPr>
        <w:pStyle w:val="Heading2"/>
        <w:spacing w:line="480" w:lineRule="auto"/>
      </w:pPr>
      <w:r>
        <w:t xml:space="preserve">7.5 Future Research</w:t>
      </w:r>
    </w:p>
    <w:p>
      <w:pPr>
        <w:pStyle w:val="FirstParagraph"/>
        <w:spacing w:line="480" w:lineRule="auto"/>
      </w:pPr>
      <w:r>
        <w:t xml:space="preserve">Four future-research lines run straight out of the limitations.</w:t>
      </w:r>
    </w:p>
    <w:p>
      <w:pPr>
        <w:pStyle w:val="BodyText"/>
        <w:spacing w:line="480" w:lineRule="auto"/>
        <w:ind w:firstLine="720"/>
      </w:pPr>
      <w:r>
        <w:t xml:space="preserve">Disaggregating the defense indicator into technique-specific coefficients is first. The pooled logistic estimate names the defense population the dominant policy lever, yet the program-office and acquisition consequences cannot be fully operationalised until adversarial training, perturbation-seeking generative defense</w:t>
      </w:r>
      <w:r>
        <w:t xml:space="preserve"> </w:t>
      </w:r>
      <w:hyperlink w:anchor="ref-17">
        <w:r>
          <w:rPr>
            <w:rStyle w:val="Hyperlink"/>
          </w:rPr>
          <w:t xml:space="preserve">[17]</w:t>
        </w:r>
      </w:hyperlink>
      <w:r>
        <w:t xml:space="preserve">, and game-theoretic generative defense [7, 8, 20] are estimated apart, with sample sizes large enough for direct comparison. This is the follow-on work the SSA acquisition community can fund soonest, and it sits well within reach of a multi-site replication study run through the AMOS technical community.</w:t>
      </w:r>
    </w:p>
    <w:p>
      <w:pPr>
        <w:pStyle w:val="BodyText"/>
        <w:spacing w:line="480" w:lineRule="auto"/>
        <w:ind w:firstLine="720"/>
      </w:pPr>
      <w:r>
        <w:t xml:space="preserve">Extending the per-classifier measurement to a transfer setting is second. White-box access buys the ceiling on fragility; black-box and surrogate-attack measurements buy the realised-capability envelope under realistic adversary models. A transfer-setting replication on the same frozen reproduction of the Furfaro et al. classifier</w:t>
      </w:r>
      <w:r>
        <w:t xml:space="preserve"> </w:t>
      </w:r>
      <w:hyperlink w:anchor="ref-1">
        <w:r>
          <w:rPr>
            <w:rStyle w:val="Hyperlink"/>
          </w:rPr>
          <w:t xml:space="preserve">[1]</w:t>
        </w:r>
      </w:hyperlink>
      <w:r>
        <w:t xml:space="preserve"> </w:t>
      </w:r>
      <w:r>
        <w:t xml:space="preserve">and the Adriano et al. dataset</w:t>
      </w:r>
      <w:r>
        <w:t xml:space="preserve"> </w:t>
      </w:r>
      <w:hyperlink w:anchor="ref-2">
        <w:r>
          <w:rPr>
            <w:rStyle w:val="Hyperlink"/>
          </w:rPr>
          <w:t xml:space="preserve">[2]</w:t>
        </w:r>
      </w:hyperlink>
      <w:r>
        <w:t xml:space="preserve">, carrying a documented surrogate-attack protocol, would let the SSA community price the distance between the ceiling and the realised envelope.</w:t>
      </w:r>
    </w:p>
    <w:p>
      <w:pPr>
        <w:pStyle w:val="BodyText"/>
        <w:spacing w:line="480" w:lineRule="auto"/>
        <w:ind w:firstLine="720"/>
      </w:pPr>
      <w:r>
        <w:t xml:space="preserve">Extending the measurement onto operational, non-synthetic corpora is third. The synthetic-debris corpus</w:t>
      </w:r>
      <w:r>
        <w:t xml:space="preserve"> </w:t>
      </w:r>
      <w:hyperlink w:anchor="ref-2">
        <w:r>
          <w:rPr>
            <w:rStyle w:val="Hyperlink"/>
          </w:rPr>
          <w:t xml:space="preserve">[2]</w:t>
        </w:r>
      </w:hyperlink>
      <w:r>
        <w:t xml:space="preserve"> </w:t>
      </w:r>
      <w:r>
        <w:t xml:space="preserve">is the one dataset in the SSA light-curve literature that is at once published, labelled, and released with a baseline benchmark, and it is the right primary dataset for the measurement specified here. But the budget-envelope number operations actually need is the one taken on real observatory light curves of the sort [1, 4, 5] discuss. A coordinated release of a labelled operational light-curve corpus with controlled provenance, modelled on the deposit pattern of</w:t>
      </w:r>
      <w:r>
        <w:t xml:space="preserve"> </w:t>
      </w:r>
      <w:hyperlink w:anchor="ref-2">
        <w:r>
          <w:rPr>
            <w:rStyle w:val="Hyperlink"/>
          </w:rPr>
          <w:t xml:space="preserve">[2]</w:t>
        </w:r>
      </w:hyperlink>
      <w:r>
        <w:t xml:space="preserve">, would let the field measure R under operational conditions and size the distance between the synthetic-condition estimate and the operational one.</w:t>
      </w:r>
    </w:p>
    <w:p>
      <w:pPr>
        <w:pStyle w:val="BodyText"/>
        <w:spacing w:line="480" w:lineRule="auto"/>
        <w:ind w:firstLine="720"/>
      </w:pPr>
      <w:r>
        <w:t xml:space="preserve">Propagating the fragility profile through integrated decision pipelines of the sort</w:t>
      </w:r>
      <w:r>
        <w:t xml:space="preserve"> </w:t>
      </w:r>
      <w:hyperlink w:anchor="ref-4">
        <w:r>
          <w:rPr>
            <w:rStyle w:val="Hyperlink"/>
          </w:rPr>
          <w:t xml:space="preserve">[4]</w:t>
        </w:r>
      </w:hyperlink>
      <w:r>
        <w:t xml:space="preserve"> </w:t>
      </w:r>
      <w:r>
        <w:t xml:space="preserve">reports and the survey [6, 28] contemplates is fourth. The classifier-interface measurement is necessary but not sufficient for the integrator. Measuring end to end how a structured perturbation at the classifier interface travels through to the operationally consequential output, initial orbit determination, spin-status characterisation, conjunction screening prioritisation, and custody handover, is the test-engineering capability the integrator community has to build. The dissertation holds that the techniques are already available and that the bottleneck is institutional, not technical.</w:t>
      </w:r>
    </w:p>
    <w:p>
      <w:pPr>
        <w:pStyle w:val="BodyText"/>
        <w:spacing w:line="480" w:lineRule="auto"/>
        <w:ind w:firstLine="720"/>
      </w:pPr>
      <w:r>
        <w:t xml:space="preserve">A fifth line, more exploratory than the four above, concerns how adversarial-input fragility interacts with the broader uncertainty quantification behind safety-of-flight products. The collision-probability literature, the treatment of valuation, variability, visualisation, and validity in Alfano and Oltrogge</w:t>
      </w:r>
      <w:r>
        <w:t xml:space="preserve"> </w:t>
      </w:r>
      <w:hyperlink w:anchor="ref-31">
        <w:r>
          <w:rPr>
            <w:rStyle w:val="Hyperlink"/>
          </w:rPr>
          <w:t xml:space="preserve">[31]</w:t>
        </w:r>
      </w:hyperlink>
      <w:r>
        <w:t xml:space="preserve"> </w:t>
      </w:r>
      <w:r>
        <w:t xml:space="preserve">included, and the sensitivity analyses of debris-assessment lifetime collision probability in Chandramouli and Shockley</w:t>
      </w:r>
      <w:r>
        <w:t xml:space="preserve"> </w:t>
      </w:r>
      <w:hyperlink w:anchor="ref-25">
        <w:r>
          <w:rPr>
            <w:rStyle w:val="Hyperlink"/>
          </w:rPr>
          <w:t xml:space="preserve">[25]</w:t>
        </w:r>
      </w:hyperlink>
      <w:r>
        <w:t xml:space="preserve">, run on inputs more and more often produced by AI classifiers and characterisers. How classifier fragility propagates into those downstream probabilistic products is an open question and a natural meeting point for the adversarial-machine-learning community and the SSA uncertainty-quantification community.</w:t>
      </w:r>
    </w:p>
    <w:bookmarkEnd w:id="123"/>
    <w:bookmarkStart w:id="124" w:name="closing-note"/>
    <w:p>
      <w:pPr>
        <w:pStyle w:val="Heading2"/>
        <w:spacing w:line="480" w:lineRule="auto"/>
      </w:pPr>
      <w:r>
        <w:t xml:space="preserve">7.6 Closing Note</w:t>
      </w:r>
    </w:p>
    <w:p>
      <w:pPr>
        <w:pStyle w:val="FirstParagraph"/>
        <w:spacing w:line="480" w:lineRule="auto"/>
      </w:pPr>
      <w:r>
        <w:t xml:space="preserve">This dissertation set out to produce one falsifiable estimate, the adversarial-to-noise sensitivity ratio R for the dominant published architecture family in SSA light-curve classification, and to anchor it in a documented synthetic-debris benchmark and a reproduced canonical classifier. It rejected the null at the pre-registered effect size and corroborated the finding through a methodologically distinct pooled logistic analysis. For NASA program management, the upshot is that classifier specifications have to be written in budget-envelope terms and adversarial training has to be a baseline contractual expectation. For JPL decision-making, the upshot is that the fragility profile has to be measured at the interface, carried through integration, and stewarded under the reproducibility discipline the laboratory already applies to everything else it ships. The limitations are real, the future-research lines are tractable, and the operational case for treating adversarial-input fragility as a first-class engineering property is, on the evidence here, no longer optional.</w:t>
      </w:r>
    </w:p>
    <w:bookmarkEnd w:id="124"/>
    <w:bookmarkEnd w:id="125"/>
    <w:bookmarkStart w:id="184" w:name="chapter-8.-conclusion"/>
    <w:p>
      <w:pPr>
        <w:pStyle w:val="Heading1"/>
        <w:spacing w:line="480" w:lineRule="auto"/>
      </w:pPr>
      <w:r>
        <w:t xml:space="preserve">Chapter 8. Conclusion</w:t>
      </w:r>
    </w:p>
    <w:bookmarkStart w:id="126" w:name="Xa693de8fd525954e5b82ddf83a0f36b500a7fbf"/>
    <w:p>
      <w:pPr>
        <w:pStyle w:val="Heading2"/>
        <w:spacing w:line="480" w:lineRule="auto"/>
      </w:pPr>
      <w:r>
        <w:t xml:space="preserve">8.1 Restatement of the Problem and the Argument</w:t>
      </w:r>
    </w:p>
    <w:p>
      <w:pPr>
        <w:pStyle w:val="FirstParagraph"/>
        <w:spacing w:line="480" w:lineRule="auto"/>
      </w:pPr>
      <w:r>
        <w:t xml:space="preserve">A narrow but consequential observation about the state of artificial intelligence in space situational awareness (SSA) is where this dissertation began. Over the past decade, the operational community has embraced deep neural classifiers as a maturing pillar of the SSA stack, particularly for labelling resident space objects (RSOs) from unresolved optical observables such as photometric light curves [1, 2, 3, 4, 5, 6]. Convolutional architectures and transfer-learned models have shown high in-distribution accuracy on both simulated and observatory-collected light curves, and downstream pipelines now ingest those labels to support conjunction screening prioritisation, behaviour classification, and custody handover [4, 6]. In parallel, the literature has begun deploying generative-adversarial constructions as constructive tools for synthetic data generation and maneuver detection [7, 8, 20, 21]. What the literature had not produced, prior to this work, was a measured estimate of how far an adversarial or adversarial-like perturbation must push a light-curve input before the published classifier flips its label, and how that fragility compares to the fragility induced by ordinary photometric noise of equal energy.</w:t>
      </w:r>
    </w:p>
    <w:p>
      <w:pPr>
        <w:pStyle w:val="BodyText"/>
        <w:spacing w:line="480" w:lineRule="auto"/>
        <w:ind w:firstLine="720"/>
      </w:pPr>
      <w:r>
        <w:t xml:space="preserve">Across the preceding chapters, the argument has been that this absence is not a minor lacuna in the literature but a structural blind spot in the SSA community’s risk model for AI-assisted decision support. Working on closely analogous spatial-imagery classifiers, the remote-sensing community has documented for nearly a decade that deep classifiers are systematically more sensitive to structured adversarial perturbations than to matched-energy stochastic noise [9, 10, 11, 12, 17, 18]. By contrast, the SSA community has treated adversarial machine learning almost exclusively as a generative tool, not as a threat surface against its own classifiers [7, 8, 20, 21]. Framing this asymmetry as a falsifiable empirical question, the dissertation operationalised it as a single estimand R, the ratio of adversarial accuracy decay to noise accuracy decay, and reported a measured value for that estimand against a reproduced convolutional baseline on a published synthetic light-curve corpus [1, 2].</w:t>
      </w:r>
    </w:p>
    <w:p>
      <w:pPr>
        <w:pStyle w:val="BodyText"/>
        <w:spacing w:line="480" w:lineRule="auto"/>
        <w:ind w:firstLine="720"/>
      </w:pPr>
      <w:r>
        <w:t xml:space="preserve">Synthesis of the empirical chapters can be stated compactly. The reproduced convolutional baseline of Furfaro, Linares, and Reddy</w:t>
      </w:r>
      <w:r>
        <w:t xml:space="preserve"> </w:t>
      </w:r>
      <w:hyperlink w:anchor="ref-1">
        <w:r>
          <w:rPr>
            <w:rStyle w:val="Hyperlink"/>
          </w:rPr>
          <w:t xml:space="preserve">[1]</w:t>
        </w:r>
      </w:hyperlink>
      <w:r>
        <w:t xml:space="preserve">, trained and evaluated on the Adriano, Scott, and Azad synthetic-debris corpus</w:t>
      </w:r>
      <w:r>
        <w:t xml:space="preserve"> </w:t>
      </w:r>
      <w:hyperlink w:anchor="ref-2">
        <w:r>
          <w:rPr>
            <w:rStyle w:val="Hyperlink"/>
          </w:rPr>
          <w:t xml:space="preserve">[2]</w:t>
        </w:r>
      </w:hyperlink>
      <w:r>
        <w:t xml:space="preserve">, exhibited a fragility profile under bounded L2 adversarial perturbation that was statistically distinguishable, with high confidence and a pre-registered effect size, from its fragility profile under matched-energy stochastic photometric perturbation. The point estimate of R lay well above the pre-registered minimum effect size of two, and the lower bound of the bootstrap confidence interval excluded the null R = 1 across all robustness checks, including the gradient-boosted and deeper architectures of</w:t>
      </w:r>
      <w:r>
        <w:t xml:space="preserve"> </w:t>
      </w:r>
      <w:hyperlink w:anchor="ref-2">
        <w:r>
          <w:rPr>
            <w:rStyle w:val="Hyperlink"/>
          </w:rPr>
          <w:t xml:space="preserve">[2]</w:t>
        </w:r>
      </w:hyperlink>
      <w:r>
        <w:t xml:space="preserve"> </w:t>
      </w:r>
      <w:r>
        <w:t xml:space="preserve">and the non-resolved deep architecture of</w:t>
      </w:r>
      <w:r>
        <w:t xml:space="preserve"> </w:t>
      </w:r>
      <w:hyperlink w:anchor="ref-3">
        <w:r>
          <w:rPr>
            <w:rStyle w:val="Hyperlink"/>
          </w:rPr>
          <w:t xml:space="preserve">[3]</w:t>
        </w:r>
      </w:hyperlink>
      <w:r>
        <w:t xml:space="preserve">. So the null hypothesis that adversarial-input risk is indistinguishable from ordinary photometric noise risk for this class of model is rejected within the scope of the controlled measurement.</w:t>
      </w:r>
    </w:p>
    <w:bookmarkEnd w:id="126"/>
    <w:bookmarkStart w:id="127" w:name="contribution-to-knowledge"/>
    <w:p>
      <w:pPr>
        <w:pStyle w:val="Heading2"/>
        <w:spacing w:line="480" w:lineRule="auto"/>
      </w:pPr>
      <w:r>
        <w:t xml:space="preserve">8.2 Contribution to Knowledge</w:t>
      </w:r>
    </w:p>
    <w:p>
      <w:pPr>
        <w:pStyle w:val="FirstParagraph"/>
        <w:spacing w:line="480" w:lineRule="auto"/>
      </w:pPr>
      <w:r>
        <w:t xml:space="preserve">A calibrated measurement and a reusable instrument, not a new architecture or a new attack: that is the most accurate description of this dissertation’s contribution. Its value to the field rests on four claims, each grounded in a specific section of the empirical record reported in the preceding chapters and each triangulated against the published literature on which the work depends.</w:t>
      </w:r>
    </w:p>
    <w:p>
      <w:pPr>
        <w:pStyle w:val="BodyText"/>
        <w:spacing w:line="480" w:lineRule="auto"/>
        <w:ind w:firstLine="720"/>
      </w:pPr>
      <w:r>
        <w:t xml:space="preserve">The empirical estimate of R itself is the first contribution. To the candidate’s knowledge, and consistent with the systematic literature sweep documented in the prospectus and revisited at length in Chapters 2 and 3, no prior work in the AMOS or Acta Astronautica corpora reports a measured adversarial-to-noise sensitivity ratio for an on-orbit object-classification model on a published light-curve benchmark. Closest analogues exist in the remote-sensing literature on spatial imagery [9, 10, 11, 12, 17, 18] and in the autonomous-planetary-landing reinforcement-learning literature</w:t>
      </w:r>
      <w:r>
        <w:t xml:space="preserve"> </w:t>
      </w:r>
      <w:hyperlink w:anchor="ref-26">
        <w:r>
          <w:rPr>
            <w:rStyle w:val="Hyperlink"/>
          </w:rPr>
          <w:t xml:space="preserve">[26]</w:t>
        </w:r>
      </w:hyperlink>
      <w:r>
        <w:t xml:space="preserve">, neither of which speaks directly to the unresolved photometric observables that dominate the operational SSA classification stack. So the measurement reported here fills a specific quantitative gap rather than restating, in a new application domain, an already-known qualitative pattern.</w:t>
      </w:r>
    </w:p>
    <w:p>
      <w:pPr>
        <w:pStyle w:val="BodyText"/>
        <w:spacing w:line="480" w:lineRule="auto"/>
        <w:ind w:firstLine="720"/>
      </w:pPr>
      <w:r>
        <w:t xml:space="preserve">The second contribution is methodological. Produced, deposited, and documented here is a reproducible measurement harness that ingests the Adriano corpus</w:t>
      </w:r>
      <w:r>
        <w:t xml:space="preserve"> </w:t>
      </w:r>
      <w:hyperlink w:anchor="ref-2">
        <w:r>
          <w:rPr>
            <w:rStyle w:val="Hyperlink"/>
          </w:rPr>
          <w:t xml:space="preserve">[2]</w:t>
        </w:r>
      </w:hyperlink>
      <w:r>
        <w:t xml:space="preserve">, reconstructs the Furfaro convolutional baseline</w:t>
      </w:r>
      <w:r>
        <w:t xml:space="preserve"> </w:t>
      </w:r>
      <w:hyperlink w:anchor="ref-1">
        <w:r>
          <w:rPr>
            <w:rStyle w:val="Hyperlink"/>
          </w:rPr>
          <w:t xml:space="preserve">[1]</w:t>
        </w:r>
      </w:hyperlink>
      <w:r>
        <w:t xml:space="preserve"> </w:t>
      </w:r>
      <w:r>
        <w:t xml:space="preserve">under a fixed training protocol, applies a constrained perturbation budget on a single physically interpretable axis, and reports R together with its bootstrap confidence interval. It is written so the substitution of a different classifier, including the gradient-boosted baseline of</w:t>
      </w:r>
      <w:r>
        <w:t xml:space="preserve"> </w:t>
      </w:r>
      <w:hyperlink w:anchor="ref-2">
        <w:r>
          <w:rPr>
            <w:rStyle w:val="Hyperlink"/>
          </w:rPr>
          <w:t xml:space="preserve">[2]</w:t>
        </w:r>
      </w:hyperlink>
      <w:r>
        <w:t xml:space="preserve">, the deeper architecture of</w:t>
      </w:r>
      <w:r>
        <w:t xml:space="preserve"> </w:t>
      </w:r>
      <w:hyperlink w:anchor="ref-3">
        <w:r>
          <w:rPr>
            <w:rStyle w:val="Hyperlink"/>
          </w:rPr>
          <w:t xml:space="preserve">[3]</w:t>
        </w:r>
      </w:hyperlink>
      <w:r>
        <w:t xml:space="preserve">, the brightness-based characterisation pipeline of</w:t>
      </w:r>
      <w:r>
        <w:t xml:space="preserve"> </w:t>
      </w:r>
      <w:hyperlink w:anchor="ref-5">
        <w:r>
          <w:rPr>
            <w:rStyle w:val="Hyperlink"/>
          </w:rPr>
          <w:t xml:space="preserve">[5]</w:t>
        </w:r>
      </w:hyperlink>
      <w:r>
        <w:t xml:space="preserve">, or, in principle, the spin-status classifier of</w:t>
      </w:r>
      <w:r>
        <w:t xml:space="preserve"> </w:t>
      </w:r>
      <w:hyperlink w:anchor="ref-4">
        <w:r>
          <w:rPr>
            <w:rStyle w:val="Hyperlink"/>
          </w:rPr>
          <w:t xml:space="preserve">[4]</w:t>
        </w:r>
      </w:hyperlink>
      <w:r>
        <w:t xml:space="preserve">, requires only the replacement of the model-loading function and the retraining configuration. This is the design pattern the remote-sensing literature converged on after several years of one-off adversarial studies [9, 10, 11, 12], and its translation to SSA light-curve classification is a deliberate methodological transfer rather than an incidental engineering by-product.</w:t>
      </w:r>
    </w:p>
    <w:p>
      <w:pPr>
        <w:pStyle w:val="BodyText"/>
        <w:spacing w:line="480" w:lineRule="auto"/>
        <w:ind w:firstLine="720"/>
      </w:pPr>
      <w:r>
        <w:t xml:space="preserve">The third contribution is conceptual. Two questions the surveyed SSA literature had left fused are separated here: the question of classifier accuracy under nuisance variability, and the question of classifier sensitivity to structured perturbation. The survey of orbit-determination and SSA learning by Kazemi et al. acknowledges that learning-based methods are maturing across the SSA stack and that they feed downstream decision processes [6, 28], but it does not distinguish the noise-fragility profile of those methods from their adversarial-fragility profile. The brightness-measurement characterisation work of Balster et al. </w:t>
      </w:r>
      <w:hyperlink w:anchor="ref-5">
        <w:r>
          <w:rPr>
            <w:rStyle w:val="Hyperlink"/>
          </w:rPr>
          <w:t xml:space="preserve">[5]</w:t>
        </w:r>
      </w:hyperlink>
      <w:r>
        <w:t xml:space="preserve">, the non-resolved deep-learning work of McQuaid et al. </w:t>
      </w:r>
      <w:hyperlink w:anchor="ref-3">
        <w:r>
          <w:rPr>
            <w:rStyle w:val="Hyperlink"/>
          </w:rPr>
          <w:t xml:space="preserve">[3]</w:t>
        </w:r>
      </w:hyperlink>
      <w:r>
        <w:t xml:space="preserve">, the operational AI integration of Tsaprailis et al. </w:t>
      </w:r>
      <w:hyperlink w:anchor="ref-4">
        <w:r>
          <w:rPr>
            <w:rStyle w:val="Hyperlink"/>
          </w:rPr>
          <w:t xml:space="preserve">[4]</w:t>
        </w:r>
      </w:hyperlink>
      <w:r>
        <w:t xml:space="preserve">, and the photometric fingerprinting work of Olson et al. </w:t>
      </w:r>
      <w:hyperlink w:anchor="ref-16">
        <w:r>
          <w:rPr>
            <w:rStyle w:val="Hyperlink"/>
          </w:rPr>
          <w:t xml:space="preserve">[16]</w:t>
        </w:r>
      </w:hyperlink>
      <w:r>
        <w:t xml:space="preserve"> </w:t>
      </w:r>
      <w:r>
        <w:t xml:space="preserve">all share the implicit assumption that classifier robustness can be reasoned about in a single category of input variability. With measured evidence, this dissertation argues that the two categories must be priced separately, because they decay at materially different rates, and that the operational risk model used to govern integration of SSA classifiers into automated decision aids must reflect that separation.</w:t>
      </w:r>
    </w:p>
    <w:p>
      <w:pPr>
        <w:pStyle w:val="BodyText"/>
        <w:spacing w:line="480" w:lineRule="auto"/>
        <w:ind w:firstLine="720"/>
      </w:pPr>
      <w:r>
        <w:t xml:space="preserve">The fourth contribution is institutional and is intended to be modest. Produced here is a pre-registered protocol, a reproducible code release, and a clearly bounded estimand, positioned within the AMOS conference tradition where the underlying baselines [1, 2, 3, 5, 7, 8, 13, 14, 15, 16, 19, 20, 21, 22, 23, 24, 25] and the operational community that consumes them already meet. By presenting the result in the venue where the baselines were established, and by reporting it against the same datasets and architectures the baselines used, the dissertation seeks to make the measurement legible to the community that needs to act on it, including programme offices considering the integration of light-curve classifiers into custody-handover or behaviour-classification workflows of the kind described in [4, 5, 6, 23].</w:t>
      </w:r>
    </w:p>
    <w:bookmarkEnd w:id="127"/>
    <w:bookmarkStart w:id="128" w:name="implications"/>
    <w:p>
      <w:pPr>
        <w:pStyle w:val="Heading2"/>
        <w:spacing w:line="480" w:lineRule="auto"/>
      </w:pPr>
      <w:r>
        <w:t xml:space="preserve">8.3 Implications</w:t>
      </w:r>
    </w:p>
    <w:p>
      <w:pPr>
        <w:pStyle w:val="FirstParagraph"/>
        <w:spacing w:line="480" w:lineRule="auto"/>
      </w:pPr>
      <w:r>
        <w:t xml:space="preserve">Three implications follow from the synthesis above. None of them is a recommendation that operational programmes abandon learning-based SSA classification. Each of them is a refinement of the risk frame within which such classification is integrated into automated decision processes.</w:t>
      </w:r>
    </w:p>
    <w:p>
      <w:pPr>
        <w:pStyle w:val="BodyText"/>
        <w:spacing w:line="480" w:lineRule="auto"/>
        <w:ind w:firstLine="720"/>
      </w:pPr>
      <w:r>
        <w:t xml:space="preserve">The first implication is that the operational integration of light-curve classifiers, in the form Tsaprailis et al. sketch for the spin-status and initial-orbit-determination loop</w:t>
      </w:r>
      <w:r>
        <w:t xml:space="preserve"> </w:t>
      </w:r>
      <w:hyperlink w:anchor="ref-4">
        <w:r>
          <w:rPr>
            <w:rStyle w:val="Hyperlink"/>
          </w:rPr>
          <w:t xml:space="preserve">[4]</w:t>
        </w:r>
      </w:hyperlink>
      <w:r>
        <w:t xml:space="preserve">, requires an explicit fragility budget alongside the accuracy budget conventionally reported. The measured value of R reported here gives a first calibration of how that fragility budget should be sized for the dominant published architecture family, conditional on the synthetic distribution of</w:t>
      </w:r>
      <w:r>
        <w:t xml:space="preserve"> </w:t>
      </w:r>
      <w:hyperlink w:anchor="ref-2">
        <w:r>
          <w:rPr>
            <w:rStyle w:val="Hyperlink"/>
          </w:rPr>
          <w:t xml:space="preserve">[2]</w:t>
        </w:r>
      </w:hyperlink>
      <w:r>
        <w:t xml:space="preserve">. The probability-of-collision literature has long argued that valuation, variability, visualisation, and validity must be reported together for a conjunction-screening output to be operationally usable</w:t>
      </w:r>
      <w:r>
        <w:t xml:space="preserve"> </w:t>
      </w:r>
      <w:hyperlink w:anchor="ref-31">
        <w:r>
          <w:rPr>
            <w:rStyle w:val="Hyperlink"/>
          </w:rPr>
          <w:t xml:space="preserve">[31]</w:t>
        </w:r>
      </w:hyperlink>
      <w:r>
        <w:t xml:space="preserve">. The same argument applies, with even more force, to a classifier output that participates in custody handover or behavioural labelling under automation.</w:t>
      </w:r>
    </w:p>
    <w:p>
      <w:pPr>
        <w:pStyle w:val="BodyText"/>
        <w:spacing w:line="480" w:lineRule="auto"/>
        <w:ind w:firstLine="720"/>
      </w:pPr>
      <w:r>
        <w:t xml:space="preserve">The second implication is for the small but growing SSA literature on adversarial constructions in the generative direction [7, 8, 20, 21, 22, 23]. That literature has shown game-theoretic and adversarial frames tractable for the SSA observable space. The result reported here suggests the same frames, turned the other way around, identify a measurable vulnerability surface in the classifiers those constructions are often used to augment. The two research programmes are complementary, not redundant, and the dissertation argues for their joint development.</w:t>
      </w:r>
    </w:p>
    <w:p>
      <w:pPr>
        <w:pStyle w:val="BodyText"/>
        <w:spacing w:line="480" w:lineRule="auto"/>
        <w:ind w:firstLine="720"/>
      </w:pPr>
      <w:r>
        <w:t xml:space="preserve">The third implication concerns the broader legal and policy environment in which AI-assisted SSA increasingly operates. In the context of autonomous weapons systems and the militarization of outer space, Bratu and Freeland have argued that the legal implications of autonomous decision-making in the orbital domain are unsettled and that the empirical characterisation of the underlying systems is a precondition for any coherent governance response</w:t>
      </w:r>
      <w:r>
        <w:t xml:space="preserve"> </w:t>
      </w:r>
      <w:hyperlink w:anchor="ref-27">
        <w:r>
          <w:rPr>
            <w:rStyle w:val="Hyperlink"/>
          </w:rPr>
          <w:t xml:space="preserve">[27]</w:t>
        </w:r>
      </w:hyperlink>
      <w:r>
        <w:t xml:space="preserve">. The measurement reported here does not adjudicate the legal questions raised in</w:t>
      </w:r>
      <w:r>
        <w:t xml:space="preserve"> </w:t>
      </w:r>
      <w:hyperlink w:anchor="ref-27">
        <w:r>
          <w:rPr>
            <w:rStyle w:val="Hyperlink"/>
          </w:rPr>
          <w:t xml:space="preserve">[27]</w:t>
        </w:r>
      </w:hyperlink>
      <w:r>
        <w:t xml:space="preserve">, but it provides one of the empirical inputs any such adjudication will require, namely a calibrated estimate of the sensitivity of an SSA classifier to bounded perturbation of its input.</w:t>
      </w:r>
    </w:p>
    <w:bookmarkEnd w:id="128"/>
    <w:bookmarkStart w:id="129" w:name="limitations-revisited-and-future-work"/>
    <w:p>
      <w:pPr>
        <w:pStyle w:val="Heading2"/>
        <w:spacing w:line="480" w:lineRule="auto"/>
      </w:pPr>
      <w:r>
        <w:t xml:space="preserve">8.4 Limitations Revisited and Future Work</w:t>
      </w:r>
    </w:p>
    <w:p>
      <w:pPr>
        <w:pStyle w:val="FirstParagraph"/>
        <w:spacing w:line="480" w:lineRule="auto"/>
      </w:pPr>
      <w:r>
        <w:t xml:space="preserve">Threats to validity rehearsed in the prospectus, and revisited at length in Chapter 7, remain in force. The estimate of R is conditional on a single published architecture family, evaluated on a single published synthetic corpus, under a white-box adversarial setting and a single perturbation norm. The robustness checks against</w:t>
      </w:r>
      <w:r>
        <w:t xml:space="preserve"> </w:t>
      </w:r>
      <w:hyperlink w:anchor="ref-2">
        <w:r>
          <w:rPr>
            <w:rStyle w:val="Hyperlink"/>
          </w:rPr>
          <w:t xml:space="preserve">[2]</w:t>
        </w:r>
      </w:hyperlink>
      <w:r>
        <w:t xml:space="preserve"> </w:t>
      </w:r>
      <w:r>
        <w:t xml:space="preserve">and</w:t>
      </w:r>
      <w:r>
        <w:t xml:space="preserve"> </w:t>
      </w:r>
      <w:hyperlink w:anchor="ref-3">
        <w:r>
          <w:rPr>
            <w:rStyle w:val="Hyperlink"/>
          </w:rPr>
          <w:t xml:space="preserve">[3]</w:t>
        </w:r>
      </w:hyperlink>
      <w:r>
        <w:t xml:space="preserve"> </w:t>
      </w:r>
      <w:r>
        <w:t xml:space="preserve">mitigate the architecture-specific reading of the result, but they do not lift it. The synthetic-debris corpus of</w:t>
      </w:r>
      <w:r>
        <w:t xml:space="preserve"> </w:t>
      </w:r>
      <w:hyperlink w:anchor="ref-2">
        <w:r>
          <w:rPr>
            <w:rStyle w:val="Hyperlink"/>
          </w:rPr>
          <w:t xml:space="preserve">[2]</w:t>
        </w:r>
      </w:hyperlink>
      <w:r>
        <w:t xml:space="preserve"> </w:t>
      </w:r>
      <w:r>
        <w:t xml:space="preserve">deliberately strips atmospheric variability and sensor read-noise of the kind discussed in [1, 4, 5, 16, 19], and the dissertation has not claimed, and does not claim now, that R measured under controlled synthetic conditions is the operational fragility of a deployed classifier on observatory data. Transfer-attack and black-box settings have been treated as secondary analyses rather than as redefinitions of the primary estimand.</w:t>
      </w:r>
    </w:p>
    <w:p>
      <w:pPr>
        <w:pStyle w:val="BodyText"/>
        <w:spacing w:line="480" w:lineRule="auto"/>
        <w:ind w:firstLine="720"/>
      </w:pPr>
      <w:r>
        <w:t xml:space="preserve">Three lines of future work follow naturally and are sketched here without claiming they have been executed within the present dissertation. The first is the re-estimation of R against observatory light-curve corpora of the kind used in [1, 4, 5, 16], once such corpora are released in a form that supports reproducible adversarial measurement. The second is the extension of the harness to the reinforcement-learning and Bayesian-game settings explored in [22, 26], where the input observable is a sequence rather than a static light curve and the adversarial budget must be defined over trajectories rather than samples. The third is the systematic incorporation of physically motivated perturbation models, drawn from the sensor calibration and thermal-deformation literatures [30, 33] and the bistatic and multistatic observation geometries discussed in</w:t>
      </w:r>
      <w:r>
        <w:t xml:space="preserve"> </w:t>
      </w:r>
      <w:hyperlink w:anchor="ref-32">
        <w:r>
          <w:rPr>
            <w:rStyle w:val="Hyperlink"/>
          </w:rPr>
          <w:t xml:space="preserve">[32]</w:t>
        </w:r>
      </w:hyperlink>
      <w:r>
        <w:t xml:space="preserve">, so the adversarial budget is constrained not only by an L2 norm but by the physics of the observation chain.</w:t>
      </w:r>
    </w:p>
    <w:bookmarkEnd w:id="129"/>
    <w:bookmarkStart w:id="130" w:name="closing-statement"/>
    <w:p>
      <w:pPr>
        <w:pStyle w:val="Heading2"/>
        <w:spacing w:line="480" w:lineRule="auto"/>
      </w:pPr>
      <w:r>
        <w:t xml:space="preserve">8.5 Closing Statement</w:t>
      </w:r>
    </w:p>
    <w:p>
      <w:pPr>
        <w:pStyle w:val="FirstParagraph"/>
        <w:spacing w:line="480" w:lineRule="auto"/>
      </w:pPr>
      <w:r>
        <w:t xml:space="preserve">A single calibrated number, a reproducible instrument for producing more such numbers, and a clear statement of what those numbers do and do not license the operational community to conclude: that is what the dissertation has produced. On-orbit object-classification models the SSA community has spent the past decade building, refining, and beginning to integrate into automated decision pipelines are demonstrably more fragile under structured adversarial perturbation than under matched-energy photometric noise, by a margin that exceeds the pre-registered minimum effect size and is robust across the architecture and dataset checks reported here. That fact does not condemn the integration of those models into operational SSA. It does require that the integration be priced against a fragility budget rather than only against an accuracy budget, that the fragility budget be reported with the same care the conjunction-screening community now reports probability of collision</w:t>
      </w:r>
      <w:r>
        <w:t xml:space="preserve"> </w:t>
      </w:r>
      <w:hyperlink w:anchor="ref-31">
        <w:r>
          <w:rPr>
            <w:rStyle w:val="Hyperlink"/>
          </w:rPr>
          <w:t xml:space="preserve">[31]</w:t>
        </w:r>
      </w:hyperlink>
      <w:r>
        <w:t xml:space="preserve">, and that the SSA literature on adversarial constructions [7, 8, 20, 21, 22, 23] be read as a methodological resource for the defensive measurement programme this dissertation has tried to inaugurate, not only as a generative resource for the augmentation of training data.</w:t>
      </w:r>
    </w:p>
    <w:p>
      <w:pPr>
        <w:pStyle w:val="BodyText"/>
        <w:spacing w:line="480" w:lineRule="auto"/>
        <w:ind w:firstLine="720"/>
      </w:pPr>
      <w:r>
        <w:t xml:space="preserve">The narrow contribution is the measurement. The broader contribution, offered with appropriate caution, is the suggestion that the SSA community now has both the instruments and the published baselines required to make adversarial-robustness measurement a routine part of how it characterises its learning-based classifiers, in the same way the orbit-determination and conjunction-screening communities have made uncertainty quantification a routine part of how they characterise their estimators [6, 28, 31]. If this dissertation succeeds in nothing else, it is in moving the question of adversarial sensitivity for on-orbit object classification from a hypothetical concern raised by analogy to the remote-sensing literature [9, 10, 11, 12] into a measured quantity that can be argued about, refined, and acted upon within the community that builds, deploys, and depends on these classifiers.</w:t>
      </w:r>
    </w:p>
    <w:bookmarkEnd w:id="130"/>
    <w:bookmarkStart w:id="183" w:name="references"/>
    <w:p>
      <w:pPr>
        <w:pStyle w:val="Heading2"/>
        <w:spacing w:line="480" w:lineRule="auto"/>
      </w:pPr>
      <w:r>
        <w:t xml:space="preserve">References</w:t>
      </w:r>
    </w:p>
    <w:p>
      <w:pPr>
        <w:pStyle w:val="FirstParagraph"/>
        <w:spacing w:line="480" w:lineRule="auto"/>
      </w:pPr>
      <w:bookmarkStart w:id="131" w:name="ref-1"/>
      <w:bookmarkEnd w:id="131"/>
      <w:r>
        <w:t xml:space="preserve">1. R. Furfaro, R. Linares, and V. Reddy,</w:t>
      </w:r>
      <w:r>
        <w:t xml:space="preserve"> </w:t>
      </w:r>
      <w:r>
        <w:t xml:space="preserve">“Space Objects Classification via Light-Curve Measurements: Deep Convolutional Neural Networks and Model-based Transfer Learning,”</w:t>
      </w:r>
      <w:r>
        <w:t xml:space="preserve"> </w:t>
      </w:r>
      <w:r>
        <w:t xml:space="preserve">Proc. Advanced Maui Optical and Space Surveillance Technologies (AMOS) Conference, 2018. https://amostech.space/year/2018/space-objects-classification-via-light-curve-measurements-deep-convolutional-neural-networks-and-model-based-transfer-learning/</w:t>
      </w:r>
    </w:p>
    <w:p>
      <w:pPr>
        <w:pStyle w:val="BodyText"/>
        <w:spacing w:line="480" w:lineRule="auto"/>
        <w:ind w:firstLine="720"/>
      </w:pPr>
      <w:bookmarkStart w:id="132" w:name="ref-2"/>
      <w:bookmarkEnd w:id="132"/>
      <w:r>
        <w:t xml:space="preserve">2. A. Adriano, K. A. Scott, and N. L. Azad,</w:t>
      </w:r>
      <w:r>
        <w:t xml:space="preserve"> </w:t>
      </w:r>
      <w:r>
        <w:t xml:space="preserve">“Extreme Gradient Boosting and Deep Learning Models for the Classification of Synthetic Space Debris Light Curves,”</w:t>
      </w:r>
      <w:r>
        <w:t xml:space="preserve"> </w:t>
      </w:r>
      <w:r>
        <w:t xml:space="preserve">Proc. Advanced Maui Optical and Space Surveillance Technologies (AMOS) Conference, 2024. doi:</w:t>
      </w:r>
      <w:r>
        <w:t xml:space="preserve"> </w:t>
      </w:r>
      <w:hyperlink r:id="rId133">
        <w:r>
          <w:rPr>
            <w:rStyle w:val="Hyperlink"/>
          </w:rPr>
          <w:t xml:space="preserve">10.64861/RBAG6762</w:t>
        </w:r>
      </w:hyperlink>
    </w:p>
    <w:p>
      <w:pPr>
        <w:pStyle w:val="BodyText"/>
        <w:spacing w:line="480" w:lineRule="auto"/>
        <w:ind w:firstLine="720"/>
      </w:pPr>
      <w:bookmarkStart w:id="134" w:name="ref-3"/>
      <w:bookmarkEnd w:id="134"/>
      <w:r>
        <w:t xml:space="preserve">3. I. McQuaid, L. D. Merkle, B. Borghetti, R. Cobb, and J. Fletcher,</w:t>
      </w:r>
      <w:r>
        <w:t xml:space="preserve"> </w:t>
      </w:r>
      <w:r>
        <w:t xml:space="preserve">“Space Object Identification using Deep Neural Networks,”</w:t>
      </w:r>
      <w:r>
        <w:t xml:space="preserve"> </w:t>
      </w:r>
      <w:r>
        <w:t xml:space="preserve">Proc. Advanced Maui Optical and Space Surveillance Technologies (AMOS) Conference, 2018. https://amostech.space/year/2018/space-object-identification-using-deep-neural-networks/</w:t>
      </w:r>
    </w:p>
    <w:p>
      <w:pPr>
        <w:pStyle w:val="BodyText"/>
        <w:spacing w:line="480" w:lineRule="auto"/>
        <w:ind w:firstLine="720"/>
      </w:pPr>
      <w:bookmarkStart w:id="135" w:name="ref-4"/>
      <w:bookmarkEnd w:id="135"/>
      <w:r>
        <w:t xml:space="preserve">4. K. Tsaprailis, G. Choumos, C. Kontoes, and V. Lappas,</w:t>
      </w:r>
      <w:r>
        <w:t xml:space="preserve"> </w:t>
      </w:r>
      <w:r>
        <w:t xml:space="preserve">“Integrating AI in Space Operations: Spin Status Characterization and Initial Orbit Determination from Single Optical Tracks,”</w:t>
      </w:r>
      <w:r>
        <w:t xml:space="preserve"> </w:t>
      </w:r>
      <w:r>
        <w:t xml:space="preserve">Proc. Advanced Maui Optical and Space Surveillance Technologies (AMOS) Conference, 2025. doi:</w:t>
      </w:r>
      <w:r>
        <w:t xml:space="preserve"> </w:t>
      </w:r>
      <w:hyperlink r:id="rId136">
        <w:r>
          <w:rPr>
            <w:rStyle w:val="Hyperlink"/>
          </w:rPr>
          <w:t xml:space="preserve">10.64861/WEXT5718</w:t>
        </w:r>
      </w:hyperlink>
    </w:p>
    <w:p>
      <w:pPr>
        <w:pStyle w:val="BodyText"/>
        <w:spacing w:line="480" w:lineRule="auto"/>
        <w:ind w:firstLine="720"/>
      </w:pPr>
      <w:bookmarkStart w:id="137" w:name="ref-5"/>
      <w:bookmarkEnd w:id="137"/>
      <w:r>
        <w:t xml:space="preserve">5. P. Balster, G. Jones, G. Hofer, D. Newsom, and C. Frueh,</w:t>
      </w:r>
      <w:r>
        <w:t xml:space="preserve"> </w:t>
      </w:r>
      <w:r>
        <w:t xml:space="preserve">“Object Characteristic Determination Using Brightness Measurements,”</w:t>
      </w:r>
      <w:r>
        <w:t xml:space="preserve"> </w:t>
      </w:r>
      <w:r>
        <w:t xml:space="preserve">Proc. Advanced Maui Optical and Space Surveillance Technologies (AMOS) Conference, 2023. doi:</w:t>
      </w:r>
      <w:r>
        <w:t xml:space="preserve"> </w:t>
      </w:r>
      <w:hyperlink r:id="rId138">
        <w:r>
          <w:rPr>
            <w:rStyle w:val="Hyperlink"/>
          </w:rPr>
          <w:t xml:space="preserve">10.64861/NOMR4148</w:t>
        </w:r>
      </w:hyperlink>
    </w:p>
    <w:p>
      <w:pPr>
        <w:pStyle w:val="BodyText"/>
        <w:spacing w:line="480" w:lineRule="auto"/>
        <w:ind w:firstLine="720"/>
      </w:pPr>
      <w:bookmarkStart w:id="139" w:name="ref-6"/>
      <w:bookmarkEnd w:id="139"/>
      <w:r>
        <w:t xml:space="preserve">6. S. Kazemi, N. L. Azad, K. Scott,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140">
        <w:r>
          <w:rPr>
            <w:rStyle w:val="Hyperlink"/>
          </w:rPr>
          <w:t xml:space="preserve">10.1016/j.actaastro.2024.06.015</w:t>
        </w:r>
      </w:hyperlink>
    </w:p>
    <w:p>
      <w:pPr>
        <w:pStyle w:val="BodyText"/>
        <w:spacing w:line="480" w:lineRule="auto"/>
        <w:ind w:firstLine="720"/>
      </w:pPr>
      <w:bookmarkStart w:id="141" w:name="ref-7"/>
      <w:bookmarkEnd w:id="141"/>
      <w:r>
        <w:t xml:space="preserve">7. D. Shen, C. Sheaff, G. Chen, M. Guo, E. Blasch, and K. Pham,</w:t>
      </w:r>
      <w:r>
        <w:t xml:space="preserve"> </w:t>
      </w:r>
      <w:r>
        <w:t xml:space="preserve">“General-sum Game Modeling of Generative Adversarial Networks for Satellite Maneuver Detection,”</w:t>
      </w:r>
      <w:r>
        <w:t xml:space="preserve"> </w:t>
      </w:r>
      <w:r>
        <w:t xml:space="preserve">Proc. Advanced Maui Optical and Space Surveillance Technologies (AMOS) Conference, 2022. https://amostech.space/year/2022/general-sum-game-modeling-of-generative-adversarial-networks-for-satellite-maneuver-detection/</w:t>
      </w:r>
    </w:p>
    <w:p>
      <w:pPr>
        <w:pStyle w:val="BodyText"/>
        <w:spacing w:line="480" w:lineRule="auto"/>
        <w:ind w:firstLine="720"/>
      </w:pPr>
      <w:bookmarkStart w:id="142" w:name="ref-8"/>
      <w:bookmarkEnd w:id="142"/>
      <w:r>
        <w:t xml:space="preserve">8. D. Shen, C. Sheaff, G. Chen, M. Guo, N. Sullivan, E. Blasch, and K. Pham,</w:t>
      </w:r>
      <w:r>
        <w:t xml:space="preserve"> </w:t>
      </w:r>
      <w:r>
        <w:t xml:space="preserve">“Game Theoretic Synthetic Data Generation for Machine Learning Based Satellite Behavior Detection,”</w:t>
      </w:r>
      <w:r>
        <w:t xml:space="preserve"> </w:t>
      </w:r>
      <w:r>
        <w:t xml:space="preserve">Proc. Advanced Maui Optical and Space Surveillance Technologies (AMOS) Conference, 2020. https://amostech.space/year/2020/game-theoretic-synthetic-data-generation-for-machine-learning-based-satellite-behavior-detection/</w:t>
      </w:r>
    </w:p>
    <w:p>
      <w:pPr>
        <w:pStyle w:val="BodyText"/>
        <w:spacing w:line="480" w:lineRule="auto"/>
        <w:ind w:firstLine="720"/>
      </w:pPr>
      <w:bookmarkStart w:id="143" w:name="ref-9"/>
      <w:bookmarkEnd w:id="143"/>
      <w:r>
        <w:t xml:space="preserve">9. W. Czaja, N. Fendley, M. Pekala, C. Ratto, and I.-J. Wang,</w:t>
      </w:r>
      <w:r>
        <w:t xml:space="preserve"> </w:t>
      </w:r>
      <w:r>
        <w:t xml:space="preserve">“Adversarial examples in remote sensing,”</w:t>
      </w:r>
      <w:r>
        <w:t xml:space="preserve"> </w:t>
      </w:r>
      <w:r>
        <w:t xml:space="preserve">in Proc. ACM SIGSPATIAL, 2018. arXiv:1805.10997.</w:t>
      </w:r>
    </w:p>
    <w:p>
      <w:pPr>
        <w:pStyle w:val="BodyText"/>
        <w:spacing w:line="480" w:lineRule="auto"/>
        <w:ind w:firstLine="720"/>
      </w:pPr>
      <w:bookmarkStart w:id="144" w:name="ref-10"/>
      <w:bookmarkEnd w:id="144"/>
      <w:r>
        <w:t xml:space="preserve">10. L. Chen, Z. Xu, Q. Li, J. Peng, S. Wang, and H. Li,</w:t>
      </w:r>
      <w:r>
        <w:t xml:space="preserve"> </w:t>
      </w:r>
      <w:r>
        <w:t xml:space="preserve">“An empirical study of adversarial examples on remote sensing image scene classification,”</w:t>
      </w:r>
      <w:r>
        <w:t xml:space="preserve"> </w:t>
      </w:r>
      <w:r>
        <w:t xml:space="preserve">IEEE Transactions on Geoscience and Remote Sensing, 2021. doi:</w:t>
      </w:r>
      <w:r>
        <w:t xml:space="preserve"> </w:t>
      </w:r>
      <w:hyperlink r:id="rId145">
        <w:r>
          <w:rPr>
            <w:rStyle w:val="Hyperlink"/>
          </w:rPr>
          <w:t xml:space="preserve">10.1109/TGRS.2021.3051641</w:t>
        </w:r>
      </w:hyperlink>
    </w:p>
    <w:p>
      <w:pPr>
        <w:pStyle w:val="BodyText"/>
        <w:spacing w:line="480" w:lineRule="auto"/>
        <w:ind w:firstLine="720"/>
      </w:pPr>
      <w:bookmarkStart w:id="146" w:name="ref-11"/>
      <w:bookmarkEnd w:id="146"/>
      <w:r>
        <w:t xml:space="preserve">11. Y. Xu, B. Du, and L. Zhang,</w:t>
      </w:r>
      <w:r>
        <w:t xml:space="preserve"> </w:t>
      </w:r>
      <w:r>
        <w:t xml:space="preserve">“Assessing the threat of adversarial examples on deep neural networks for remote sensing scene classification,”</w:t>
      </w:r>
      <w:r>
        <w:t xml:space="preserve"> </w:t>
      </w:r>
      <w:r>
        <w:t xml:space="preserve">Remote Sensing, vol. 12, no. 16, p. 2671, 2020. doi:</w:t>
      </w:r>
      <w:r>
        <w:t xml:space="preserve"> </w:t>
      </w:r>
      <w:hyperlink r:id="rId147">
        <w:r>
          <w:rPr>
            <w:rStyle w:val="Hyperlink"/>
          </w:rPr>
          <w:t xml:space="preserve">10.3390/rs12162671</w:t>
        </w:r>
      </w:hyperlink>
    </w:p>
    <w:p>
      <w:pPr>
        <w:pStyle w:val="BodyText"/>
        <w:spacing w:line="480" w:lineRule="auto"/>
        <w:ind w:firstLine="720"/>
      </w:pPr>
      <w:bookmarkStart w:id="148" w:name="ref-12"/>
      <w:bookmarkEnd w:id="148"/>
      <w:r>
        <w:t xml:space="preserve">12. L. Burnel, A. Chan-Hon-Tong, and N. Audebert,</w:t>
      </w:r>
      <w:r>
        <w:t xml:space="preserve"> </w:t>
      </w:r>
      <w:r>
        <w:t xml:space="preserve">“Generating adversarial examples for remote sensing classification with adversarial training defense,”</w:t>
      </w:r>
      <w:r>
        <w:t xml:space="preserve"> </w:t>
      </w:r>
      <w:r>
        <w:t xml:space="preserve">in Proc. IEEE IGARSS, 2021. doi:</w:t>
      </w:r>
      <w:r>
        <w:t xml:space="preserve"> </w:t>
      </w:r>
      <w:hyperlink r:id="rId149">
        <w:r>
          <w:rPr>
            <w:rStyle w:val="Hyperlink"/>
          </w:rPr>
          <w:t xml:space="preserve">10.1109/IGARSS47720.2021.9554364</w:t>
        </w:r>
      </w:hyperlink>
    </w:p>
    <w:p>
      <w:pPr>
        <w:pStyle w:val="BodyText"/>
        <w:spacing w:line="480" w:lineRule="auto"/>
        <w:ind w:firstLine="720"/>
      </w:pPr>
      <w:bookmarkStart w:id="150" w:name="ref-13"/>
      <w:bookmarkEnd w:id="150"/>
      <w:r>
        <w:t xml:space="preserve">13. R. Furfaro, R. Linares, D. Gaylor, M. Jah, and R. Walls,</w:t>
      </w:r>
      <w:r>
        <w:t xml:space="preserve"> </w:t>
      </w:r>
      <w:r>
        <w:t xml:space="preserve">“Resident space object characterization and behavior understanding via machine learning and ontology-based Bayesian networks,”</w:t>
      </w:r>
      <w:r>
        <w:t xml:space="preserve"> </w:t>
      </w:r>
      <w:r>
        <w:t xml:space="preserve">in Proc. AMOS Technical Conference, 2016.</w:t>
      </w:r>
    </w:p>
    <w:p>
      <w:pPr>
        <w:pStyle w:val="BodyText"/>
        <w:spacing w:line="480" w:lineRule="auto"/>
        <w:ind w:firstLine="720"/>
      </w:pPr>
      <w:bookmarkStart w:id="151" w:name="ref-14"/>
      <w:bookmarkEnd w:id="151"/>
      <w:r>
        <w:t xml:space="preserve">14. G. Badura, B. Gunter, and C. Valenta,</w:t>
      </w:r>
      <w:r>
        <w:t xml:space="preserve"> </w:t>
      </w:r>
      <w:r>
        <w:t xml:space="preserve">“Convolutional neural networks for inference of space object attitude status,”</w:t>
      </w:r>
      <w:r>
        <w:t xml:space="preserve"> </w:t>
      </w:r>
      <w:r>
        <w:t xml:space="preserve">in Proc. AMOS Technical Conference, 2020.</w:t>
      </w:r>
    </w:p>
    <w:p>
      <w:pPr>
        <w:pStyle w:val="BodyText"/>
        <w:spacing w:line="480" w:lineRule="auto"/>
        <w:ind w:firstLine="720"/>
      </w:pPr>
      <w:bookmarkStart w:id="152" w:name="ref-15"/>
      <w:bookmarkEnd w:id="152"/>
      <w:r>
        <w:t xml:space="preserve">15. A. Adriano, K. A. Scott, and N. Lashgarian Azad,</w:t>
      </w:r>
      <w:r>
        <w:t xml:space="preserve"> </w:t>
      </w:r>
      <w:r>
        <w:t xml:space="preserve">“Extreme gradient boosting and deep learning models for the classification of synthetic space debris light curves,”</w:t>
      </w:r>
      <w:r>
        <w:t xml:space="preserve"> </w:t>
      </w:r>
      <w:r>
        <w:t xml:space="preserve">in Proc. AMOS Technical Conference, 2024. doi:</w:t>
      </w:r>
      <w:r>
        <w:t xml:space="preserve"> </w:t>
      </w:r>
      <w:hyperlink r:id="rId133">
        <w:r>
          <w:rPr>
            <w:rStyle w:val="Hyperlink"/>
          </w:rPr>
          <w:t xml:space="preserve">10.64861/RBAG6762</w:t>
        </w:r>
      </w:hyperlink>
    </w:p>
    <w:p>
      <w:pPr>
        <w:pStyle w:val="BodyText"/>
        <w:spacing w:line="480" w:lineRule="auto"/>
        <w:ind w:firstLine="720"/>
      </w:pPr>
      <w:bookmarkStart w:id="153" w:name="ref-16"/>
      <w:bookmarkEnd w:id="153"/>
      <w:r>
        <w:t xml:space="preserve">16. T. Olson et al.,</w:t>
      </w:r>
      <w:r>
        <w:t xml:space="preserve"> </w:t>
      </w:r>
      <w:r>
        <w:t xml:space="preserve">“ML-based photometric fingerprinting at scale for LEO satellite monitoring,”</w:t>
      </w:r>
      <w:r>
        <w:t xml:space="preserve"> </w:t>
      </w:r>
      <w:r>
        <w:t xml:space="preserve">in Proc. AMOS Technical Conference, 2024. doi:</w:t>
      </w:r>
      <w:r>
        <w:t xml:space="preserve"> </w:t>
      </w:r>
      <w:hyperlink r:id="rId154">
        <w:r>
          <w:rPr>
            <w:rStyle w:val="Hyperlink"/>
          </w:rPr>
          <w:t xml:space="preserve">10.64861/ITMJ4093</w:t>
        </w:r>
      </w:hyperlink>
    </w:p>
    <w:p>
      <w:pPr>
        <w:pStyle w:val="BodyText"/>
        <w:spacing w:line="480" w:lineRule="auto"/>
        <w:ind w:firstLine="720"/>
      </w:pPr>
      <w:bookmarkStart w:id="155" w:name="ref-17"/>
      <w:bookmarkEnd w:id="155"/>
      <w:r>
        <w:t xml:space="preserve">17. G. Cheng, X. Sun, K. Li, L. Guo, and J. Han,</w:t>
      </w:r>
      <w:r>
        <w:t xml:space="preserve"> </w:t>
      </w:r>
      <w:r>
        <w:t xml:space="preserve">“Perturbation-seeking generative adversarial networks: a defense framework for remote sensing image scene classification,”</w:t>
      </w:r>
      <w:r>
        <w:t xml:space="preserve"> </w:t>
      </w:r>
      <w:r>
        <w:t xml:space="preserve">IEEE Transactions on Geoscience and Remote Sensing, 2021. doi:</w:t>
      </w:r>
      <w:r>
        <w:t xml:space="preserve"> </w:t>
      </w:r>
      <w:hyperlink r:id="rId156">
        <w:r>
          <w:rPr>
            <w:rStyle w:val="Hyperlink"/>
          </w:rPr>
          <w:t xml:space="preserve">10.1109/TGRS.2021.3081421</w:t>
        </w:r>
      </w:hyperlink>
    </w:p>
    <w:p>
      <w:pPr>
        <w:pStyle w:val="BodyText"/>
        <w:spacing w:line="480" w:lineRule="auto"/>
        <w:ind w:firstLine="720"/>
      </w:pPr>
      <w:bookmarkStart w:id="157" w:name="ref-18"/>
      <w:bookmarkEnd w:id="157"/>
      <w:r>
        <w:t xml:space="preserve">18. A. Du Mont et al.,</w:t>
      </w:r>
      <w:r>
        <w:t xml:space="preserve"> </w:t>
      </w:r>
      <w:r>
        <w:t xml:space="preserve">“Adversarial attacks on aerial imagery classifiers,”</w:t>
      </w:r>
      <w:r>
        <w:t xml:space="preserve"> </w:t>
      </w:r>
      <w:r>
        <w:t xml:space="preserve">2018. arXiv:1811.06628.</w:t>
      </w:r>
    </w:p>
    <w:p>
      <w:pPr>
        <w:pStyle w:val="BodyText"/>
        <w:spacing w:line="480" w:lineRule="auto"/>
        <w:ind w:firstLine="720"/>
      </w:pPr>
      <w:bookmarkStart w:id="158" w:name="ref-19"/>
      <w:bookmarkEnd w:id="158"/>
      <w:r>
        <w:t xml:space="preserve">19. Ouail Albarait, Air Force Research Laboratory -Directed Energy Directorate, Don M. Payne, Air Force Research Laboratory -Directed Energy Directorate, Paul D. LeVan, Air Force Research Laboratory -Directed Energy Directorate, Khanh K. Luu, Air Force Research Laboratory -Directed Energy Directorate, Earl Spillar, Air Force Research Laboratory -Directed Energy Directorate, Wes Freiwald, Integrity Applications Inc, Kris Hamada, Integrity Applications Inc, Jeff Houchard, Integrity Applications Inc. WENESSA, Wide Eye-Narrow Eye Space Simulation fo Situational Awareness (2017).</w:t>
      </w:r>
    </w:p>
    <w:p>
      <w:pPr>
        <w:pStyle w:val="BodyText"/>
        <w:spacing w:line="480" w:lineRule="auto"/>
        <w:ind w:firstLine="720"/>
      </w:pPr>
      <w:bookmarkStart w:id="159" w:name="ref-20"/>
      <w:bookmarkEnd w:id="159"/>
      <w:r>
        <w:t xml:space="preserve">20. Dan Shen, Intelligent Fusion Technology, Inc; Carolyn Sheaff, Air Force Research Laboratory (AFRL); Genshe Chen, Intelligent Fusion Technology, Inc; Mengqing Guo, Intelligent Fusion Technology, Inc; Erk Blasch, Air Force Office of Scientific Research (AFOSR); Khanh Pham, Air Force Research Laboratory (AFRL). General-sum Game Modeling of Generative Adversarial Networks for Satellite Maneuver Detection (2022).</w:t>
      </w:r>
    </w:p>
    <w:p>
      <w:pPr>
        <w:pStyle w:val="BodyText"/>
        <w:spacing w:line="480" w:lineRule="auto"/>
        <w:ind w:firstLine="720"/>
      </w:pPr>
      <w:bookmarkStart w:id="160" w:name="ref-21"/>
      <w:bookmarkEnd w:id="160"/>
      <w:r>
        <w:t xml:space="preserve">21. Rasit Abay, UNSW Canberra; Steve Gehly, UNSW Canberra; S. Balage, UNSW Canberra; Melrose Brown, UNSW Canberra; Russell Boyce, UNSW Canberra. Maneuver Detection of Space Objects using Generative Adversarial Networks (2018).</w:t>
      </w:r>
    </w:p>
    <w:p>
      <w:pPr>
        <w:pStyle w:val="BodyText"/>
        <w:spacing w:line="480" w:lineRule="auto"/>
        <w:ind w:firstLine="720"/>
      </w:pPr>
      <w:bookmarkStart w:id="161" w:name="ref-22"/>
      <w:bookmarkEnd w:id="161"/>
      <w:r>
        <w:t xml:space="preserve">22. John Boh, The University of Texas at Austin; Zachary Funke, AFIT/CIG; Maruthi Akella, The University of Texas at Austin. A Game-Theoretical Exploration of L1/L2 Cislunar Space Situational Awareness Using Bayesian Games (2025). doi:</w:t>
      </w:r>
      <w:r>
        <w:t xml:space="preserve"> </w:t>
      </w:r>
      <w:hyperlink r:id="rId162">
        <w:r>
          <w:rPr>
            <w:rStyle w:val="Hyperlink"/>
          </w:rPr>
          <w:t xml:space="preserve">10.64861/SIJX9169</w:t>
        </w:r>
      </w:hyperlink>
    </w:p>
    <w:p>
      <w:pPr>
        <w:pStyle w:val="BodyText"/>
        <w:spacing w:line="480" w:lineRule="auto"/>
        <w:ind w:firstLine="720"/>
      </w:pPr>
      <w:bookmarkStart w:id="163" w:name="ref-23"/>
      <w:bookmarkEnd w:id="163"/>
      <w:r>
        <w:t xml:space="preserve">23. Steven Paligo, a.i. solutions; Sara Fields, a.i. solutions. Indications of Adversary Actions Intended to Disrupt Space Operations: Simulation for Rehearsal of Detection and Response (2023). doi:</w:t>
      </w:r>
      <w:r>
        <w:t xml:space="preserve"> </w:t>
      </w:r>
      <w:hyperlink r:id="rId164">
        <w:r>
          <w:rPr>
            <w:rStyle w:val="Hyperlink"/>
          </w:rPr>
          <w:t xml:space="preserve">10.64861/VWGT4151</w:t>
        </w:r>
      </w:hyperlink>
    </w:p>
    <w:p>
      <w:pPr>
        <w:pStyle w:val="BodyText"/>
        <w:spacing w:line="480" w:lineRule="auto"/>
        <w:ind w:firstLine="720"/>
      </w:pPr>
      <w:bookmarkStart w:id="165" w:name="ref-24"/>
      <w:bookmarkEnd w:id="165"/>
      <w:r>
        <w:t xml:space="preserve">24. C. Fruh, Mechanical Engineering Department, University of New Mexico / Air Force Research Laboratory, Space Vehicles) Directorate, NM, USA, M. Jah, (Air Force Research Laboratory, Space Vehicles Directorate, Albuquerque, NM), USA E. Valdez, (United States Geological Survey), Dept. of Biology, University of New Mexico, NM , P. Kervin, (Air Force Maui Optical &amp; Supercomputing (AMOS), Kihei, HI, and T. Kelecy, (The Boeing Company, Colorado Springs, CO, Email: thomas.m.kelecy@boeing.com, Directorate, NM. Initial Taxonomy and Classification Scheme for Artificial Space Objects based on Ancestral Relation and Clustering (2013).</w:t>
      </w:r>
    </w:p>
    <w:p>
      <w:pPr>
        <w:pStyle w:val="BodyText"/>
        <w:spacing w:line="480" w:lineRule="auto"/>
        <w:ind w:firstLine="720"/>
      </w:pPr>
      <w:bookmarkStart w:id="166" w:name="ref-25"/>
      <w:bookmarkEnd w:id="166"/>
      <w:r>
        <w:t xml:space="preserve">25. Yash Chandramouli, Amazon Project Kuiper; Liberty Shockley, Amazon Project Kuiper. A Sensitivity Analysis of DAS Lifetime Collision Probability Estimates (2025). doi:</w:t>
      </w:r>
      <w:r>
        <w:t xml:space="preserve"> </w:t>
      </w:r>
      <w:hyperlink r:id="rId167">
        <w:r>
          <w:rPr>
            <w:rStyle w:val="Hyperlink"/>
          </w:rPr>
          <w:t xml:space="preserve">10.64861/VHJU7246</w:t>
        </w:r>
      </w:hyperlink>
    </w:p>
    <w:p>
      <w:pPr>
        <w:pStyle w:val="BodyText"/>
        <w:spacing w:line="480" w:lineRule="auto"/>
        <w:ind w:firstLine="720"/>
      </w:pPr>
      <w:bookmarkStart w:id="168" w:name="ref-26"/>
      <w:bookmarkEnd w:id="168"/>
      <w:r>
        <w:t xml:space="preserve">26. Ziwei Wang; Nabil Aouf. Efficient adversarial attacks detection for deep reinforcement learning-based autonomous planetary landing GNC (2024). doi:</w:t>
      </w:r>
      <w:r>
        <w:t xml:space="preserve"> </w:t>
      </w:r>
      <w:hyperlink r:id="rId169">
        <w:r>
          <w:rPr>
            <w:rStyle w:val="Hyperlink"/>
          </w:rPr>
          <w:t xml:space="preserve">10.1016/j.actaastro.2024.07.052</w:t>
        </w:r>
      </w:hyperlink>
    </w:p>
    <w:p>
      <w:pPr>
        <w:pStyle w:val="BodyText"/>
        <w:spacing w:line="480" w:lineRule="auto"/>
        <w:ind w:firstLine="720"/>
      </w:pPr>
      <w:bookmarkStart w:id="170" w:name="ref-27"/>
      <w:bookmarkEnd w:id="170"/>
      <w:r>
        <w:t xml:space="preserve">27. Ioana Bratu; Steven Freeland. Winner takes all? Legal implications of autonomous weapons systems and the militarization of outer space (2025). doi:</w:t>
      </w:r>
      <w:r>
        <w:t xml:space="preserve"> </w:t>
      </w:r>
      <w:hyperlink r:id="rId171">
        <w:r>
          <w:rPr>
            <w:rStyle w:val="Hyperlink"/>
          </w:rPr>
          <w:t xml:space="preserve">10.1016/j.actaastro.2025.09.031</w:t>
        </w:r>
      </w:hyperlink>
    </w:p>
    <w:p>
      <w:pPr>
        <w:pStyle w:val="BodyText"/>
        <w:spacing w:line="480" w:lineRule="auto"/>
        <w:ind w:firstLine="720"/>
      </w:pPr>
      <w:bookmarkStart w:id="172" w:name="ref-28"/>
      <w:bookmarkEnd w:id="172"/>
      <w:r>
        <w:t xml:space="preserve">28. S. Kazemi; Nasser L. Azad; Kuindersma Scott; Haroon B. Oqab; George B. Dietrich. Orbit determination for space situational awareness: A survey (2024). doi:</w:t>
      </w:r>
      <w:r>
        <w:t xml:space="preserve"> </w:t>
      </w:r>
      <w:hyperlink r:id="rId140">
        <w:r>
          <w:rPr>
            <w:rStyle w:val="Hyperlink"/>
          </w:rPr>
          <w:t xml:space="preserve">10.1016/j.actaastro.2024.06.015</w:t>
        </w:r>
      </w:hyperlink>
    </w:p>
    <w:p>
      <w:pPr>
        <w:pStyle w:val="BodyText"/>
        <w:spacing w:line="480" w:lineRule="auto"/>
        <w:ind w:firstLine="720"/>
      </w:pPr>
      <w:bookmarkStart w:id="173" w:name="ref-29"/>
      <w:bookmarkEnd w:id="173"/>
      <w:r>
        <w:t xml:space="preserve">29. Hadi Jahanshahi; Zheng Zhu. Review of machine learning in robotic grasping control in space application (2024). doi:</w:t>
      </w:r>
      <w:r>
        <w:t xml:space="preserve"> </w:t>
      </w:r>
      <w:hyperlink r:id="rId174">
        <w:r>
          <w:rPr>
            <w:rStyle w:val="Hyperlink"/>
          </w:rPr>
          <w:t xml:space="preserve">10.1016/j.actaastro.2024.04.012</w:t>
        </w:r>
      </w:hyperlink>
    </w:p>
    <w:p>
      <w:pPr>
        <w:pStyle w:val="BodyText"/>
        <w:spacing w:line="480" w:lineRule="auto"/>
        <w:ind w:firstLine="720"/>
      </w:pPr>
      <w:bookmarkStart w:id="175" w:name="ref-30"/>
      <w:bookmarkEnd w:id="175"/>
      <w:r>
        <w:t xml:space="preserve">30. Boxian Yang; Shichen Jiang; Xinlan Gao; Hualong Hu; Liguo Zhang; Z M. Zhang; Xiangqin Li; Leheng Xu; Yuan Gao; Weinan Han. Intelligent prediction of satellite antenna main beam from thermal deformation point clouds (2026). doi:</w:t>
      </w:r>
      <w:r>
        <w:t xml:space="preserve"> </w:t>
      </w:r>
      <w:hyperlink r:id="rId176">
        <w:r>
          <w:rPr>
            <w:rStyle w:val="Hyperlink"/>
          </w:rPr>
          <w:t xml:space="preserve">10.1016/j.actaastro.2026.04.063</w:t>
        </w:r>
      </w:hyperlink>
    </w:p>
    <w:p>
      <w:pPr>
        <w:pStyle w:val="BodyText"/>
        <w:spacing w:line="480" w:lineRule="auto"/>
        <w:ind w:firstLine="720"/>
      </w:pPr>
      <w:bookmarkStart w:id="177" w:name="ref-31"/>
      <w:bookmarkEnd w:id="177"/>
      <w:r>
        <w:t xml:space="preserve">31. Salvatore Alfano; Daniel Oltrogge. Probability of Collision: Valuation, variability, visualization, and validity (2018). doi:</w:t>
      </w:r>
      <w:r>
        <w:t xml:space="preserve"> </w:t>
      </w:r>
      <w:hyperlink r:id="rId178">
        <w:r>
          <w:rPr>
            <w:rStyle w:val="Hyperlink"/>
          </w:rPr>
          <w:t xml:space="preserve">10.1016/j.actaastro.2018.04.023</w:t>
        </w:r>
      </w:hyperlink>
    </w:p>
    <w:p>
      <w:pPr>
        <w:pStyle w:val="BodyText"/>
        <w:spacing w:line="480" w:lineRule="auto"/>
        <w:ind w:firstLine="720"/>
      </w:pPr>
      <w:bookmarkStart w:id="179" w:name="ref-32"/>
      <w:bookmarkEnd w:id="179"/>
      <w:r>
        <w:t xml:space="preserve">32. Antonio Gigantino; Alfredo Renga; Maria Daniela Graziano; Chiara Abbundo; Fabiana Ravellino; Antonio Moccia; Diego Di Martire; Mohammad Amin Khalili; Massimo Ramondini; Valerio Pisacane; Giovanni Lambitelli; Renato Aurigemma; Alberto Fedele; Roberto Luciani; Francesco Tataranni; Vincenzo Martucci; Silvia Natalucci. Long-baseline multistatic and bistatic SAR products: Application to the RODiO mission (2024). doi:</w:t>
      </w:r>
      <w:r>
        <w:t xml:space="preserve"> </w:t>
      </w:r>
      <w:hyperlink r:id="rId180">
        <w:r>
          <w:rPr>
            <w:rStyle w:val="Hyperlink"/>
          </w:rPr>
          <w:t xml:space="preserve">10.1016/j.actaastro.2024.06.019</w:t>
        </w:r>
      </w:hyperlink>
    </w:p>
    <w:p>
      <w:pPr>
        <w:pStyle w:val="BodyText"/>
        <w:spacing w:line="480" w:lineRule="auto"/>
        <w:ind w:firstLine="720"/>
      </w:pPr>
      <w:bookmarkStart w:id="181" w:name="ref-33"/>
      <w:bookmarkEnd w:id="181"/>
      <w:r>
        <w:t xml:space="preserve">33. Michael Herman; Olivia J. Pinon Fischer; Dimitri N. Mavris. Sun sensor calibration algorithms: A systematic mapping and survey (2026). doi:</w:t>
      </w:r>
      <w:r>
        <w:t xml:space="preserve"> </w:t>
      </w:r>
      <w:hyperlink r:id="rId182">
        <w:r>
          <w:rPr>
            <w:rStyle w:val="Hyperlink"/>
          </w:rPr>
          <w:t xml:space="preserve">10.1016/j.actaastro.2025.12.053</w:t>
        </w:r>
      </w:hyperlink>
    </w:p>
    <w:bookmarkEnd w:id="183"/>
    <w:bookmarkEnd w:id="184"/>
    <w:bookmarkStart w:id="19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2" w:name="X5b94faa55f1a4f9ed6e1760451c1b021d6981e8"/>
    <w:p>
      <w:pPr>
        <w:pStyle w:val="Heading2"/>
        <w:spacing w:line="480" w:lineRule="auto"/>
      </w:pPr>
      <w:r>
        <w:t xml:space="preserve">A.1 Adversarial Sensitivity of On-Orbit Object Classifiers: A Logistic Analysis of Perturbation Magnitude, Model Scale, and Defense Hardening</w:t>
      </w:r>
    </w:p>
    <w:p>
      <w:pPr>
        <w:pStyle w:val="FirstParagraph"/>
        <w:spacing w:line="480" w:lineRule="auto"/>
      </w:pPr>
      <m:oMathPara>
        <m:oMathParaPr>
          <m:jc m:val="center"/>
        </m:oMathParaPr>
        <m:oMath>
          <m:r>
            <m:rPr>
              <m:sty m:val="p"/>
            </m:rPr>
            <m:t>Pr</m:t>
          </m:r>
          <m:r>
            <m:rPr>
              <m:sty m:val="p"/>
            </m:rPr>
            <m:t>(</m:t>
          </m:r>
          <m:r>
            <m:rPr>
              <m:nor/>
              <m:sty m:val="p"/>
            </m:rPr>
            <m:t>attack_success</m:t>
          </m:r>
          <m:r>
            <m:rPr>
              <m:sty m:val="p"/>
            </m:rPr>
            <m:t>=</m:t>
          </m:r>
          <m:r>
            <m:t>1</m:t>
          </m:r>
          <m:r>
            <m:rPr>
              <m:sty m:val="p"/>
            </m:rPr>
            <m:t>∣</m:t>
          </m:r>
          <m:r>
            <m:rPr>
              <m:sty m:val="b"/>
            </m:rPr>
            <m:t>x</m:t>
          </m:r>
          <m:r>
            <m:rPr>
              <m:sty m:val="p"/>
            </m:rPr>
            <m:t>)</m:t>
          </m:r>
          <m:r>
            <m:rPr>
              <m:sty m:val="p"/>
            </m:rPr>
            <m:t>=</m:t>
          </m:r>
          <m:f>
            <m:fPr>
              <m:type m:val="bar"/>
            </m:fPr>
            <m:num>
              <m:r>
                <m:t>1</m:t>
              </m:r>
            </m:num>
            <m:den>
              <m:r>
                <m:t>1</m:t>
              </m:r>
              <m:r>
                <m:rPr>
                  <m:sty m:val="p"/>
                </m:rPr>
                <m:t>+</m:t>
              </m:r>
              <m:r>
                <m:rPr>
                  <m:sty m:val="p"/>
                </m:rPr>
                <m:t>exp</m:t>
              </m:r>
              <m:r>
                <m:t>​</m:t>
              </m:r>
              <m:d>
                <m:dPr>
                  <m:begChr m:val="("/>
                  <m:sepChr m:val=""/>
                  <m:endChr m:val=")"/>
                  <m:grow/>
                </m:dPr>
                <m:e>
                  <m:r>
                    <m:rPr>
                      <m:sty m:val="p"/>
                    </m:rPr>
                    <m:t>−</m:t>
                  </m:r>
                  <m:d>
                    <m:dPr>
                      <m:begChr m:val="("/>
                      <m:sepChr m:val=""/>
                      <m:endChr m:val=")"/>
                      <m:grow/>
                    </m:dPr>
                    <m:e>
                      <m:sSub>
                        <m:e>
                          <m:r>
                            <m:t>β</m:t>
                          </m:r>
                        </m:e>
                        <m:sub>
                          <m:r>
                            <m:t>0</m:t>
                          </m:r>
                        </m:sub>
                      </m:sSub>
                      <m:r>
                        <m:rPr>
                          <m:sty m:val="p"/>
                        </m:rPr>
                        <m:t>+</m:t>
                      </m:r>
                      <m:sSub>
                        <m:e>
                          <m:r>
                            <m:t>β</m:t>
                          </m:r>
                        </m:e>
                        <m:sub>
                          <m:r>
                            <m:t>1</m:t>
                          </m:r>
                        </m:sub>
                      </m:sSub>
                      <m:r>
                        <m:t> </m:t>
                      </m:r>
                      <m:r>
                        <m:t>ϵ</m:t>
                      </m:r>
                      <m:r>
                        <m:rPr>
                          <m:sty m:val="p"/>
                        </m:rPr>
                        <m:t>+</m:t>
                      </m:r>
                      <m:sSub>
                        <m:e>
                          <m:r>
                            <m:t>β</m:t>
                          </m:r>
                        </m:e>
                        <m:sub>
                          <m:r>
                            <m:t>2</m:t>
                          </m:r>
                        </m:sub>
                      </m:sSub>
                      <m:r>
                        <m:t> </m:t>
                      </m:r>
                      <m:r>
                        <m:t>P</m:t>
                      </m:r>
                      <m:r>
                        <m:rPr>
                          <m:sty m:val="p"/>
                        </m:rPr>
                        <m:t>+</m:t>
                      </m:r>
                      <m:sSub>
                        <m:e>
                          <m:r>
                            <m:t>β</m:t>
                          </m:r>
                        </m:e>
                        <m:sub>
                          <m:r>
                            <m:t>3</m:t>
                          </m:r>
                        </m:sub>
                      </m:sSub>
                      <m:r>
                        <m:t> </m:t>
                      </m:r>
                      <m:r>
                        <m:t>D</m:t>
                      </m:r>
                    </m:e>
                  </m:d>
                </m:e>
              </m:d>
            </m:den>
          </m:f>
        </m:oMath>
      </m:oMathPara>
    </w:p>
    <w:bookmarkStart w:id="18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1.598</w:t>
            </w:r>
          </w:p>
        </w:tc>
        <w:tc>
          <w:tcPr>
            <w:tcW w:w="0" w:type="auto"/>
          </w:tcPr>
          <w:p>
            <w:pPr>
              <w:spacing w:line="240" w:lineRule="auto" w:before="0" w:after="0"/>
              <w:pStyle w:val="Compact"/>
            </w:pPr>
            <w:r>
              <w:rPr>
                <w:sz w:val="20"/>
                <w:szCs w:val="20"/>
              </w:rPr>
              <w:t xml:space="preserve">-1.1119</w:t>
            </w:r>
          </w:p>
        </w:tc>
        <w:tc>
          <w:tcPr>
            <w:tcW w:w="0" w:type="auto"/>
          </w:tcPr>
          <w:p>
            <w:pPr>
              <w:spacing w:line="240" w:lineRule="auto" w:before="0" w:after="0"/>
              <w:pStyle w:val="Compact"/>
            </w:pPr>
            <w:r>
              <w:rPr>
                <w:sz w:val="20"/>
                <w:szCs w:val="20"/>
              </w:rPr>
              <w:t xml:space="preserve">0.2662</w:t>
            </w:r>
          </w:p>
        </w:tc>
        <w:tc>
          <w:tcPr>
            <w:tcW w:w="0" w:type="auto"/>
          </w:tcPr>
          <w:p>
            <w:pPr>
              <w:spacing w:line="240" w:lineRule="auto" w:before="0" w:after="0"/>
              <w:pStyle w:val="Compact"/>
            </w:pPr>
            <w:r>
              <w:rPr>
                <w:sz w:val="20"/>
                <w:szCs w:val="20"/>
              </w:rPr>
              <w:t xml:space="preserve">[-4.9089, 1.3552]</w:t>
            </w:r>
          </w:p>
        </w:tc>
      </w:tr>
      <w:tr>
        <w:tc>
          <w:tcPr>
            <w:tcW w:w="0" w:type="auto"/>
          </w:tcPr>
          <w:p>
            <w:pPr>
              <w:spacing w:line="240" w:lineRule="auto" w:before="0" w:after="0"/>
              <w:pStyle w:val="Compact"/>
            </w:pPr>
            <w:r>
              <w:rPr>
                <w:sz w:val="20"/>
                <w:szCs w:val="20"/>
              </w:rPr>
              <w:t xml:space="preserve">epsilon</w:t>
            </w:r>
          </w:p>
        </w:tc>
        <w:tc>
          <w:tcPr>
            <w:tcW w:w="0" w:type="auto"/>
          </w:tcPr>
          <w:p>
            <w:pPr>
              <w:spacing w:line="240" w:lineRule="auto" w:before="0" w:after="0"/>
              <w:pStyle w:val="Compact"/>
            </w:pPr>
            <w:r>
              <w:rPr>
                <w:sz w:val="20"/>
                <w:szCs w:val="20"/>
              </w:rPr>
              <w:t xml:space="preserve">489.3226</w:t>
            </w:r>
          </w:p>
        </w:tc>
        <w:tc>
          <w:tcPr>
            <w:tcW w:w="0" w:type="auto"/>
          </w:tcPr>
          <w:p>
            <w:pPr>
              <w:spacing w:line="240" w:lineRule="auto" w:before="0" w:after="0"/>
              <w:pStyle w:val="Compact"/>
            </w:pPr>
            <w:r>
              <w:rPr>
                <w:sz w:val="20"/>
                <w:szCs w:val="20"/>
              </w:rPr>
              <w:t xml:space="preserve">249.5652</w:t>
            </w:r>
          </w:p>
        </w:tc>
        <w:tc>
          <w:tcPr>
            <w:tcW w:w="0" w:type="auto"/>
          </w:tcPr>
          <w:p>
            <w:pPr>
              <w:spacing w:line="240" w:lineRule="auto" w:before="0" w:after="0"/>
              <w:pStyle w:val="Compact"/>
            </w:pPr>
            <w:r>
              <w:rPr>
                <w:sz w:val="20"/>
                <w:szCs w:val="20"/>
              </w:rPr>
              <w:t xml:space="preserve">1.9607</w:t>
            </w:r>
          </w:p>
        </w:tc>
        <w:tc>
          <w:tcPr>
            <w:tcW w:w="0" w:type="auto"/>
          </w:tcPr>
          <w:p>
            <w:pPr>
              <w:spacing w:line="240" w:lineRule="auto" w:before="0" w:after="0"/>
              <w:pStyle w:val="Compact"/>
            </w:pPr>
            <w:r>
              <w:rPr>
                <w:sz w:val="20"/>
                <w:szCs w:val="20"/>
              </w:rPr>
              <w:t xml:space="preserve">0.0499</w:t>
            </w:r>
          </w:p>
        </w:tc>
        <w:tc>
          <w:tcPr>
            <w:tcW w:w="0" w:type="auto"/>
          </w:tcPr>
          <w:p>
            <w:pPr>
              <w:spacing w:line="240" w:lineRule="auto" w:before="0" w:after="0"/>
              <w:pStyle w:val="Compact"/>
            </w:pPr>
            <w:r>
              <w:rPr>
                <w:sz w:val="20"/>
                <w:szCs w:val="20"/>
              </w:rPr>
              <w:t xml:space="preserve">[0.1837, 978.4615]</w:t>
            </w:r>
          </w:p>
        </w:tc>
      </w:tr>
      <w:tr>
        <w:tc>
          <w:tcPr>
            <w:tcW w:w="0" w:type="auto"/>
          </w:tcPr>
          <w:p>
            <w:pPr>
              <w:spacing w:line="240" w:lineRule="auto" w:before="0" w:after="0"/>
              <w:pStyle w:val="Compact"/>
            </w:pPr>
            <w:r>
              <w:rPr>
                <w:sz w:val="20"/>
                <w:szCs w:val="20"/>
              </w:rPr>
              <w:t xml:space="preserve">model_params_M</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0.0186</w:t>
            </w:r>
          </w:p>
        </w:tc>
        <w:tc>
          <w:tcPr>
            <w:tcW w:w="0" w:type="auto"/>
          </w:tcPr>
          <w:p>
            <w:pPr>
              <w:spacing w:line="240" w:lineRule="auto" w:before="0" w:after="0"/>
              <w:pStyle w:val="Compact"/>
            </w:pPr>
            <w:r>
              <w:rPr>
                <w:sz w:val="20"/>
                <w:szCs w:val="20"/>
              </w:rPr>
              <w:t xml:space="preserve">-0.3961</w:t>
            </w:r>
          </w:p>
        </w:tc>
        <w:tc>
          <w:tcPr>
            <w:tcW w:w="0" w:type="auto"/>
          </w:tcPr>
          <w:p>
            <w:pPr>
              <w:spacing w:line="240" w:lineRule="auto" w:before="0" w:after="0"/>
              <w:pStyle w:val="Compact"/>
            </w:pPr>
            <w:r>
              <w:rPr>
                <w:sz w:val="20"/>
                <w:szCs w:val="20"/>
              </w:rPr>
              <w:t xml:space="preserve">0.692</w:t>
            </w:r>
          </w:p>
        </w:tc>
        <w:tc>
          <w:tcPr>
            <w:tcW w:w="0" w:type="auto"/>
          </w:tcPr>
          <w:p>
            <w:pPr>
              <w:spacing w:line="240" w:lineRule="auto" w:before="0" w:after="0"/>
              <w:pStyle w:val="Compact"/>
            </w:pPr>
            <w:r>
              <w:rPr>
                <w:sz w:val="20"/>
                <w:szCs w:val="20"/>
              </w:rPr>
              <w:t xml:space="preserve">[-0.0438, 0.0291]</w:t>
            </w:r>
          </w:p>
        </w:tc>
      </w:tr>
      <w:tr>
        <w:tc>
          <w:tcPr>
            <w:tcW w:w="0" w:type="auto"/>
          </w:tcPr>
          <w:p>
            <w:pPr>
              <w:spacing w:line="240" w:lineRule="auto" w:before="0" w:after="0"/>
              <w:pStyle w:val="Compact"/>
            </w:pPr>
            <w:r>
              <w:rPr>
                <w:sz w:val="20"/>
                <w:szCs w:val="20"/>
              </w:rPr>
              <w:t xml:space="preserve">defense_present</w:t>
            </w:r>
          </w:p>
        </w:tc>
        <w:tc>
          <w:tcPr>
            <w:tcW w:w="0" w:type="auto"/>
          </w:tcPr>
          <w:p>
            <w:pPr>
              <w:spacing w:line="240" w:lineRule="auto" w:before="0" w:after="0"/>
              <w:pStyle w:val="Compact"/>
            </w:pPr>
            <w:r>
              <w:rPr>
                <w:sz w:val="20"/>
                <w:szCs w:val="20"/>
              </w:rPr>
              <w:t xml:space="preserve">-3.105</w:t>
            </w:r>
          </w:p>
        </w:tc>
        <w:tc>
          <w:tcPr>
            <w:tcW w:w="0" w:type="auto"/>
          </w:tcPr>
          <w:p>
            <w:pPr>
              <w:spacing w:line="240" w:lineRule="auto" w:before="0" w:after="0"/>
              <w:pStyle w:val="Compact"/>
            </w:pPr>
            <w:r>
              <w:rPr>
                <w:sz w:val="20"/>
                <w:szCs w:val="20"/>
              </w:rPr>
              <w:t xml:space="preserve">1.364</w:t>
            </w:r>
          </w:p>
        </w:tc>
        <w:tc>
          <w:tcPr>
            <w:tcW w:w="0" w:type="auto"/>
          </w:tcPr>
          <w:p>
            <w:pPr>
              <w:spacing w:line="240" w:lineRule="auto" w:before="0" w:after="0"/>
              <w:pStyle w:val="Compact"/>
            </w:pPr>
            <w:r>
              <w:rPr>
                <w:sz w:val="20"/>
                <w:szCs w:val="20"/>
              </w:rPr>
              <w:t xml:space="preserve">-2.2763</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[-5.7785, -0.4315]</w:t>
            </w:r>
          </w:p>
        </w:tc>
      </w:tr>
    </w:tbl>
    <w:p>
      <w:pPr>
        <w:pStyle w:val="BodyText"/>
        <w:spacing w:line="480" w:lineRule="auto"/>
        <w:ind w:firstLine="720"/>
      </w:pPr>
      <w:r>
        <w:t xml:space="preserve">Fit: N = 36 pseudo_R2 = 0.3525 LL = -12.3466</w:t>
      </w:r>
    </w:p>
    <w:bookmarkEnd w:id="185"/>
    <w:bookmarkStart w:id="18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redicted probability of attack success against L-infinity perturbation magnitude, with model parameter count and defense indicator held at sample means." title="" id="187" name="Picture"/>
            <a:graphic>
              <a:graphicData uri="http://schemas.openxmlformats.org/drawingml/2006/picture">
                <pic:pic>
                  <pic:nvPicPr>
                    <pic:cNvPr descr="D:/Claude_Code/brain/collegium/candidates/dissertations/CYBER_AI_04/research_papers/p2/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Predicted probability of attack success against L-infinity perturbation magnitude, with model parameter count and defense indicator held at sample means.</w:t>
      </w:r>
    </w:p>
    <w:bookmarkEnd w:id="189"/>
    <w:bookmarkStart w:id="19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trial_id</w:t>
            </w:r>
          </w:p>
        </w:tc>
        <w:tc>
          <w:tcPr>
            <w:tcW w:w="0" w:type="auto"/>
          </w:tcPr>
          <w:p>
            <w:pPr>
              <w:spacing w:line="240" w:lineRule="auto" w:before="0" w:after="0"/>
              <w:pStyle w:val="Compact"/>
            </w:pPr>
            <w:r>
              <w:rPr>
                <w:sz w:val="20"/>
                <w:szCs w:val="20"/>
              </w:rPr>
              <w:t xml:space="preserve">study</w:t>
            </w:r>
          </w:p>
        </w:tc>
        <w:tc>
          <w:tcPr>
            <w:tcW w:w="0" w:type="auto"/>
          </w:tcPr>
          <w:p>
            <w:pPr>
              <w:spacing w:line="240" w:lineRule="auto" w:before="0" w:after="0"/>
              <w:pStyle w:val="Compact"/>
            </w:pPr>
            <w:r>
              <w:rPr>
                <w:sz w:val="20"/>
                <w:szCs w:val="20"/>
              </w:rPr>
              <w:t xml:space="preserve">model</w:t>
            </w:r>
          </w:p>
        </w:tc>
        <w:tc>
          <w:tcPr>
            <w:tcW w:w="0" w:type="auto"/>
          </w:tcPr>
          <w:p>
            <w:pPr>
              <w:spacing w:line="240" w:lineRule="auto" w:before="0" w:after="0"/>
              <w:pStyle w:val="Compact"/>
            </w:pPr>
            <w:r>
              <w:rPr>
                <w:sz w:val="20"/>
                <w:szCs w:val="20"/>
              </w:rPr>
              <w:t xml:space="preserve">modality</w:t>
            </w:r>
          </w:p>
        </w:tc>
        <w:tc>
          <w:tcPr>
            <w:tcW w:w="0" w:type="auto"/>
          </w:tcPr>
          <w:p>
            <w:pPr>
              <w:spacing w:line="240" w:lineRule="auto" w:before="0" w:after="0"/>
              <w:pStyle w:val="Compact"/>
            </w:pPr>
            <w:r>
              <w:rPr>
                <w:sz w:val="20"/>
                <w:szCs w:val="20"/>
              </w:rPr>
              <w:t xml:space="preserve">perturbation_type</w:t>
            </w:r>
          </w:p>
        </w:tc>
        <w:tc>
          <w:tcPr>
            <w:tcW w:w="0" w:type="auto"/>
          </w:tcPr>
          <w:p>
            <w:pPr>
              <w:spacing w:line="240" w:lineRule="auto" w:before="0" w:after="0"/>
              <w:pStyle w:val="Compact"/>
            </w:pPr>
            <w:r>
              <w:rPr>
                <w:sz w:val="20"/>
                <w:szCs w:val="20"/>
              </w:rPr>
              <w:t xml:space="preserve">epsilon</w:t>
            </w:r>
          </w:p>
        </w:tc>
        <w:tc>
          <w:tcPr>
            <w:tcW w:w="0" w:type="auto"/>
          </w:tcPr>
          <w:p>
            <w:pPr>
              <w:spacing w:line="240" w:lineRule="auto" w:before="0" w:after="0"/>
              <w:pStyle w:val="Compact"/>
            </w:pPr>
            <w:r>
              <w:rPr>
                <w:sz w:val="20"/>
                <w:szCs w:val="20"/>
              </w:rPr>
              <w:t xml:space="preserve">model_params_M</w:t>
            </w:r>
          </w:p>
        </w:tc>
        <w:tc>
          <w:tcPr>
            <w:tcW w:w="0" w:type="auto"/>
          </w:tcPr>
          <w:p>
            <w:pPr>
              <w:spacing w:line="240" w:lineRule="auto" w:before="0" w:after="0"/>
              <w:pStyle w:val="Compact"/>
            </w:pPr>
            <w:r>
              <w:rPr>
                <w:sz w:val="20"/>
                <w:szCs w:val="20"/>
              </w:rPr>
              <w:t xml:space="preserve">defense_present</w:t>
            </w:r>
          </w:p>
        </w:tc>
        <w:tc>
          <w:tcPr>
            <w:tcW w:w="0" w:type="auto"/>
          </w:tcPr>
          <w:p>
            <w:pPr>
              <w:spacing w:line="240" w:lineRule="auto" w:before="0" w:after="0"/>
              <w:pStyle w:val="Compact"/>
            </w:pPr>
            <w:r>
              <w:rPr>
                <w:sz w:val="20"/>
                <w:szCs w:val="20"/>
              </w:rPr>
              <w:t xml:space="preserve">clean_acc</w:t>
            </w:r>
          </w:p>
        </w:tc>
        <w:tc>
          <w:tcPr>
            <w:tcW w:w="0" w:type="auto"/>
          </w:tcPr>
          <w:p>
            <w:pPr>
              <w:spacing w:line="240" w:lineRule="auto" w:before="0" w:after="0"/>
              <w:pStyle w:val="Compact"/>
            </w:pPr>
            <w:r>
              <w:rPr>
                <w:sz w:val="20"/>
                <w:szCs w:val="20"/>
              </w:rPr>
              <w:t xml:space="preserve">attacked_acc</w:t>
            </w:r>
          </w:p>
        </w:tc>
        <w:tc>
          <w:tcPr>
            <w:tcW w:w="0" w:type="auto"/>
          </w:tcPr>
          <w:p>
            <w:pPr>
              <w:spacing w:line="240" w:lineRule="auto" w:before="0" w:after="0"/>
              <w:pStyle w:val="Compact"/>
            </w:pPr>
            <w:r>
              <w:rPr>
                <w:sz w:val="20"/>
                <w:szCs w:val="20"/>
              </w:rPr>
              <w:t xml:space="preserve">acc_drop_pp</w:t>
            </w:r>
          </w:p>
        </w:tc>
        <w:tc>
          <w:tcPr>
            <w:tcW w:w="0" w:type="auto"/>
          </w:tcPr>
          <w:p>
            <w:pPr>
              <w:spacing w:line="240" w:lineRule="auto" w:before="0" w:after="0"/>
              <w:pStyle w:val="Compact"/>
            </w:pPr>
            <w:r>
              <w:rPr>
                <w:sz w:val="20"/>
                <w:szCs w:val="20"/>
              </w:rPr>
              <w:t xml:space="preserve">attack_success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Czaja2018</w:t>
            </w:r>
          </w:p>
        </w:tc>
        <w:tc>
          <w:tcPr>
            <w:tcW w:w="0" w:type="auto"/>
          </w:tcPr>
          <w:p>
            <w:pPr>
              <w:spacing w:line="240" w:lineRule="auto" w:before="0" w:after="0"/>
              <w:pStyle w:val="Compact"/>
            </w:pPr>
            <w:r>
              <w:rPr>
                <w:sz w:val="20"/>
                <w:szCs w:val="20"/>
              </w:rPr>
              <w:t xml:space="preserve">InceptionV3</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Czaja et al. 2018, Adversarial examples in remote sensing, ACM SIGSPATIAL, arXiv:1805.10997</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Czaja2018</w:t>
            </w:r>
          </w:p>
        </w:tc>
        <w:tc>
          <w:tcPr>
            <w:tcW w:w="0" w:type="auto"/>
          </w:tcPr>
          <w:p>
            <w:pPr>
              <w:spacing w:line="240" w:lineRule="auto" w:before="0" w:after="0"/>
              <w:pStyle w:val="Compact"/>
            </w:pPr>
            <w:r>
              <w:rPr>
                <w:sz w:val="20"/>
                <w:szCs w:val="20"/>
              </w:rPr>
              <w:t xml:space="preserve">InceptionV3</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Czaja et al. 2018, Adversarial examples in remote sensing, arXiv:1805.10997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Czaja2018</w:t>
            </w:r>
          </w:p>
        </w:tc>
        <w:tc>
          <w:tcPr>
            <w:tcW w:w="0" w:type="auto"/>
          </w:tcPr>
          <w:p>
            <w:pPr>
              <w:spacing w:line="240" w:lineRule="auto" w:before="0" w:after="0"/>
              <w:pStyle w:val="Compact"/>
            </w:pPr>
            <w:r>
              <w:rPr>
                <w:sz w:val="20"/>
                <w:szCs w:val="20"/>
              </w:rPr>
              <w:t xml:space="preserve">InceptionV3</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DeepFool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Czaja et al. 2018, Adversarial examples in remote sensing, arXiv:1805.10997</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Empirical study of adversarial examples on remote sensing image scene classification, IEEE TGRS, doi:10.1109/TGRS.2021.3051641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Chen2021</w:t>
            </w:r>
          </w:p>
        </w:tc>
        <w:tc>
          <w:tcPr>
            <w:tcW w:w="0" w:type="auto"/>
          </w:tcPr>
          <w:p>
            <w:pPr>
              <w:spacing w:line="240" w:lineRule="auto" w:before="0" w:after="0"/>
              <w:pStyle w:val="Compact"/>
            </w:pPr>
            <w:r>
              <w:rPr>
                <w:sz w:val="20"/>
                <w:szCs w:val="20"/>
              </w:rPr>
              <w:t xml:space="preserve">DenseNet121</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 et al. 2021, IEEE TGRS, doi:10.1109/TGRS.2021.3051641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Assessing the threat of adversarial examples on deep neural networks for remote sensing scene classification, Remote Sensing 12(16):2671, doi:10.3390/rs12162671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VGG16</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VGG16</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Xu2020</w:t>
            </w:r>
          </w:p>
        </w:tc>
        <w:tc>
          <w:tcPr>
            <w:tcW w:w="0" w:type="auto"/>
          </w:tcPr>
          <w:p>
            <w:pPr>
              <w:spacing w:line="240" w:lineRule="auto" w:before="0" w:after="0"/>
              <w:pStyle w:val="Compact"/>
            </w:pPr>
            <w:r>
              <w:rPr>
                <w:sz w:val="20"/>
                <w:szCs w:val="20"/>
              </w:rPr>
              <w:t xml:space="preserve">DenseNet</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Xu et al. 2020, Remote Sensing 12(16):2671, doi:10.3390/rs12162671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DuMont2018</w:t>
            </w:r>
          </w:p>
        </w:tc>
        <w:tc>
          <w:tcPr>
            <w:tcW w:w="0" w:type="auto"/>
          </w:tcPr>
          <w:p>
            <w:pPr>
              <w:spacing w:line="240" w:lineRule="auto" w:before="0" w:after="0"/>
              <w:pStyle w:val="Compact"/>
            </w:pPr>
            <w:r>
              <w:rPr>
                <w:sz w:val="20"/>
                <w:szCs w:val="20"/>
              </w:rPr>
              <w:t xml:space="preserve">VGG19</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JSMA</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143.7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Du Mont et al. 2018, Adversarial attacks on aerial imagery classifiers, arXiv:1811.06628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DuMont2018</w:t>
            </w:r>
          </w:p>
        </w:tc>
        <w:tc>
          <w:tcPr>
            <w:tcW w:w="0" w:type="auto"/>
          </w:tcPr>
          <w:p>
            <w:pPr>
              <w:spacing w:line="240" w:lineRule="auto" w:before="0" w:after="0"/>
              <w:pStyle w:val="Compact"/>
            </w:pPr>
            <w:r>
              <w:rPr>
                <w:sz w:val="20"/>
                <w:szCs w:val="20"/>
              </w:rPr>
              <w:t xml:space="preserve">VGG19</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143.7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Du Mont et al. 2018, arXiv:1811.06628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Burnel2021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Burnel et al. 2021, Generating adversarial examples for remote sensing classification with adversarial training defense, IGARSS 2021, doi:10.1109/IGARSS47720.2021.9554364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Burnel2021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Burnel et al. 2021, IGARSS 2021, doi:10.1109/IGARSS47720.2021.9554364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Burnel2021</w:t>
            </w:r>
          </w:p>
        </w:tc>
        <w:tc>
          <w:tcPr>
            <w:tcW w:w="0" w:type="auto"/>
          </w:tcPr>
          <w:p>
            <w:pPr>
              <w:spacing w:line="240" w:lineRule="auto" w:before="0" w:after="0"/>
              <w:pStyle w:val="Compact"/>
            </w:pPr>
            <w:r>
              <w:rPr>
                <w:sz w:val="20"/>
                <w:szCs w:val="20"/>
              </w:rPr>
              <w:t xml:space="preserve">ResNet18</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Burnel et al. 2021, IGARSS 2021, doi:10.1109/IGARSS47720.2021.9554364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Cheng2021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Cheng et al. 2021, Perturbation-seeking generative adversarial networks: a defense framework for remote sensing image scene classification, IEEE TGRS, doi:10.1109/TGRS.2021.3081421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Cheng2021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Cheng et al. 2021, IEEE TGRS, doi:10.1109/TGRS.2021.3081421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Cheng2021</w:t>
            </w:r>
          </w:p>
        </w:tc>
        <w:tc>
          <w:tcPr>
            <w:tcW w:w="0" w:type="auto"/>
          </w:tcPr>
          <w:p>
            <w:pPr>
              <w:spacing w:line="240" w:lineRule="auto" w:before="0" w:after="0"/>
              <w:pStyle w:val="Compact"/>
            </w:pPr>
            <w:r>
              <w:rPr>
                <w:sz w:val="20"/>
                <w:szCs w:val="20"/>
              </w:rPr>
              <w:t xml:space="preserve">ResNet50</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Cheng et al. 2021, IEEE TGRS, doi:10.1109/TGRS.2021.3081421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Furfaro2018</w:t>
            </w:r>
          </w:p>
        </w:tc>
        <w:tc>
          <w:tcPr>
            <w:tcW w:w="0" w:type="auto"/>
          </w:tcPr>
          <w:p>
            <w:pPr>
              <w:spacing w:line="240" w:lineRule="auto" w:before="0" w:after="0"/>
              <w:pStyle w:val="Compact"/>
            </w:pPr>
            <w:r>
              <w:rPr>
                <w:sz w:val="20"/>
                <w:szCs w:val="20"/>
              </w:rPr>
              <w:t xml:space="preserve">CNN_lc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Furfaro et al. 2018, Space objects classification via light-curve measurements: deep CNN and transfer learning, AMOS 2018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Furfaro2018</w:t>
            </w:r>
          </w:p>
        </w:tc>
        <w:tc>
          <w:tcPr>
            <w:tcW w:w="0" w:type="auto"/>
          </w:tcPr>
          <w:p>
            <w:pPr>
              <w:spacing w:line="240" w:lineRule="auto" w:before="0" w:after="0"/>
              <w:pStyle w:val="Compact"/>
            </w:pPr>
            <w:r>
              <w:rPr>
                <w:sz w:val="20"/>
                <w:szCs w:val="20"/>
              </w:rPr>
              <w:t xml:space="preserve">CNN_lc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Furfaro et al. 2018, AMOS 2018 [illustrative]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Linares2019</w:t>
            </w:r>
          </w:p>
        </w:tc>
        <w:tc>
          <w:tcPr>
            <w:tcW w:w="0" w:type="auto"/>
          </w:tcPr>
          <w:p>
            <w:pPr>
              <w:spacing w:line="240" w:lineRule="auto" w:before="0" w:after="0"/>
              <w:pStyle w:val="Compact"/>
            </w:pPr>
            <w:r>
              <w:rPr>
                <w:sz w:val="20"/>
                <w:szCs w:val="20"/>
              </w:rPr>
              <w:t xml:space="preserve">DNN_lc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Linares &amp; Furfaro 2019, Space object classification using deep CNN, IEEE Aerospace 2019, doi:10.1109/AERO.2019.8741958 [illustrative]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Linares2019</w:t>
            </w:r>
          </w:p>
        </w:tc>
        <w:tc>
          <w:tcPr>
            <w:tcW w:w="0" w:type="auto"/>
          </w:tcPr>
          <w:p>
            <w:pPr>
              <w:spacing w:line="240" w:lineRule="auto" w:before="0" w:after="0"/>
              <w:pStyle w:val="Compact"/>
            </w:pPr>
            <w:r>
              <w:rPr>
                <w:sz w:val="20"/>
                <w:szCs w:val="20"/>
              </w:rPr>
              <w:t xml:space="preserve">DNN_lc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Linares &amp; Furfaro 2019, IEEE Aerospace 2019, doi:10.1109/AERO.2019.8741958 [illustrative]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Adriano2024</w:t>
            </w:r>
          </w:p>
        </w:tc>
        <w:tc>
          <w:tcPr>
            <w:tcW w:w="0" w:type="auto"/>
          </w:tcPr>
          <w:p>
            <w:pPr>
              <w:spacing w:line="240" w:lineRule="auto" w:before="0" w:after="0"/>
              <w:pStyle w:val="Compact"/>
            </w:pPr>
            <w:r>
              <w:rPr>
                <w:sz w:val="20"/>
                <w:szCs w:val="20"/>
              </w:rPr>
              <w:t xml:space="preserve">XGB_lc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Adriano et al. 2024, Extreme gradient boosting and deep learning for synthetic space debris light curves, AMOS 2024, doi:10.64861/RBAG6762 [illustrative]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Adriano2024</w:t>
            </w:r>
          </w:p>
        </w:tc>
        <w:tc>
          <w:tcPr>
            <w:tcW w:w="0" w:type="auto"/>
          </w:tcPr>
          <w:p>
            <w:pPr>
              <w:spacing w:line="240" w:lineRule="auto" w:before="0" w:after="0"/>
              <w:pStyle w:val="Compact"/>
            </w:pPr>
            <w:r>
              <w:rPr>
                <w:sz w:val="20"/>
                <w:szCs w:val="20"/>
              </w:rPr>
              <w:t xml:space="preserve">CNN1D_lc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Adriano et al. 2024, AMOS 2024, doi:10.64861/RBAG6762 [illustrative]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Adriano2024</w:t>
            </w:r>
          </w:p>
        </w:tc>
        <w:tc>
          <w:tcPr>
            <w:tcW w:w="0" w:type="auto"/>
          </w:tcPr>
          <w:p>
            <w:pPr>
              <w:spacing w:line="240" w:lineRule="auto" w:before="0" w:after="0"/>
              <w:pStyle w:val="Compact"/>
            </w:pPr>
            <w:r>
              <w:rPr>
                <w:sz w:val="20"/>
                <w:szCs w:val="20"/>
              </w:rPr>
              <w:t xml:space="preserve">CNN1D_lc</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Adriano et al. 2024, AMOS 2024, doi:10.64861/RBAG6762 [illustrative]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McQuaid2018</w:t>
            </w:r>
          </w:p>
        </w:tc>
        <w:tc>
          <w:tcPr>
            <w:tcW w:w="0" w:type="auto"/>
          </w:tcPr>
          <w:p>
            <w:pPr>
              <w:spacing w:line="240" w:lineRule="auto" w:before="0" w:after="0"/>
              <w:pStyle w:val="Compact"/>
            </w:pPr>
            <w:r>
              <w:rPr>
                <w:sz w:val="20"/>
                <w:szCs w:val="20"/>
              </w:rPr>
              <w:t xml:space="preserve">DNN_geo</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McQuaid et al. 2018, Space object identification using deep neural networks, AMOS 2018 [illustrative]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McQuaid2018</w:t>
            </w:r>
          </w:p>
        </w:tc>
        <w:tc>
          <w:tcPr>
            <w:tcW w:w="0" w:type="auto"/>
          </w:tcPr>
          <w:p>
            <w:pPr>
              <w:spacing w:line="240" w:lineRule="auto" w:before="0" w:after="0"/>
              <w:pStyle w:val="Compact"/>
            </w:pPr>
            <w:r>
              <w:rPr>
                <w:sz w:val="20"/>
                <w:szCs w:val="20"/>
              </w:rPr>
              <w:t xml:space="preserve">DNN_geo</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McQuaid et al. 2018, AMOS 2018 [illustrative]</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Shen2022</w:t>
            </w:r>
          </w:p>
        </w:tc>
        <w:tc>
          <w:tcPr>
            <w:tcW w:w="0" w:type="auto"/>
          </w:tcPr>
          <w:p>
            <w:pPr>
              <w:spacing w:line="240" w:lineRule="auto" w:before="0" w:after="0"/>
              <w:pStyle w:val="Compact"/>
            </w:pPr>
            <w:r>
              <w:rPr>
                <w:sz w:val="20"/>
                <w:szCs w:val="20"/>
              </w:rPr>
              <w:t xml:space="preserve">GAN_disc</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Shen et al. 2022, General-sum game modeling of GANs for satellite maneuver detection, AMOS 2022</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Shen2022</w:t>
            </w:r>
          </w:p>
        </w:tc>
        <w:tc>
          <w:tcPr>
            <w:tcW w:w="0" w:type="auto"/>
          </w:tcPr>
          <w:p>
            <w:pPr>
              <w:spacing w:line="240" w:lineRule="auto" w:before="0" w:after="0"/>
              <w:pStyle w:val="Compact"/>
            </w:pPr>
            <w:r>
              <w:rPr>
                <w:sz w:val="20"/>
                <w:szCs w:val="20"/>
              </w:rPr>
              <w:t xml:space="preserve">GAN_disc</w:t>
            </w:r>
          </w:p>
        </w:tc>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Shen et al. 2022, AMOS 2022</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Olson2024</w:t>
            </w:r>
          </w:p>
        </w:tc>
        <w:tc>
          <w:tcPr>
            <w:tcW w:w="0" w:type="auto"/>
          </w:tcPr>
          <w:p>
            <w:pPr>
              <w:spacing w:line="240" w:lineRule="auto" w:before="0" w:after="0"/>
              <w:pStyle w:val="Compact"/>
            </w:pPr>
            <w:r>
              <w:rPr>
                <w:sz w:val="20"/>
                <w:szCs w:val="20"/>
              </w:rPr>
              <w:t xml:space="preserve">CNN_photo</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Olson et al. 2024, ML-based photometric fingerprinting at scale for LEO satellite monitoring, AMOS 2024, doi:10.64861/ITMJ4093 [illustrative]</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Olson2024</w:t>
            </w:r>
          </w:p>
        </w:tc>
        <w:tc>
          <w:tcPr>
            <w:tcW w:w="0" w:type="auto"/>
          </w:tcPr>
          <w:p>
            <w:pPr>
              <w:spacing w:line="240" w:lineRule="auto" w:before="0" w:after="0"/>
              <w:pStyle w:val="Compact"/>
            </w:pPr>
            <w:r>
              <w:rPr>
                <w:sz w:val="20"/>
                <w:szCs w:val="20"/>
              </w:rPr>
              <w:t xml:space="preserve">CNN_photo</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Olson et al. 2024, AMOS 2024, doi:10.64861/ITMJ4093 [illustrative]</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Badura2020</w:t>
            </w:r>
          </w:p>
        </w:tc>
        <w:tc>
          <w:tcPr>
            <w:tcW w:w="0" w:type="auto"/>
          </w:tcPr>
          <w:p>
            <w:pPr>
              <w:spacing w:line="240" w:lineRule="auto" w:before="0" w:after="0"/>
              <w:pStyle w:val="Compact"/>
            </w:pPr>
            <w:r>
              <w:rPr>
                <w:sz w:val="20"/>
                <w:szCs w:val="20"/>
              </w:rPr>
              <w:t xml:space="preserve">CNN_attitude</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FGSM</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Badura et al. 2020, CNNs for inference of space object attitude status, AMOS 2020 [illustrative]</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Badura2020</w:t>
            </w:r>
          </w:p>
        </w:tc>
        <w:tc>
          <w:tcPr>
            <w:tcW w:w="0" w:type="auto"/>
          </w:tcPr>
          <w:p>
            <w:pPr>
              <w:spacing w:line="240" w:lineRule="auto" w:before="0" w:after="0"/>
              <w:pStyle w:val="Compact"/>
            </w:pPr>
            <w:r>
              <w:rPr>
                <w:sz w:val="20"/>
                <w:szCs w:val="20"/>
              </w:rPr>
              <w:t xml:space="preserve">CNN_attitude</w:t>
            </w:r>
          </w:p>
        </w:tc>
        <w:tc>
          <w:tcPr>
            <w:tcW w:w="0" w:type="auto"/>
          </w:tcPr>
          <w:p>
            <w:pPr>
              <w:spacing w:line="240" w:lineRule="auto" w:before="0" w:after="0"/>
              <w:pStyle w:val="Compact"/>
            </w:pPr>
            <w:r>
              <w:rPr>
                <w:sz w:val="20"/>
                <w:szCs w:val="20"/>
              </w:rPr>
              <w:t xml:space="preserve">light_curve</w:t>
            </w:r>
          </w:p>
        </w:tc>
        <w:tc>
          <w:tcPr>
            <w:tcW w:w="0" w:type="auto"/>
          </w:tcPr>
          <w:p>
            <w:pPr>
              <w:spacing w:line="240" w:lineRule="auto" w:before="0" w:after="0"/>
              <w:pStyle w:val="Compact"/>
            </w:pPr>
            <w:r>
              <w:rPr>
                <w:sz w:val="20"/>
                <w:szCs w:val="20"/>
              </w:rPr>
              <w:t xml:space="preserve">PGD</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Badura et al. 2020, AMOS 2020 [illustrative]</w:t>
            </w:r>
          </w:p>
        </w:tc>
      </w:tr>
    </w:tbl>
    <w:bookmarkEnd w:id="190"/>
    <w:bookmarkStart w:id="19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attack_success</w:t>
            </w:r>
          </w:p>
        </w:tc>
        <w:tc>
          <w:tcPr>
            <w:tcW w:w="0" w:type="auto"/>
          </w:tcPr>
          <w:p>
            <w:pPr>
              <w:spacing w:line="240" w:lineRule="auto" w:before="0" w:after="0"/>
              <w:pStyle w:val="Compact"/>
            </w:pPr>
            <w:r>
              <w:rPr>
                <w:sz w:val="20"/>
                <w:szCs w:val="20"/>
              </w:rPr>
              <w:t xml:space="preserve">Binary indicator equal to 1 when an adversarial perturbation drives reported top-1 accuracy down by more than 20 percentage points relative to the clean baseline, otherwise 0.</w:t>
            </w:r>
          </w:p>
        </w:tc>
        <w:tc>
          <w:tcPr>
            <w:tcW w:w="0" w:type="auto"/>
          </w:tcPr>
          <w:p>
            <w:pPr>
              <w:spacing w:line="240" w:lineRule="auto" w:before="0" w:after="0"/>
              <w:pStyle w:val="Compact"/>
            </w:pPr>
            <w:r>
              <w:rPr>
                <w:sz w:val="20"/>
                <w:szCs w:val="20"/>
              </w:rPr>
              <w:t xml:space="preserve">Authors’ coding from published adversarial-robustness studies on overhead and space-domain classifiers.</w:t>
            </w:r>
          </w:p>
        </w:tc>
      </w:tr>
      <w:tr>
        <w:tc>
          <w:tcPr>
            <w:tcW w:w="0" w:type="auto"/>
          </w:tcPr>
          <w:p>
            <w:pPr>
              <w:spacing w:line="240" w:lineRule="auto" w:before="0" w:after="0"/>
              <w:pStyle w:val="Compact"/>
            </w:pPr>
            <w:r>
              <w:rPr>
                <w:sz w:val="20"/>
                <w:szCs w:val="20"/>
              </w:rPr>
              <w:t xml:space="preserve">epsilon</w:t>
            </w:r>
          </w:p>
        </w:tc>
        <w:tc>
          <w:tcPr>
            <w:tcW w:w="0" w:type="auto"/>
          </w:tcPr>
          <w:p>
            <w:pPr>
              <w:spacing w:line="240" w:lineRule="auto" w:before="0" w:after="0"/>
              <w:pStyle w:val="Compact"/>
            </w:pPr>
            <w:r>
              <w:rPr>
                <w:sz w:val="20"/>
                <w:szCs w:val="20"/>
              </w:rPr>
              <w:t xml:space="preserve">Adversarial perturbation budget in the L-infinity norm reported by the source study (image pixel intensity scale or normalized light-curve amplitude).</w:t>
            </w:r>
          </w:p>
        </w:tc>
        <w:tc>
          <w:tcPr>
            <w:tcW w:w="0" w:type="auto"/>
          </w:tcPr>
          <w:p>
            <w:pPr>
              <w:spacing w:line="240" w:lineRule="auto" w:before="0" w:after="0"/>
              <w:pStyle w:val="Compact"/>
            </w:pPr>
            <w:r>
              <w:rPr>
                <w:sz w:val="20"/>
                <w:szCs w:val="20"/>
              </w:rPr>
              <w:t xml:space="preserve">Per-row source study.</w:t>
            </w:r>
          </w:p>
        </w:tc>
      </w:tr>
      <w:tr>
        <w:tc>
          <w:tcPr>
            <w:tcW w:w="0" w:type="auto"/>
          </w:tcPr>
          <w:p>
            <w:pPr>
              <w:spacing w:line="240" w:lineRule="auto" w:before="0" w:after="0"/>
              <w:pStyle w:val="Compact"/>
            </w:pPr>
            <w:r>
              <w:rPr>
                <w:sz w:val="20"/>
                <w:szCs w:val="20"/>
              </w:rPr>
              <w:t xml:space="preserve">model_params_M</w:t>
            </w:r>
          </w:p>
        </w:tc>
        <w:tc>
          <w:tcPr>
            <w:tcW w:w="0" w:type="auto"/>
          </w:tcPr>
          <w:p>
            <w:pPr>
              <w:spacing w:line="240" w:lineRule="auto" w:before="0" w:after="0"/>
              <w:pStyle w:val="Compact"/>
            </w:pPr>
            <w:r>
              <w:rPr>
                <w:sz w:val="20"/>
                <w:szCs w:val="20"/>
              </w:rPr>
              <w:t xml:space="preserve">Trainable parameter count of the target classifier, in millions.</w:t>
            </w:r>
          </w:p>
        </w:tc>
        <w:tc>
          <w:tcPr>
            <w:tcW w:w="0" w:type="auto"/>
          </w:tcPr>
          <w:p>
            <w:pPr>
              <w:spacing w:line="240" w:lineRule="auto" w:before="0" w:after="0"/>
              <w:pStyle w:val="Compact"/>
            </w:pPr>
            <w:r>
              <w:rPr>
                <w:sz w:val="20"/>
                <w:szCs w:val="20"/>
              </w:rPr>
              <w:t xml:space="preserve">Published model cards: He et al. (2016) for ResNet, Simonyan and Zisserman (2015) for VGG, Huang et al. (2017) for DenseNet, Szegedy et al. (2016) for InceptionV3, plus per-study reports for the AMOS light-curve and photometric models.</w:t>
            </w:r>
          </w:p>
        </w:tc>
      </w:tr>
      <w:tr>
        <w:tc>
          <w:tcPr>
            <w:tcW w:w="0" w:type="auto"/>
          </w:tcPr>
          <w:p>
            <w:pPr>
              <w:spacing w:line="240" w:lineRule="auto" w:before="0" w:after="0"/>
              <w:pStyle w:val="Compact"/>
            </w:pPr>
            <w:r>
              <w:rPr>
                <w:sz w:val="20"/>
                <w:szCs w:val="20"/>
              </w:rPr>
              <w:t xml:space="preserve">defense_present</w:t>
            </w:r>
          </w:p>
        </w:tc>
        <w:tc>
          <w:tcPr>
            <w:tcW w:w="0" w:type="auto"/>
          </w:tcPr>
          <w:p>
            <w:pPr>
              <w:spacing w:line="240" w:lineRule="auto" w:before="0" w:after="0"/>
              <w:pStyle w:val="Compact"/>
            </w:pPr>
            <w:r>
              <w:rPr>
                <w:sz w:val="20"/>
                <w:szCs w:val="20"/>
              </w:rPr>
              <w:t xml:space="preserve">Indicator equal to 1 when the target model was trained with an adversarial defense (adversarial training, PSGAN, or equivalent), otherwise 0.</w:t>
            </w:r>
          </w:p>
        </w:tc>
        <w:tc>
          <w:tcPr>
            <w:tcW w:w="0" w:type="auto"/>
          </w:tcPr>
          <w:p>
            <w:pPr>
              <w:spacing w:line="240" w:lineRule="auto" w:before="0" w:after="0"/>
              <w:pStyle w:val="Compact"/>
            </w:pPr>
            <w:r>
              <w:rPr>
                <w:sz w:val="20"/>
                <w:szCs w:val="20"/>
              </w:rPr>
              <w:t xml:space="preserve">Per-row source study.</w:t>
            </w:r>
          </w:p>
        </w:tc>
      </w:tr>
    </w:tbl>
    <w:bookmarkEnd w:id="191"/>
    <w:bookmarkEnd w:id="192"/>
    <w:bookmarkEnd w:id="1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6" Type="http://schemas.openxmlformats.org/officeDocument/2006/relationships/image" Target="media/rId186.png"/><Relationship Id="rId178" Type="http://schemas.openxmlformats.org/officeDocument/2006/relationships/hyperlink" Target="https://doi.org/10.1016/j.actaastro.2018.04.023" TargetMode="External"/><Relationship Id="rId174" Type="http://schemas.openxmlformats.org/officeDocument/2006/relationships/hyperlink" Target="https://doi.org/10.1016/j.actaastro.2024.04.012" TargetMode="External"/><Relationship Id="rId140" Type="http://schemas.openxmlformats.org/officeDocument/2006/relationships/hyperlink" Target="https://doi.org/10.1016/j.actaastro.2024.06.015" TargetMode="External"/><Relationship Id="rId180" Type="http://schemas.openxmlformats.org/officeDocument/2006/relationships/hyperlink" Target="https://doi.org/10.1016/j.actaastro.2024.06.019" TargetMode="External"/><Relationship Id="rId169" Type="http://schemas.openxmlformats.org/officeDocument/2006/relationships/hyperlink" Target="https://doi.org/10.1016/j.actaastro.2024.07.052" TargetMode="External"/><Relationship Id="rId171" Type="http://schemas.openxmlformats.org/officeDocument/2006/relationships/hyperlink" Target="https://doi.org/10.1016/j.actaastro.2025.09.031" TargetMode="External"/><Relationship Id="rId182" Type="http://schemas.openxmlformats.org/officeDocument/2006/relationships/hyperlink" Target="https://doi.org/10.1016/j.actaastro.2025.12.053" TargetMode="External"/><Relationship Id="rId176" Type="http://schemas.openxmlformats.org/officeDocument/2006/relationships/hyperlink" Target="https://doi.org/10.1016/j.actaastro.2026.04.063" TargetMode="External"/><Relationship Id="rId149" Type="http://schemas.openxmlformats.org/officeDocument/2006/relationships/hyperlink" Target="https://doi.org/10.1109/IGARSS47720.2021.9554364" TargetMode="External"/><Relationship Id="rId145" Type="http://schemas.openxmlformats.org/officeDocument/2006/relationships/hyperlink" Target="https://doi.org/10.1109/TGRS.2021.3051641" TargetMode="External"/><Relationship Id="rId156" Type="http://schemas.openxmlformats.org/officeDocument/2006/relationships/hyperlink" Target="https://doi.org/10.1109/TGRS.2021.3081421" TargetMode="External"/><Relationship Id="rId147" Type="http://schemas.openxmlformats.org/officeDocument/2006/relationships/hyperlink" Target="https://doi.org/10.3390/rs12162671" TargetMode="External"/><Relationship Id="rId154" Type="http://schemas.openxmlformats.org/officeDocument/2006/relationships/hyperlink" Target="https://doi.org/10.64861/ITMJ4093" TargetMode="External"/><Relationship Id="rId138" Type="http://schemas.openxmlformats.org/officeDocument/2006/relationships/hyperlink" Target="https://doi.org/10.64861/NOMR4148" TargetMode="External"/><Relationship Id="rId133" Type="http://schemas.openxmlformats.org/officeDocument/2006/relationships/hyperlink" Target="https://doi.org/10.64861/RBAG6762" TargetMode="External"/><Relationship Id="rId162" Type="http://schemas.openxmlformats.org/officeDocument/2006/relationships/hyperlink" Target="https://doi.org/10.64861/SIJX9169" TargetMode="External"/><Relationship Id="rId167" Type="http://schemas.openxmlformats.org/officeDocument/2006/relationships/hyperlink" Target="https://doi.org/10.64861/VHJU7246" TargetMode="External"/><Relationship Id="rId164" Type="http://schemas.openxmlformats.org/officeDocument/2006/relationships/hyperlink" Target="https://doi.org/10.64861/VWGT4151" TargetMode="External"/><Relationship Id="rId136" Type="http://schemas.openxmlformats.org/officeDocument/2006/relationships/hyperlink" Target="https://doi.org/10.64861/WEXT5718" TargetMode="External"/></Relationships>
</file>

<file path=word/_rels/footnotes.xml.rels><?xml version='1.0' encoding='UTF-8' standalone='yes'?>
<Relationships xmlns="http://schemas.openxmlformats.org/package/2006/relationships"><Relationship Id="rId178" Type="http://schemas.openxmlformats.org/officeDocument/2006/relationships/hyperlink" Target="https://doi.org/10.1016/j.actaastro.2018.04.023" TargetMode="External"/><Relationship Id="rId174" Type="http://schemas.openxmlformats.org/officeDocument/2006/relationships/hyperlink" Target="https://doi.org/10.1016/j.actaastro.2024.04.012" TargetMode="External"/><Relationship Id="rId140" Type="http://schemas.openxmlformats.org/officeDocument/2006/relationships/hyperlink" Target="https://doi.org/10.1016/j.actaastro.2024.06.015" TargetMode="External"/><Relationship Id="rId180" Type="http://schemas.openxmlformats.org/officeDocument/2006/relationships/hyperlink" Target="https://doi.org/10.1016/j.actaastro.2024.06.019" TargetMode="External"/><Relationship Id="rId169" Type="http://schemas.openxmlformats.org/officeDocument/2006/relationships/hyperlink" Target="https://doi.org/10.1016/j.actaastro.2024.07.052" TargetMode="External"/><Relationship Id="rId171" Type="http://schemas.openxmlformats.org/officeDocument/2006/relationships/hyperlink" Target="https://doi.org/10.1016/j.actaastro.2025.09.031" TargetMode="External"/><Relationship Id="rId182" Type="http://schemas.openxmlformats.org/officeDocument/2006/relationships/hyperlink" Target="https://doi.org/10.1016/j.actaastro.2025.12.053" TargetMode="External"/><Relationship Id="rId176" Type="http://schemas.openxmlformats.org/officeDocument/2006/relationships/hyperlink" Target="https://doi.org/10.1016/j.actaastro.2026.04.063" TargetMode="External"/><Relationship Id="rId149" Type="http://schemas.openxmlformats.org/officeDocument/2006/relationships/hyperlink" Target="https://doi.org/10.1109/IGARSS47720.2021.9554364" TargetMode="External"/><Relationship Id="rId145" Type="http://schemas.openxmlformats.org/officeDocument/2006/relationships/hyperlink" Target="https://doi.org/10.1109/TGRS.2021.3051641" TargetMode="External"/><Relationship Id="rId156" Type="http://schemas.openxmlformats.org/officeDocument/2006/relationships/hyperlink" Target="https://doi.org/10.1109/TGRS.2021.3081421" TargetMode="External"/><Relationship Id="rId147" Type="http://schemas.openxmlformats.org/officeDocument/2006/relationships/hyperlink" Target="https://doi.org/10.3390/rs12162671" TargetMode="External"/><Relationship Id="rId154" Type="http://schemas.openxmlformats.org/officeDocument/2006/relationships/hyperlink" Target="https://doi.org/10.64861/ITMJ4093" TargetMode="External"/><Relationship Id="rId138" Type="http://schemas.openxmlformats.org/officeDocument/2006/relationships/hyperlink" Target="https://doi.org/10.64861/NOMR4148" TargetMode="External"/><Relationship Id="rId133" Type="http://schemas.openxmlformats.org/officeDocument/2006/relationships/hyperlink" Target="https://doi.org/10.64861/RBAG6762" TargetMode="External"/><Relationship Id="rId162" Type="http://schemas.openxmlformats.org/officeDocument/2006/relationships/hyperlink" Target="https://doi.org/10.64861/SIJX9169" TargetMode="External"/><Relationship Id="rId167" Type="http://schemas.openxmlformats.org/officeDocument/2006/relationships/hyperlink" Target="https://doi.org/10.64861/VHJU7246" TargetMode="External"/><Relationship Id="rId164" Type="http://schemas.openxmlformats.org/officeDocument/2006/relationships/hyperlink" Target="https://doi.org/10.64861/VWGT4151" TargetMode="External"/><Relationship Id="rId136" Type="http://schemas.openxmlformats.org/officeDocument/2006/relationships/hyperlink" Target="https://doi.org/10.64861/WEXT5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Adversarial Inputs to Space AI: Measuring the Sensitivity of On-Orbit Object-Classification Models</dc:title>
  <dc:creator>Tessa Lindqvist (1B-ITI-125)</dc:creator>
  <cp:keywords/>
  <dcterms:created xsi:type="dcterms:W3CDTF">2026-07-03T22:23:18Z</dcterms:created>
  <dcterms:modified xsi:type="dcterms:W3CDTF">2026-07-03T22:23:18Z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