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0.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8" w:name="Xb157c878070ae95c9210a20a43eb385dba3896b"/>
    <w:p>
      <w:pPr>
        <w:pStyle w:val="Heading1"/>
      </w:pPr>
      <w:r>
        <w:t xml:space="preserve">Attention Accumulation in When the Agent Decides Alone Characterizing Failure Modes of Autonomous Collisi: A Learning-Curve Analysis of Citation Growth by Article Age</w:t>
      </w:r>
    </w:p>
    <w:bookmarkStart w:id="61" w:name="introduction"/>
    <w:p>
      <w:pPr>
        <w:pStyle w:val="Heading2"/>
      </w:pPr>
      <w:r>
        <w:t xml:space="preserve">1. Introduction</w:t>
      </w:r>
    </w:p>
    <w:p>
      <w:pPr>
        <w:pStyle w:val="FirstParagraph"/>
      </w:pPr>
      <w:r>
        <w:t xml:space="preserve">This empirical paper supports Delia Farouk (1B-ITI-191) and the dissertation project</w:t>
      </w:r>
      <w:r>
        <w:t xml:space="preserve"> </w:t>
      </w:r>
      <w:r>
        <w:rPr>
          <w:i/>
          <w:iCs/>
        </w:rPr>
        <w:t xml:space="preserve">When the Agent Decides Alone: Characterizing Failure Modes of Autonomous Collisi</w:t>
      </w:r>
      <w:r>
        <w:t xml:space="preserve">. The model tests whether citation accumulation is structured by article age inside the retrieved corpus.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a log-log learning-curve model with robust HC1 standard errors. The exact fit summary is: N=30, R2=0.0026070034111269624, elasticity_b=0.09769064939955185, progress_ratio_2^b=1.0700592258443256. The exact term summary is: const coef=0.5406404772463597 p=0.16484737231426427; _ln_x coef=0.09769064939955185 p=0.733138864017332.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8" w:name="references"/>
    <w:p>
      <w:pPr>
        <w:pStyle w:val="Heading2"/>
      </w:pPr>
      <w:r>
        <w:t xml:space="preserve">References</w:t>
      </w:r>
    </w:p>
    <w:p>
      <w:pPr>
        <w:pStyle w:val="FirstParagraph"/>
      </w:pPr>
      <w:bookmarkStart w:id="67" w:name="ref-1"/>
      <w:bookmarkEnd w:id="67"/>
      <w:r>
        <w:t xml:space="preserve">1. Maciej Konacki, Nicolaus Copernicus Astronomical Center and Baltic Institute of Technology, Pawel Lejba, Space Research Center, Piotr Sybilski, Nicolaus Copernicus Astronomical Center and Sybilla Technologies, Rafal Pawlaszek, Nicolaus Copernicus Astronomical Center and Sybilla Technologies, Stanislaw Kozlowski, Nicolaus Copernicus Astronomical Center and Cillium Engineering, Tomasz Suchodolski, Space Research Center, Michal Litwicki, Nicolaus Copernicus Astronomical Center and Cillium Engineering, Ulrich Kolb, The Open University, Vadim Burwitz, Max-Planck-Institut für Extraterrestrische Physik, Johannes Baader, Baader Planetarium GmbH, Milena Ratajczak, Wroclaw University and Nicolaus Copernicus Astronomical Center, Krzysztof Helminiak, National Astronomical Observatory of Japan, Pawel Chodosiewicz, Ministry of Defense, Poland. Polish and European SST Assets: the Solaris-Panoptes Global Network of Robotic Telescopes and the Borowiec Satellite Laser Ranging System (2016). [AMOS]</w:t>
      </w:r>
      <w:r>
        <w:t xml:space="preserve"> </w:t>
      </w:r>
      <w:bookmarkStart w:id="68" w:name="ref-2"/>
      <w:bookmarkEnd w:id="68"/>
      <w:r>
        <w:t xml:space="preserve">2. Enrique De Alba, EO Solutions; Alexander Cabello, EO Solutions; Garrett Fitzgerald, EO Solutions; Zach Gazak, Space Systems Command A&amp;AS; Justin Fletcher, Space Systems Command A&amp;AS. Toward Integration of Large Language Models for Command and Control in Space Domain Awareness (2025). doi:</w:t>
      </w:r>
      <w:r>
        <w:t xml:space="preserve"> </w:t>
      </w:r>
      <w:hyperlink r:id="rId69">
        <w:r>
          <w:rPr>
            <w:rStyle w:val="Hyperlink"/>
          </w:rPr>
          <w:t xml:space="preserve">10.64861/OWDT6586</w:t>
        </w:r>
      </w:hyperlink>
      <w:r>
        <w:t xml:space="preserve"> </w:t>
      </w:r>
      <w:bookmarkStart w:id="70" w:name="ref-3"/>
      <w:bookmarkEnd w:id="70"/>
      <w:r>
        <w:t xml:space="preserve">3. Christopher J. Sullivan (Oceanit), Edward Pier (Oceanit), Scott Gregory (Oceanit), Michael Bush (Oceanit). Space Situational Awareness using Market Based Agents (2012). [AMOS]</w:t>
      </w:r>
      <w:r>
        <w:t xml:space="preserve"> </w:t>
      </w:r>
      <w:bookmarkStart w:id="71" w:name="ref-4"/>
      <w:bookmarkEnd w:id="71"/>
      <w:r>
        <w:t xml:space="preserve">4. Johnathan Tucker, University of Colorado Boulder; Jackson Wagner, University of Colorado Boulder; Zachary Sunberg, University of Colorado Boulder. Adaptive Stress Testing Applied To Space Domain Awareness Systems (2022). [AMOS]</w:t>
      </w:r>
      <w:r>
        <w:t xml:space="preserve"> </w:t>
      </w:r>
      <w:bookmarkStart w:id="72" w:name="ref-5"/>
      <w:bookmarkEnd w:id="72"/>
      <w:r>
        <w:t xml:space="preserve">5. Richard Stottler, Stottler Henke Associates, Inc.; Sowmya Ramachandran, Stottler Henke Associates, Inc.; Chris Healy, Stottler Henke Associates, Inc.; Abhimanyu Singhal, Stottler Henke Associates, Inc.. Autonomous, Hybrid Space System Fault and Anomaly Detection, Diagnosis, Root Cause Determination, and Recovery (2023). doi:</w:t>
      </w:r>
      <w:r>
        <w:t xml:space="preserve"> </w:t>
      </w:r>
      <w:hyperlink r:id="rId73">
        <w:r>
          <w:rPr>
            <w:rStyle w:val="Hyperlink"/>
          </w:rPr>
          <w:t xml:space="preserve">10.64861/XHRO4751</w:t>
        </w:r>
      </w:hyperlink>
      <w:r>
        <w:t xml:space="preserve"> </w:t>
      </w:r>
      <w:bookmarkStart w:id="74" w:name="ref-6"/>
      <w:bookmarkEnd w:id="74"/>
      <w:r>
        <w:t xml:space="preserve">6. Lawrence Scally (Colorado Engineering, Inc.), Michael Bonato (Colorado Engineering, Inc.), James Crowder (Raytheon). Learning Agents for Autonomous Space Asset Management (LAASAM) (2011). [AMOS]</w:t>
      </w:r>
      <w:r>
        <w:t xml:space="preserve"> </w:t>
      </w:r>
      <w:bookmarkStart w:id="75" w:name="ref-7"/>
      <w:bookmarkEnd w:id="75"/>
      <w:r>
        <w:t xml:space="preserve">7. Larry Gagliano, NASA/MSFC, Shane Mason, SRI International, Tom Percy, NASA/MSFC, Todd MacLeod, NASA/MSFC, Jonathon Prescott, SRI International. Integrated Space Asset Management Database and Modeling (2015). [AMOS]</w:t>
      </w:r>
      <w:r>
        <w:t xml:space="preserve"> </w:t>
      </w:r>
      <w:bookmarkStart w:id="76" w:name="ref-8"/>
      <w:bookmarkEnd w:id="76"/>
      <w:r>
        <w:t xml:space="preserve">8. Daniel Huterer Prats, University of Colorado Boulder; Hanspeter Schaub, University of Colorado Boulder; Chris Wheeler, Interactive Aptitude. Reinforcement Learning for Space-to-Space Surveillance: Autonomous Scheduling for Resident Space Object Imaging (2025). doi:</w:t>
      </w:r>
      <w:r>
        <w:t xml:space="preserve"> </w:t>
      </w:r>
      <w:hyperlink r:id="rId77">
        <w:r>
          <w:rPr>
            <w:rStyle w:val="Hyperlink"/>
          </w:rPr>
          <w:t xml:space="preserve">10.64861/DDFP2152</w:t>
        </w:r>
      </w:hyperlink>
    </w:p>
    <w:bookmarkEnd w:id="78"/>
    <w:bookmarkStart w:id="79"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End w:id="79"/>
    <w:bookmarkStart w:id="83"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0.5406</w:t>
            </w:r>
          </w:p>
        </w:tc>
        <w:tc>
          <w:tcPr>
            <w:tcW w:w="0" w:type="auto"/>
          </w:tcPr>
          <w:p>
            <w:pPr>
              <w:spacing w:line="240" w:lineRule="auto" w:before="0" w:after="0"/>
              <w:pStyle w:val="Compact"/>
            </w:pPr>
            <w:r>
              <w:rPr>
                <w:sz w:val="20"/>
                <w:szCs w:val="20"/>
              </w:rPr>
              <w:t xml:space="preserve">0.3892</w:t>
            </w:r>
          </w:p>
        </w:tc>
        <w:tc>
          <w:tcPr>
            <w:tcW w:w="0" w:type="auto"/>
          </w:tcPr>
          <w:p>
            <w:pPr>
              <w:spacing w:line="240" w:lineRule="auto" w:before="0" w:after="0"/>
              <w:pStyle w:val="Compact"/>
            </w:pPr>
            <w:r>
              <w:rPr>
                <w:sz w:val="20"/>
                <w:szCs w:val="20"/>
              </w:rPr>
              <w:t xml:space="preserve">1.389</w:t>
            </w:r>
          </w:p>
        </w:tc>
        <w:tc>
          <w:tcPr>
            <w:tcW w:w="0" w:type="auto"/>
          </w:tcPr>
          <w:p>
            <w:pPr>
              <w:spacing w:line="240" w:lineRule="auto" w:before="0" w:after="0"/>
              <w:pStyle w:val="Compact"/>
            </w:pPr>
            <w:r>
              <w:rPr>
                <w:sz w:val="20"/>
                <w:szCs w:val="20"/>
              </w:rPr>
              <w:t xml:space="preserve">0.1648</w:t>
            </w:r>
          </w:p>
        </w:tc>
        <w:tc>
          <w:tcPr>
            <w:tcW w:w="0" w:type="auto"/>
          </w:tcPr>
          <w:p>
            <w:pPr>
              <w:spacing w:line="240" w:lineRule="auto" w:before="0" w:after="0"/>
              <w:pStyle w:val="Compact"/>
            </w:pPr>
            <w:r>
              <w:rPr>
                <w:sz w:val="20"/>
                <w:szCs w:val="20"/>
              </w:rPr>
              <w:t xml:space="preserve">[-0.2223, 1.3035]</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0.0977</w:t>
            </w:r>
          </w:p>
        </w:tc>
        <w:tc>
          <w:tcPr>
            <w:tcW w:w="0" w:type="auto"/>
          </w:tcPr>
          <w:p>
            <w:pPr>
              <w:spacing w:line="240" w:lineRule="auto" w:before="0" w:after="0"/>
              <w:pStyle w:val="Compact"/>
            </w:pPr>
            <w:r>
              <w:rPr>
                <w:sz w:val="20"/>
                <w:szCs w:val="20"/>
              </w:rPr>
              <w:t xml:space="preserve">0.2865</w:t>
            </w:r>
          </w:p>
        </w:tc>
        <w:tc>
          <w:tcPr>
            <w:tcW w:w="0" w:type="auto"/>
          </w:tcPr>
          <w:p>
            <w:pPr>
              <w:spacing w:line="240" w:lineRule="auto" w:before="0" w:after="0"/>
              <w:pStyle w:val="Compact"/>
            </w:pPr>
            <w:r>
              <w:rPr>
                <w:sz w:val="20"/>
                <w:szCs w:val="20"/>
              </w:rPr>
              <w:t xml:space="preserve">0.341</w:t>
            </w:r>
          </w:p>
        </w:tc>
        <w:tc>
          <w:tcPr>
            <w:tcW w:w="0" w:type="auto"/>
          </w:tcPr>
          <w:p>
            <w:pPr>
              <w:spacing w:line="240" w:lineRule="auto" w:before="0" w:after="0"/>
              <w:pStyle w:val="Compact"/>
            </w:pPr>
            <w:r>
              <w:rPr>
                <w:sz w:val="20"/>
                <w:szCs w:val="20"/>
              </w:rPr>
              <w:t xml:space="preserve">0.7331</w:t>
            </w:r>
          </w:p>
        </w:tc>
        <w:tc>
          <w:tcPr>
            <w:tcW w:w="0" w:type="auto"/>
          </w:tcPr>
          <w:p>
            <w:pPr>
              <w:spacing w:line="240" w:lineRule="auto" w:before="0" w:after="0"/>
              <w:pStyle w:val="Compact"/>
            </w:pPr>
            <w:r>
              <w:rPr>
                <w:sz w:val="20"/>
                <w:szCs w:val="20"/>
              </w:rPr>
              <w:t xml:space="preserve">[-0.4639, 0.6593]</w:t>
            </w:r>
          </w:p>
        </w:tc>
      </w:tr>
    </w:tbl>
    <w:p>
      <w:pPr>
        <w:pStyle w:val="BodyText"/>
      </w:pPr>
      <w:r>
        <w:t xml:space="preserve">Fit: N = 30 R2 = 0.0026 elasticity_b = 0.0977 progress_ratio_2^b = 1.0701</w:t>
      </w:r>
    </w:p>
    <w:p>
      <w:pPr>
        <w:pStyle w:val="CaptionedFigure"/>
      </w:pPr>
      <w:r>
        <w:drawing>
          <wp:inline>
            <wp:extent cx="5669280" cy="3657600"/>
            <wp:effectExtent b="0" l="0" r="0" t="0"/>
            <wp:docPr descr="Figure 1. Citation accumulation against article age in the retrieved topic literature." title="" id="81" name="Picture"/>
            <a:graphic>
              <a:graphicData uri="http://schemas.openxmlformats.org/drawingml/2006/picture">
                <pic:pic>
                  <pic:nvPicPr>
                    <pic:cNvPr descr="D:\Claude_Code\brain\collegium\candidates\dissertations\CYBER_AI_03\research_papers\p2\paper_fig1.png" id="82" name="Picture"/>
                    <pic:cNvPicPr>
                      <a:picLocks noChangeArrowheads="1" noChangeAspect="1"/>
                    </pic:cNvPicPr>
                  </pic:nvPicPr>
                  <pic:blipFill>
                    <a:blip r:embed="rId8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Citation accumulation against article age in the retrieved topic literature.</w:t>
      </w:r>
    </w:p>
    <w:bookmarkEnd w:id="83"/>
    <w:bookmarkStart w:id="87"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4"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https://amostech.space/year/2016/polish-and-european-sst-assets-the-solaris-panoptes-global-network-of-robotic-telescopes-and-the-borowiec-satellite-laser-ranging-system/</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10.64861/OWDT6586</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https://amostech.space/year/2012/space-situational-awareness-using-market-based-agents/</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https://amostech.space/year/2022/adaptive-stress-testing-applied-to-space-domain-awareness-systems/</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10.64861/XHRO4751</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https://amostech.space/year/2011/learning-agents-for-autonomous-space-asset-management-laasam/</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https://amostech.space/year/2015/integrated-space-asset-management-database-and-modeling/</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10.64861/DDFP2152</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10.64861/FLIA6056</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https://amostech.space/year/2021/artificial-intelligence-enabled-dynamic-coalition-architecture-for-space-traffic-management/</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https://amostech.space/year/2018/autonomy-testbed-development-for-satellite-debris-avoidance/</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10.64861/DAUC8213</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10.1016/j.actaastro.2025.10.018</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10.1016/j.actaastro.2018.11.001</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10.1016/j.actaastro.2018.08.027</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10.1016/j.actaastro.2025.07.004</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10.1016/j.actaastro.2025.05.009</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10.1016/j.actaastro.2019.07.014</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10.1016/j.actaastro.2025.10.071</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130</w:t>
            </w:r>
          </w:p>
        </w:tc>
        <w:tc>
          <w:tcPr>
            <w:tcW w:w="0" w:type="auto"/>
          </w:tcPr>
          <w:p>
            <w:pPr>
              <w:spacing w:line="240" w:lineRule="auto" w:before="0" w:after="0"/>
              <w:pStyle w:val="Compact"/>
            </w:pPr>
            <w:r>
              <w:rPr>
                <w:sz w:val="20"/>
                <w:szCs w:val="20"/>
              </w:rPr>
              <w:t xml:space="preserve">131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10.1016/j.actaastro.2021.12.030</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10.1016/j.actaastro.2025.10.010</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10.1016/j.actaastro.2024.07.052</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10.1016/j.actaastro.2024.10.020</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10.1016/j.actaastro.2025.02.046</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A 2021 Johns Hopkins SAIS doctoral thesis by Nathaniel Dailey proposing an International Space Reference Architecture (ISRA) as a socio-technological transformative mechanism to resolve contemporary space governance failures – orbital debris, policy fragmentation, and space traffic management – by coupling enterprise architecture methodology with international relations constructivist theory, blockchain-enabled information sharing, and norms entrepreneurship.</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Economic Statecraft Literature Review</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Dailey et al. (MITRE/CisLunar) apply circular economy principles to space sustainability, presenting an agent-based economic simulation showing orbital carrying capacity collapse under the tragedy of the commons, and a Metal Propellant Ecosystem (MPE) concept in which defunct satellites are recycled into solid metal propellant in situ to reduce debris and refueling costs.</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 comprehensive literature review synthesizing William J. Norris’s</w:t>
            </w:r>
            <w:r>
              <w:rPr>
                <w:sz w:val="20"/>
                <w:szCs w:val="20"/>
              </w:rPr>
              <w:t xml:space="preserve"> </w:t>
            </w:r>
            <w:r>
              <w:rPr>
                <w:sz w:val="20"/>
                <w:szCs w:val="20"/>
              </w:rPr>
              <w:t xml:space="preserve">“Chinese Economic Statecraft”</w:t>
            </w:r>
            <w:r>
              <w:rPr>
                <w:sz w:val="20"/>
                <w:szCs w:val="20"/>
              </w:rPr>
              <w:t xml:space="preserve"> </w:t>
            </w:r>
            <w:r>
              <w:rPr>
                <w:sz w:val="20"/>
                <w:szCs w:val="20"/>
              </w:rPr>
              <w:t xml:space="preserve">and David A. Baldwin’s</w:t>
            </w:r>
            <w:r>
              <w:rPr>
                <w:sz w:val="20"/>
                <w:szCs w:val="20"/>
              </w:rPr>
              <w:t xml:space="preserve"> </w:t>
            </w:r>
            <w:r>
              <w:rPr>
                <w:sz w:val="20"/>
                <w:szCs w:val="20"/>
              </w:rPr>
              <w:t xml:space="preserve">“Economic Statecraft,”</w:t>
            </w:r>
            <w:r>
              <w:rPr>
                <w:sz w:val="20"/>
                <w:szCs w:val="20"/>
              </w:rPr>
              <w:t xml:space="preserve"> </w:t>
            </w:r>
            <w:r>
              <w:rPr>
                <w:sz w:val="20"/>
                <w:szCs w:val="20"/>
              </w:rPr>
              <w:t xml:space="preserve">analyzing China’s use of state-controlled commercial actors, financial instruments, and sovereign wealth funds to advance strategic objectives, with extrapolation to the space economy as a new frontier for resource acquisition and geopolitical positioning.</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Stilwell IAC 2024 Orbital Capacity</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The Economics of Orbital Debris Generation, Accumulation, Mitigation, Remediation</w:t>
            </w:r>
          </w:p>
        </w:tc>
      </w:tr>
    </w:tbl>
    <w:bookmarkEnd w:id="84"/>
    <w:bookmarkStart w:id="85"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85"/>
    <w:bookmarkStart w:id="86"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0.5406</w:t>
            </w:r>
          </w:p>
        </w:tc>
        <w:tc>
          <w:tcPr>
            <w:tcW w:w="0" w:type="auto"/>
          </w:tcPr>
          <w:p>
            <w:pPr>
              <w:spacing w:line="240" w:lineRule="auto" w:before="0" w:after="0"/>
              <w:pStyle w:val="Compact"/>
            </w:pPr>
            <w:r>
              <w:rPr>
                <w:sz w:val="20"/>
                <w:szCs w:val="20"/>
              </w:rPr>
              <w:t xml:space="preserve">0.3892</w:t>
            </w:r>
          </w:p>
        </w:tc>
        <w:tc>
          <w:tcPr>
            <w:tcW w:w="0" w:type="auto"/>
          </w:tcPr>
          <w:p>
            <w:pPr>
              <w:spacing w:line="240" w:lineRule="auto" w:before="0" w:after="0"/>
              <w:pStyle w:val="Compact"/>
            </w:pPr>
            <w:r>
              <w:rPr>
                <w:sz w:val="20"/>
                <w:szCs w:val="20"/>
              </w:rPr>
              <w:t xml:space="preserve">1.389</w:t>
            </w:r>
          </w:p>
        </w:tc>
        <w:tc>
          <w:tcPr>
            <w:tcW w:w="0" w:type="auto"/>
          </w:tcPr>
          <w:p>
            <w:pPr>
              <w:spacing w:line="240" w:lineRule="auto" w:before="0" w:after="0"/>
              <w:pStyle w:val="Compact"/>
            </w:pPr>
            <w:r>
              <w:rPr>
                <w:sz w:val="20"/>
                <w:szCs w:val="20"/>
              </w:rPr>
              <w:t xml:space="preserve">0.1648</w:t>
            </w:r>
          </w:p>
        </w:tc>
        <w:tc>
          <w:tcPr>
            <w:tcW w:w="0" w:type="auto"/>
          </w:tcPr>
          <w:p>
            <w:pPr>
              <w:spacing w:line="240" w:lineRule="auto" w:before="0" w:after="0"/>
              <w:pStyle w:val="Compact"/>
            </w:pPr>
            <w:r>
              <w:rPr>
                <w:sz w:val="20"/>
                <w:szCs w:val="20"/>
              </w:rPr>
              <w:t xml:space="preserve">[-0.2223, 1.3035]</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0.0977</w:t>
            </w:r>
          </w:p>
        </w:tc>
        <w:tc>
          <w:tcPr>
            <w:tcW w:w="0" w:type="auto"/>
          </w:tcPr>
          <w:p>
            <w:pPr>
              <w:spacing w:line="240" w:lineRule="auto" w:before="0" w:after="0"/>
              <w:pStyle w:val="Compact"/>
            </w:pPr>
            <w:r>
              <w:rPr>
                <w:sz w:val="20"/>
                <w:szCs w:val="20"/>
              </w:rPr>
              <w:t xml:space="preserve">0.2865</w:t>
            </w:r>
          </w:p>
        </w:tc>
        <w:tc>
          <w:tcPr>
            <w:tcW w:w="0" w:type="auto"/>
          </w:tcPr>
          <w:p>
            <w:pPr>
              <w:spacing w:line="240" w:lineRule="auto" w:before="0" w:after="0"/>
              <w:pStyle w:val="Compact"/>
            </w:pPr>
            <w:r>
              <w:rPr>
                <w:sz w:val="20"/>
                <w:szCs w:val="20"/>
              </w:rPr>
              <w:t xml:space="preserve">0.341</w:t>
            </w:r>
          </w:p>
        </w:tc>
        <w:tc>
          <w:tcPr>
            <w:tcW w:w="0" w:type="auto"/>
          </w:tcPr>
          <w:p>
            <w:pPr>
              <w:spacing w:line="240" w:lineRule="auto" w:before="0" w:after="0"/>
              <w:pStyle w:val="Compact"/>
            </w:pPr>
            <w:r>
              <w:rPr>
                <w:sz w:val="20"/>
                <w:szCs w:val="20"/>
              </w:rPr>
              <w:t xml:space="preserve">0.7331</w:t>
            </w:r>
          </w:p>
        </w:tc>
        <w:tc>
          <w:tcPr>
            <w:tcW w:w="0" w:type="auto"/>
          </w:tcPr>
          <w:p>
            <w:pPr>
              <w:spacing w:line="240" w:lineRule="auto" w:before="0" w:after="0"/>
              <w:pStyle w:val="Compact"/>
            </w:pPr>
            <w:r>
              <w:rPr>
                <w:sz w:val="20"/>
                <w:szCs w:val="20"/>
              </w:rPr>
              <w:t xml:space="preserve">[-0.4639, 0.6593]</w:t>
            </w:r>
          </w:p>
        </w:tc>
      </w:tr>
    </w:tbl>
    <w:p>
      <w:pPr>
        <w:pStyle w:val="BodyText"/>
      </w:pPr>
      <w:r>
        <w:t xml:space="preserve">Fit: N = 30 R2 = 0.0026 elasticity_b = 0.0977 progress_ratio_2^b = 1.0701</w:t>
      </w:r>
    </w:p>
    <w:bookmarkEnd w:id="86"/>
    <w:bookmarkEnd w:id="87"/>
    <w:bookmarkEnd w:id="88"/>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0" Target="media/rId80.png" /><Relationship Type="http://schemas.openxmlformats.org/officeDocument/2006/relationships/hyperlink" Id="rId77" Target="https://doi.org/10.64861/DDFP2152" TargetMode="External" /><Relationship Type="http://schemas.openxmlformats.org/officeDocument/2006/relationships/hyperlink" Id="rId69" Target="https://doi.org/10.64861/OWDT6586" TargetMode="External" /><Relationship Type="http://schemas.openxmlformats.org/officeDocument/2006/relationships/hyperlink" Id="rId73" Target="https://doi.org/10.64861/XHRO4751" TargetMode="External" /></Relationships>
</file>

<file path=word/_rels/footnotes.xml.rels><?xml version="1.0" encoding="UTF-8"?><Relationships xmlns="http://schemas.openxmlformats.org/package/2006/relationships"><Relationship Type="http://schemas.openxmlformats.org/officeDocument/2006/relationships/hyperlink" Id="rId77" Target="https://doi.org/10.64861/DDFP2152" TargetMode="External" /><Relationship Type="http://schemas.openxmlformats.org/officeDocument/2006/relationships/hyperlink" Id="rId69" Target="https://doi.org/10.64861/OWDT6586" TargetMode="External" /><Relationship Type="http://schemas.openxmlformats.org/officeDocument/2006/relationships/hyperlink" Id="rId73" Target="https://doi.org/10.64861/XHRO4751"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2026-06-29T09:35:42Z</dcterms:created>
  <dcterms:modified xsi:type="dcterms:W3CDTF">2026-06-29T09:35:42Z</dcterms:modified>
</cp:coreProperties>
</file>

<file path=docProps/custom.xml><?xml version="1.0" encoding="utf-8"?>
<Properties xmlns="http://schemas.openxmlformats.org/officeDocument/2006/custom-properties" xmlns:vt="http://schemas.openxmlformats.org/officeDocument/2006/docPropsVTypes"/>
</file>