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84fb5eb730e205fef4e1273c285d812f0316b54"/>
    <w:p>
      <w:pPr>
        <w:pStyle w:val="Heading1"/>
      </w:pPr>
      <w:r>
        <w:t xml:space="preserve">Signal Intensity in When the Agent Decides Alone Characterizing Failure Modes of Autonomous Collisi: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Delia Farouk (1B-ITI-191) and the dissertation project</w:t>
      </w:r>
      <w:r>
        <w:t xml:space="preserve"> </w:t>
      </w:r>
      <w:r>
        <w:rPr>
          <w:i/>
          <w:iCs/>
        </w:rPr>
        <w:t xml:space="preserve">When the Agent Decides Alone: Characterizing Failure Modes of Autonomous Collisi</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R2=0.12782914111664068, R2_adj=0.027194042014714537, F=1.7019749539484208, F_p=0.19114689088369122. The exact term summary is: const coef=4.787694660910162 p=0.00158927419603207; recency_index coef=-0.16676815127565153 p=0.07119106227269853; cites_num coef=-0.012885967017970793 p=0.08667230136192833; venue_score coef=0.03673055712481521 p=0.9518101365285017.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Maciej Konacki, Nicolaus Copernicus Astronomical Center and Baltic Institute of Technology, Pawel Lejba, Space Research Center, Piotr Sybilski, Nicolaus Copernicus Astronomical Center and Sybilla Technologies, Rafal Pawlaszek, Nicolaus Copernicus Astronomical Center and Sybilla Technologies, Stanislaw Kozlowski, Nicolaus Copernicus Astronomical Center and Cillium Engineering, Tomasz Suchodolski, Space Research Center, Michal Litwicki, Nicolaus Copernicus Astronomical Center and Cillium Engineering, Ulrich Kolb, The Open University, Vadim Burwitz, Max-Planck-Institut für Extraterrestrische Physik, Johannes Baader, Baader Planetarium GmbH, Milena Ratajczak, Wroclaw University and Nicolaus Copernicus Astronomical Center, Krzysztof Helminiak, National Astronomical Observatory of Japan, Pawel Chodosiewicz, Ministry of Defense, Poland. Polish and European SST Assets: the Solaris-Panoptes Global Network of Robotic Telescopes and the Borowiec Satellite Laser Ranging System (2016). [AMOS]</w:t>
      </w:r>
      <w:r>
        <w:t xml:space="preserve"> </w:t>
      </w:r>
      <w:bookmarkStart w:id="68" w:name="ref-2"/>
      <w:bookmarkEnd w:id="68"/>
      <w:r>
        <w:t xml:space="preserve">2. Enrique De Alba, EO Solutions; Alexander Cabello, EO Solutions; Garrett Fitzgerald, EO Solutions; Zach Gazak, Space Systems Command A&amp;AS; Justin Fletcher, Space Systems Command A&amp;AS. Toward Integration of Large Language Models for Command and Control in Space Domain Awareness (2025). doi:</w:t>
      </w:r>
      <w:r>
        <w:t xml:space="preserve"> </w:t>
      </w:r>
      <w:hyperlink r:id="rId69">
        <w:r>
          <w:rPr>
            <w:rStyle w:val="Hyperlink"/>
          </w:rPr>
          <w:t xml:space="preserve">10.64861/OWDT6586</w:t>
        </w:r>
      </w:hyperlink>
      <w:r>
        <w:t xml:space="preserve"> </w:t>
      </w:r>
      <w:bookmarkStart w:id="70" w:name="ref-3"/>
      <w:bookmarkEnd w:id="70"/>
      <w:r>
        <w:t xml:space="preserve">3. Christopher J. Sullivan (Oceanit), Edward Pier (Oceanit), Scott Gregory (Oceanit), Michael Bush (Oceanit). Space Situational Awareness using Market Based Agents (2012). [AMOS]</w:t>
      </w:r>
      <w:r>
        <w:t xml:space="preserve"> </w:t>
      </w:r>
      <w:bookmarkStart w:id="71" w:name="ref-4"/>
      <w:bookmarkEnd w:id="71"/>
      <w:r>
        <w:t xml:space="preserve">4. Johnathan Tucker, University of Colorado Boulder; Jackson Wagner, University of Colorado Boulder; Zachary Sunberg, University of Colorado Boulder. Adaptive Stress Testing Applied To Space Domain Awareness Systems (2022). [AMOS]</w:t>
      </w:r>
      <w:r>
        <w:t xml:space="preserve"> </w:t>
      </w:r>
      <w:bookmarkStart w:id="72" w:name="ref-5"/>
      <w:bookmarkEnd w:id="72"/>
      <w:r>
        <w:t xml:space="preserve">5. Richard Stottler, Stottler Henke Associates, Inc.; Sowmya Ramachandran, Stottler Henke Associates, Inc.; Chris Healy, Stottler Henke Associates, Inc.; Abhimanyu Singhal, Stottler Henke Associates, Inc.. Autonomous, Hybrid Space System Fault and Anomaly Detection, Diagnosis, Root Cause Determination, and Recovery (2023). doi:</w:t>
      </w:r>
      <w:r>
        <w:t xml:space="preserve"> </w:t>
      </w:r>
      <w:hyperlink r:id="rId73">
        <w:r>
          <w:rPr>
            <w:rStyle w:val="Hyperlink"/>
          </w:rPr>
          <w:t xml:space="preserve">10.64861/XHRO4751</w:t>
        </w:r>
      </w:hyperlink>
      <w:r>
        <w:t xml:space="preserve"> </w:t>
      </w:r>
      <w:bookmarkStart w:id="74" w:name="ref-6"/>
      <w:bookmarkEnd w:id="74"/>
      <w:r>
        <w:t xml:space="preserve">6. Lawrence Scally (Colorado Engineering, Inc.), Michael Bonato (Colorado Engineering, Inc.), James Crowder (Raytheon). Learning Agents for Autonomous Space Asset Management (LAASAM) (2011). [AMOS]</w:t>
      </w:r>
      <w:r>
        <w:t xml:space="preserve"> </w:t>
      </w:r>
      <w:bookmarkStart w:id="75" w:name="ref-7"/>
      <w:bookmarkEnd w:id="75"/>
      <w:r>
        <w:t xml:space="preserve">7. Larry Gagliano, NASA/MSFC, Shane Mason, SRI International, Tom Percy, NASA/MSFC, Todd MacLeod, NASA/MSFC, Jonathon Prescott, SRI International. Integrated Space Asset Management Database and Modeling (2015). [AMOS]</w:t>
      </w:r>
      <w:r>
        <w:t xml:space="preserve"> </w:t>
      </w:r>
      <w:bookmarkStart w:id="76" w:name="ref-8"/>
      <w:bookmarkEnd w:id="76"/>
      <w:r>
        <w:t xml:space="preserve">8. Daniel Huterer Prats, University of Colorado Boulder; Hanspeter Schaub, University of Colorado Boulder; Chris Wheeler, Interactive Aptitude. Reinforcement Learning for Space-to-Space Surveillance: Autonomous Scheduling for Resident Space Object Imaging (2025). doi:</w:t>
      </w:r>
      <w:r>
        <w:t xml:space="preserve"> </w:t>
      </w:r>
      <w:hyperlink r:id="rId77">
        <w:r>
          <w:rPr>
            <w:rStyle w:val="Hyperlink"/>
          </w:rPr>
          <w:t xml:space="preserve">10.64861/DDFP2152</w:t>
        </w:r>
      </w:hyperlink>
    </w:p>
    <w:bookmarkEnd w:id="78"/>
    <w:bookmarkStart w:id="79"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4.7877</w:t>
            </w:r>
          </w:p>
        </w:tc>
        <w:tc>
          <w:tcPr>
            <w:tcW w:w="0" w:type="auto"/>
          </w:tcPr>
          <w:p>
            <w:pPr>
              <w:spacing w:line="240" w:lineRule="auto" w:before="0" w:after="0"/>
              <w:pStyle w:val="Compact"/>
            </w:pPr>
            <w:r>
              <w:rPr>
                <w:sz w:val="20"/>
                <w:szCs w:val="20"/>
              </w:rPr>
              <w:t xml:space="preserve">1.5161</w:t>
            </w:r>
          </w:p>
        </w:tc>
        <w:tc>
          <w:tcPr>
            <w:tcW w:w="0" w:type="auto"/>
          </w:tcPr>
          <w:p>
            <w:pPr>
              <w:spacing w:line="240" w:lineRule="auto" w:before="0" w:after="0"/>
              <w:pStyle w:val="Compact"/>
            </w:pPr>
            <w:r>
              <w:rPr>
                <w:sz w:val="20"/>
                <w:szCs w:val="20"/>
              </w:rPr>
              <w:t xml:space="preserve">3.1579</w:t>
            </w:r>
          </w:p>
        </w:tc>
        <w:tc>
          <w:tcPr>
            <w:tcW w:w="0" w:type="auto"/>
          </w:tcPr>
          <w:p>
            <w:pPr>
              <w:spacing w:line="240" w:lineRule="auto" w:before="0" w:after="0"/>
              <w:pStyle w:val="Compact"/>
            </w:pPr>
            <w:r>
              <w:rPr>
                <w:sz w:val="20"/>
                <w:szCs w:val="20"/>
              </w:rPr>
              <w:t xml:space="preserve">0.0016</w:t>
            </w:r>
          </w:p>
        </w:tc>
        <w:tc>
          <w:tcPr>
            <w:tcW w:w="0" w:type="auto"/>
          </w:tcPr>
          <w:p>
            <w:pPr>
              <w:spacing w:line="240" w:lineRule="auto" w:before="0" w:after="0"/>
              <w:pStyle w:val="Compact"/>
            </w:pPr>
            <w:r>
              <w:rPr>
                <w:sz w:val="20"/>
                <w:szCs w:val="20"/>
              </w:rPr>
              <w:t xml:space="preserve">[1.8162, 7.7592]</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-0.1668</w:t>
            </w:r>
          </w:p>
        </w:tc>
        <w:tc>
          <w:tcPr>
            <w:tcW w:w="0" w:type="auto"/>
          </w:tcPr>
          <w:p>
            <w:pPr>
              <w:spacing w:line="240" w:lineRule="auto" w:before="0" w:after="0"/>
              <w:pStyle w:val="Compact"/>
            </w:pPr>
            <w:r>
              <w:rPr>
                <w:sz w:val="20"/>
                <w:szCs w:val="20"/>
              </w:rPr>
              <w:t xml:space="preserve">0.0924</w:t>
            </w:r>
          </w:p>
        </w:tc>
        <w:tc>
          <w:tcPr>
            <w:tcW w:w="0" w:type="auto"/>
          </w:tcPr>
          <w:p>
            <w:pPr>
              <w:spacing w:line="240" w:lineRule="auto" w:before="0" w:after="0"/>
              <w:pStyle w:val="Compact"/>
            </w:pPr>
            <w:r>
              <w:rPr>
                <w:sz w:val="20"/>
                <w:szCs w:val="20"/>
              </w:rPr>
              <w:t xml:space="preserve">-1.8043</w:t>
            </w:r>
          </w:p>
        </w:tc>
        <w:tc>
          <w:tcPr>
            <w:tcW w:w="0" w:type="auto"/>
          </w:tcPr>
          <w:p>
            <w:pPr>
              <w:spacing w:line="240" w:lineRule="auto" w:before="0" w:after="0"/>
              <w:pStyle w:val="Compact"/>
            </w:pPr>
            <w:r>
              <w:rPr>
                <w:sz w:val="20"/>
                <w:szCs w:val="20"/>
              </w:rPr>
              <w:t xml:space="preserve">0.0712</w:t>
            </w:r>
          </w:p>
        </w:tc>
        <w:tc>
          <w:tcPr>
            <w:tcW w:w="0" w:type="auto"/>
          </w:tcPr>
          <w:p>
            <w:pPr>
              <w:spacing w:line="240" w:lineRule="auto" w:before="0" w:after="0"/>
              <w:pStyle w:val="Compact"/>
            </w:pPr>
            <w:r>
              <w:rPr>
                <w:sz w:val="20"/>
                <w:szCs w:val="20"/>
              </w:rPr>
              <w:t xml:space="preserve">[-0.3479, 0.0144]</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-0.0129</w:t>
            </w:r>
          </w:p>
        </w:tc>
        <w:tc>
          <w:tcPr>
            <w:tcW w:w="0" w:type="auto"/>
          </w:tcPr>
          <w:p>
            <w:pPr>
              <w:spacing w:line="240" w:lineRule="auto" w:before="0" w:after="0"/>
              <w:pStyle w:val="Compact"/>
            </w:pPr>
            <w:r>
              <w:rPr>
                <w:sz w:val="20"/>
                <w:szCs w:val="20"/>
              </w:rPr>
              <w:t xml:space="preserve">0.0075</w:t>
            </w:r>
          </w:p>
        </w:tc>
        <w:tc>
          <w:tcPr>
            <w:tcW w:w="0" w:type="auto"/>
          </w:tcPr>
          <w:p>
            <w:pPr>
              <w:spacing w:line="240" w:lineRule="auto" w:before="0" w:after="0"/>
              <w:pStyle w:val="Compact"/>
            </w:pPr>
            <w:r>
              <w:rPr>
                <w:sz w:val="20"/>
                <w:szCs w:val="20"/>
              </w:rPr>
              <w:t xml:space="preserve">-1.7132</w:t>
            </w:r>
          </w:p>
        </w:tc>
        <w:tc>
          <w:tcPr>
            <w:tcW w:w="0" w:type="auto"/>
          </w:tcPr>
          <w:p>
            <w:pPr>
              <w:spacing w:line="240" w:lineRule="auto" w:before="0" w:after="0"/>
              <w:pStyle w:val="Compact"/>
            </w:pPr>
            <w:r>
              <w:rPr>
                <w:sz w:val="20"/>
                <w:szCs w:val="20"/>
              </w:rPr>
              <w:t xml:space="preserve">0.0867</w:t>
            </w:r>
          </w:p>
        </w:tc>
        <w:tc>
          <w:tcPr>
            <w:tcW w:w="0" w:type="auto"/>
          </w:tcPr>
          <w:p>
            <w:pPr>
              <w:spacing w:line="240" w:lineRule="auto" w:before="0" w:after="0"/>
              <w:pStyle w:val="Compact"/>
            </w:pPr>
            <w:r>
              <w:rPr>
                <w:sz w:val="20"/>
                <w:szCs w:val="20"/>
              </w:rPr>
              <w:t xml:space="preserve">[-0.0276, 0.0019]</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0.0367</w:t>
            </w:r>
          </w:p>
        </w:tc>
        <w:tc>
          <w:tcPr>
            <w:tcW w:w="0" w:type="auto"/>
          </w:tcPr>
          <w:p>
            <w:pPr>
              <w:spacing w:line="240" w:lineRule="auto" w:before="0" w:after="0"/>
              <w:pStyle w:val="Compact"/>
            </w:pPr>
            <w:r>
              <w:rPr>
                <w:sz w:val="20"/>
                <w:szCs w:val="20"/>
              </w:rPr>
              <w:t xml:space="preserve">0.6078</w:t>
            </w:r>
          </w:p>
        </w:tc>
        <w:tc>
          <w:tcPr>
            <w:tcW w:w="0" w:type="auto"/>
          </w:tcPr>
          <w:p>
            <w:pPr>
              <w:spacing w:line="240" w:lineRule="auto" w:before="0" w:after="0"/>
              <w:pStyle w:val="Compact"/>
            </w:pPr>
            <w:r>
              <w:rPr>
                <w:sz w:val="20"/>
                <w:szCs w:val="20"/>
              </w:rPr>
              <w:t xml:space="preserve">0.0604</w:t>
            </w:r>
          </w:p>
        </w:tc>
        <w:tc>
          <w:tcPr>
            <w:tcW w:w="0" w:type="auto"/>
          </w:tcPr>
          <w:p>
            <w:pPr>
              <w:spacing w:line="240" w:lineRule="auto" w:before="0" w:after="0"/>
              <w:pStyle w:val="Compact"/>
            </w:pPr>
            <w:r>
              <w:rPr>
                <w:sz w:val="20"/>
                <w:szCs w:val="20"/>
              </w:rPr>
              <w:t xml:space="preserve">0.9518</w:t>
            </w:r>
          </w:p>
        </w:tc>
        <w:tc>
          <w:tcPr>
            <w:tcW w:w="0" w:type="auto"/>
          </w:tcPr>
          <w:p>
            <w:pPr>
              <w:spacing w:line="240" w:lineRule="auto" w:before="0" w:after="0"/>
              <w:pStyle w:val="Compact"/>
            </w:pPr>
            <w:r>
              <w:rPr>
                <w:sz w:val="20"/>
                <w:szCs w:val="20"/>
              </w:rPr>
              <w:t xml:space="preserve">[-1.1545, 1.228]</w:t>
            </w:r>
          </w:p>
        </w:tc>
      </w:tr>
    </w:tbl>
    <w:p>
      <w:pPr>
        <w:pStyle w:val="BodyText"/>
      </w:pPr>
      <w:r>
        <w:t xml:space="preserve">Fit: N = 30 R2 = 0.1278 R2_adj = 0.0272 F = 1.702 F_p = 0.1911</w:t>
      </w:r>
    </w:p>
    <w:p>
      <w:pPr>
        <w:pStyle w:val="CaptionedFigure"/>
      </w:pPr>
      <w:r>
        <w:drawing>
          <wp:inline>
            <wp:extent cx="5669280" cy="3657600"/>
            <wp:effectExtent b="0" l="0" r="0" t="0"/>
            <wp:docPr descr="Figure 1. Topic-signal score by publication recency, conditioning on citation attention and venue family." title="" id="81" name="Picture"/>
            <a:graphic>
              <a:graphicData uri="http://schemas.openxmlformats.org/drawingml/2006/picture">
                <pic:pic>
                  <pic:nvPicPr>
                    <pic:cNvPr descr="D:\Claude_Code\brain\collegium\candidates\dissertations\CYBER_AI_03\research_papers\p1\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https://amostech.space/year/2016/polish-and-european-sst-assets-the-solaris-panoptes-global-network-of-robotic-telescopes-and-the-borowiec-satellite-laser-ranging-system/</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10.64861/OWDT6586</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https://amostech.space/year/2012/space-situational-awareness-using-market-based-agents/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https://amostech.space/year/2022/adaptive-stress-testing-applied-to-space-domain-awareness-systems/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10.64861/XHRO4751</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https://amostech.space/year/2011/learning-agents-for-autonomous-space-asset-management-laasam/</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https://amostech.space/year/2015/integrated-space-asset-management-database-and-modeling/</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10.64861/DDFP2152</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10.64861/FLIA6056</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https://amostech.space/year/2021/artificial-intelligence-enabled-dynamic-coalition-architecture-for-space-traffic-management/</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https://amostech.space/year/2018/autonomy-testbed-development-for-satellite-debris-avoidance/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10.64861/DAUC8213</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10.1016/j.actaastro.2025.10.018</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10.1016/j.actaastro.2018.11.001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10.1016/j.actaastro.2018.08.027</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10.1016/j.actaastro.2025.07.004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10.1016/j.actaastro.2025.05.009</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10.1016/j.actaastro.2019.07.014</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10.1016/j.actaastro.2025.10.071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10.1016/j.actaastro.2021.12.030</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10.1016/j.actaastro.2025.10.010</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10.1016/j.actaastro.2024.07.052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10.1016/j.actaastro.2024.10.020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10.1016/j.actaastro.2025.02.046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 comprehensive literature review synthesizing William J. Norris’s</w:t>
            </w:r>
            <w:r>
              <w:rPr>
                <w:sz w:val="20"/>
                <w:szCs w:val="20"/>
              </w:rPr>
              <w:t xml:space="preserve"> </w:t>
            </w:r>
            <w:r>
              <w:rPr>
                <w:sz w:val="20"/>
                <w:szCs w:val="20"/>
              </w:rPr>
              <w:t xml:space="preserve">“Chinese Economic Statecraft”</w:t>
            </w:r>
            <w:r>
              <w:rPr>
                <w:sz w:val="20"/>
                <w:szCs w:val="20"/>
              </w:rPr>
              <w:t xml:space="preserve"> </w:t>
            </w:r>
            <w:r>
              <w:rPr>
                <w:sz w:val="20"/>
                <w:szCs w:val="20"/>
              </w:rPr>
              <w:t xml:space="preserve">and David A. Baldwin’s</w:t>
            </w:r>
            <w:r>
              <w:rPr>
                <w:sz w:val="20"/>
                <w:szCs w:val="20"/>
              </w:rPr>
              <w:t xml:space="preserve"> </w:t>
            </w:r>
            <w:r>
              <w:rPr>
                <w:sz w:val="20"/>
                <w:szCs w:val="20"/>
              </w:rPr>
              <w:t xml:space="preserve">“Economic Statecraft,”</w:t>
            </w:r>
            <w:r>
              <w:rPr>
                <w:sz w:val="20"/>
                <w:szCs w:val="20"/>
              </w:rPr>
              <w:t xml:space="preserve"> </w:t>
            </w:r>
            <w:r>
              <w:rPr>
                <w:sz w:val="20"/>
                <w:szCs w:val="20"/>
              </w:rPr>
              <w:t xml:space="preserve">analyzing China’s use of state-controlled commercial actors, financial instruments, and sovereign wealth funds to advance strategic objectives, with extrapolation to the space economy as a new frontier for resource acquisition and geopolitical positioning.</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IAC 2024 Orbital Capacity</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The Economics of Orbital Debris Generation, Accumulation, Mitigation, Remediation</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4.7877</w:t>
            </w:r>
          </w:p>
        </w:tc>
        <w:tc>
          <w:tcPr>
            <w:tcW w:w="0" w:type="auto"/>
          </w:tcPr>
          <w:p>
            <w:pPr>
              <w:spacing w:line="240" w:lineRule="auto" w:before="0" w:after="0"/>
              <w:pStyle w:val="Compact"/>
            </w:pPr>
            <w:r>
              <w:rPr>
                <w:sz w:val="20"/>
                <w:szCs w:val="20"/>
              </w:rPr>
              <w:t xml:space="preserve">1.5161</w:t>
            </w:r>
          </w:p>
        </w:tc>
        <w:tc>
          <w:tcPr>
            <w:tcW w:w="0" w:type="auto"/>
          </w:tcPr>
          <w:p>
            <w:pPr>
              <w:spacing w:line="240" w:lineRule="auto" w:before="0" w:after="0"/>
              <w:pStyle w:val="Compact"/>
            </w:pPr>
            <w:r>
              <w:rPr>
                <w:sz w:val="20"/>
                <w:szCs w:val="20"/>
              </w:rPr>
              <w:t xml:space="preserve">3.1579</w:t>
            </w:r>
          </w:p>
        </w:tc>
        <w:tc>
          <w:tcPr>
            <w:tcW w:w="0" w:type="auto"/>
          </w:tcPr>
          <w:p>
            <w:pPr>
              <w:spacing w:line="240" w:lineRule="auto" w:before="0" w:after="0"/>
              <w:pStyle w:val="Compact"/>
            </w:pPr>
            <w:r>
              <w:rPr>
                <w:sz w:val="20"/>
                <w:szCs w:val="20"/>
              </w:rPr>
              <w:t xml:space="preserve">0.0016</w:t>
            </w:r>
          </w:p>
        </w:tc>
        <w:tc>
          <w:tcPr>
            <w:tcW w:w="0" w:type="auto"/>
          </w:tcPr>
          <w:p>
            <w:pPr>
              <w:spacing w:line="240" w:lineRule="auto" w:before="0" w:after="0"/>
              <w:pStyle w:val="Compact"/>
            </w:pPr>
            <w:r>
              <w:rPr>
                <w:sz w:val="20"/>
                <w:szCs w:val="20"/>
              </w:rPr>
              <w:t xml:space="preserve">[1.8162, 7.7592]</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-0.1668</w:t>
            </w:r>
          </w:p>
        </w:tc>
        <w:tc>
          <w:tcPr>
            <w:tcW w:w="0" w:type="auto"/>
          </w:tcPr>
          <w:p>
            <w:pPr>
              <w:spacing w:line="240" w:lineRule="auto" w:before="0" w:after="0"/>
              <w:pStyle w:val="Compact"/>
            </w:pPr>
            <w:r>
              <w:rPr>
                <w:sz w:val="20"/>
                <w:szCs w:val="20"/>
              </w:rPr>
              <w:t xml:space="preserve">0.0924</w:t>
            </w:r>
          </w:p>
        </w:tc>
        <w:tc>
          <w:tcPr>
            <w:tcW w:w="0" w:type="auto"/>
          </w:tcPr>
          <w:p>
            <w:pPr>
              <w:spacing w:line="240" w:lineRule="auto" w:before="0" w:after="0"/>
              <w:pStyle w:val="Compact"/>
            </w:pPr>
            <w:r>
              <w:rPr>
                <w:sz w:val="20"/>
                <w:szCs w:val="20"/>
              </w:rPr>
              <w:t xml:space="preserve">-1.8043</w:t>
            </w:r>
          </w:p>
        </w:tc>
        <w:tc>
          <w:tcPr>
            <w:tcW w:w="0" w:type="auto"/>
          </w:tcPr>
          <w:p>
            <w:pPr>
              <w:spacing w:line="240" w:lineRule="auto" w:before="0" w:after="0"/>
              <w:pStyle w:val="Compact"/>
            </w:pPr>
            <w:r>
              <w:rPr>
                <w:sz w:val="20"/>
                <w:szCs w:val="20"/>
              </w:rPr>
              <w:t xml:space="preserve">0.0712</w:t>
            </w:r>
          </w:p>
        </w:tc>
        <w:tc>
          <w:tcPr>
            <w:tcW w:w="0" w:type="auto"/>
          </w:tcPr>
          <w:p>
            <w:pPr>
              <w:spacing w:line="240" w:lineRule="auto" w:before="0" w:after="0"/>
              <w:pStyle w:val="Compact"/>
            </w:pPr>
            <w:r>
              <w:rPr>
                <w:sz w:val="20"/>
                <w:szCs w:val="20"/>
              </w:rPr>
              <w:t xml:space="preserve">[-0.3479, 0.0144]</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-0.0129</w:t>
            </w:r>
          </w:p>
        </w:tc>
        <w:tc>
          <w:tcPr>
            <w:tcW w:w="0" w:type="auto"/>
          </w:tcPr>
          <w:p>
            <w:pPr>
              <w:spacing w:line="240" w:lineRule="auto" w:before="0" w:after="0"/>
              <w:pStyle w:val="Compact"/>
            </w:pPr>
            <w:r>
              <w:rPr>
                <w:sz w:val="20"/>
                <w:szCs w:val="20"/>
              </w:rPr>
              <w:t xml:space="preserve">0.0075</w:t>
            </w:r>
          </w:p>
        </w:tc>
        <w:tc>
          <w:tcPr>
            <w:tcW w:w="0" w:type="auto"/>
          </w:tcPr>
          <w:p>
            <w:pPr>
              <w:spacing w:line="240" w:lineRule="auto" w:before="0" w:after="0"/>
              <w:pStyle w:val="Compact"/>
            </w:pPr>
            <w:r>
              <w:rPr>
                <w:sz w:val="20"/>
                <w:szCs w:val="20"/>
              </w:rPr>
              <w:t xml:space="preserve">-1.7132</w:t>
            </w:r>
          </w:p>
        </w:tc>
        <w:tc>
          <w:tcPr>
            <w:tcW w:w="0" w:type="auto"/>
          </w:tcPr>
          <w:p>
            <w:pPr>
              <w:spacing w:line="240" w:lineRule="auto" w:before="0" w:after="0"/>
              <w:pStyle w:val="Compact"/>
            </w:pPr>
            <w:r>
              <w:rPr>
                <w:sz w:val="20"/>
                <w:szCs w:val="20"/>
              </w:rPr>
              <w:t xml:space="preserve">0.0867</w:t>
            </w:r>
          </w:p>
        </w:tc>
        <w:tc>
          <w:tcPr>
            <w:tcW w:w="0" w:type="auto"/>
          </w:tcPr>
          <w:p>
            <w:pPr>
              <w:spacing w:line="240" w:lineRule="auto" w:before="0" w:after="0"/>
              <w:pStyle w:val="Compact"/>
            </w:pPr>
            <w:r>
              <w:rPr>
                <w:sz w:val="20"/>
                <w:szCs w:val="20"/>
              </w:rPr>
              <w:t xml:space="preserve">[-0.0276, 0.0019]</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0.0367</w:t>
            </w:r>
          </w:p>
        </w:tc>
        <w:tc>
          <w:tcPr>
            <w:tcW w:w="0" w:type="auto"/>
          </w:tcPr>
          <w:p>
            <w:pPr>
              <w:spacing w:line="240" w:lineRule="auto" w:before="0" w:after="0"/>
              <w:pStyle w:val="Compact"/>
            </w:pPr>
            <w:r>
              <w:rPr>
                <w:sz w:val="20"/>
                <w:szCs w:val="20"/>
              </w:rPr>
              <w:t xml:space="preserve">0.6078</w:t>
            </w:r>
          </w:p>
        </w:tc>
        <w:tc>
          <w:tcPr>
            <w:tcW w:w="0" w:type="auto"/>
          </w:tcPr>
          <w:p>
            <w:pPr>
              <w:spacing w:line="240" w:lineRule="auto" w:before="0" w:after="0"/>
              <w:pStyle w:val="Compact"/>
            </w:pPr>
            <w:r>
              <w:rPr>
                <w:sz w:val="20"/>
                <w:szCs w:val="20"/>
              </w:rPr>
              <w:t xml:space="preserve">0.0604</w:t>
            </w:r>
          </w:p>
        </w:tc>
        <w:tc>
          <w:tcPr>
            <w:tcW w:w="0" w:type="auto"/>
          </w:tcPr>
          <w:p>
            <w:pPr>
              <w:spacing w:line="240" w:lineRule="auto" w:before="0" w:after="0"/>
              <w:pStyle w:val="Compact"/>
            </w:pPr>
            <w:r>
              <w:rPr>
                <w:sz w:val="20"/>
                <w:szCs w:val="20"/>
              </w:rPr>
              <w:t xml:space="preserve">0.9518</w:t>
            </w:r>
          </w:p>
        </w:tc>
        <w:tc>
          <w:tcPr>
            <w:tcW w:w="0" w:type="auto"/>
          </w:tcPr>
          <w:p>
            <w:pPr>
              <w:spacing w:line="240" w:lineRule="auto" w:before="0" w:after="0"/>
              <w:pStyle w:val="Compact"/>
            </w:pPr>
            <w:r>
              <w:rPr>
                <w:sz w:val="20"/>
                <w:szCs w:val="20"/>
              </w:rPr>
              <w:t xml:space="preserve">[-1.1545, 1.228]</w:t>
            </w:r>
          </w:p>
        </w:tc>
      </w:tr>
    </w:tbl>
    <w:p>
      <w:pPr>
        <w:pStyle w:val="BodyText"/>
      </w:pPr>
      <w:r>
        <w:t xml:space="preserve">Fit: N = 30 R2 = 0.1278 R2_adj = 0.0272 F = 1.702 F_p = 0.1911</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7" Target="https://doi.org/10.64861/DDFP2152" TargetMode="External" /><Relationship Type="http://schemas.openxmlformats.org/officeDocument/2006/relationships/hyperlink" Id="rId69" Target="https://doi.org/10.64861/OWDT6586" TargetMode="External" /><Relationship Type="http://schemas.openxmlformats.org/officeDocument/2006/relationships/hyperlink" Id="rId73" Target="https://doi.org/10.64861/XHRO4751" TargetMode="External" /></Relationships>
</file>

<file path=word/_rels/footnotes.xml.rels><?xml version="1.0" encoding="UTF-8"?><Relationships xmlns="http://schemas.openxmlformats.org/package/2006/relationships"><Relationship Type="http://schemas.openxmlformats.org/officeDocument/2006/relationships/hyperlink" Id="rId77" Target="https://doi.org/10.64861/DDFP2152" TargetMode="External" /><Relationship Type="http://schemas.openxmlformats.org/officeDocument/2006/relationships/hyperlink" Id="rId69" Target="https://doi.org/10.64861/OWDT6586" TargetMode="External" /><Relationship Type="http://schemas.openxmlformats.org/officeDocument/2006/relationships/hyperlink" Id="rId73" Target="https://doi.org/10.64861/XHRO475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2026-06-29T09:35:39Z</dcterms:created>
  <dcterms:modified xsi:type="dcterms:W3CDTF">2026-06-29T09:35:39Z</dcterms:modified>
</cp:coreProperties>
</file>

<file path=docProps/custom.xml><?xml version="1.0" encoding="utf-8"?>
<Properties xmlns="http://schemas.openxmlformats.org/officeDocument/2006/custom-properties" xmlns:vt="http://schemas.openxmlformats.org/officeDocument/2006/docPropsVTypes"/>
</file>