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WHEN THE AGENT DECIDES ALONE: CHARACTERIZING FAILURE MODES OF AUTONOMOUS COLLISI</w:t>
      </w:r>
    </w:p>
    <w:p>
      <w:pPr>
        <w:jc w:val="center"/>
      </w:pPr>
    </w:p>
    <w:p>
      <w:pPr>
        <w:jc w:val="center"/>
      </w:pPr>
      <w:r>
        <w:rPr>
          <w:rFonts w:ascii="Times New Roman" w:hAnsi="Times New Roman"/>
          <w:sz w:val="24"/>
        </w:rPr>
        <w:t>by</w:t>
      </w:r>
    </w:p>
    <w:p>
      <w:pPr>
        <w:jc w:val="center"/>
      </w:pPr>
      <w:r>
        <w:rPr>
          <w:rFonts w:ascii="Times New Roman" w:hAnsi="Times New Roman"/>
          <w:b/>
          <w:sz w:val="28"/>
        </w:rPr>
        <w:t>Delia Farouk</w:t>
      </w:r>
    </w:p>
    <w:p>
      <w:pPr>
        <w:jc w:val="center"/>
      </w:pPr>
      <w:r>
        <w:rPr>
          <w:rFonts w:ascii="Times New Roman" w:hAnsi="Times New Roman"/>
          <w:sz w:val="24"/>
        </w:rPr>
        <w:t>1B-ITI-191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2" w:name="chapter-1.-introduction"/>
    <w:p>
      <w:pPr>
        <w:pStyle w:val="Heading1"/>
        <w:spacing w:line="480" w:lineRule="auto"/>
      </w:pPr>
      <w:r>
        <w:t xml:space="preserve">Chapter 1. Introduction</w:t>
      </w:r>
    </w:p>
    <w:p>
      <w:pPr>
        <w:pStyle w:val="FirstParagraph"/>
        <w:spacing w:line="480" w:lineRule="auto"/>
      </w:pPr>
      <w:r>
        <w:t xml:space="preserve">An autonomous agent can now judge, without any human in the loop, whether two objects in orbit are closing toward a collision and what maneuver answers that threat. The capability has outrun the institutions built to govern it. Delia Farouk’s dissertation,</w:t>
      </w:r>
      <w:r>
        <w:t xml:space="preserve"> </w:t>
      </w:r>
      <w:r>
        <w:rPr>
          <w:i/>
          <w:iCs/>
        </w:rPr>
        <w:t xml:space="preserve">When the Agent Decides Alone: Characterizing Failure Modes of Autonomous Collision Avoidance</w:t>
      </w:r>
      <w:r>
        <w:t xml:space="preserve">, begins in that gap between what the machines can do and what the rules anticipate, and it declines to let intuition settle the matter. Instead it narrows to a question the evidence can actually answer: whether the visibility of autonomous collision avoidance inside the retrieved research record can be measured at all, and whether that visibility carries the structure a strong policy claim would need to rest 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framing is deliberate, and the reason is a recurring pattern in how space governance lags its own technology. Problems tend to surface in engineering venues years ahead of treaty language, licensing rules, or operating doctrine, so that by the time a rule-writer takes notice the prototypes are already on orbit. Adaptive stress testing of space domain awareness systems, for instance, appeared in the conference literature well before any regulatory standard existed for how such systems ought to fail safely</w:t>
      </w:r>
      <w:r>
        <w:t xml:space="preserve"> </w:t>
      </w:r>
      <w:hyperlink w:anchor="ref-4">
        <w:r>
          <w:rPr>
            <w:rStyle w:val="Hyperlink"/>
          </w:rPr>
          <w:t xml:space="preserve">[4]</w:t>
        </w:r>
      </w:hyperlink>
      <w:r>
        <w:t xml:space="preserve">. Market-based and multi-agent approaches to situational awareness were flying in prototype form long before anyone thought to ask who bears liability when the market clears on a bad orbit determination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What this dissertation does with that early technical visibility is treat it as evidence to be counted, dated, and traced, rather than as an atmosphere to be evoked.</w:t>
      </w:r>
    </w:p>
    <w:bookmarkStart w:id="61" w:name="the-problem-and-its-stakes"/>
    <w:p>
      <w:pPr>
        <w:pStyle w:val="Heading2"/>
        <w:spacing w:line="480" w:lineRule="auto"/>
      </w:pPr>
      <w:r>
        <w:t xml:space="preserve">The problem and its stakes</w:t>
      </w:r>
    </w:p>
    <w:p>
      <w:pPr>
        <w:pStyle w:val="FirstParagraph"/>
        <w:spacing w:line="480" w:lineRule="auto"/>
      </w:pPr>
      <w:r>
        <w:t xml:space="preserve">For most of the space age, collision avoidance in low Earth orbit was a human decision that ground software merely supported. An operator would receive a conjunction warning, weigh the probability against the cost of a burn, and command a maneuver on a timescale measured in hours. Autonomy compresses that loop, and it compresses it for a plain reason: human time has become too slow for the traffic densities that thousand-satellite constellations have piled into the most crowded orbital shells. Agent-based methods for distributed space systems now propose to detect, decide, and act with barely any human intervention, and the survey literature already catalogs both the methodologies and the challenges nobody has yet resolved</w:t>
      </w:r>
      <w:r>
        <w:t xml:space="preserve"> </w:t>
      </w:r>
      <w:hyperlink w:anchor="ref-9">
        <w:r>
          <w:rPr>
            <w:rStyle w:val="Hyperlink"/>
          </w:rPr>
          <w:t xml:space="preserve">[9]</w:t>
        </w:r>
      </w:hyperlink>
      <w:r>
        <w:t xml:space="preserve">. When the agent decides alone, a new class of failure opens up. It is not the failure of a sensor or a thruster but the failure of a decision procedure that no human reviewed while there was still time to catch it.</w:t>
      </w:r>
    </w:p>
    <w:p>
      <w:pPr>
        <w:pStyle w:val="BodyText"/>
        <w:spacing w:line="480" w:lineRule="auto"/>
        <w:ind w:firstLine="720"/>
      </w:pPr>
      <w:r>
        <w:t xml:space="preserve">Those stakes are concrete. They cut both ways at once. A false negative leaves two objects to collide and seeds a debris field that endangers every operator sharing that shell, while a false positive spends propellant, shortens mission life, and can nudge a satellite straight into a second conjunction it would otherwise have slipped past. Autonomous flight safety systems are already in design because the tempo of operations has outrun human reaction time</w:t>
      </w:r>
      <w:r>
        <w:t xml:space="preserve"> </w:t>
      </w:r>
      <w:hyperlink w:anchor="ref-12">
        <w:r>
          <w:rPr>
            <w:rStyle w:val="Hyperlink"/>
          </w:rPr>
          <w:t xml:space="preserve">[12]</w:t>
        </w:r>
      </w:hyperlink>
      <w:r>
        <w:t xml:space="preserve">, and reinforcement learning schedulers are parceling sensor attention across resident space objects with no person in the loop at all</w:t>
      </w:r>
      <w:r>
        <w:t xml:space="preserve"> </w:t>
      </w:r>
      <w:hyperlink w:anchor="ref-8">
        <w:r>
          <w:rPr>
            <w:rStyle w:val="Hyperlink"/>
          </w:rPr>
          <w:t xml:space="preserve">[8]</w:t>
        </w:r>
      </w:hyperlink>
      <w:r>
        <w:t xml:space="preserve">. So the governance question is not whether autonomy gets used. That much is decided. It is whether the research record shows the failure modes being studied with the seriousness the risk warrants.</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is a design-stage dissertation. Its contribution is bounded on purpose. It makes no claim that autonomous collision avoidance is safe or unsafe. What it does claim is testable and deliberately small: the topic signal for this dissertation’s subject is, or is not, systematically related to publication recency, citation attention, and venue family across the whole of the retrieved corpus, a claim narrow enough to be settled by the metadata a reviewer can open and check line by line. Stated as competing hypotheses: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is the whole of the falsifiable core. Should the corpus screen return strong, precise, correctly signed associations, the dissertation can argue that the topic carries a measurable structure worth governing around. Should it instead return weak or imprecise associations, the dissertation has to say so plainly and refuse to load policy weight onto a signal the data cannot carry. Either outcome teaches the reader something. A design that can only confirm its own premise is not a design at all; it is an advertisement.</w:t>
      </w:r>
    </w:p>
    <w:bookmarkEnd w:id="62"/>
    <w:bookmarkStart w:id="63" w:name="two-empirical-screens"/>
    <w:p>
      <w:pPr>
        <w:pStyle w:val="Heading2"/>
        <w:spacing w:line="480" w:lineRule="auto"/>
      </w:pPr>
      <w:r>
        <w:t xml:space="preserve">Two empirical screens</w:t>
      </w:r>
    </w:p>
    <w:p>
      <w:pPr>
        <w:pStyle w:val="FirstParagraph"/>
        <w:spacing w:line="480" w:lineRule="auto"/>
      </w:pPr>
      <w:r>
        <w:t xml:space="preserve">Two estimators carry the evidentiary core, and each is reported later at full precision, never rounded into a friendlier story than the data support, because a rounded number is a small lie that compounds. The first is a cross-sectional screen, which asks whether topic-signal intensity in a retrieved record moves with how recent the record is, how many citations the local index reports for it, and which venue family produced it. The second is a temporal screen, and it asks whether citation accumulation in the same corpus follows a measurable curve as documents age.</w:t>
      </w:r>
    </w:p>
    <w:p>
      <w:pPr>
        <w:pStyle w:val="BodyText"/>
        <w:spacing w:line="480" w:lineRule="auto"/>
        <w:ind w:firstLine="720"/>
      </w:pPr>
      <w:r>
        <w:t xml:space="preserve">These two screens are complementary rather than redundant. One looks across the corpus at a single moment and asks where the signal concentrates; the other looks along the age axis and asks whether attention compounds with time, the way a learning-curve model of scholarly attention would predict. A topic can be structured cross-sectionally while showing no temporal accumulation at all, or the reverse can hold, so separating the two questions keeps the dissertation from mistaking one kind of structure for the other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Neither screen settles the governance question on its own. A corpus screen shows how a literature is distributed across time and venue; it says nothing about whether an autonomous agent will maneuver correctly at three in the morning over the South Atlantic Anomaly. What the screens offer is a disciplined bridge from source retrieval to interpretation, telling the reader which parts of the topic are already legible in metadata and which parts still wait on direct document coding or operational testing to resolve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63"/>
    <w:bookmarkStart w:id="64" w:name="why-this-design-and-not-a-broader-one"/>
    <w:p>
      <w:pPr>
        <w:pStyle w:val="Heading2"/>
        <w:spacing w:line="480" w:lineRule="auto"/>
      </w:pPr>
      <w:r>
        <w:t xml:space="preserve">Why this design, and not a broader one</w:t>
      </w:r>
    </w:p>
    <w:p>
      <w:pPr>
        <w:pStyle w:val="FirstParagraph"/>
        <w:spacing w:line="480" w:lineRule="auto"/>
      </w:pPr>
      <w:r>
        <w:t xml:space="preserve">A more ambitious dissertation might have promised a causal estimate of how autonomy changes collision outcomes, and that promise would have been dishonest at this stage. The observations available to the candidate are documentary and bibliometric, nothing more: titles, snippets, keyword fields, venue labels, publication years, and locally reported citation counts. Such observations can support a structural screen. They cannot support a counterfactual about maneuver safety, and pretending otherwise would only hide weak inference behind confident prose.</w:t>
      </w:r>
    </w:p>
    <w:p>
      <w:pPr>
        <w:pStyle w:val="BodyText"/>
        <w:spacing w:line="480" w:lineRule="auto"/>
        <w:ind w:firstLine="720"/>
      </w:pPr>
      <w:r>
        <w:t xml:space="preserve">Staying small carries a cost alongside its benefit. The cost is that the dissertation cannot, on its own evidence, tell an operator how to configure an autonomous avoidance system. The benefit is that every number in it traces to a retained record, and every substantive claim stays conditional on sources a reviewer can open and check. Fault and anomaly detection research in space systems has shown how much rides on making the diagnostic chain inspectable rather than trusting a black box</w:t>
      </w:r>
      <w:r>
        <w:t xml:space="preserve"> </w:t>
      </w:r>
      <w:hyperlink w:anchor="ref-5">
        <w:r>
          <w:rPr>
            <w:rStyle w:val="Hyperlink"/>
          </w:rPr>
          <w:t xml:space="preserve">[5]</w:t>
        </w:r>
      </w:hyperlink>
      <w:r>
        <w:t xml:space="preserve">, and this study applies that same discipline to its own inference.</w:t>
      </w:r>
    </w:p>
    <w:bookmarkEnd w:id="64"/>
    <w:bookmarkStart w:id="65" w:name="Xc9b9d459b1481cad305642e94ecb55a37303d1d"/>
    <w:p>
      <w:pPr>
        <w:pStyle w:val="Heading2"/>
        <w:spacing w:line="480" w:lineRule="auto"/>
      </w:pPr>
      <w:r>
        <w:t xml:space="preserve">The autonomy transition, in operational terms</w:t>
      </w:r>
    </w:p>
    <w:p>
      <w:pPr>
        <w:pStyle w:val="FirstParagraph"/>
        <w:spacing w:line="480" w:lineRule="auto"/>
      </w:pPr>
      <w:r>
        <w:t xml:space="preserve">It helps to be concrete about what has changed. A decade ago, conjunction assessment was a ground-centric ritual: a screening service propagated the catalog, flagged close approaches days ahead, and handed a human operator a probability along with a recommended screening volume. Working on human time, that operator decided whether to burn propellant. The cadence rested on two assumptions, that warnings would arrive with lead time and that a person would be awake to act on them, and both are eroding as constellations grow into the thousands and maneuverable objects begin sharing shells at densities no ground desk can babysit.</w:t>
      </w:r>
    </w:p>
    <w:p>
      <w:pPr>
        <w:pStyle w:val="BodyText"/>
        <w:spacing w:line="480" w:lineRule="auto"/>
        <w:ind w:firstLine="720"/>
      </w:pPr>
      <w:r>
        <w:t xml:space="preserve">Autonomy is the response to that erosion, and the research record shows it arriving in several forms at once. Some proposals push determination and planning onboard so a vehicle can react inside its own orbit rather than wait for a ground pass</w:t>
      </w:r>
      <w:r>
        <w:t xml:space="preserve"> </w:t>
      </w:r>
      <w:hyperlink w:anchor="ref-16">
        <w:r>
          <w:rPr>
            <w:rStyle w:val="Hyperlink"/>
          </w:rPr>
          <w:t xml:space="preserve">[16]</w:t>
        </w:r>
      </w:hyperlink>
      <w:r>
        <w:t xml:space="preserve">. Others spread the decision across a population of cooperating agents, letting a constellation negotiate its own separation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third line treats the sensing layer itself as an autonomous scheduler that decides which objects to look at and when, with no human tasking each observation</w:t>
      </w:r>
      <w:r>
        <w:t xml:space="preserve"> </w:t>
      </w:r>
      <w:hyperlink w:anchor="ref-8">
        <w:r>
          <w:rPr>
            <w:rStyle w:val="Hyperlink"/>
          </w:rPr>
          <w:t xml:space="preserve">[8]</w:t>
        </w:r>
      </w:hyperlink>
      <w:r>
        <w:t xml:space="preserve">. In every case a decision that used to belong to a person moves into a procedure that runs on its own, and in every case that procedure inherits the question this dissertation names in its title: when the agent decides alone, how does it fail?</w:t>
      </w:r>
    </w:p>
    <w:bookmarkEnd w:id="65"/>
    <w:bookmarkStart w:id="66" w:name="X699538ccd85fdf8030beb2976b141b334f101ef"/>
    <w:p>
      <w:pPr>
        <w:pStyle w:val="Heading2"/>
        <w:spacing w:line="480" w:lineRule="auto"/>
      </w:pPr>
      <w:r>
        <w:t xml:space="preserve">A taxonomy of the failures that motivate the study</w:t>
      </w:r>
    </w:p>
    <w:p>
      <w:pPr>
        <w:pStyle w:val="FirstParagraph"/>
        <w:spacing w:line="480" w:lineRule="auto"/>
      </w:pPr>
      <w:r>
        <w:t xml:space="preserve">The failure modes here are not hypothetical, and naming them sharpens why the topic earns measurement. Perception fails when the sensing layer feeds the decision a wrong picture, as when a camera fault corrupts vision-based navigation and the agent acts on a phantom geometry</w:t>
      </w:r>
      <w:r>
        <w:t xml:space="preserve"> </w:t>
      </w:r>
      <w:hyperlink w:anchor="ref-15">
        <w:r>
          <w:rPr>
            <w:rStyle w:val="Hyperlink"/>
          </w:rPr>
          <w:t xml:space="preserve">[15]</w:t>
        </w:r>
      </w:hyperlink>
      <w:r>
        <w:t xml:space="preserve">. The decision itself fails when perception is correct but the policy chooses badly, maneuvering into a second conjunction or spending propellant on a threat that was never real. Coordination fails when several autonomous agents, each locally rational, together produce a collectively worse outcome, which is the classic hazard of distributed control that the survey literature still flags as unsolved</w:t>
      </w:r>
      <w:r>
        <w:t xml:space="preserve"> </w:t>
      </w:r>
      <w:hyperlink w:anchor="ref-9">
        <w:r>
          <w:rPr>
            <w:rStyle w:val="Hyperlink"/>
          </w:rPr>
          <w:t xml:space="preserve">[9]</w:t>
        </w:r>
      </w:hyperlink>
      <w:r>
        <w:t xml:space="preserve">. And recovery fails when the system detects that something has gone wrong yet cannot diagnose or safely recover, the exact gap that autonomous fault-detection and root-cause work tries to close</w:t>
      </w:r>
      <w:r>
        <w:t xml:space="preserve"> </w:t>
      </w:r>
      <w:hyperlink w:anchor="ref-5">
        <w:r>
          <w:rPr>
            <w:rStyle w:val="Hyperlink"/>
          </w:rPr>
          <w:t xml:space="preserve">[5]</w:t>
        </w:r>
      </w:hyperlink>
      <w:r>
        <w:t xml:space="preserve">.</w:t>
      </w:r>
    </w:p>
    <w:p>
      <w:pPr>
        <w:pStyle w:val="BodyText"/>
        <w:spacing w:line="480" w:lineRule="auto"/>
        <w:ind w:firstLine="720"/>
      </w:pPr>
      <w:r>
        <w:t xml:space="preserve">None of these categories is this dissertation’s contribution; they are its motivation. The empirical work never observes any of the failures directly. It asks instead whether the literature that studies them is organized enough, inside the retrieved corpus, to support the confident claims a governance body might want to make. A measurably structured topic signal would mean the failure literature is consolidating and a rule-writer has a real trend to point at. A signal without such structure would mean the failure literature is still emergent, so that confident claims about its maturity would outrun the evidence.</w:t>
      </w:r>
    </w:p>
    <w:bookmarkEnd w:id="66"/>
    <w:bookmarkStart w:id="67" w:name="positioning-within-the-program"/>
    <w:p>
      <w:pPr>
        <w:pStyle w:val="Heading2"/>
        <w:spacing w:line="480" w:lineRule="auto"/>
      </w:pPr>
      <w:r>
        <w:t xml:space="preserve">Positioning within the program</w:t>
      </w:r>
    </w:p>
    <w:p>
      <w:pPr>
        <w:pStyle w:val="FirstParagraph"/>
        <w:spacing w:line="480" w:lineRule="auto"/>
      </w:pPr>
      <w:r>
        <w:t xml:space="preserve">The dissertation sits in an information-technology-infrastructure track, and that placement is not incidental. Autonomous collision avoidance lives at the seam between a software decision system and the physical infrastructure it protects, which happens to be where infrastructure risk concentrates. Reason only about orbital mechanics and you miss the decision layer; reason only about algorithms and you miss the propellant, the sensors, and the catalog. By screening the literature that spans both, the study keeps the infrastructure framing honest and declines to collapse the problem into either a pure controls exercise or a pure policy essay</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67"/>
    <w:bookmarkStart w:id="68" w:name="X35a64c516b20582641d2e3ddd10316432715465"/>
    <w:p>
      <w:pPr>
        <w:pStyle w:val="Heading2"/>
        <w:spacing w:line="480" w:lineRule="auto"/>
      </w:pPr>
      <w:r>
        <w:t xml:space="preserve">What a bibliometric screen can honestly promise</w:t>
      </w:r>
    </w:p>
    <w:p>
      <w:pPr>
        <w:pStyle w:val="FirstParagraph"/>
        <w:spacing w:line="480" w:lineRule="auto"/>
      </w:pPr>
      <w:r>
        <w:t xml:space="preserve">A reader arriving from an operations background may bristle at the choice to measure a literature rather than a system, and the objection is fair. Counting how a field talks about failure is not the same as watching a system fail, and no amount of careful metadata work substitutes for a maneuver log. The defense is not that the screen replaces operational testing but that it answers a prior and separable question. Before an institution decides how hard to press on autonomous avoidance assurance, it wants to know whether the research base has organized into a recognizable, citable body of work on a rising trajectory, or whether it remains a scatter of prototypes that have yet to cohere. That is a question about the shape of a literature, and the shape of a literature is exactly what bibliometric structure can measure</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promise is therefore bounded and specific. The screen can tell a reader whether the topic signal for autonomous collision avoidance scatters randomly across the retrieved records or concentrates where recency, citation attention, and venue family predict it should. It can tell whether citation accumulation in the corpus behaves like a maturing field, where attention compounds with age, or like an emergent one, where recent uncited work dominates. It cannot rank the safety of competing avoidance policies, forecast a collision, or certify that any agent will maneuver correctly. Keeping that boundary explicit from the first chapter is how the study earns trust, since a piece candid about its own ceiling is more believable when it does report a finding</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8"/>
    <w:bookmarkStart w:id="69" w:name="X6e48721ea5d7899a64818dda7b091f55b9dc521"/>
    <w:p>
      <w:pPr>
        <w:pStyle w:val="Heading2"/>
        <w:spacing w:line="480" w:lineRule="auto"/>
      </w:pPr>
      <w:r>
        <w:t xml:space="preserve">Where the governance clock is running fastest</w:t>
      </w:r>
    </w:p>
    <w:p>
      <w:pPr>
        <w:pStyle w:val="FirstParagraph"/>
        <w:spacing w:line="480" w:lineRule="auto"/>
      </w:pPr>
      <w:r>
        <w:t xml:space="preserve">Urgency does not spread evenly across orbital regimes, and naming where it concentrates sharpens why the topic wants measuring now rather than later. Low Earth orbit shells between roughly five hundred and twelve hundred kilometers hold the densest maneuverable populations, and there the automated warnings already outpace any human desk’s capacity to adjudicate them one at a time. That is where autonomous avoidance is fielded first, and where its failure modes would compound fastest, since a single bad maneuver in a crowded shell can seed a conjunction cascade no operator ever chose. The ground surveillance infrastructure was built for a sparser sky, and the operators who run it document its coverage and cadence limits candidly</w:t>
      </w:r>
      <w:r>
        <w:t xml:space="preserve"> </w:t>
      </w:r>
      <w:hyperlink w:anchor="ref-1">
        <w:r>
          <w:rPr>
            <w:rStyle w:val="Hyperlink"/>
          </w:rPr>
          <w:t xml:space="preserve">[1]</w:t>
        </w:r>
      </w:hyperlink>
      <w:r>
        <w:t xml:space="preserve">. An autonomous agent inherits exactly those limits as its input distribution.</w:t>
      </w:r>
    </w:p>
    <w:p>
      <w:pPr>
        <w:pStyle w:val="BodyText"/>
        <w:spacing w:line="480" w:lineRule="auto"/>
        <w:ind w:firstLine="720"/>
      </w:pPr>
      <w:r>
        <w:t xml:space="preserve">The regulatory clock runs on treaty time and licensing time, both slow by design. Licensing regimes were written when a maneuver was a human act carrying a human signature, and they have no settled language yet for a maneuver decided by a policy no operator reviewed. That mismatch, an operational clock measured in seconds against a governance clock measured in years, is the practical face of the gap this dissertation studies. The study cannot close the gap. It can only ask whether the research meant to inform the slower clock has consolidated enough to be cited as a trend, and its answer is that it has not yet done so</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69"/>
    <w:bookmarkStart w:id="70" w:name="X9b1188942ddc15a61ad078ae25ba6f762a4ee8c"/>
    <w:p>
      <w:pPr>
        <w:pStyle w:val="Heading2"/>
        <w:spacing w:line="480" w:lineRule="auto"/>
      </w:pPr>
      <w:r>
        <w:t xml:space="preserve">The reader this dissertation is written for</w:t>
      </w:r>
    </w:p>
    <w:p>
      <w:pPr>
        <w:pStyle w:val="FirstParagraph"/>
        <w:spacing w:line="480" w:lineRule="auto"/>
      </w:pPr>
      <w:r>
        <w:t xml:space="preserve">Three readers stand behind every choice in the chapters that follow. One is a program office deciding whether autonomous failure-mode assurance is a solved area to harvest or an open frontier to fund; that reader needs to know whether the literature has settled, and the honest answer this study returns is that it has not. Another is a governance analyst tempted to cite a rising research tide as justification for a rule, who needs a calibrated brake, and the two nulls reported later supply exactly that. The last is a future methodologist who wants to run the same screen on a different candidate topic and needs the recipe fully auditable rather than a black box</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Writing for those three at once imposes a discipline. The program office will want to check every number, so every number must be traceable. The governance analyst will be tempted to overread every claim, so every claim must be bounded. The methodologist will want to reuse every construction rule, so every rule must be explicit. The chapters honor that by reporting estimator output at full precision, refusing to round a null into a trend, and carrying a source column through every row of the dataset so the path from record to coefficient stays open to inspection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70"/>
    <w:bookmarkStart w:id="71" w:name="roadmap"/>
    <w:p>
      <w:pPr>
        <w:pStyle w:val="Heading2"/>
        <w:spacing w:line="480" w:lineRule="auto"/>
      </w:pPr>
      <w:r>
        <w:t xml:space="preserve">Roadmap</w:t>
      </w:r>
    </w:p>
    <w:p>
      <w:pPr>
        <w:pStyle w:val="FirstParagraph"/>
        <w:spacing w:line="480" w:lineRule="auto"/>
      </w:pPr>
      <w:r>
        <w:t xml:space="preserve">The chapters that follow build the argument in order. Chapter 2 situates the work against prior literature on autonomous space operations, agent-based mission management, and situational awareness, locating the specific gap this dissertation addresses. Chapter 3 states the mechanism, explaining why topic visibility should leave a measurable trace in source metadata and what a strong trace would look like against a weak one. Chapter 4 lays out the two estimators, together with the standard-error treatment, and explains why each identifies the structure it claims to. Chapter 5 documents the dataset, covering how each of the thirty records was retrieved, how every variable was constructed, and where provenance is preserved. Chapter 6 reports the exact estimator output for both papers and reads the signs and magnitudes without inflating them. Chapter 7 turns to discussion and limitations, naming the threats to validity the design cannot escape. Chapter 8 states the contribution, its relevance to governance and program evidence, and the next data-collection step that would carry the topic from a corpus screen toward an operational test</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71"/>
    <w:bookmarkEnd w:id="72"/>
    <w:bookmarkStart w:id="84" w:name="chapter-2.-literature-review"/>
    <w:p>
      <w:pPr>
        <w:pStyle w:val="Heading1"/>
        <w:spacing w:line="480" w:lineRule="auto"/>
      </w:pPr>
      <w:r>
        <w:t xml:space="preserve">Chapter 2. Literature Review</w:t>
      </w:r>
    </w:p>
    <w:p>
      <w:pPr>
        <w:pStyle w:val="FirstParagraph"/>
        <w:spacing w:line="480" w:lineRule="auto"/>
      </w:pPr>
      <w:r>
        <w:t xml:space="preserve">The literature this dissertation stands on is not one field but three that have been converging quietly for years: autonomous spacecraft operations, agent-based mission management, and space situational awareness. Each grew out of a different engineering culture, and each has arrived at the same uncomfortable frontier, the moment a machine makes a safety-relevant decision with no human in the loop. Reading them together, rather than in their separate silos, is what brings the failure-mode question into view in the first place.</w:t>
      </w:r>
    </w:p>
    <w:bookmarkStart w:id="73" w:name="autonomy-in-space-operations"/>
    <w:p>
      <w:pPr>
        <w:pStyle w:val="Heading2"/>
        <w:spacing w:line="480" w:lineRule="auto"/>
      </w:pPr>
      <w:r>
        <w:t xml:space="preserve">Autonomy in space operations</w:t>
      </w:r>
    </w:p>
    <w:p>
      <w:pPr>
        <w:pStyle w:val="FirstParagraph"/>
        <w:spacing w:line="480" w:lineRule="auto"/>
      </w:pPr>
      <w:r>
        <w:t xml:space="preserve">The oldest thread runs through autonomous navigation and a spacecraft’s care of itself. Deep-space small satellites cannot lean on steady ground contact, and the survey of scientific and technological advances in autonomous navigation for such missions sets down both how far onboard determination has come and how readily it cracks once a sensor slips</w:t>
      </w:r>
      <w:r>
        <w:t xml:space="preserve"> </w:t>
      </w:r>
      <w:hyperlink w:anchor="ref-16">
        <w:r>
          <w:rPr>
            <w:rStyle w:val="Hyperlink"/>
          </w:rPr>
          <w:t xml:space="preserve">[16]</w:t>
        </w:r>
      </w:hyperlink>
      <w:r>
        <w:t xml:space="preserve">. The cracking is no accident. When a camera sensor faults, vision-based navigation breaks in recognizable ways, and recent simulation and dataset work aimed squarely at that break shows a field beginning to treat sensor faults as first-class objects of study instead of noise to filter off</w:t>
      </w:r>
      <w:r>
        <w:t xml:space="preserve"> </w:t>
      </w:r>
      <w:hyperlink w:anchor="ref-15">
        <w:r>
          <w:rPr>
            <w:rStyle w:val="Hyperlink"/>
          </w:rPr>
          <w:t xml:space="preserve">[15]</w:t>
        </w:r>
      </w:hyperlink>
      <w:r>
        <w:t xml:space="preserve">.</w:t>
      </w:r>
    </w:p>
    <w:p>
      <w:pPr>
        <w:pStyle w:val="BodyText"/>
        <w:spacing w:line="480" w:lineRule="auto"/>
        <w:ind w:firstLine="720"/>
      </w:pPr>
      <w:r>
        <w:t xml:space="preserve">A spacecraft’s self-care runs past navigation. Wander and colleagues lay out an operational concept for spacecraft self-removal, one where the vehicle reads its own end-of-life status, sets removal in motion, and passivates with no ground command to wait on</w:t>
      </w:r>
      <w:r>
        <w:t xml:space="preserve"> </w:t>
      </w:r>
      <w:hyperlink w:anchor="ref-14">
        <w:r>
          <w:rPr>
            <w:rStyle w:val="Hyperlink"/>
          </w:rPr>
          <w:t xml:space="preserve">[14]</w:t>
        </w:r>
      </w:hyperlink>
      <w:r>
        <w:t xml:space="preserve">. That is autonomy turned on a decision with real orbital weight, and it foreshadows the collision-avoidance case straight off: a machine settling, on its own, when and how to shift its orbit. The fault-detection writing supplies the rest. Autonomous hybrid fault and anomaly detection, root cause and recovery included, has been shown for space systems, and its authors put it bluntly that recovery decisions made without human review call for a diagnostic chain a human can piece back together later</w:t>
      </w:r>
      <w:r>
        <w:t xml:space="preserve"> </w:t>
      </w:r>
      <w:hyperlink w:anchor="ref-5">
        <w:r>
          <w:rPr>
            <w:rStyle w:val="Hyperlink"/>
          </w:rPr>
          <w:t xml:space="preserve">[5]</w:t>
        </w:r>
      </w:hyperlink>
      <w:r>
        <w:t xml:space="preserve">.</w:t>
      </w:r>
    </w:p>
    <w:bookmarkEnd w:id="73"/>
    <w:bookmarkStart w:id="74" w:name="agents-and-distributed-decision-making"/>
    <w:p>
      <w:pPr>
        <w:pStyle w:val="Heading2"/>
        <w:spacing w:line="480" w:lineRule="auto"/>
      </w:pPr>
      <w:r>
        <w:t xml:space="preserve">Agents and distributed decision-making</w:t>
      </w:r>
    </w:p>
    <w:p>
      <w:pPr>
        <w:pStyle w:val="FirstParagraph"/>
        <w:spacing w:line="480" w:lineRule="auto"/>
      </w:pPr>
      <w:r>
        <w:t xml:space="preserve">The second thread is agent-based control. Where the first thread treats a single vehicle, this one treats populations of them and the problem of coordinating decisions across a distributed system. Its anchor is the comprehensive survey of agent-based approaches for distributed space systems and mission management, which catalogs methodologies, current practice, and the challenges that remain unsolved</w:t>
      </w:r>
      <w:r>
        <w:t xml:space="preserve"> </w:t>
      </w:r>
      <w:hyperlink w:anchor="ref-9">
        <w:r>
          <w:rPr>
            <w:rStyle w:val="Hyperlink"/>
          </w:rPr>
          <w:t xml:space="preserve">[9]</w:t>
        </w:r>
      </w:hyperlink>
      <w:r>
        <w:t xml:space="preserve">. The survey is a candid document, and its candor matters, because it names verification, coordination failure, and emergent behavior as open problems rather than solved ones.</w:t>
      </w:r>
    </w:p>
    <w:p>
      <w:pPr>
        <w:pStyle w:val="BodyText"/>
        <w:spacing w:line="480" w:lineRule="auto"/>
        <w:ind w:firstLine="720"/>
      </w:pPr>
      <w:r>
        <w:t xml:space="preserve">How long this ambition has been building shows in the older prototypes. Learning agents for autonomous space asset management were proposed more than a decade ago, recasting asset scheduling as a task an adaptive agent could learn instead of a table an operator would fill in</w:t>
      </w:r>
      <w:r>
        <w:t xml:space="preserve"> </w:t>
      </w:r>
      <w:hyperlink w:anchor="ref-6">
        <w:r>
          <w:rPr>
            <w:rStyle w:val="Hyperlink"/>
          </w:rPr>
          <w:t xml:space="preserve">[6]</w:t>
        </w:r>
      </w:hyperlink>
      <w:r>
        <w:t xml:space="preserve">. Market-based agents for situational awareness pushed further still, letting a synthetic market allocate sensing and tracking resources</w:t>
      </w:r>
      <w:r>
        <w:t xml:space="preserve"> </w:t>
      </w:r>
      <w:hyperlink w:anchor="ref-3">
        <w:r>
          <w:rPr>
            <w:rStyle w:val="Hyperlink"/>
          </w:rPr>
          <w:t xml:space="preserve">[3]</w:t>
        </w:r>
      </w:hyperlink>
      <w:r>
        <w:t xml:space="preserve">. Multi-satellite autonomous mission allocation and planning was later formalized as an optimization problem with its own allocation method</w:t>
      </w:r>
      <w:r>
        <w:t xml:space="preserve"> </w:t>
      </w:r>
      <w:hyperlink w:anchor="ref-10">
        <w:r>
          <w:rPr>
            <w:rStyle w:val="Hyperlink"/>
          </w:rPr>
          <w:t xml:space="preserve">[10]</w:t>
        </w:r>
      </w:hyperlink>
      <w:r>
        <w:t xml:space="preserve">, and consensus-based swarm control has been demonstrated for the hard case of capturing an uncooperative target, where cooperation from the other body cannot be assumed</w:t>
      </w:r>
      <w:r>
        <w:t xml:space="preserve"> </w:t>
      </w:r>
      <w:hyperlink w:anchor="ref-13">
        <w:r>
          <w:rPr>
            <w:rStyle w:val="Hyperlink"/>
          </w:rPr>
          <w:t xml:space="preserve">[13]</w:t>
        </w:r>
      </w:hyperlink>
      <w:r>
        <w:t xml:space="preserve">. Reinforcement learning now schedules space-to-space surveillance, allocating imaging attention across resident space objects on its own</w:t>
      </w:r>
      <w:r>
        <w:t xml:space="preserve"> </w:t>
      </w:r>
      <w:hyperlink w:anchor="ref-8">
        <w:r>
          <w:rPr>
            <w:rStyle w:val="Hyperlink"/>
          </w:rPr>
          <w:t xml:space="preserve">[8]</w:t>
        </w:r>
      </w:hyperlink>
      <w:r>
        <w:t xml:space="preserve">. Every one of these is a decision procedure that, once deployed, runs without a person confirming each step.</w:t>
      </w:r>
    </w:p>
    <w:bookmarkEnd w:id="74"/>
    <w:bookmarkStart w:id="75" w:name="X6bb88da7dd4cc4ffaeda63a304cbc0f14e7105e"/>
    <w:p>
      <w:pPr>
        <w:pStyle w:val="Heading2"/>
        <w:spacing w:line="480" w:lineRule="auto"/>
      </w:pPr>
      <w:r>
        <w:t xml:space="preserve">Situational awareness and the sensing substrate</w:t>
      </w:r>
    </w:p>
    <w:p>
      <w:pPr>
        <w:pStyle w:val="FirstParagraph"/>
        <w:spacing w:line="480" w:lineRule="auto"/>
      </w:pPr>
      <w:r>
        <w:t xml:space="preserve">Collision avoidance is only ever as good as the picture of the sky feeding it. The third thread is that observational substrate, the sensors, networks, and processing that produce the conjunction warnings an autonomous agent would act on. The Solaris-Panoptes network of robotic telescopes and the Borowiec satellite laser ranging system stand in for the ground infrastructure European space surveillance and tracking depends on, and the paper documenting them is honest about coverage gaps and cadence limits</w:t>
      </w:r>
      <w:r>
        <w:t xml:space="preserve"> </w:t>
      </w:r>
      <w:hyperlink w:anchor="ref-1">
        <w:r>
          <w:rPr>
            <w:rStyle w:val="Hyperlink"/>
          </w:rPr>
          <w:t xml:space="preserve">[1]</w:t>
        </w:r>
      </w:hyperlink>
      <w:r>
        <w:t xml:space="preserve">. Those gaps are no footnote to autonomy. They are its input distribution, and an agent that decides alone will decide on exactly the imperfect picture this infrastructure produces.</w:t>
      </w:r>
    </w:p>
    <w:p>
      <w:pPr>
        <w:pStyle w:val="BodyText"/>
        <w:spacing w:line="480" w:lineRule="auto"/>
        <w:ind w:firstLine="720"/>
      </w:pPr>
      <w:r>
        <w:t xml:space="preserve">Integration is the newer development. The move toward large language models for command and control in space domain awareness proposes to fuse heterogeneous situational data into a form an autonomous system can reason over</w:t>
      </w:r>
      <w:r>
        <w:t xml:space="preserve"> </w:t>
      </w:r>
      <w:hyperlink w:anchor="ref-2">
        <w:r>
          <w:rPr>
            <w:rStyle w:val="Hyperlink"/>
          </w:rPr>
          <w:t xml:space="preserve">[2]</w:t>
        </w:r>
      </w:hyperlink>
      <w:r>
        <w:t xml:space="preserve">, while integrated space asset management databases attempt the same fusion at the data-model level</w:t>
      </w:r>
      <w:r>
        <w:t xml:space="preserve"> </w:t>
      </w:r>
      <w:hyperlink w:anchor="ref-7">
        <w:r>
          <w:rPr>
            <w:rStyle w:val="Hyperlink"/>
          </w:rPr>
          <w:t xml:space="preserve">[7]</w:t>
        </w:r>
      </w:hyperlink>
      <w:r>
        <w:t xml:space="preserve">. Efforts like these change the failure surface. A fused, autonomous pipeline can carry a single bad input across many downstream decisions, which is precisely the correlated failure the collision-avoidance case has to worry about.</w:t>
      </w:r>
    </w:p>
    <w:bookmarkEnd w:id="75"/>
    <w:bookmarkStart w:id="76" w:name="testing-autonomy-for-failure"/>
    <w:p>
      <w:pPr>
        <w:pStyle w:val="Heading2"/>
        <w:spacing w:line="480" w:lineRule="auto"/>
      </w:pPr>
      <w:r>
        <w:t xml:space="preserve">Testing autonomy for failure</w:t>
      </w:r>
    </w:p>
    <w:p>
      <w:pPr>
        <w:pStyle w:val="FirstParagraph"/>
        <w:spacing w:line="480" w:lineRule="auto"/>
      </w:pPr>
      <w:r>
        <w:t xml:space="preserve">A fourth thread is thinner but decisive: the literature that sets out to break autonomous systems on purpose. Adaptive stress testing applied to space domain awareness systems is the clearest instance, hunting deliberately for the input sequences that make an autonomous system fail</w:t>
      </w:r>
      <w:r>
        <w:t xml:space="preserve"> </w:t>
      </w:r>
      <w:hyperlink w:anchor="ref-4">
        <w:r>
          <w:rPr>
            <w:rStyle w:val="Hyperlink"/>
          </w:rPr>
          <w:t xml:space="preserve">[4]</w:t>
        </w:r>
      </w:hyperlink>
      <w:r>
        <w:t xml:space="preserve">. That work reframes the whole question. Once autonomy is going to decide alone, the governing discipline stops being proof that it works on average and becomes a characterization of how and when it fails, which is the exact ambition this dissertation’s title announces. European efforts toward an autonomous flight safety system, spanning both software and hardware design, show the operational stakes of getting that characterization right, since a flight safety system that fails is no research inconvenience but a range hazard</w:t>
      </w:r>
      <w:r>
        <w:t xml:space="preserve"> </w:t>
      </w:r>
      <w:hyperlink w:anchor="ref-12">
        <w:r>
          <w:rPr>
            <w:rStyle w:val="Hyperlink"/>
          </w:rPr>
          <w:t xml:space="preserve">[12]</w:t>
        </w:r>
      </w:hyperlink>
      <w:r>
        <w:t xml:space="preserve">.</w:t>
      </w:r>
    </w:p>
    <w:bookmarkEnd w:id="76"/>
    <w:bookmarkStart w:id="77" w:name="X4656d21fe525f2f1be9347d00c9bdd3b092eb86"/>
    <w:p>
      <w:pPr>
        <w:pStyle w:val="Heading2"/>
        <w:spacing w:line="480" w:lineRule="auto"/>
      </w:pPr>
      <w:r>
        <w:t xml:space="preserve">Bibliometric structure as an object of study</w:t>
      </w:r>
    </w:p>
    <w:p>
      <w:pPr>
        <w:pStyle w:val="FirstParagraph"/>
        <w:spacing w:line="480" w:lineRule="auto"/>
      </w:pPr>
      <w:r>
        <w:t xml:space="preserve">There is a fifth literature the dissertation draws on more quietly, the tradition that treats a research corpus as a measurable object in its own right. Learning-curve models of citation accumulation, venue-family effects on how densely a topic is named, recency gradients in emerging fields: these are standard tools for characterizing how a literature is shaped rather than only what it says. This dissertation borrows the tools and turns them on the autonomous-failure corpus. The move is unusual in the space-systems literature, which tends to survey methods qualitatively instead of estimating the structure of its own attention</w:t>
      </w:r>
      <w:r>
        <w:t xml:space="preserve"> </w:t>
      </w:r>
      <w:hyperlink w:anchor="ref-9">
        <w:r>
          <w:rPr>
            <w:rStyle w:val="Hyperlink"/>
          </w:rPr>
          <w:t xml:space="preserve">[9]</w:t>
        </w:r>
      </w:hyperlink>
      <w:r>
        <w:t xml:space="preserve">. Bringing a bibliometric view to a space-engineering topic is part of what makes the contribution distinct, and part of why the design had to stay careful about what such a view can and cannot resolve.</w:t>
      </w:r>
    </w:p>
    <w:p>
      <w:pPr>
        <w:pStyle w:val="BodyText"/>
        <w:spacing w:line="480" w:lineRule="auto"/>
        <w:ind w:firstLine="720"/>
      </w:pPr>
      <w:r>
        <w:t xml:space="preserve">The learning-curve idea earns a sentence of its own. In many maturing fields, citations to a paper grow with its age along a regular curve, so that age becomes a usable predictor of accumulated attention, and that regularity is the signature of consolidation. Its absence, a corpus where age fails to predict citations, is the signature of a young field dominated by recent work whose reception has not yet settled. The temporal screen in this dissertation tests for exactly that signature, and the prior demonstrations of autonomous space capability, clustered heavily in the most recent years, give good reason to suspect the field is still in its emergent phase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bookmarkEnd w:id="77"/>
    <w:bookmarkStart w:id="78" w:name="Xbcdf4675e7dc7cf81d9156dfc021b64001b1db8"/>
    <w:p>
      <w:pPr>
        <w:pStyle w:val="Heading2"/>
        <w:spacing w:line="480" w:lineRule="auto"/>
      </w:pPr>
      <w:r>
        <w:t xml:space="preserve">How these threads converge on the failure question</w:t>
      </w:r>
    </w:p>
    <w:p>
      <w:pPr>
        <w:pStyle w:val="FirstParagraph"/>
        <w:spacing w:line="480" w:lineRule="auto"/>
      </w:pPr>
      <w:r>
        <w:t xml:space="preserve">Taken separately, the four substantive threads read like distinct engineering conversations. Taken together, they converge on one frontier. Autonomy research proves a vehicle can manage itself</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agent research proves a population can coordinate its own decisions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situational-awareness research supplies the imperfect picture those decisions run 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stress-testing research shows how to make the whole assembly fail on purpose</w:t>
      </w:r>
      <w:r>
        <w:t xml:space="preserve"> </w:t>
      </w:r>
      <w:hyperlink w:anchor="ref-4">
        <w:r>
          <w:rPr>
            <w:rStyle w:val="Hyperlink"/>
          </w:rPr>
          <w:t xml:space="preserve">[4]</w:t>
        </w:r>
      </w:hyperlink>
      <w:r>
        <w:t xml:space="preserve">. Collision avoidance is where all four meet, in a distributed population of self-managing vehicles acting on an imperfect shared picture, whose failure modes have to be characterized before anyone trusts the decisions. No single prior paper sits at that intersection, and that empty intersection is the space this dissertation’s subject claims.</w:t>
      </w:r>
    </w:p>
    <w:p>
      <w:pPr>
        <w:pStyle w:val="BodyText"/>
        <w:spacing w:line="480" w:lineRule="auto"/>
        <w:ind w:firstLine="720"/>
      </w:pPr>
      <w:r>
        <w:t xml:space="preserve">The convergence also explains why a purely qualitative survey could not settle the design question. A survey can list what each thread has achieved, yet it cannot say whether the combined literature has organized into a measurable trend. That is a quantitative question about corpus structure, and answering it means estimating rather than narrating. The estimators in the chapters ahead are the instrument for that estimation, and the literature reviewed here is what makes their targets, recency and attention and venue, the right things to measure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78"/>
    <w:bookmarkStart w:id="79" w:name="verification-as-the-unsolved-seam"/>
    <w:p>
      <w:pPr>
        <w:pStyle w:val="Heading2"/>
        <w:spacing w:line="480" w:lineRule="auto"/>
      </w:pPr>
      <w:r>
        <w:t xml:space="preserve">Verification as the unsolved seam</w:t>
      </w:r>
    </w:p>
    <w:p>
      <w:pPr>
        <w:pStyle w:val="FirstParagraph"/>
        <w:spacing w:line="480" w:lineRule="auto"/>
      </w:pPr>
      <w:r>
        <w:t xml:space="preserve">One theme recurs across all four substantive threads, and isolating it matters because it is the seam where the failure-mode question actually lives: verification. An autonomous navigation system can be shown to work in nominal conditions while offering no proof of how it behaves once a sensor degrades, which is why the navigation survey takes care to separate demonstrated capability from assured capability</w:t>
      </w:r>
      <w:r>
        <w:t xml:space="preserve"> </w:t>
      </w:r>
      <w:hyperlink w:anchor="ref-16">
        <w:r>
          <w:rPr>
            <w:rStyle w:val="Hyperlink"/>
          </w:rPr>
          <w:t xml:space="preserve">[16]</w:t>
        </w:r>
      </w:hyperlink>
      <w:r>
        <w:t xml:space="preserve">. A fault-detection system can flag an anomaly while still lacking a verified recovery path, which is why the hybrid fault and root-cause work insists on a reconstructable diagnostic chain instead of a confident all-clear</w:t>
      </w:r>
      <w:r>
        <w:t xml:space="preserve"> </w:t>
      </w:r>
      <w:hyperlink w:anchor="ref-5">
        <w:r>
          <w:rPr>
            <w:rStyle w:val="Hyperlink"/>
          </w:rPr>
          <w:t xml:space="preserve">[5]</w:t>
        </w:r>
      </w:hyperlink>
      <w:r>
        <w:t xml:space="preserve">. A swarm can reach consensus in simulation while carrying no guarantee against a degenerate consensus that drives every member toward the same wrong maneuver, which is the shadow side of consensus-based control for uncooperative capture</w:t>
      </w:r>
      <w:r>
        <w:t xml:space="preserve"> </w:t>
      </w:r>
      <w:hyperlink w:anchor="ref-13">
        <w:r>
          <w:rPr>
            <w:rStyle w:val="Hyperlink"/>
          </w:rPr>
          <w:t xml:space="preserve">[13]</w:t>
        </w:r>
      </w:hyperlink>
      <w:r>
        <w:t xml:space="preserve">.</w:t>
      </w:r>
    </w:p>
    <w:p>
      <w:pPr>
        <w:pStyle w:val="BodyText"/>
        <w:spacing w:line="480" w:lineRule="auto"/>
        <w:ind w:firstLine="720"/>
      </w:pPr>
      <w:r>
        <w:t xml:space="preserve">The survey of agent-based approaches names this seam directly, listing verification alongside coordination failure and emergent behavior among the problems the field has not closed</w:t>
      </w:r>
      <w:r>
        <w:t xml:space="preserve"> </w:t>
      </w:r>
      <w:hyperlink w:anchor="ref-9">
        <w:r>
          <w:rPr>
            <w:rStyle w:val="Hyperlink"/>
          </w:rPr>
          <w:t xml:space="preserve">[9]</w:t>
        </w:r>
      </w:hyperlink>
      <w:r>
        <w:t xml:space="preserve">. That candor is the intellectual permission slip for this dissertation. When the leading survey of the area concedes that verification remains open, the question of whether the failure-mode literature has organized into a measurable, consolidating body of work stops being idle. It becomes the bibliometric shadow of the same unsolved seam, asked at the level of the corpus rather than a single system. A field that had verified its autonomous decisions would leave a settled, age-structured citation record; a field still wrestling with verification would leave the emergent, recency-heavy record this study screens for</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79"/>
    <w:bookmarkStart w:id="80" w:name="X1b3f5d17f2333b1ca072f9851453a5c7901f130"/>
    <w:p>
      <w:pPr>
        <w:pStyle w:val="Heading2"/>
        <w:spacing w:line="480" w:lineRule="auto"/>
      </w:pPr>
      <w:r>
        <w:t xml:space="preserve">What each venue family rewards, and why it shapes the signal</w:t>
      </w:r>
    </w:p>
    <w:p>
      <w:pPr>
        <w:pStyle w:val="FirstParagraph"/>
        <w:spacing w:line="480" w:lineRule="auto"/>
      </w:pPr>
      <w:r>
        <w:t xml:space="preserve">The three venue families in this corpus are not neutral containers. Each rewards a different way of writing about failure, and the rewards leave fingerprints on the metadata a screen reads. The rapid-turnaround surveillance and awareness conference series prizes operational specificity and speed, so a paper earns its slot by demonstrating a working prototype or a concrete result, and it names its subject densely because the audience is scanning proceedings for exactly those terms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archival aerospace journal prizes completeness and method, so its papers run longer, slower, and framed around a generalizable contribution, which spreads topic vocabulary across a broad argument rather than concentrating it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governance and economics venue prizes institutional framing, so its records carry the vocabulary of debris, carrying capacity, and sustainability in place of sensors and estimators.</w:t>
      </w:r>
    </w:p>
    <w:p>
      <w:pPr>
        <w:pStyle w:val="BodyText"/>
        <w:spacing w:line="480" w:lineRule="auto"/>
        <w:ind w:firstLine="720"/>
      </w:pPr>
      <w:r>
        <w:t xml:space="preserve">Those differing incentives are why venue family cannot be dropped from the cross-sectional model. When the conference series supplies most of the early records and the journal supplies many of the recent ones, any raw recency gradient is partly a venue-mix shift wearing a time costume. Conditioning on venue is the design’s defense against reading a change in which family is publishing as a change in the topic itself. The prior literature makes the entanglement concrete: the surveillance conference papers cluster in the early and middle years of the sample while the most recent peer-reviewed method papers arrive through the journal, so year and venue move together in a way only conditioning can separate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80"/>
    <w:bookmarkStart w:id="81" w:name="the-gap-this-dissertation-addresses"/>
    <w:p>
      <w:pPr>
        <w:pStyle w:val="Heading2"/>
        <w:spacing w:line="480" w:lineRule="auto"/>
      </w:pPr>
      <w:r>
        <w:t xml:space="preserve">The gap this dissertation addresses</w:t>
      </w:r>
    </w:p>
    <w:p>
      <w:pPr>
        <w:pStyle w:val="FirstParagraph"/>
        <w:spacing w:line="480" w:lineRule="auto"/>
      </w:pPr>
      <w:r>
        <w:t xml:space="preserve">Reading these threads together, two gaps come into focus. One lies between technical demonstration and institutional explanation: the prototypes prove that autonomous decision-making is feasible, yet they do not explain why governance language around it hardens in some venues and stays loose in others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other lies between policy salience and measurement, since recency, citation attention, and venue family plausibly encode how a topic is distributed across a literature, and yet those signals are asserted far more often than they are estimated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dissertation leaves the first gap open, because closing it would take a governance study of its own. It goes at the second directly, estimating whether the topic signal for autonomous collision avoidance carries measurable structure in the retrieved corpus and reporting the estimates at a precision that lets a reader judge them.</w:t>
      </w:r>
    </w:p>
    <w:p>
      <w:pPr>
        <w:pStyle w:val="BodyText"/>
        <w:spacing w:line="480" w:lineRule="auto"/>
        <w:ind w:firstLine="720"/>
      </w:pPr>
      <w:r>
        <w:t xml:space="preserve">What none of the prior work has done is treat the visibility of this specific failure-mode literature as a measurable quantity rather than a background assumption. The surveys count methods</w:t>
      </w:r>
      <w:r>
        <w:t xml:space="preserve"> </w:t>
      </w:r>
      <w:hyperlink w:anchor="ref-9">
        <w:r>
          <w:rPr>
            <w:rStyle w:val="Hyperlink"/>
          </w:rPr>
          <w:t xml:space="preserve">[9]</w:t>
        </w:r>
      </w:hyperlink>
      <w:r>
        <w:t xml:space="preserve">, the prototypes demonstrate capability</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stress-testing work probes individual systems</w:t>
      </w:r>
      <w:r>
        <w:t xml:space="preserve"> </w:t>
      </w:r>
      <w:hyperlink w:anchor="ref-4">
        <w:r>
          <w:rPr>
            <w:rStyle w:val="Hyperlink"/>
          </w:rPr>
          <w:t xml:space="preserve">[4]</w:t>
        </w:r>
      </w:hyperlink>
      <w:r>
        <w:t xml:space="preserve">. A structural screen of how the topic itself is distributed across time, attention, and venue is the missing piece, and it makes a modest but genuinely new contribution to how this literature understands its own shape.</w:t>
      </w:r>
    </w:p>
    <w:bookmarkEnd w:id="81"/>
    <w:bookmarkStart w:id="82" w:name="X44cf858e05a820e52faeaf2477a012970c9cb80"/>
    <w:p>
      <w:pPr>
        <w:pStyle w:val="Heading2"/>
        <w:spacing w:line="480" w:lineRule="auto"/>
      </w:pPr>
      <w:r>
        <w:t xml:space="preserve">The governance and economics thread the corpus refuses to drop</w:t>
      </w:r>
    </w:p>
    <w:p>
      <w:pPr>
        <w:pStyle w:val="FirstParagraph"/>
        <w:spacing w:line="480" w:lineRule="auto"/>
      </w:pPr>
      <w:r>
        <w:t xml:space="preserve">A purely technical review would drop a sixth thread. This dissertation declines the mistake. Autonomous collision avoidance is not only an engineering achievement but an institutional problem, because a maneuver an agent settles on carries consequences for every operator sharing the shell and for the public interest in a sustainable orbital environment, which is why the corpus reaches into the space-economy and governance literature that frames the problem through orbital carrying capacity, debris economics, and the tragedy of the commons rather than through sensors and estimators. The framing matters. A failure of an autonomous avoidance system is at bottom a failure with distributional consequences: a false negative externalizes debris risk onto every other operator in the shell, and a false positive quietly burns down a shared, finite orbital resource that no market priced and no treaty allocated.</w:t>
      </w:r>
    </w:p>
    <w:p>
      <w:pPr>
        <w:pStyle w:val="BodyText"/>
        <w:spacing w:line="480" w:lineRule="auto"/>
        <w:ind w:firstLine="720"/>
      </w:pPr>
      <w:r>
        <w:t xml:space="preserve">Reading the governance thread alongside the engineering ones changes what the failure-mode question even means. To an engineer, a failure is a wrong maneuver or a missed conjunction. To a governance analyst, a failure is a breakdown in the collective management of a commons, where individually rational agents produce a collectively ruinous outcome. The two readings are not rivals but the same event described at two altitudes, and the coordination-failure problem the agent survey names is exactly where they meet</w:t>
      </w:r>
      <w:r>
        <w:t xml:space="preserve"> </w:t>
      </w:r>
      <w:hyperlink w:anchor="ref-9">
        <w:r>
          <w:rPr>
            <w:rStyle w:val="Hyperlink"/>
          </w:rPr>
          <w:t xml:space="preserve">[9]</w:t>
        </w:r>
      </w:hyperlink>
      <w:r>
        <w:t xml:space="preserve">. An autonomous constellation whose members each optimize locally can drive the shared shell toward collapse as surely as a fleet of uncoordinated human operators would, which is why the study keeps the institutional framing inside the corpus rather than treating it as background.</w:t>
      </w:r>
    </w:p>
    <w:bookmarkEnd w:id="82"/>
    <w:bookmarkStart w:id="83" w:name="X9adf5a72644377b6019b3458f706c264bd02d3f"/>
    <w:p>
      <w:pPr>
        <w:pStyle w:val="Heading2"/>
        <w:spacing w:line="480" w:lineRule="auto"/>
      </w:pPr>
      <w:r>
        <w:t xml:space="preserve">Why a bibliometric method is defensible in a space-systems venue</w:t>
      </w:r>
    </w:p>
    <w:p>
      <w:pPr>
        <w:pStyle w:val="FirstParagraph"/>
        <w:spacing w:line="480" w:lineRule="auto"/>
      </w:pPr>
      <w:r>
        <w:t xml:space="preserve">Bringing a bibliometric method into a space-systems dissertation invites an obvious objection. The space-engineering literature surveys its own methods qualitatively, so why estimate corpus structure rather than narrate it? Because narration cannot answer the design question. A narrative survey can catalog what each thread has demonstrated, yet it cannot say whether the combined literature has organized into the measurable trend a governance body would want to cite. That is a quantitative claim about the distribution of a corpus, and quantitative claims call for estimation. The bibliometric tradition supplies the instruments: recency gradients, venue-family effects, and learning-curve models of citation accumulation are standard tools for characterizing how a field is shaped rather than what it says.</w:t>
      </w:r>
    </w:p>
    <w:p>
      <w:pPr>
        <w:pStyle w:val="BodyText"/>
        <w:spacing w:line="480" w:lineRule="auto"/>
        <w:ind w:firstLine="720"/>
      </w:pPr>
      <w:r>
        <w:t xml:space="preserve">Its unfamiliarity in this venue is part of the contribution. The agent-based survey characterizes methodologies and challenges without estimating the structure of its own attention</w:t>
      </w:r>
      <w:r>
        <w:t xml:space="preserve"> </w:t>
      </w:r>
      <w:hyperlink w:anchor="ref-9">
        <w:r>
          <w:rPr>
            <w:rStyle w:val="Hyperlink"/>
          </w:rPr>
          <w:t xml:space="preserve">[9]</w:t>
        </w:r>
      </w:hyperlink>
      <w:r>
        <w:t xml:space="preserve">; the prototype papers demonstrate capability without asking whether the surrounding literature has consolidated</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stress-testing work probes single systems without stepping back to the corpus level</w:t>
      </w:r>
      <w:r>
        <w:t xml:space="preserve"> </w:t>
      </w:r>
      <w:hyperlink w:anchor="ref-4">
        <w:r>
          <w:rPr>
            <w:rStyle w:val="Hyperlink"/>
          </w:rPr>
          <w:t xml:space="preserve">[4]</w:t>
        </w:r>
      </w:hyperlink>
      <w:r>
        <w:t xml:space="preserve">. Turning a bibliometric view on the autonomous-failure literature asks a question none of those neighbors asks, and it asks with an instrument whose limits are as well understood as its uses, which is what makes the eventual finding, that the corpus is topically real but structurally unconsolidated, a defensible result rather than an impression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Placing the contribution is easy enough. Where a survey narrates what the field has done, this study estimates how the field’s own attention is shaped</w:t>
      </w:r>
      <w:r>
        <w:t xml:space="preserve"> </w:t>
      </w:r>
      <w:hyperlink w:anchor="ref-9">
        <w:r>
          <w:rPr>
            <w:rStyle w:val="Hyperlink"/>
          </w:rPr>
          <w:t xml:space="preserve">[9]</w:t>
        </w:r>
      </w:hyperlink>
      <w:r>
        <w:t xml:space="preserve">. Where a prototype paper proves a capability, this study asks whether the surrounding literature has cohered around it</w:t>
      </w:r>
      <w:r>
        <w:t xml:space="preserve"> </w:t>
      </w:r>
      <w:hyperlink w:anchor="ref-6">
        <w:r>
          <w:rPr>
            <w:rStyle w:val="Hyperlink"/>
          </w:rPr>
          <w:t xml:space="preserve">[6]</w:t>
        </w:r>
      </w:hyperlink>
      <w:r>
        <w:t xml:space="preserve"> </w:t>
      </w:r>
      <w:hyperlink w:anchor="ref-8">
        <w:r>
          <w:rPr>
            <w:rStyle w:val="Hyperlink"/>
          </w:rPr>
          <w:t xml:space="preserve">[8]</w:t>
        </w:r>
      </w:hyperlink>
      <w:r>
        <w:t xml:space="preserve">. Where a stress-testing paper breaks one system, this study climbs to the corpus and asks whether the breaking has become a consolidated research program</w:t>
      </w:r>
      <w:r>
        <w:t xml:space="preserve"> </w:t>
      </w:r>
      <w:hyperlink w:anchor="ref-4">
        <w:r>
          <w:rPr>
            <w:rStyle w:val="Hyperlink"/>
          </w:rPr>
          <w:t xml:space="preserve">[4]</w:t>
        </w:r>
      </w:hyperlink>
      <w:r>
        <w:t xml:space="preserve">. None of those neighbors is wrong; each answers its own question well. The corpus-level question is the one left over, and filling it is the whole of what this literature review has been building toward.</w:t>
      </w:r>
    </w:p>
    <w:bookmarkEnd w:id="83"/>
    <w:bookmarkEnd w:id="84"/>
    <w:bookmarkStart w:id="95" w:name="chapter-3.-theory-and-hypotheses"/>
    <w:p>
      <w:pPr>
        <w:pStyle w:val="Heading1"/>
        <w:spacing w:line="480" w:lineRule="auto"/>
      </w:pPr>
      <w:r>
        <w:t xml:space="preserve">Chapter 3. Theory and Hypotheses</w:t>
      </w:r>
    </w:p>
    <w:p>
      <w:pPr>
        <w:pStyle w:val="FirstParagraph"/>
        <w:spacing w:line="480" w:lineRule="auto"/>
      </w:pPr>
      <w:r>
        <w:t xml:space="preserve">A dissertation needs a mechanism, not just a hunch. That autonomous collision avoidance is an important topic is easy to assert and impossible to test as stated. This chapter turns the intuition into a mechanism with observable consequences, so that the data can support it or refute it. The mechanism concerns how a research topic leaves a trace in the metadata of the records that discuss it, and the hypotheses are the specific, signed predictions that trace implies.</w:t>
      </w:r>
    </w:p>
    <w:bookmarkStart w:id="85" w:name="from-salience-to-a-measurable-trace"/>
    <w:p>
      <w:pPr>
        <w:pStyle w:val="Heading2"/>
        <w:spacing w:line="480" w:lineRule="auto"/>
      </w:pPr>
      <w:r>
        <w:t xml:space="preserve">From salience to a measurable trace</w:t>
      </w:r>
    </w:p>
    <w:p>
      <w:pPr>
        <w:pStyle w:val="FirstParagraph"/>
        <w:spacing w:line="480" w:lineRule="auto"/>
      </w:pPr>
      <w:r>
        <w:t xml:space="preserve">Begin with a simple premise. When a technical problem turns operationally urgent, the research community writes about it more, and the writing leaves marks that survive in source metadata, so that the shape of a field’s attention can in principle be recovered from the titles, snippets, keywords, and author fields of the records that discuss it. A record engaging the topic directly carries more theme-relevant terms across its title, snippet, keyword field, and author metadata than a record that brushes the topic in passing. That accumulation of theme-relevant terms is what the study calls the topic-signal score, and it is deterministic: the same record always yields the same score, because the score counts term hits rather than exercising judgment.</w:t>
      </w:r>
    </w:p>
    <w:p>
      <w:pPr>
        <w:pStyle w:val="BodyText"/>
        <w:spacing w:line="480" w:lineRule="auto"/>
        <w:ind w:firstLine="720"/>
      </w:pPr>
      <w:r>
        <w:t xml:space="preserve">The mechanism has both a temporal and a structural component. On the temporal side, a topic rising in salience should draw more intense engagement from more recent records, because newer work is written in the shadow of the newer urgency. On the structural side, the venues that publish a topic are not interchangeable. A rapid-turnaround conference proceeding, an archival engineering journal, and a policy-economics venue each impose different norms on how directly and how densely a paper names its subject. So the topic signal should vary with venue family, and the variation should not be random. It should track those norms.</w:t>
      </w:r>
    </w:p>
    <w:p>
      <w:pPr>
        <w:pStyle w:val="BodyText"/>
        <w:spacing w:line="480" w:lineRule="auto"/>
        <w:ind w:firstLine="720"/>
      </w:pPr>
      <w:r>
        <w:t xml:space="preserve">Citation attention enters as a third channel, and it is the subtle one. A naive reader expects more-cited records to engage the topic more. The mechanism does not require that at all, and the theory here deliberately leaves the sign open. Citations pile up for many reasons unrelated to topic fit, among them venue prestige, author reputation, and sheer age. A highly cited paper might be a foundational method paper that only glances at the specific failure-mode question, while a lightly cited recent paper might sit squarely on topic. Whether citation attention moves with topic signal is therefore an empirical question the screen exists to answer, not a direction the theory can assert in advance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5"/>
    <w:bookmarkStart w:id="86" w:name="Xb4d2cd5d980759a60b4814d6fdccb8e7fc56a4d"/>
    <w:p>
      <w:pPr>
        <w:pStyle w:val="Heading2"/>
        <w:spacing w:line="480" w:lineRule="auto"/>
      </w:pPr>
      <w:r>
        <w:t xml:space="preserve">Why the corpus should be structured, if the topic is real</w:t>
      </w:r>
    </w:p>
    <w:p>
      <w:pPr>
        <w:pStyle w:val="FirstParagraph"/>
        <w:spacing w:line="480" w:lineRule="auto"/>
      </w:pPr>
      <w:r>
        <w:t xml:space="preserve">Here is the load-bearing claim. Should autonomous collision avoidance be a genuine, rising research frontier, its signal should come organized rather than scattered. Organization means the topic-signal score should be at least partly predictable from recency, citation attention, and venue family taken together. A topic that amounts to nothing more than a phrase people use loosely would show no such organization; its signal would sit flat against these predictors, indistinguishable from noise.</w:t>
      </w:r>
    </w:p>
    <w:p>
      <w:pPr>
        <w:pStyle w:val="BodyText"/>
        <w:spacing w:line="480" w:lineRule="auto"/>
        <w:ind w:firstLine="720"/>
      </w:pPr>
      <w:r>
        <w:t xml:space="preserve">Prior literature makes this a reasonable expectation, not an arbitrary one. Surveys cataloging a maturing field find its methods bunching in identifiable venues and recent years</w:t>
      </w:r>
      <w:r>
        <w:t xml:space="preserve"> </w:t>
      </w:r>
      <w:hyperlink w:anchor="ref-9">
        <w:r>
          <w:rPr>
            <w:rStyle w:val="Hyperlink"/>
          </w:rPr>
          <w:t xml:space="preserve">[9]</w:t>
        </w:r>
      </w:hyperlink>
      <w:r>
        <w:t xml:space="preserve">. Stress-testing and fault-detection work, which meets failure modes most directly, gathers in the venues that reward operational specificity</w:t>
      </w:r>
      <w:r>
        <w:t xml:space="preserve"> </w:t>
      </w:r>
      <w:hyperlink w:anchor="ref-4">
        <w:r>
          <w:rPr>
            <w:rStyle w:val="Hyperlink"/>
          </w:rPr>
          <w:t xml:space="preserve">[4]</w:t>
        </w:r>
      </w:hyperlink>
      <w:r>
        <w:t xml:space="preserve"> </w:t>
      </w:r>
      <w:hyperlink w:anchor="ref-5">
        <w:r>
          <w:rPr>
            <w:rStyle w:val="Hyperlink"/>
          </w:rPr>
          <w:t xml:space="preserve">[5]</w:t>
        </w:r>
      </w:hyperlink>
      <w:r>
        <w:t xml:space="preserve">. Agent-based and reinforcement-learning approaches to autonomous space tasks carry a clear recency gradient, and their sharpest examples surface in the most recent proceedings, so a subject that is truly rising ought to leave a fingerprint across all three of these places at once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 real topic should leave that structure recoverable from metadata. Fail to recover it, and the honest conclusion is that the topic, at least as this collection catches it, wants the measurable order a strong governance claim would need.</w:t>
      </w:r>
    </w:p>
    <w:bookmarkEnd w:id="86"/>
    <w:bookmarkStart w:id="87" w:name="the-falsifiable-predictions"/>
    <w:p>
      <w:pPr>
        <w:pStyle w:val="Heading2"/>
        <w:spacing w:line="480" w:lineRule="auto"/>
      </w:pPr>
      <w:r>
        <w:t xml:space="preserve">The falsifiable predictions</w:t>
      </w:r>
    </w:p>
    <w:p>
      <w:pPr>
        <w:pStyle w:val="FirstParagraph"/>
        <w:spacing w:line="480" w:lineRule="auto"/>
      </w:pPr>
      <w:r>
        <w:t xml:space="preserve">The mechanism yields two testable predictions, one cross-sectional and one temporal, and each becomes a paper.</w:t>
      </w:r>
    </w:p>
    <w:p>
      <w:pPr>
        <w:pStyle w:val="BodyText"/>
        <w:spacing w:line="480" w:lineRule="auto"/>
        <w:ind w:firstLine="720"/>
      </w:pPr>
      <w:r>
        <w:t xml:space="preserve">The cross-sectional prediction concerns topic-signal intensity. An organized topic should show a signal score systematically related to recency, citation attention, and venue family. The primary directional expectation is that signal intensity rises with recency, as a topic gaining ground would. The citation and venue channels come in as conditioning structure, with the citation sign left open for the reasons already given. Formally:</w:t>
      </w:r>
    </w:p>
    <w:p>
      <w:pPr>
        <w:pStyle w:val="BodyText"/>
        <w:spacing w:line="480" w:lineRule="auto"/>
        <w:ind w:firstLine="720"/>
      </w:pPr>
      <w:r>
        <w:t xml:space="preserve">H0 (Paper 1): the topic-signal score is unrelated to publication recency, citation attention, and venue family.</w:t>
      </w:r>
    </w:p>
    <w:p>
      <w:pPr>
        <w:pStyle w:val="BodyText"/>
        <w:spacing w:line="480" w:lineRule="auto"/>
        <w:ind w:firstLine="720"/>
      </w:pPr>
      <w:r>
        <w:t xml:space="preserve">H1 (Paper 1): the topic-signal score is systematically related to those predictors, and in particular increases with recency.</w:t>
      </w:r>
    </w:p>
    <w:p>
      <w:pPr>
        <w:pStyle w:val="BodyText"/>
        <w:spacing w:line="480" w:lineRule="auto"/>
        <w:ind w:firstLine="720"/>
      </w:pPr>
      <w:r>
        <w:t xml:space="preserve">The temporal prediction concerns citation accumulation. A learning-curve view of scholarly attention holds that citations compound with document age in a regular, estimable way, since older documents have had more time to accumulate attention and the accumulation traces a power law rather than a straight line. Should that view hold in this corpus, the elasticity of citations with respect to age should come back positive and precisely estimated. Formally:</w:t>
      </w:r>
    </w:p>
    <w:p>
      <w:pPr>
        <w:pStyle w:val="BodyText"/>
        <w:spacing w:line="480" w:lineRule="auto"/>
        <w:ind w:firstLine="720"/>
      </w:pPr>
      <w:r>
        <w:t xml:space="preserve">H0 (Paper 2): citation accumulation is unrelated to article age in the retrieved topic literature.</w:t>
      </w:r>
    </w:p>
    <w:p>
      <w:pPr>
        <w:pStyle w:val="BodyText"/>
        <w:spacing w:line="480" w:lineRule="auto"/>
        <w:ind w:firstLine="720"/>
      </w:pPr>
      <w:r>
        <w:t xml:space="preserve">H1 (Paper 2): citation accumulation follows a measurable, age-based attention curve.</w:t>
      </w:r>
    </w:p>
    <w:bookmarkEnd w:id="87"/>
    <w:bookmarkStart w:id="88" w:name="boundary-conditions-of-the-mechanism"/>
    <w:p>
      <w:pPr>
        <w:pStyle w:val="Heading2"/>
        <w:spacing w:line="480" w:lineRule="auto"/>
      </w:pPr>
      <w:r>
        <w:t xml:space="preserve">Boundary conditions of the mechanism</w:t>
      </w:r>
    </w:p>
    <w:p>
      <w:pPr>
        <w:pStyle w:val="FirstParagraph"/>
        <w:spacing w:line="480" w:lineRule="auto"/>
      </w:pPr>
      <w:r>
        <w:t xml:space="preserve">A mechanism worth defending states its own limits, and this one has three. To begin with, the topic-signal score is a proxy, so the mechanism predicts structure only to the extent the proxy tracks true topical engagement. Let vocabulary density and genuine relevance come apart badly enough and the predicted structure could exist in the field while staying invisible to the score. The theory makes no claim that the proxy is perfect; it claims the proxy is deterministic and, on average, informative, which suffices for a screen though not for a measurement</w:t>
      </w:r>
      <w:r>
        <w:t xml:space="preserve"> </w:t>
      </w:r>
      <w:hyperlink w:anchor="ref-2">
        <w:r>
          <w:rPr>
            <w:rStyle w:val="Hyperlink"/>
          </w:rPr>
          <w:t xml:space="preserve">[2]</w:t>
        </w:r>
      </w:hyperlink>
      <w:r>
        <w:t xml:space="preserve">.</w:t>
      </w:r>
    </w:p>
    <w:p>
      <w:pPr>
        <w:pStyle w:val="BodyText"/>
        <w:spacing w:line="480" w:lineRule="auto"/>
        <w:ind w:firstLine="720"/>
      </w:pPr>
      <w:r>
        <w:t xml:space="preserve">A second limit is that venue family and calendar year are never independent in a real corpus. When a fast conference series supplies the early records and a slow journal supplies the recent ones, venue and recency entangle, and the mechanism’s temporal prediction grows harder to isolate from its structural one. The theory anticipates exactly this, and it is why the venue channel enters as a conditioning variable rather than being ignored, since conditioning is the design’s only defense against reading a venue-mix shift as a topic trend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third limit is sample size. The mechanism predicts structure, yet structure of a given strength registers only with enough observations. A modest true association can be real and still fail to show in a small corpus, so the theory pre-commits to reading an imprecise estimate as inconclusive rather than as proof of no relationship. That posture matters most when a coefficient’s sign matches the prediction while its interval stays wide, a case the results chapter meets directly</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88"/>
    <w:bookmarkStart w:id="89" w:name="X9fdc33a0647b1d63030464ae6caf940ad2bdc5d"/>
    <w:p>
      <w:pPr>
        <w:pStyle w:val="Heading2"/>
        <w:spacing w:line="480" w:lineRule="auto"/>
      </w:pPr>
      <w:r>
        <w:t xml:space="preserve">Rival explanations the design must survive</w:t>
      </w:r>
    </w:p>
    <w:p>
      <w:pPr>
        <w:pStyle w:val="FirstParagraph"/>
        <w:spacing w:line="480" w:lineRule="auto"/>
      </w:pPr>
      <w:r>
        <w:t xml:space="preserve">Should the corpus show structure, a skeptic could offer rival readings, and anticipating them makes the mechanism stronger. One rival holds that any apparent recency trend is really an artifact of the retrieval: newer papers are easier to find and index, so they arrive with richer metadata and score higher for reasons that have nothing to do with topic salience. The design cannot rule this out entirely, but conditioning on venue and citations removes two of the most obvious confounds and leaves a cleaner recency estimate than a raw correlation would.</w:t>
      </w:r>
    </w:p>
    <w:p>
      <w:pPr>
        <w:pStyle w:val="BodyText"/>
        <w:spacing w:line="480" w:lineRule="auto"/>
        <w:ind w:firstLine="720"/>
      </w:pPr>
      <w:r>
        <w:t xml:space="preserve">A second rival holds that citation attention, not topic engagement, drives everything, and that the signal score merely rides along with prestige. The mechanism answers by leaving the citation sign open and entering citations as a separate predictor, so that any topic-signal structure surviving the citation control cannot be waved off as prestige in disguise. A third rival is pure chance, since thirty records and several predictors can throw up an association by luck. Against that stand the joint test and the honest reporting of imprecise coefficients, and the theory commits in advance to trusting the joint test over any single lucky slope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9"/>
    <w:bookmarkStart w:id="90" w:name="what-each-outcome-would-mean"/>
    <w:p>
      <w:pPr>
        <w:pStyle w:val="Heading2"/>
        <w:spacing w:line="480" w:lineRule="auto"/>
      </w:pPr>
      <w:r>
        <w:t xml:space="preserve">What each outcome would mean</w:t>
      </w:r>
    </w:p>
    <w:p>
      <w:pPr>
        <w:pStyle w:val="FirstParagraph"/>
        <w:spacing w:line="480" w:lineRule="auto"/>
      </w:pPr>
      <w:r>
        <w:t xml:space="preserve">The two predictions are built so that failing to reject a null informs rather than embarrasses. Take the cross-sectional test. A precise, correctly signed recency coefficient would say the topic is measurably rising and that governance attention has a real trend to track. A recency coefficient that comes back imprecise, or signed against expectation, would say the corpus encodes no clean recency trend, which is itself a finding, a warning against claiming a rising tide the data do not show</w:t>
      </w:r>
      <w:r>
        <w:t xml:space="preserve"> </w:t>
      </w:r>
      <w:hyperlink w:anchor="ref-2">
        <w:r>
          <w:rPr>
            <w:rStyle w:val="Hyperlink"/>
          </w:rPr>
          <w:t xml:space="preserve">[2]</w:t>
        </w:r>
      </w:hyperlink>
      <w:r>
        <w:t xml:space="preserve">.</w:t>
      </w:r>
    </w:p>
    <w:p>
      <w:pPr>
        <w:pStyle w:val="BodyText"/>
        <w:spacing w:line="480" w:lineRule="auto"/>
        <w:ind w:firstLine="720"/>
      </w:pPr>
      <w:r>
        <w:t xml:space="preserve">The temporal test runs on similar logic. A positive, well-estimated age elasticity would confirm that attention in this literature behaves like a normal maturing field, compounding with time. A flat or noisy elasticity would say the corpus is dominated by recent, lightly cited work whose eventual reception cannot yet be read from age, which is precisely the situation of an emerging topic, and again a substantive result rather than a null non-event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0"/>
    <w:bookmarkStart w:id="91" w:name="the-signal-score-as-a-formal-construct"/>
    <w:p>
      <w:pPr>
        <w:pStyle w:val="Heading2"/>
        <w:spacing w:line="480" w:lineRule="auto"/>
      </w:pPr>
      <w:r>
        <w:t xml:space="preserve">The signal score as a formal construct</w:t>
      </w:r>
    </w:p>
    <w:p>
      <w:pPr>
        <w:pStyle w:val="FirstParagraph"/>
        <w:spacing w:line="480" w:lineRule="auto"/>
      </w:pPr>
      <w:r>
        <w:t xml:space="preserve">Because the entire mechanism rests on it, the topic-signal score deserves a precise statement of what it is and is not. The score is a nonnegative integer count of theme-relevant term hits, summed across four metadata fields per record: the title, the retrieved snippet, the keyword field, and the author metadata. Three of its properties do the work the theory relies on. Being deterministic, it returns the same score for the same record every time, so no researcher judgment slips in between the record and the number. Being monotone in engagement on average, it rewards a record that names the subject more densely with a higher score, which is what lets it stand in for topical intensity. And being bounded by the metadata available, it gives a record with a terse title and an empty keyword field less room to score than one with rich fields.</w:t>
      </w:r>
    </w:p>
    <w:p>
      <w:pPr>
        <w:pStyle w:val="BodyText"/>
        <w:spacing w:line="480" w:lineRule="auto"/>
        <w:ind w:firstLine="720"/>
      </w:pPr>
      <w:r>
        <w:t xml:space="preserve">That third property is no defect to hide but the mechanism’s own honesty about its instrument. Since scoring room varies with metadata richness, the error term in the cross-sectional model is heteroskedastic almost by construction, and that is why the estimator uses robust standard errors instead of pretending the variance is constant. The theory therefore specifies not only what should relate to what but the shape of the noise that will surround any such relationship, and it commits in advance to an inference procedure that respects that shape rather than one that would manufacture false precision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1"/>
    <w:bookmarkStart w:id="92" w:name="X43db004071fc7af664e89a088f688d8f288ea88"/>
    <w:p>
      <w:pPr>
        <w:pStyle w:val="Heading2"/>
        <w:spacing w:line="480" w:lineRule="auto"/>
      </w:pPr>
      <w:r>
        <w:t xml:space="preserve">Distinguishing the two nulls the design permits</w:t>
      </w:r>
    </w:p>
    <w:p>
      <w:pPr>
        <w:pStyle w:val="FirstParagraph"/>
        <w:spacing w:line="480" w:lineRule="auto"/>
      </w:pPr>
      <w:r>
        <w:t xml:space="preserve">A subtle point in the mechanism is that there are two very different ways to fail to reject a null, and the theory insists on telling them apart. One is a true absence of structure: the topic is genuinely scattered, and no predictor carries information about the signal. The other is a resolution failure: real structure exists in the field but sits too fine, against the sample size and the noise, for thirty records to detect. These are not the same claim, and collapsing them would let the dissertation say more or less than it actually knows.</w:t>
      </w:r>
    </w:p>
    <w:p>
      <w:pPr>
        <w:pStyle w:val="BodyText"/>
        <w:spacing w:line="480" w:lineRule="auto"/>
        <w:ind w:firstLine="720"/>
      </w:pPr>
      <w:r>
        <w:t xml:space="preserve">The theory tells the two apart by reading the precision of the estimates alongside their signs. A coefficient near zero with a tight interval is evidence for a true absence of that relationship. A coefficient whose sign matches the prediction but whose interval runs wide is evidence of a resolution failure rather than absence, and it has to be reported as inconclusive rather than as a rejection of the mechanism. That is why the design pre-commits to reading a directionally consistent but imprecise slope as</w:t>
      </w:r>
      <w:r>
        <w:t xml:space="preserve"> </w:t>
      </w:r>
      <w:r>
        <w:t xml:space="preserve">“the sample cannot resolve this”</w:t>
      </w:r>
      <w:r>
        <w:t xml:space="preserve"> </w:t>
      </w:r>
      <w:r>
        <w:t xml:space="preserve">instead of</w:t>
      </w:r>
      <w:r>
        <w:t xml:space="preserve"> </w:t>
      </w:r>
      <w:r>
        <w:t xml:space="preserve">“the effect is real.”</w:t>
      </w:r>
      <w:r>
        <w:t xml:space="preserve"> </w:t>
      </w:r>
      <w:r>
        <w:t xml:space="preserve">The learning-curve literature gives the cleanest example: a small positive age elasticity carrying an enormous standard error tells us the corpus is too young and too thin to trace an attention curve, not that attention and age are truly unrelated in the underlying field</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92"/>
    <w:bookmarkStart w:id="93" w:name="X22126378d9c71d0887318feea7a0bd3424701d7"/>
    <w:p>
      <w:pPr>
        <w:pStyle w:val="Heading2"/>
        <w:spacing w:line="480" w:lineRule="auto"/>
      </w:pPr>
      <w:r>
        <w:t xml:space="preserve">How the mechanism guards against wishful reading</w:t>
      </w:r>
    </w:p>
    <w:p>
      <w:pPr>
        <w:pStyle w:val="FirstParagraph"/>
        <w:spacing w:line="480" w:lineRule="auto"/>
      </w:pPr>
      <w:r>
        <w:t xml:space="preserve">The mechanism’s last job is to tie the analyst’s hands before any result lands. Claims about emerging technology inflate far too easily, because a field turning out exciting prototypes feels as though it simply must be cohering, and so the pull is to read momentum into whatever pattern happens to face the right way. Three fronts shut that pull down. Fixing outcome and predictors as deterministic rules leaves no after-the-fact measurement choice to tune toward significance, pre-registering the directional predictions blocks any quiet rebadging of a negative recency slope as confirmation, and committing to a joint test keeps a lone lucky slope from being marched out as a win while the omnibus fit stays weak</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Together those three pledges make the mechanism refutable in practice, not just on paper. A theory that swallows every result is no theory. This one can be shamed by its own collection, and the chapters ahead record that it was, which is the surest sign that the predictions were made in good faith rather than reverse-engineered once the data were in view</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93"/>
    <w:bookmarkStart w:id="94" w:name="Xb04cde23041eae6a1f791f1eee06419b2471f58"/>
    <w:p>
      <w:pPr>
        <w:pStyle w:val="Heading2"/>
        <w:spacing w:line="480" w:lineRule="auto"/>
      </w:pPr>
      <w:r>
        <w:t xml:space="preserve">The learning-curve premise and its failure signature</w:t>
      </w:r>
    </w:p>
    <w:p>
      <w:pPr>
        <w:pStyle w:val="FirstParagraph"/>
        <w:spacing w:line="480" w:lineRule="auto"/>
      </w:pPr>
      <w:r>
        <w:t xml:space="preserve">The temporal prediction rests on a premise borrowed from a long tradition of measuring how attention accumulates, and stating it precisely sharpens what its failure would mean. In a maturing field, citations to a paper grow with the paper’s age along a regular curve, because older work has had more time to be found, read, and built upon. That regularity is the signature of consolidation: when age reliably predicts accumulated attention, the field runs a settled reception process in which good work gets recognized and cited at a predictable rate. The learning-curve model formalizes this as a power law, so that the elasticity of citations with respect to age is positive and estimable, its magnitude reporting how fast attention compounds.</w:t>
      </w:r>
    </w:p>
    <w:p>
      <w:pPr>
        <w:pStyle w:val="BodyText"/>
        <w:spacing w:line="480" w:lineRule="auto"/>
        <w:ind w:firstLine="720"/>
      </w:pPr>
      <w:r>
        <w:t xml:space="preserve">The premise carries a diagnostic failure mode, and the failure teaches as much as the success. Should age fail to predict citations, the corpus is not behaving like a maturing field but like an emergent one, where most of the work is too recent to have gathered any reception at all and the few older records carrying citations are too sparse to trace a curve. A flat, imprecise elasticity is therefore no null non-event; it is a positive description of a field caught in its early phase, before its reception process has settled into the regular accumulation consolidation would produce. The prior demonstrations of autonomous space capability, clustered heavily in the most recent years, give good advance reason to expect exactly that emergent signature rather than a settled curve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design pre-commits to reading a flat elasticity as youth rather than as a defect, which is what lets the temporal null carry a substantive message instead of an apology.</w:t>
      </w:r>
    </w:p>
    <w:p>
      <w:pPr>
        <w:pStyle w:val="BodyText"/>
        <w:spacing w:line="480" w:lineRule="auto"/>
        <w:ind w:firstLine="720"/>
      </w:pPr>
      <w:r>
        <w:t xml:space="preserve">The two predictions are dissociable by design, and that dissociability is the last piece of the mechanism worth stating, the piece that keeps the whole apparatus from collapsing into a single foregone verdict any corpus, structured or not, would have been forced to return. A field could show cross-sectional concentration without temporal accumulation, if recent work clusters on-topic yet has not been cited; it could show temporal accumulation without cross-sectional concentration, if attention compounds with age yet the vocabulary stays diffuse; it could show both, the signature of full consolidation; or neither, the signature of an emergent scatter. Four outcomes are possible, and the mechanism hands each a distinct meaning. A design that could produce only one outcome would prove nothing, since it would have foreclosed the alternatives before the data spoke. This one keeps all four live, which is exactly what makes whichever outcome arrives an informative reading of the corpus rather than a foregone conclusion</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theory does more, then, than predict. It pre-commits the dissertation to reading its own results honestly, reporting strong structure as strong and weak structure as weak. The mechanism is falsifiable because the corpus was free to come back unstructured, and the chapters that follow show what it actually returned.</w:t>
      </w:r>
    </w:p>
    <w:bookmarkEnd w:id="94"/>
    <w:bookmarkEnd w:id="95"/>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Neither is exotic. The first is ordinary least squares; the second is a log-log learning-curve regression, which is just ordinary least squares run on logged variables. Whatever value the design holds lies not in statistical novelty but in the discipline of putting a small, identifiable question to a transparent estimator, printing the output exactly, and refusing to claim one inch more than the estimator can deliver. This chapter states each model, says why it identifies the structure it aims at, and stays honest about what identification does and does not mean at a scale this small.</w:t>
      </w:r>
    </w:p>
    <w:bookmarkStart w:id="96" w:name="X3951b47479dfddb29a07369014a00f0f4f16e4d"/>
    <w:p>
      <w:pPr>
        <w:pStyle w:val="Heading2"/>
        <w:spacing w:line="480" w:lineRule="auto"/>
      </w:pPr>
      <w:r>
        <w:t xml:space="preserve">Paper 1: a cross-sectional least-squares screen</w:t>
      </w:r>
    </w:p>
    <w:p>
      <w:pPr>
        <w:pStyle w:val="FirstParagraph"/>
        <w:spacing w:line="480" w:lineRule="auto"/>
      </w:pPr>
      <w:r>
        <w:t xml:space="preserve">The first estimator tests whether topic-signal intensity is organized across the corpus. It regresses the topic-signal score for each record on three predictors, a recency index, a citation count, and an ordinal venue-family score. The specification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Each subscript</w:t>
      </w:r>
      <w:r>
        <w:t xml:space="preserve"> </w:t>
      </w:r>
      <m:oMath>
        <m:r>
          <m:t>i</m:t>
        </m:r>
      </m:oMath>
      <w:r>
        <w:t xml:space="preserve"> </w:t>
      </w:r>
      <w:r>
        <w:t xml:space="preserve">indexes one of the thirty retrieved records. The outcome is a deterministic count of theme-relevant term hits, measured without judgment and reproducing identically on re-run. The recency index is the publication year minus the earliest year in the sample plus one, which pins the oldest record at one and hands rising values to newer work. The citation count is whatever the local index reports, and the venue score is an ordinal code separating the venue families. The coefficients are the objects of interest, and the recency coefficient carries the directional prediction from Chapter 3.</w:t>
      </w:r>
    </w:p>
    <w:p>
      <w:pPr>
        <w:pStyle w:val="BodyText"/>
        <w:spacing w:line="480" w:lineRule="auto"/>
        <w:ind w:firstLine="720"/>
      </w:pPr>
      <w:r>
        <w:t xml:space="preserve">Estimation uses robust standard errors of the HC1 form, and the choice matters at this sample size. The topic-signal count is heteroskedastic almost by construction, since records with longer titles and denser keyword fields have more room for both hits and misses, so the error variance shifts across records. HC1 errors make no assumption that it holds constant. They give the coefficient tests a defensible footing without imposing a homoskedasticity assumption the data would violate. The estimator does not repair small-sample imprecision, and the chapter makes no pretense that it does; it simply removes one avoidable source of misleading precision.</w:t>
      </w:r>
    </w:p>
    <w:bookmarkEnd w:id="96"/>
    <w:bookmarkStart w:id="97" w:name="Xa5ca78bcaa5e8a7fcb4196e5767912190e38f6c"/>
    <w:p>
      <w:pPr>
        <w:pStyle w:val="Heading2"/>
        <w:spacing w:line="480" w:lineRule="auto"/>
      </w:pPr>
      <w:r>
        <w:t xml:space="preserve">What Paper 1 identifies, and what it does not</w:t>
      </w:r>
    </w:p>
    <w:p>
      <w:pPr>
        <w:pStyle w:val="FirstParagraph"/>
        <w:spacing w:line="480" w:lineRule="auto"/>
      </w:pPr>
      <w:r>
        <w:t xml:space="preserve">Identification here is modest, and it should be described that way. The regression identifies the partial association between each predictor and the topic-signal score, holding the other two fixed, on the assumption that the specified predictors capture the systematic variation and the remainder is idiosyncratic noise. That is a screening claim, not a causal one. A significant recency coefficient would say that within this corpus newer records carry more topic signal once citations and venue are conditioned out; it would not say that recency causes signal in any deeper sense.</w:t>
      </w:r>
    </w:p>
    <w:p>
      <w:pPr>
        <w:pStyle w:val="BodyText"/>
        <w:spacing w:line="480" w:lineRule="auto"/>
        <w:ind w:firstLine="720"/>
      </w:pPr>
      <w:r>
        <w:t xml:space="preserve">Even that modest claim the design earns through determinism and provenance. Since the outcome and the predictors are all built by fixed rules from retained metadata, no researcher degree of freedom hides in the measurement, and any reviewer can recompute every value from the source column. What remains is the specification threat: the three predictors may omit a channel that actually drives the signal, such as author community or subfield. Chapter 7 takes that threat on directly. The point for now is that the estimator identifies a clean partial association, and the dissertation reads that association as corpus-structure evidence rather than a law of nature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7"/>
    <w:bookmarkStart w:id="98" w:name="X018f33c1a329a3a06bfc3c5bbbbcf7c735462af"/>
    <w:p>
      <w:pPr>
        <w:pStyle w:val="Heading2"/>
        <w:spacing w:line="480" w:lineRule="auto"/>
      </w:pPr>
      <w:r>
        <w:t xml:space="preserve">Paper 2: a learning-curve model of citation accumulation</w:t>
      </w:r>
    </w:p>
    <w:p>
      <w:pPr>
        <w:pStyle w:val="FirstParagraph"/>
        <w:spacing w:line="480" w:lineRule="auto"/>
      </w:pPr>
      <w:r>
        <w:t xml:space="preserve">The second estimator asks a different question with a different shape. Rather than look across the corpus at signal intensity, it looks along the age axis at citation accumulation. The learning-curve form takes attention to compound multiplicatively with age rather than additively, which implies a linear relationship in logs: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outcome is the reported citation count plus one, the plus-one keeping the logarithm defined for the many uncited records. The regressor is the log of an age index, computed as 2026 minus the publication year plus one, so a paper from the current frame has age one and older papers carry larger values. The slope</w:t>
      </w:r>
      <w:r>
        <w:t xml:space="preserve"> </w:t>
      </w:r>
      <m:oMath>
        <m:sSub>
          <m:e>
            <m:r>
              <m:t>β</m:t>
            </m:r>
          </m:e>
          <m:sub>
            <m:r>
              <m:t>1</m:t>
            </m:r>
          </m:sub>
        </m:sSub>
      </m:oMath>
      <w:r>
        <w:t xml:space="preserve"> </w:t>
      </w:r>
      <w:r>
        <w:t xml:space="preserve">is an elasticity, the percentage change in citations-plus-one that goes with a one-percent change in age. A positive, precise elasticity is the signature of a normally maturing literature; a flat one is the signature of a young, recency-dominated corpus.</w:t>
      </w:r>
    </w:p>
    <w:p>
      <w:pPr>
        <w:pStyle w:val="BodyText"/>
        <w:spacing w:line="480" w:lineRule="auto"/>
        <w:ind w:firstLine="720"/>
      </w:pPr>
      <w:r>
        <w:t xml:space="preserve">The learning-curve framing also yields a progress-ratio reading. Since the model is log-log, the factor by which citations scale when age doubles is two raised to the elasticity, and reporting that ratio makes the magnitude legible without departing from the estimated coefficient. Robust HC1 standard errors return here for the same heteroskedasticity reason: citation counts vary wildly in their spread across ages, a few heavily cited older papers against many uncited recent ones, so a constant-variance assumption would be indefensible.</w:t>
      </w:r>
    </w:p>
    <w:bookmarkEnd w:id="98"/>
    <w:bookmarkStart w:id="99" w:name="why-two-models-rather-than-one"/>
    <w:p>
      <w:pPr>
        <w:pStyle w:val="Heading2"/>
        <w:spacing w:line="480" w:lineRule="auto"/>
      </w:pPr>
      <w:r>
        <w:t xml:space="preserve">Why two models rather than one</w:t>
      </w:r>
    </w:p>
    <w:p>
      <w:pPr>
        <w:pStyle w:val="FirstParagraph"/>
        <w:spacing w:line="480" w:lineRule="auto"/>
      </w:pPr>
      <w:r>
        <w:t xml:space="preserve">Why not fold the whole thing into one regression? A fair reader might ask. The two questions carry different geometry and would foul each other if forced into one, because Paper 1 conditions signal on attention while Paper 2 treats attention as the very thing age accumulates, and putting citations on both sides of a single specification would smear the line between attention as a predictor of topic engagement and attention as a quantity that itself piles up over time. Hold them apart and each coefficient keeps its meaning. Each null then stands or falls on its own.</w:t>
      </w:r>
    </w:p>
    <w:p>
      <w:pPr>
        <w:pStyle w:val="BodyText"/>
        <w:spacing w:line="480" w:lineRule="auto"/>
        <w:ind w:firstLine="720"/>
      </w:pPr>
      <w:r>
        <w:t xml:space="preserve">The split honors the theory too. Chapter 3 forecast cross-sectional structure and temporal accumulation as separate marks of a real, rising subject, and the two models sit one-to-one against those marks. A subject might meet one forecast and miss the other; the design is cut so that outcome surfaces rather than averages away. Fault-detection research in space systems argues the same for keeping diagnostic channels apart, since a fused signal can hide which subsystem actually broke</w:t>
      </w:r>
      <w:r>
        <w:t xml:space="preserve"> </w:t>
      </w:r>
      <w:hyperlink w:anchor="ref-5">
        <w:r>
          <w:rPr>
            <w:rStyle w:val="Hyperlink"/>
          </w:rPr>
          <w:t xml:space="preserve">[5]</w:t>
        </w:r>
      </w:hyperlink>
      <w:r>
        <w:t xml:space="preserve">. The measurement logic here matches it exactly. Two clean models say more than one muddy one.</w:t>
      </w:r>
    </w:p>
    <w:bookmarkEnd w:id="99"/>
    <w:bookmarkStart w:id="100" w:name="X654424da3134918b49d8dd5ecaf8d727096008e"/>
    <w:p>
      <w:pPr>
        <w:pStyle w:val="Heading2"/>
        <w:spacing w:line="480" w:lineRule="auto"/>
      </w:pPr>
      <w:r>
        <w:t xml:space="preserve">Standard errors and what they protect against</w:t>
      </w:r>
    </w:p>
    <w:p>
      <w:pPr>
        <w:pStyle w:val="FirstParagraph"/>
        <w:spacing w:line="480" w:lineRule="auto"/>
      </w:pPr>
      <w:r>
        <w:t xml:space="preserve">The choice of HC1 robust standard errors deserves more than a passing mention, because at N = 30 the inference machinery is doing real work. Classical standard errors assume the error variance is identical across observations, and that assumption is untenable here for a concrete reason. In Paper 1, records with longer titles and denser keyword fields have more opportunity to accumulate both hits and misses, so their signal scores swing more widely, and the error variance climbs with metadata richness. In Paper 2, citation counts run from zero to well over a hundred, so the variance of the logged outcome differs enormously across the age axis. Impose a constant-variance assumption on either and the standard errors come out too small where the data are noisy, manufacturing significance that is not there.</w:t>
      </w:r>
    </w:p>
    <w:p>
      <w:pPr>
        <w:pStyle w:val="BodyText"/>
        <w:spacing w:line="480" w:lineRule="auto"/>
        <w:ind w:firstLine="720"/>
      </w:pPr>
      <w:r>
        <w:t xml:space="preserve">HC1 errors loosen that assumption. Drawing the variance of each coefficient from the observed residuals rather than one pooled figure, and adding a small finite-sample correction, they yield inference that keeps its footing when the noise runs uneven. Power is the one thing they cannot invent. A thirty-row collection studded with a few high-leverage points will wear wide intervals however the variance is reckoned, and the design takes that as given. The robust treatment bars a false positive. It conjures no true one. For a screen whose entire worth is in not overclaiming, that is the right trade</w:t>
      </w:r>
      <w:r>
        <w:t xml:space="preserve"> </w:t>
      </w:r>
      <w:hyperlink w:anchor="ref-5">
        <w:r>
          <w:rPr>
            <w:rStyle w:val="Hyperlink"/>
          </w:rPr>
          <w:t xml:space="preserve">[5]</w:t>
        </w:r>
      </w:hyperlink>
      <w:r>
        <w:t xml:space="preserve">.</w:t>
      </w:r>
    </w:p>
    <w:bookmarkEnd w:id="100"/>
    <w:bookmarkStart w:id="101" w:name="X0d5d535d9472a862f0e369a90faa8a4ed6609b1"/>
    <w:p>
      <w:pPr>
        <w:pStyle w:val="Heading2"/>
        <w:spacing w:line="480" w:lineRule="auto"/>
      </w:pPr>
      <w:r>
        <w:t xml:space="preserve">Outliers, leverage, and why they are not trimmed</w:t>
      </w:r>
    </w:p>
    <w:p>
      <w:pPr>
        <w:pStyle w:val="FirstParagraph"/>
        <w:spacing w:line="480" w:lineRule="auto"/>
      </w:pPr>
      <w:r>
        <w:t xml:space="preserve">A tempting move in a small sample is to trim the extreme citation values, the paper at 130 and the paper at 75, on the grounds that they dominate the fits. The design refuses, and the refusal is principled. Those records are real, correctly measured, and topically legitimate, so removing them would be a researcher degree of freedom that manufactures a cleaner result than the corpus actually contains. The honest course is to keep every retained record, report the fits with the outliers in, and disclose their leverage plainly so a reader can weigh it. Chapter 6 does exactly that, and Chapter 7 returns to how much of each fit rests on those few points.</w:t>
      </w:r>
    </w:p>
    <w:bookmarkEnd w:id="101"/>
    <w:bookmarkStart w:id="102" w:name="Xfb748cf7bc5b8da63dc2de44d21f8f67a797ab9"/>
    <w:p>
      <w:pPr>
        <w:pStyle w:val="Heading2"/>
        <w:spacing w:line="480" w:lineRule="auto"/>
      </w:pPr>
      <w:r>
        <w:t xml:space="preserve">Alternative specifications that were considered and set aside</w:t>
      </w:r>
    </w:p>
    <w:p>
      <w:pPr>
        <w:pStyle w:val="FirstParagraph"/>
        <w:spacing w:line="480" w:lineRule="auto"/>
      </w:pPr>
      <w:r>
        <w:t xml:space="preserve">Several richer specifications were available and were left aside on purpose, each because it would promise more than the data can honestly support. Venue-family fixed effects with interaction terms would have burned degrees of freedom the thirty-row sample cannot spare, turning an underpowered screen into an uninterpretable one. A count model such as Poisson or negative binomial for the signal score would have matched the outcome’s count nature more closely, yet at this sample size its asymptotic properties are unreliable, and the ordinary least squares screen with robust errors is the more defensible first pass. A time-series treatment of the citation curve would have wanted more observations per year than the corpus provides. So the design settled on the two simplest estimators that could carry the two hypotheses, on the principle that a transparent model a reviewer can fully audit beats a sophisticated one whose assumptions the data cannot meet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02"/>
    <w:bookmarkStart w:id="103" w:name="X4224dcd8e35c975b30cc4bebe32f9158faca2a2"/>
    <w:p>
      <w:pPr>
        <w:pStyle w:val="Heading2"/>
        <w:spacing w:line="480" w:lineRule="auto"/>
      </w:pPr>
      <w:r>
        <w:t xml:space="preserve">The progress-ratio interpretation and why it is reported</w:t>
      </w:r>
    </w:p>
    <w:p>
      <w:pPr>
        <w:pStyle w:val="FirstParagraph"/>
        <w:spacing w:line="480" w:lineRule="auto"/>
      </w:pPr>
      <w:r>
        <w:t xml:space="preserve">The learning-curve estimator carries a second output beyond the elasticity, and saying why it is reported clarifies what the model is really claiming. Since the specification is linear in logs, the elasticity has a direct multiplicative reading: the factor by which citations-plus-one scale when a document’s age doubles is two raised to the elasticity. That factor is the progress ratio, borrowed from the industrial learning-curve tradition where it measures how cost falls as cumulative output doubles. Here it measures how attention scales as age doubles, turning an abstract slope into a magnitude a non-specialist reader can hold. A progress ratio of two would mean attention doubles with each doubling of age; a ratio near one would mean age barely moves attention at all.</w:t>
      </w:r>
    </w:p>
    <w:p>
      <w:pPr>
        <w:pStyle w:val="BodyText"/>
        <w:spacing w:line="480" w:lineRule="auto"/>
        <w:ind w:firstLine="720"/>
      </w:pPr>
      <w:r>
        <w:t xml:space="preserve">Reporting the progress ratio alongside the elasticity is a deliberate act of legibility. An elasticity of, say, one tenth reads as either trivially small or surprisingly meaningful depending on the reader’s priors. Translating it into the statement that doubling age goes with roughly a seven percent rise in citations dissolves that ambiguity and lets the reader judge the magnitude without statistical training. The estimator, put another way, was chosen partly because its output can be made honest to a general audience, which matters for a study whose intended readers include program and governance staff rather than only econometricians</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3"/>
    <w:bookmarkStart w:id="104" w:name="X083c2f5ea97303d9a29de58ef63b31d2de6e2bd"/>
    <w:p>
      <w:pPr>
        <w:pStyle w:val="Heading2"/>
        <w:spacing w:line="480" w:lineRule="auto"/>
      </w:pPr>
      <w:r>
        <w:t xml:space="preserve">Why heteroskedasticity is the right worry, and autocorrelation is not</w:t>
      </w:r>
    </w:p>
    <w:p>
      <w:pPr>
        <w:pStyle w:val="FirstParagraph"/>
        <w:spacing w:line="480" w:lineRule="auto"/>
      </w:pPr>
      <w:r>
        <w:t xml:space="preserve">At a sample of thirty cross-sectional records, the inference threats are not the ones a time-series analyst reaches for first. Autocorrelation, the correlation of errors across ordered observations, is no live concern here, because the records are not a time series in the usual sense; they are a cross-section of retrieved documents that happen to carry publication years, not repeated measurements of one process over time. Clustering by author or by research group could in principle induce dependence, yet the corpus is too small and too heterogeneous for a cluster-robust treatment to be credible, and estimating a cluster variance from a handful of groups would produce worse inference than it cured.</w:t>
      </w:r>
    </w:p>
    <w:p>
      <w:pPr>
        <w:pStyle w:val="BodyText"/>
        <w:spacing w:line="480" w:lineRule="auto"/>
        <w:ind w:firstLine="720"/>
      </w:pPr>
      <w:r>
        <w:t xml:space="preserve">Heteroskedasticity, on the other hand, is unavoidable and predictable, which is why the robust treatment aims squarely at it. The signal-score variance climbs with metadata richness in the cross-sectional model, and the logged-citation variance differs enormously across the age axis in the learning-curve model. Those are the concrete, mechanism-driven reasons the error variance is non-constant, and the HC1 correction addresses exactly that non-constancy while making no unfounded claim about a dependence structure the sample cannot support. Choosing the right robustness for the right threat, instead of reaching reflexively for the most elaborate correction on the shelf, is part of what keeps the inference honest at this scale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04"/>
    <w:bookmarkStart w:id="105" w:name="the-estimators-as-a-matched-pair"/>
    <w:p>
      <w:pPr>
        <w:pStyle w:val="Heading2"/>
        <w:spacing w:line="480" w:lineRule="auto"/>
      </w:pPr>
      <w:r>
        <w:t xml:space="preserve">The estimators as a matched pair</w:t>
      </w:r>
    </w:p>
    <w:p>
      <w:pPr>
        <w:pStyle w:val="FirstParagraph"/>
        <w:spacing w:line="480" w:lineRule="auto"/>
      </w:pPr>
      <w:r>
        <w:t xml:space="preserve">A final methodological point ties the two models together. They were chosen not only because each carries one hypothesis but because together they triangulate the same underlying question from two independent directions. Were the topic consolidating, the cross-sectional screen would find signal concentrating in recent, on-topic work, and the temporal screen would independently find citations accumulating with age. Agreement between two estimators that share data but not functional form would be strong evidence; disagreement would flag which kind of structure was present and which absent. The design is built so the pair can disagree, and that is what makes their eventual agreement, or, as it turns out, their joint weakness, informative rather than preordained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05"/>
    <w:bookmarkStart w:id="106" w:name="Xf5b93b5b4938b0e6866a05735625d50ef4ed7d3"/>
    <w:p>
      <w:pPr>
        <w:pStyle w:val="Heading2"/>
        <w:spacing w:line="480" w:lineRule="auto"/>
      </w:pPr>
      <w:r>
        <w:t xml:space="preserve">The plus-one transform and what it protects</w:t>
      </w:r>
    </w:p>
    <w:p>
      <w:pPr>
        <w:pStyle w:val="FirstParagraph"/>
        <w:spacing w:line="480" w:lineRule="auto"/>
      </w:pPr>
      <w:r>
        <w:t xml:space="preserve">A small but consequential modeling choice in the learning-curve estimator is the addition of one to every citation count before taking logarithms. The reason is arithmetic necessity: the logarithm of zero is undefined, and most records in this corpus report zero citations, so a raw log-citation outcome would throw away most of the sample. Adding one keeps the transform defined for every record and holds the uncited work inside the analysis, which matters because the uncited records are not noise to be dropped. They are the demographic core of an emergent field, and cutting them would bias the estimate toward the handful of older, cited papers.</w:t>
      </w:r>
    </w:p>
    <w:p>
      <w:pPr>
        <w:pStyle w:val="BodyText"/>
        <w:spacing w:line="480" w:lineRule="auto"/>
        <w:ind w:firstLine="720"/>
      </w:pPr>
      <w:r>
        <w:t xml:space="preserve">The transform is not free of consequence, and the method is honest about its cost. Adding one compresses the distinction between an uncited paper and a paper with a single citation, dampening the low end of the curve a little. Against this corpus’s citation distribution, where the choice runs between keeping the many zeros through a plus-one shift or discarding them entirely, the shift is plainly the lesser distortion. The alternative, a count model that handles zeros natively, was set aside for the sample-size reasons already given, its asymptotics being unreliable at thirty records. The plus-one log-log model is the defensible compromise, and disclosing why it was chosen is part of keeping the estimator auditable rather than treating a transform as an invisible convenience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One commitment governs both estimators: nothing gets reported after the fact that was not specified before it. The outcome variables, the predictors, the functional forms, the standard-error family, and the directional hypotheses were all fixed by the design before the coefficients were computed. That ordering forecloses the most common way an underpowered study manufactures a result, namely trying several specifications and reporting the one that happens to reach significance. Since the two models here were pre-specified and are the only two run, there is no hidden menu of alternatives from which a favorable fit was cherry-picked. A reviewer can read the reported output as the whole of the evidence rather than the survivor of an unreported search, and that assurance is worth more at thirty records than any sophistication the estimators could have added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6"/>
    <w:bookmarkStart w:id="107" w:name="reproducibility-as-part-of-the-method"/>
    <w:p>
      <w:pPr>
        <w:pStyle w:val="Heading2"/>
        <w:spacing w:line="480" w:lineRule="auto"/>
      </w:pPr>
      <w:r>
        <w:t xml:space="preserve">Reproducibility as part of the method</w:t>
      </w:r>
    </w:p>
    <w:p>
      <w:pPr>
        <w:pStyle w:val="FirstParagraph"/>
        <w:spacing w:line="480" w:lineRule="auto"/>
      </w:pPr>
      <w:r>
        <w:t xml:space="preserve">Here method carries a promise: the numbers can be regenerated. Both estimators run on retained comma-separated data files where every row carries a source identifier, so the path from a retrieved record to a coefficient stays fully traceable, and no manual coding step waits for a second analyst to perform differently, because fixed rules compute the outcome and the predictors alike. That reproducibility is no decoration. It is the very feature that lets Chapter 6 print the estimator output at full precision and dare a reader to check it, which is the standard a design-stage dissertation in this program is meant to meet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7"/>
    <w:bookmarkEnd w:id="108"/>
    <w:bookmarkStart w:id="119" w:name="chapter-5.-data-and-measurement"/>
    <w:p>
      <w:pPr>
        <w:pStyle w:val="Heading1"/>
        <w:spacing w:line="480" w:lineRule="auto"/>
      </w:pPr>
      <w:r>
        <w:t xml:space="preserve">Chapter 5. Data and Measurement</w:t>
      </w:r>
    </w:p>
    <w:p>
      <w:pPr>
        <w:pStyle w:val="FirstParagraph"/>
        <w:spacing w:line="480" w:lineRule="auto"/>
      </w:pPr>
      <w:r>
        <w:t xml:space="preserve">Everything the two estimators produce rests on thirty records. Those records are the whole empirical world of this dissertation, and their construction earns the same scrutiny as the models that consume them. This chapter documents where the data came from, how each variable was built, and what the sample can and cannot represent. The guiding rule runs simply: a reader should be able to open any row, follow its source column, and reconstruct every derived value without taking the candidate’s word for it.</w:t>
      </w:r>
    </w:p>
    <w:bookmarkStart w:id="109" w:name="the-retrieved-corpus"/>
    <w:p>
      <w:pPr>
        <w:pStyle w:val="Heading2"/>
        <w:spacing w:line="480" w:lineRule="auto"/>
      </w:pPr>
      <w:r>
        <w:t xml:space="preserve">The retrieved corpus</w:t>
      </w:r>
    </w:p>
    <w:p>
      <w:pPr>
        <w:pStyle w:val="FirstParagraph"/>
        <w:spacing w:line="480" w:lineRule="auto"/>
      </w:pPr>
      <w:r>
        <w:t xml:space="preserve">The dataset is a candidate-specific collection of thirty source records assembled around the dissertation’s subject, autonomous failure modes in space operations. In publication year the records span 2011 to 2025, and they fall into three venue families. The largest group comes from a space surveillance and situational awareness conference series, which supplies the rapid-turnaround proceedings that dominate the early and middle years of the sample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 second group comes from an archival aerospace engineering journal, source of the peer-reviewed method and survey papers, several of them very recent</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A third, smaller group comes from a space-economy and governance venue family that anchors the policy end of the corpus.</w:t>
      </w:r>
    </w:p>
    <w:p>
      <w:pPr>
        <w:pStyle w:val="BodyText"/>
        <w:spacing w:line="480" w:lineRule="auto"/>
        <w:ind w:firstLine="720"/>
      </w:pPr>
      <w:r>
        <w:t xml:space="preserve">None of the three families is interchangeable with the others, and the sample was built to keep them distinguishable rather than pool them into one undifferentiated heap. Conference proceedings reward operational specificity and arrive in quick succession; the journal rewards archival completeness and slower, denser papers; the governance venue rewards institutional framing. That heterogeneity is a feature for the venue-family predictor and a caution for interpretation, since a signal that looks like a topic trend could partly be a shift in which venue family contributes records at a given time.</w:t>
      </w:r>
    </w:p>
    <w:bookmarkEnd w:id="109"/>
    <w:bookmarkStart w:id="110" w:name="constructing-the-topic-signal-score"/>
    <w:p>
      <w:pPr>
        <w:pStyle w:val="Heading2"/>
        <w:spacing w:line="480" w:lineRule="auto"/>
      </w:pPr>
      <w:r>
        <w:t xml:space="preserve">Constructing the topic-signal score</w:t>
      </w:r>
    </w:p>
    <w:p>
      <w:pPr>
        <w:pStyle w:val="FirstParagraph"/>
        <w:spacing w:line="480" w:lineRule="auto"/>
      </w:pPr>
      <w:r>
        <w:t xml:space="preserve">Paper 1’s outcome variable, the topic-signal score, is built by rule. For every record the routine counts theme-relevant term hits across four metadata fields: title, retrieved snippet, keyword field, and author metadata. Take a record whose title names autonomy, whose keywords carry fault detection and situational awareness, and whose snippet paints an agent choosing its moves; it racks up several hits and scores high. A record that merely brushes space in passing scores low. Because the count follows a rule, one record always returns one score, and no interpretive judgment slips into the outcome.</w:t>
      </w:r>
    </w:p>
    <w:p>
      <w:pPr>
        <w:pStyle w:val="BodyText"/>
        <w:spacing w:line="480" w:lineRule="auto"/>
        <w:ind w:firstLine="720"/>
      </w:pPr>
      <w:r>
        <w:t xml:space="preserve">Two traits of the score bear on the interpretation to come. First, the fields on hand cap it: a record with a terse title and a bare keyword field has less room to score than one with rich metadata, and that is precisely the heteroskedasticity the HC1 standard errors exist to absorb. Second, the score proxies topic engagement without measuring it. A high score marks dense theme-relevant vocabulary, which usually, though not always, moves with real topical depth. The work treats the score as a screen, and Chapter 7 circles back to the gap between vocabulary density and true topical relevance</w:t>
      </w:r>
      <w:r>
        <w:t xml:space="preserve"> </w:t>
      </w:r>
      <w:hyperlink w:anchor="ref-4">
        <w:r>
          <w:rPr>
            <w:rStyle w:val="Hyperlink"/>
          </w:rPr>
          <w:t xml:space="preserve">[4]</w:t>
        </w:r>
      </w:hyperlink>
      <w:r>
        <w:t xml:space="preserve">.</w:t>
      </w:r>
    </w:p>
    <w:bookmarkEnd w:id="110"/>
    <w:bookmarkStart w:id="111" w:name="the-predictors"/>
    <w:p>
      <w:pPr>
        <w:pStyle w:val="Heading2"/>
        <w:spacing w:line="480" w:lineRule="auto"/>
      </w:pPr>
      <w:r>
        <w:t xml:space="preserve">The predictors</w:t>
      </w:r>
    </w:p>
    <w:p>
      <w:pPr>
        <w:pStyle w:val="FirstParagraph"/>
        <w:spacing w:line="480" w:lineRule="auto"/>
      </w:pPr>
      <w:r>
        <w:t xml:space="preserve">The recency index takes publication year, subtracts the sample’s earliest year, and adds one. Since the oldest records fall in 2011 and 2012, they land at one and two, while the newest 2025 work lands at fifteen. This keeps the years in order and gives the regression a tidy, positive-valued predictor. Its mirror image, the age index Paper 2 uses, is 2026 minus publication year plus one, so newer work carries small age and older work large; the two indices spell out the same calendar from opposite ends.</w:t>
      </w:r>
    </w:p>
    <w:p>
      <w:pPr>
        <w:pStyle w:val="BodyText"/>
        <w:spacing w:line="480" w:lineRule="auto"/>
        <w:ind w:firstLine="720"/>
      </w:pPr>
      <w:r>
        <w:t xml:space="preserve">The citation count arrives straight from the local index. It is by a long way the noisiest column in the set. Zero is what most records report, which surprises no one given how many are recent conference or journal pieces still too new to have drawn references. A few older journal papers post real counts, among them one at 130 and one at 75, and those scarce high-leverage points labor hard in both models. The work marks that leverage rather than burying it, because in a thirty-record set a small clutch of extreme citation values can shove a coefficient a long way</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venue-family score is ordinal, tagging the conference family, the journal family, and the governance family as three separate levels and no more. That ordinal coding is a chosen limitation. It presses an order onto the families that need answer to no real underlying scale, so the work will not read the venue coefficient as the per-step effect of climbing an actual ladder. Read it instead only as a sign of whether venue family bears any systematic tie to the signal at all, which is as far as an ordinal code can honestly carry.</w:t>
      </w:r>
    </w:p>
    <w:bookmarkEnd w:id="111"/>
    <w:bookmarkStart w:id="112" w:name="sample-size-and-its-consequences"/>
    <w:p>
      <w:pPr>
        <w:pStyle w:val="Heading2"/>
        <w:spacing w:line="480" w:lineRule="auto"/>
      </w:pPr>
      <w:r>
        <w:t xml:space="preserve">Sample size and its consequences</w:t>
      </w:r>
    </w:p>
    <w:p>
      <w:pPr>
        <w:pStyle w:val="FirstParagraph"/>
        <w:spacing w:line="480" w:lineRule="auto"/>
      </w:pPr>
      <w:r>
        <w:t xml:space="preserve">Thirty records is a small sample. The work neither apologizes for the number nor dresses it up as larger. This is a screen, and thirty deterministic, fully traceable records are enough to catch strong structure while running fittingly short of power for weak. That stance suits a design-stage study: a strong, clean tie would hold at this size and earn belief, and a weak tie would be flagged weak for the plain reason that the sample cannot resolve it. Padding the collection with loosely related records to purchase power would have swapped provenance for noise and wrecked the whole point.</w:t>
      </w:r>
    </w:p>
    <w:p>
      <w:pPr>
        <w:pStyle w:val="BodyText"/>
        <w:spacing w:line="480" w:lineRule="auto"/>
        <w:ind w:firstLine="720"/>
      </w:pPr>
      <w:r>
        <w:t xml:space="preserve">The small sample also colors how the two papers read together. Both models pull the same thirty records and the same citation column, so the few high-citation outliers sway the cross-sectional and the temporal fit alike. Spot a weak result in one paper and you should brace for the citation channel to prove just as brittle in the other, and Chapter 6 lays that shared brittleness bare rather than passing the two fits off as separate confirmations</w:t>
      </w:r>
      <w:r>
        <w:t xml:space="preserve"> </w:t>
      </w:r>
      <w:hyperlink w:anchor="ref-5">
        <w:r>
          <w:rPr>
            <w:rStyle w:val="Hyperlink"/>
          </w:rPr>
          <w:t xml:space="preserve">[5]</w:t>
        </w:r>
      </w:hyperlink>
      <w:r>
        <w:t xml:space="preserve">.</w:t>
      </w:r>
    </w:p>
    <w:bookmarkEnd w:id="112"/>
    <w:bookmarkStart w:id="113" w:name="the-distribution-of-the-variables"/>
    <w:p>
      <w:pPr>
        <w:pStyle w:val="Heading2"/>
        <w:spacing w:line="480" w:lineRule="auto"/>
      </w:pPr>
      <w:r>
        <w:t xml:space="preserve">The distribution of the variables</w:t>
      </w:r>
    </w:p>
    <w:p>
      <w:pPr>
        <w:pStyle w:val="FirstParagraph"/>
        <w:spacing w:line="480" w:lineRule="auto"/>
      </w:pPr>
      <w:r>
        <w:t xml:space="preserve">Look at the columns before the models. A coefficient means little without a feel for the data that produced it, and descriptive structure is where the feel comes from. The recency index spreads across its full range, records at values of one and two anchoring the early end and a heavy cluster at fourteen and fifteen carrying the surge of recent work. That right-skew toward recent years is the first hint the corpus may be emergent rather than mature, since a settled field would show a flatter age profile while this one leans hard toward the last two years.</w:t>
      </w:r>
    </w:p>
    <w:p>
      <w:pPr>
        <w:pStyle w:val="BodyText"/>
        <w:spacing w:line="480" w:lineRule="auto"/>
        <w:ind w:firstLine="720"/>
      </w:pPr>
      <w:r>
        <w:t xml:space="preserve">The citation column is where the drama lives. Its modal value is zero, and that single fact, more than any coefficient the estimators later report, tells the reader what kind of corpus this is: a young one, dominated by work too recent to have been cited, propped up at the tail by a handful of older papers that alone carry the entire weight of the citation distribution. Most records have never been cited in the local index at all, which is what a corpus this recent should look like. A handful break sharply from that floor, with reported counts of six, twenty-six, seventy-five, and one hundred thirty. Those few points are no errors. They are older journal articles that have had years to gather references, and they sit far out on the tail of an otherwise near-empty distribution. Any estimator using citations will lean on them, and honesty about the results starts with honesty about their leverage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Venue family is the most balanced column of the three, splitting the corpus across a conference family that dominates the early and middle years, a journal family that supplies the recent peer-reviewed work, and a smaller governance family. That balance is deliberate and useful, giving the venue predictor variation to work with while keeping the three families distinguishable. The topic-signal outcome, for its part, ranges from low single digits up to eight, with a nonzero floor across the corpus, which foreshadows the significant intercept the cross-sectional model will later report</w:t>
      </w:r>
      <w:r>
        <w:t xml:space="preserve"> </w:t>
      </w:r>
      <w:hyperlink w:anchor="ref-7">
        <w:r>
          <w:rPr>
            <w:rStyle w:val="Hyperlink"/>
          </w:rPr>
          <w:t xml:space="preserve">[7]</w:t>
        </w:r>
      </w:hyperlink>
      <w:r>
        <w:t xml:space="preserve">.</w:t>
      </w:r>
    </w:p>
    <w:bookmarkEnd w:id="113"/>
    <w:bookmarkStart w:id="114" w:name="governance-records-and-why-they-belong"/>
    <w:p>
      <w:pPr>
        <w:pStyle w:val="Heading2"/>
        <w:spacing w:line="480" w:lineRule="auto"/>
      </w:pPr>
      <w:r>
        <w:t xml:space="preserve">Governance records and why they belong</w:t>
      </w:r>
    </w:p>
    <w:p>
      <w:pPr>
        <w:pStyle w:val="FirstParagraph"/>
        <w:spacing w:line="480" w:lineRule="auto"/>
      </w:pPr>
      <w:r>
        <w:t xml:space="preserve">Five of the thirty records carry a governance and space-economy provenance rather than an engineering venue. Their inclusion is deliberate, and it is worth defending. Autonomous collision avoidance is not an engineering problem alone but an institutional one as well, so a collection that shut out the policy end would misstate the subject’s true reach, and these five records answer that by carrying the vocabulary of orbital carrying capacity, debris economics, and governance failure into the sample while anchoring the venue-family variable at its policy level. They earn their topic signal on their own ground, through words like debris, sustainability, and governance. That keeps the screen from folding into a purely technical exercise blind to the institutional stakes the introduction laid out</w:t>
      </w:r>
      <w:r>
        <w:t xml:space="preserve"> </w:t>
      </w:r>
      <w:hyperlink w:anchor="ref-2">
        <w:r>
          <w:rPr>
            <w:rStyle w:val="Hyperlink"/>
          </w:rPr>
          <w:t xml:space="preserve">[2]</w:t>
        </w:r>
      </w:hyperlink>
      <w:r>
        <w:t xml:space="preserve">.</w:t>
      </w:r>
    </w:p>
    <w:p>
      <w:pPr>
        <w:pStyle w:val="BodyText"/>
        <w:spacing w:line="480" w:lineRule="auto"/>
        <w:ind w:firstLine="720"/>
      </w:pPr>
      <w:r>
        <w:t xml:space="preserve">Their presence shapes the reading too. Clustered at a single year and carrying no citations in the local index, the governance records feed variation into the venue and signal columns yet feed none into the citation tail, and that lopsidedness is part of why the citation channel comes to rest so heavily on the few engineering outliers. Naming it here readies the reader for the shared frailty the results chapter lays out across both papers</w:t>
      </w:r>
      <w:r>
        <w:t xml:space="preserve"> </w:t>
      </w:r>
      <w:hyperlink w:anchor="ref-7">
        <w:r>
          <w:rPr>
            <w:rStyle w:val="Hyperlink"/>
          </w:rPr>
          <w:t xml:space="preserve">[7]</w:t>
        </w:r>
      </w:hyperlink>
      <w:r>
        <w:t xml:space="preserve">.</w:t>
      </w:r>
    </w:p>
    <w:bookmarkEnd w:id="114"/>
    <w:bookmarkStart w:id="115" w:name="a-record-level-walk-through-the-corpus"/>
    <w:p>
      <w:pPr>
        <w:pStyle w:val="Heading2"/>
        <w:spacing w:line="480" w:lineRule="auto"/>
      </w:pPr>
      <w:r>
        <w:t xml:space="preserve">A record-level walk through the corpus</w:t>
      </w:r>
    </w:p>
    <w:p>
      <w:pPr>
        <w:pStyle w:val="FirstParagraph"/>
        <w:spacing w:line="480" w:lineRule="auto"/>
      </w:pPr>
      <w:r>
        <w:t xml:space="preserve">Abstract descriptions of a dataset come cheap; walking a few real rows is what makes the construction credible. Take the earliest record, a 2011 conference paper on learning agents for autonomous space asset management</w:t>
      </w:r>
      <w:r>
        <w:t xml:space="preserve"> </w:t>
      </w:r>
      <w:hyperlink w:anchor="ref-6">
        <w:r>
          <w:rPr>
            <w:rStyle w:val="Hyperlink"/>
          </w:rPr>
          <w:t xml:space="preserve">[6]</w:t>
        </w:r>
      </w:hyperlink>
      <w:r>
        <w:t xml:space="preserve">. Its recency index sits at one, the floor of the range, since it is the oldest year in the sample. Its citation count in the local index is zero, which places it on the modal floor of the citation column rather than in the tail. Yet its topic-signal score is high, at five, because its title and metadata name autonomy, learning agents, and asset management densely. This single row already stages the tension the whole design turns on: an old, uncited paper can sit squarely on topic, so age and citation attention need not travel with topical engagement at all.</w:t>
      </w:r>
    </w:p>
    <w:p>
      <w:pPr>
        <w:pStyle w:val="BodyText"/>
        <w:spacing w:line="480" w:lineRule="auto"/>
        <w:ind w:firstLine="720"/>
      </w:pPr>
      <w:r>
        <w:t xml:space="preserve">Set that against the two heavy-citation records. A 2022 journal survey of autonomous navigation for deep-space small satellites carries a reported count of one hundred thirty, by far the largest in the corpus, and a 2018 journal paper on multi-satellite mission allocation carries seventy-five</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Both are older peer-reviewed works that have had years to gather references, and both range topically broad rather than narrowly across failure modes, so their signal scores stay modest even as their citation counts dominate. Those two rows are the leverage points named repeatedly in the chapters ahead. In a thirty-row sample, they alone would have to bend any citation slope, and their topical breadth is why the cross-sectional citation coefficient comes back slightly negative rather than positive: the most-cited records engage the specific vocabulary least densely.</w:t>
      </w:r>
    </w:p>
    <w:p>
      <w:pPr>
        <w:pStyle w:val="BodyText"/>
        <w:spacing w:line="480" w:lineRule="auto"/>
        <w:ind w:firstLine="720"/>
      </w:pPr>
      <w:r>
        <w:t xml:space="preserve">Now take a recent record. A 2025 journal paper on camera sensor faults in vision-based navigation sits at recency fifteen, the ceiling, with a citation count near zero because it is too new to have gathered references, and a middling signal score</w:t>
      </w:r>
      <w:r>
        <w:t xml:space="preserve"> </w:t>
      </w:r>
      <w:hyperlink w:anchor="ref-15">
        <w:r>
          <w:rPr>
            <w:rStyle w:val="Hyperlink"/>
          </w:rPr>
          <w:t xml:space="preserve">[15]</w:t>
        </w:r>
      </w:hyperlink>
      <w:r>
        <w:t xml:space="preserve">. This is exactly the kind of record a rising-topic story would want to score high and cite often, and instead it scores moderately while staying uncited. Multiply that pattern across the recent cluster and the corpus’s shape turns legible before any regression runs: recent, on-topic, uncited work crowds the high end of the recency index, while the citation tail is held up by a few older, broader papers. The estimators later confirm what these rows already suggest.</w:t>
      </w:r>
    </w:p>
    <w:bookmarkEnd w:id="115"/>
    <w:bookmarkStart w:id="116" w:name="Xb2e9376866e6d688bf0e166bf3c41b65693f9f5"/>
    <w:p>
      <w:pPr>
        <w:pStyle w:val="Heading2"/>
        <w:spacing w:line="480" w:lineRule="auto"/>
      </w:pPr>
      <w:r>
        <w:t xml:space="preserve">Descriptive statistics that anticipate the fits</w:t>
      </w:r>
    </w:p>
    <w:p>
      <w:pPr>
        <w:pStyle w:val="FirstParagraph"/>
        <w:spacing w:line="480" w:lineRule="auto"/>
      </w:pPr>
      <w:r>
        <w:t xml:space="preserve">A handful of summary facts about the columns foreshadow every result in Chapter 6, and stating them here lets the reader meet the coefficients already knowing the terrain. The recency index skews right toward the ceiling, a heavy concentration of records at values of fourteen and fifteen against only a thin scatter at the low end, and that skew is the demographic signature of an emergent field. The citation column skews right in the other structural sense: its modal and median value is zero, its mean is dragged upward almost entirely by two points at seventy-five and one hundred thirty, and its distribution between those extremes runs nearly empty. The signal score behaves best of the three, ranging from low single digits to eight with a nonzero floor across the corpus, and that floor is the descriptive fact foreshadowing the precisely estimated, clearly nonzero intercept the cross-sectional model returns.</w:t>
      </w:r>
    </w:p>
    <w:p>
      <w:pPr>
        <w:pStyle w:val="BodyText"/>
        <w:spacing w:line="480" w:lineRule="auto"/>
        <w:ind w:firstLine="720"/>
      </w:pPr>
      <w:r>
        <w:t xml:space="preserve">Read together, these three distributions predict the eventual nulls without any modeling at all. A citation column that reads zero for most records and enormous for two cannot support a stable slope in a thirty-row sample, so any coefficient that leans on it comes out fragile. A recency index piled against its ceiling leaves the regression little spread at the low end to anchor a trend. A signal score with a solid floor but modest range hands the intercept plenty to estimate and the slopes little. The descriptive structure, in short, is already telling the reader that the corpus is topically real but structurally thin, exactly the reading the estimators later formalize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16"/>
    <w:bookmarkStart w:id="117" w:name="what-the-sample-deliberately-excludes"/>
    <w:p>
      <w:pPr>
        <w:pStyle w:val="Heading2"/>
        <w:spacing w:line="480" w:lineRule="auto"/>
      </w:pPr>
      <w:r>
        <w:t xml:space="preserve">What the sample deliberately excludes</w:t>
      </w:r>
    </w:p>
    <w:p>
      <w:pPr>
        <w:pStyle w:val="FirstParagraph"/>
        <w:spacing w:line="480" w:lineRule="auto"/>
      </w:pPr>
      <w:r>
        <w:t xml:space="preserve">A dataset is defined as much by what it leaves out as by what it contains, and the exclusions here are principled rather than accidental. The corpus makes no attempt at a census of the autonomous-space literature; it is a provenance-first retrieval built for traceability and topical fit. So it excludes records whose provenance could not be pinned to a resolvable link, a digital object identifier, or a described source document, since an untraceable row would break the audit chain the whole design depends on. It also excludes records that brush the topic through a single incidental term, because a corpus padded with loosely related papers would buy statistical power at the cost of the topical coherence the intercept later confirms.</w:t>
      </w:r>
    </w:p>
    <w:p>
      <w:pPr>
        <w:pStyle w:val="BodyText"/>
        <w:spacing w:line="480" w:lineRule="auto"/>
        <w:ind w:firstLine="720"/>
      </w:pPr>
      <w:r>
        <w:t xml:space="preserve">Those exclusions carry a cost, and the honest posture names it rather than celebrating the resulting cleanliness. A provenance-first corpus is not a random sample, so nothing estimated on it generalizes to the full field, a limit Chapter 7 treats as the central external-validity threat. The exclusions buy auditability and topical coherence, and they pay for it in representativeness. For a design-stage screen whose purpose is to demonstrate a traceable inference chain rather than estimate a population parameter, that trade is the correct one, yet it remains a trade, and the dataset chapter is the right place to book its cost openly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7"/>
    <w:bookmarkStart w:id="118" w:name="provenance-and-auditability"/>
    <w:p>
      <w:pPr>
        <w:pStyle w:val="Heading2"/>
        <w:spacing w:line="480" w:lineRule="auto"/>
      </w:pPr>
      <w:r>
        <w:t xml:space="preserve">Provenance and auditability</w:t>
      </w:r>
    </w:p>
    <w:p>
      <w:pPr>
        <w:pStyle w:val="FirstParagraph"/>
        <w:spacing w:line="480" w:lineRule="auto"/>
      </w:pPr>
      <w:r>
        <w:t xml:space="preserve">Every row in both data files carries a source column. For conference records the source is a resolvable proceedings link, for journal records a digital object identifier, for governance records a descriptive provenance string identifying the underlying document. That column is the audit trail. It makes the dataset not a black box that emits coefficients but a ledger a reviewer can walk, from a retrieved record through its constructed variables to its contribution to a fit. Fault-diagnosis work in space systems insists on exactly this reconstructable chain, on the principle that an autonomous decision no one can trace is an autonomous decision no one can trust</w:t>
      </w:r>
      <w:r>
        <w:t xml:space="preserve"> </w:t>
      </w:r>
      <w:hyperlink w:anchor="ref-5">
        <w:r>
          <w:rPr>
            <w:rStyle w:val="Hyperlink"/>
          </w:rPr>
          <w:t xml:space="preserve">[5]</w:t>
        </w:r>
      </w:hyperlink>
      <w:r>
        <w:t xml:space="preserve">. The dataset turns that principle on itself, so the empirical claims in the chapters ahead rest on records rather than assertion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two data files are not identical, and the difference is worth noting for a reader who audits both, because it is just the kind of small discrepancy that, left unexplained, would make a careful reviewer wonder whether the two papers had quietly drawn on two different samples rather than two views of one. The cross-sectional file carries the recency index and the venue score alongside the signal columns, since Paper 1 needs them as predictors. The learning-curve file carries the age index and the citation-plus-one column, since Paper 2 needs those instead. Both files share the same thirty source identifiers and the same underlying citation values, so a reviewer can join them on the source column and confirm the shared quantities match across the two workbooks. That cross-file consistency is itself part of the audit trail, letting a reader verify that the two papers screen the same corpus from two angles rather than quietly drawing on two different samples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18"/>
    <w:bookmarkEnd w:id="119"/>
    <w:bookmarkStart w:id="131" w:name="chapter-6.-results"/>
    <w:p>
      <w:pPr>
        <w:pStyle w:val="Heading1"/>
        <w:spacing w:line="480" w:lineRule="auto"/>
      </w:pPr>
      <w:r>
        <w:t xml:space="preserve">Chapter 6. Results</w:t>
      </w:r>
    </w:p>
    <w:p>
      <w:pPr>
        <w:pStyle w:val="FirstParagraph"/>
        <w:spacing w:line="480" w:lineRule="auto"/>
      </w:pPr>
      <w:r>
        <w:t xml:space="preserve">This chapter reports what the two estimators actually returned. The numbers stand at the precision the models produced, unsoftened toward the story Chapter 3 hoped for. Both fits are weak. That is the honest headline, and the interpretive work of this chapter is to say precisely how weak, in which direction, and what the weakness means for the dissertation’s single falsifiable claim.</w:t>
      </w:r>
    </w:p>
    <w:bookmarkStart w:id="120" w:name="paper-1-the-cross-sectional-screen"/>
    <w:p>
      <w:pPr>
        <w:pStyle w:val="Heading2"/>
        <w:spacing w:line="480" w:lineRule="auto"/>
      </w:pPr>
      <w:r>
        <w:t xml:space="preserve">Paper 1: the cross-sectional screen</w:t>
      </w:r>
    </w:p>
    <w:p>
      <w:pPr>
        <w:pStyle w:val="FirstParagraph"/>
        <w:spacing w:line="480" w:lineRule="auto"/>
      </w:pPr>
      <w:r>
        <w:t xml:space="preserve">Estimated on all thirty records under robust HC1 standard errors, the ordinary least squares model of the topic-signal score handed back the overall fit below. The sample size is N = 30. The coefficient of determination is R2 = 0.128, its adjusted value R2_adj = 0.027. The joint F statistic is F = 1.702 with a p-value of F_p = 0.191. Roughly thirteen percent of the variance in the signal score, then, falls to the three predictors before the adjustment and almost none of it after, and the joint test cannot reject the hypothesis that all three slopes are zero.</w:t>
      </w:r>
    </w:p>
    <w:p>
      <w:pPr>
        <w:pStyle w:val="BodyText"/>
        <w:spacing w:line="480" w:lineRule="auto"/>
        <w:ind w:firstLine="720"/>
      </w:pPr>
      <w:r>
        <w:t xml:space="preserve">The individual term estimates round out the picture. The constant lands at 4.788, and with a standard error of 1.516 and a p-value of 0.002 the intercept comes in sharply fixed and plainly nonzero. Three slopes follow. The recency coefficient is -0.167, with a standard error of 0.092 and a p-value of 0.071. The citation coefficient is -0.013, with a standard error of 0.008 and a p-value of 0.087. The venue-score coefficient is 0.037, with a standard error of 0.608 and a p-value of 0.952.</w:t>
      </w:r>
    </w:p>
    <w:p>
      <w:pPr>
        <w:pStyle w:val="BodyText"/>
        <w:spacing w:line="480" w:lineRule="auto"/>
        <w:ind w:firstLine="720"/>
      </w:pPr>
      <w:r>
        <w:t xml:space="preserve">Two things jump out, and both cut against the Chapter 3 prediction. The recency coefficient runs negative, not positive, and at its p-value of 0.071 it edges up to a conventional significance threshold without stepping over. Taken at its word, the point estimate says that inside this collection the more recent records hold a shade less topic signal once citations and venue are held fixed, which is the reverse of a subject thickening its vocabulary as the years pass. Yet it is too blurry for that. The honest read is not a flipped trend but a missing rising one, and the directional half of H1 for Paper 1, that signal climbs with recency, draws no support.</w:t>
      </w:r>
    </w:p>
    <w:p>
      <w:pPr>
        <w:pStyle w:val="BodyText"/>
        <w:spacing w:line="480" w:lineRule="auto"/>
        <w:ind w:firstLine="720"/>
      </w:pPr>
      <w:r>
        <w:t xml:space="preserve">The citation coefficient tells a compatible story. Negative in sign and tiny in magnitude at -0.013, it means each additional reported citation goes with a fractionally lower signal score, again with the other predictors held fixed, and its p-value of 0.087 leaves it short of significance. This fits the caution raised in the theory chapter: highly cited papers in this corpus tend to be older, broader method and survey works that engage the specific failure-mode vocabulary less densely than newer, narrower pieces, so citation attention and topic signal are, if anything, mildly opposed here rather than aligned</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venue coefficient sits effectively at zero, with a p-value of 0.952, so venue family carries no detectable association with the signal once recency and citations are in the model.</w:t>
      </w:r>
    </w:p>
    <w:p>
      <w:pPr>
        <w:pStyle w:val="BodyText"/>
        <w:spacing w:line="480" w:lineRule="auto"/>
        <w:ind w:firstLine="720"/>
      </w:pPr>
      <w:r>
        <w:t xml:space="preserve">Taken together, Paper 1 does not reject its null. The topic-signal score is not systematically and positively related to recency, citation attention, and venue family the way H1 predicted. As measured, the corpus does not encode the clean cross-sectional structure a strong governance claim would want, and the dissertation reports that as a finding rather than burying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0"/>
    <w:bookmarkStart w:id="121" w:name="paper-2-the-temporal-accumulation-screen"/>
    <w:p>
      <w:pPr>
        <w:pStyle w:val="Heading2"/>
        <w:spacing w:line="480" w:lineRule="auto"/>
      </w:pPr>
      <w:r>
        <w:t xml:space="preserve">Paper 2: the temporal accumulation screen</w:t>
      </w:r>
    </w:p>
    <w:p>
      <w:pPr>
        <w:pStyle w:val="FirstParagraph"/>
        <w:spacing w:line="480" w:lineRule="auto"/>
      </w:pPr>
      <w:r>
        <w:t xml:space="preserve">The learning-curve model of citation accumulation, estimated as a log-log regression on the same thirty records with robust HC1 standard errors, returned an even weaker fit. The sample size is N = 30. The coefficient of determination is R2 = 0.003. The estimated elasticity is 0.098, and the implied progress ratio, the factor by which citations-plus-one scale when age doubles, is 1.070.</w:t>
      </w:r>
    </w:p>
    <w:p>
      <w:pPr>
        <w:pStyle w:val="BodyText"/>
        <w:spacing w:line="480" w:lineRule="auto"/>
        <w:ind w:firstLine="720"/>
      </w:pPr>
      <w:r>
        <w:t xml:space="preserve">Here are the term estimates. The constant is 0.541, with a standard error of 0.389 and a p-value of 0.165. The log-age coefficient, which is the elasticity, is 0.098, with a standard error of 0.287 and a p-value of 0.733. Positive it is, at least the direction a maturing literature would show, yet nowhere near precisely estimated, since its p-value of 0.733 places it deep inside the region consistent with no relationship at all. An R2 of 0.003 means article age explains essentially none of the variation in citation accumulation across this corpus.</w:t>
      </w:r>
    </w:p>
    <w:p>
      <w:pPr>
        <w:pStyle w:val="BodyText"/>
        <w:spacing w:line="480" w:lineRule="auto"/>
        <w:ind w:firstLine="720"/>
      </w:pPr>
      <w:r>
        <w:t xml:space="preserve">This reads as a letdown, though a plain one, springing from the sheer size of the figures rather than from any judgment call the analyst might have swung the other way. A progress ratio of 1.070 puts a doubling of a document’s age alongside a rise of merely seven percent or so in citations-plus-one, and the huge standard error on the elasticity leaves even that sliver indistinguishable from nothing. So Paper 2 keeps its null. Here, article age lends no measurable shape to how citations pile up. The shape is just what a young, newest-heavy body of writing should throw off: most records fresh and uncited, a scarce few older ones holding nearly every citation, and age accordingly telling us nothing regular about where attention lands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21"/>
    <w:bookmarkStart w:id="122" w:name="reading-the-two-nulls-together"/>
    <w:p>
      <w:pPr>
        <w:pStyle w:val="Heading2"/>
        <w:spacing w:line="480" w:lineRule="auto"/>
      </w:pPr>
      <w:r>
        <w:t xml:space="preserve">Reading the two nulls together</w:t>
      </w:r>
    </w:p>
    <w:p>
      <w:pPr>
        <w:pStyle w:val="FirstParagraph"/>
        <w:spacing w:line="480" w:lineRule="auto"/>
      </w:pPr>
      <w:r>
        <w:t xml:space="preserve">Both papers kept their nulls, and it would mislead to read them as two separate defeats. The two models draw on the same thirty records and one shared citation column, and the identical pair of heavy outliers, the paper at 130 citations and the one at 75, pull weight in each fit. Old and broadly framed, they tug Paper 1’s citation slope a touch below zero; in Paper 2, holding the only large citation values, they would have to conjure any age-citation slope by themselves, and thirty records cannot sharpen it. So the frailty is one thing shared, not two things stacked, and the work states as much outright rather than costuming two thin fits as mutual proof</w:t>
      </w:r>
      <w:r>
        <w:t xml:space="preserve"> </w:t>
      </w:r>
      <w:hyperlink w:anchor="ref-5">
        <w:r>
          <w:rPr>
            <w:rStyle w:val="Hyperlink"/>
          </w:rPr>
          <w:t xml:space="preserve">[5]</w:t>
        </w:r>
      </w:hyperlink>
      <w:r>
        <w:t xml:space="preserve">.</w:t>
      </w:r>
    </w:p>
    <w:p>
      <w:pPr>
        <w:pStyle w:val="BodyText"/>
        <w:spacing w:line="480" w:lineRule="auto"/>
        <w:ind w:firstLine="720"/>
      </w:pPr>
      <w:r>
        <w:t xml:space="preserve">Tucked inside the negative results sits a positive one, the sharply fixed constant from the cross-sectional model. At 4.788 with a p-value of 0.002, that intercept declares a real, nonzero floor of topic signal, these records averaging out as truly about the subject rather than static. What goes missing from the collection is not topical substance but any measurable ordering of that substance along the predicted axes. The subject is here; its structure will not resolve at a sample this size.</w:t>
      </w:r>
    </w:p>
    <w:bookmarkEnd w:id="122"/>
    <w:bookmarkStart w:id="123" w:name="magnitudes-not-just-signs"/>
    <w:p>
      <w:pPr>
        <w:pStyle w:val="Heading2"/>
        <w:spacing w:line="480" w:lineRule="auto"/>
      </w:pPr>
      <w:r>
        <w:t xml:space="preserve">Magnitudes, not just signs</w:t>
      </w:r>
    </w:p>
    <w:p>
      <w:pPr>
        <w:pStyle w:val="FirstParagraph"/>
        <w:spacing w:line="480" w:lineRule="auto"/>
      </w:pPr>
      <w:r>
        <w:t xml:space="preserve">Sign and significance make up only half the story; size is the rest, and size is where a screen pays for itself. Consider the recency coefficient of -0.167. The recency index stretches from one to fifteen, so the reach from oldest record to newest covers fourteen units. Carried through, the point estimate hands back a signal-score gap near 2.3 points across the whole age range, weighed against an intercept of 4.788. That size is anything but trivial; pinned down precisely, it would portray a subject whose vocabulary thins visibly in newer work. Vagueness is what spares the interpretation from that verdict. A slope with a standard error of 0.092 opens an interval that easily takes in zero and mild positive values, so the honest read is that the collection fails to fix the recency tie, not that it proves a fall.</w:t>
      </w:r>
    </w:p>
    <w:p>
      <w:pPr>
        <w:pStyle w:val="BodyText"/>
        <w:spacing w:line="480" w:lineRule="auto"/>
        <w:ind w:firstLine="720"/>
      </w:pPr>
      <w:r>
        <w:t xml:space="preserve">The citation size warns the same way from the opposite side. At -0.013 for each citation, even the paper holding 130 of them lays down barely 1.7 points of downward drag on the predicted signal, while most records, parked at zero citations, feed nothing through this channel at all. The effect stays small and hangs almost wholly on that clutch of high-count outliers, which is just why its p-value of 0.087 reads as brittle rather than a near-miss worth chasing. The venue size, at 0.037 against a standard error of 0.608, dissolves into noise, and no stretch of generous reading can wring meaning from a coefficient one-sixteenth as large as its own standard error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3"/>
    <w:bookmarkStart w:id="124" w:name="the-elasticity-in-plain-terms"/>
    <w:p>
      <w:pPr>
        <w:pStyle w:val="Heading2"/>
        <w:spacing w:line="480" w:lineRule="auto"/>
      </w:pPr>
      <w:r>
        <w:t xml:space="preserve">The elasticity in plain terms</w:t>
      </w:r>
    </w:p>
    <w:p>
      <w:pPr>
        <w:pStyle w:val="FirstParagraph"/>
        <w:spacing w:line="480" w:lineRule="auto"/>
      </w:pPr>
      <w:r>
        <w:t xml:space="preserve">Paper 2’s elasticity of 0.098 repays a size reading as well. Being a percentage-to-percentage ratio, 0.098 sets a doubling of a document’s age, a full one hundred percent jump, beside a rise of only seven percent or so in citations-plus-one, all captured in the progress ratio of 1.070. A body of writing with settled, compounding attention might carry an elasticity nearer one, where a doubling of age roughly doubles citations. This collection sits nowhere close. The point estimate scarcely lifts off the floor, and under a standard error of 0.287 the elasticity parts from zero not at all. The R2 of 0.003 backs the view from above: age here holds virtually no news about citations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24"/>
    <w:bookmarkStart w:id="125" w:name="a-note-on-what-did-not-happen"/>
    <w:p>
      <w:pPr>
        <w:pStyle w:val="Heading2"/>
        <w:spacing w:line="480" w:lineRule="auto"/>
      </w:pPr>
      <w:r>
        <w:t xml:space="preserve">A note on what did not happen</w:t>
      </w:r>
    </w:p>
    <w:p>
      <w:pPr>
        <w:pStyle w:val="FirstParagraph"/>
        <w:spacing w:line="480" w:lineRule="auto"/>
      </w:pPr>
      <w:r>
        <w:t xml:space="preserve">An honest report logs the analyses that might have saved the hypotheses and did not. Neither fit grew stronger under the robust treatment than a classical one would have shown; the robust errors, if anything, stretched the intervals wider and locked the nulls in tighter. Once the others were held fixed, no lone predictor turned significant, so no partial win waits to be pulled from a joint loss. Rather than sketch a temporal curve, the two heavily cited outliers rest at merely middling age and thus do not even line up to trace one, which keeps Paper 2’s slope flat for all their size. Put briefly, the collection waved off every chance the models handed it to show the predicted structure, and that steady refusal is itself the sturdiest thing the data say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Start w:id="126" w:name="X45c062af84d4c23a489f6cc6d614d6e428df6c4"/>
    <w:p>
      <w:pPr>
        <w:pStyle w:val="Heading2"/>
        <w:spacing w:line="480" w:lineRule="auto"/>
      </w:pPr>
      <w:r>
        <w:t xml:space="preserve">The adjusted R-squared as the sharpest single number</w:t>
      </w:r>
    </w:p>
    <w:p>
      <w:pPr>
        <w:pStyle w:val="FirstParagraph"/>
        <w:spacing w:line="480" w:lineRule="auto"/>
      </w:pPr>
      <w:r>
        <w:t xml:space="preserve">A single figure holds the most interpretive weight: the adjusted coefficient of determination. Read it ahead of any lone slope, because it folds into one number the question of whether all three predictors together buy any explanatory power once the sample size and the predictor count are charged against them fairly. The raw R2 of 0.128 credits the three predictors with roughly thirteen percent of the variance in the signal score, a share that sounds slight yet not bare. The adjusted value of 0.027 rebalances that share against the predictor count relative to the sample, and it caves almost to nothing. That cave-in is the giveaway. When correcting for three predictors in a thirty-record sample wipes out nearly all the apparent power, the honest verdict is that most of the raw thirteen percent was the arithmetic certainty of laying three slopes over thirty points rather than a real signal. In the grammar of hypothesis testing the joint F statistic of 1.702 with its p-value of 0.191 says as much: the model whole cannot be set apart from one carrying no predictors at all.</w:t>
      </w:r>
    </w:p>
    <w:p>
      <w:pPr>
        <w:pStyle w:val="BodyText"/>
        <w:spacing w:line="480" w:lineRule="auto"/>
        <w:ind w:firstLine="720"/>
      </w:pPr>
      <w:r>
        <w:t xml:space="preserve">So the distance between raw and adjusted R2 is no footnote to log and forget. It is the numerical face of the entire finding. A collection with true cross-sectional structure would hold an adjusted R2 well clear of zero once complexity is penalized. This one holds none, and the fall from 0.128 to 0.027 is the tightest way to see why H1 fails for Paper 1</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26"/>
    <w:bookmarkStart w:id="127" w:name="X5a2d04a09b09519f10c85916b107f6eb6eda2d2"/>
    <w:p>
      <w:pPr>
        <w:pStyle w:val="Heading2"/>
        <w:spacing w:line="480" w:lineRule="auto"/>
      </w:pPr>
      <w:r>
        <w:t xml:space="preserve">Reconciling a negative recency slope with a rising field</w:t>
      </w:r>
    </w:p>
    <w:p>
      <w:pPr>
        <w:pStyle w:val="FirstParagraph"/>
        <w:spacing w:line="480" w:lineRule="auto"/>
      </w:pPr>
      <w:r>
        <w:t xml:space="preserve">The recency coefficient of -0.167 calls for careful squaring, because on its surface it seems to declare something jarring: that newer records in a field said to be rising hold less topic signal, not more. Three readings vie for the honor, and telling them apart matters. The first runs literal: engagement truly slackens in recent work. The theory chapter bound itself in advance to spurning that reading unless the slope were sharp, and it is not, wearing a standard error of 0.092 and a p-value of 0.071. Its interval easily takes in zero and mild positive values, so the literal slackening never gets established.</w:t>
      </w:r>
    </w:p>
    <w:p>
      <w:pPr>
        <w:pStyle w:val="BodyText"/>
        <w:spacing w:line="480" w:lineRule="auto"/>
        <w:ind w:firstLine="720"/>
      </w:pPr>
      <w:r>
        <w:t xml:space="preserve">The second reading blames the venue mix. Newer records enter mostly through the archival journal, whose longer, method-minded papers strew topic vocabulary across a wide argument rather than packing it, while older records enter through the quick conference series, whose papers name their subject densely to be spotted in proceedings</w:t>
      </w:r>
      <w:r>
        <w:t xml:space="preserve"> </w:t>
      </w:r>
      <w:hyperlink w:anchor="ref-1">
        <w:r>
          <w:rPr>
            <w:rStyle w:val="Hyperlink"/>
          </w:rPr>
          <w:t xml:space="preserve">[1]</w:t>
        </w:r>
      </w:hyperlink>
      <w:r>
        <w:t xml:space="preserve"> </w:t>
      </w:r>
      <w:hyperlink w:anchor="ref-4">
        <w:r>
          <w:rPr>
            <w:rStyle w:val="Hyperlink"/>
          </w:rPr>
          <w:t xml:space="preserve">[4]</w:t>
        </w:r>
      </w:hyperlink>
      <w:r>
        <w:t xml:space="preserve">. When venue and year knot together, a slope that looks like waning engagement over time is partly a change in which venue family is supplying records, and conditioning on venue can loosen a knot this snug at thirty records only so far. The third reading is plain vagueness: the sample cannot fix the recency tie at all, and the negative point estimate is noise circling a true value that might as readily be small and positive. The design takes readings two and three jointly as the responsible interpretation and marks one unsupported, which is why the results chapter records a missing rising trend rather than a discovered fall</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27"/>
    <w:bookmarkStart w:id="128" w:name="a-leave-the-outliers-in-sensitivity-note"/>
    <w:p>
      <w:pPr>
        <w:pStyle w:val="Heading2"/>
        <w:spacing w:line="480" w:lineRule="auto"/>
      </w:pPr>
      <w:r>
        <w:t xml:space="preserve">A leave-the-outliers-in sensitivity note</w:t>
      </w:r>
    </w:p>
    <w:p>
      <w:pPr>
        <w:pStyle w:val="FirstParagraph"/>
        <w:spacing w:line="480" w:lineRule="auto"/>
      </w:pPr>
      <w:r>
        <w:t xml:space="preserve">With two records, the one at one hundred thirty citations and the one at seventy-five, ruling the citation column, a fair reader will wonder how the fits would look shorn of them, and the chapter meets that wonder plainly rather than by trimming. Paper 1’s citation coefficient of -0.013 leans almost wholly on those two points; the vast run of records sit at zero citations and offer nothing through that channel. Dropping the two would not save H1. It would drain the citation column of nearly all its variance, leaving a predictor stuck near-constant at zero and so unable to bear any slope whatever, significant or not. Either road, the citation channel fails the hypothesis: with the outliers kept, its slope is small, negative, and blurry at a p-value of 0.087; with them cut, no variance survives to test.</w:t>
      </w:r>
    </w:p>
    <w:p>
      <w:pPr>
        <w:pStyle w:val="BodyText"/>
        <w:spacing w:line="480" w:lineRule="auto"/>
        <w:ind w:firstLine="720"/>
      </w:pPr>
      <w:r>
        <w:t xml:space="preserve">Paper 2 answers to the same logic, and it is the deeper reason its elasticity of 0.098 hugs zero at a p-value of 0.733. Not old enough to weight the high-age end of the curve, the two heavily cited records sit at middling ages, piling on citation mass without the age-citation covariance a learning curve demands. Cutting them would sink the R2 from its already scant 0.003 toward outright noise. The design keeps every record for the exact reason that no cut yields a cleaner or friendlier result, and saying so beats parading a trimmed fit that happened to look neater</w:t>
      </w:r>
      <w:r>
        <w:t xml:space="preserve"> </w:t>
      </w:r>
      <w:hyperlink w:anchor="ref-5">
        <w:r>
          <w:rPr>
            <w:rStyle w:val="Hyperlink"/>
          </w:rPr>
          <w:t xml:space="preserve">[5]</w:t>
        </w:r>
      </w:hyperlink>
      <w:r>
        <w:t xml:space="preserve"> </w:t>
      </w:r>
      <w:hyperlink w:anchor="ref-16">
        <w:r>
          <w:rPr>
            <w:rStyle w:val="Hyperlink"/>
          </w:rPr>
          <w:t xml:space="preserve">[16]</w:t>
        </w:r>
      </w:hyperlink>
      <w:r>
        <w:t xml:space="preserve">.</w:t>
      </w:r>
    </w:p>
    <w:bookmarkEnd w:id="128"/>
    <w:bookmarkStart w:id="129" w:name="placing-the-two-fits-on-a-common-scale"/>
    <w:p>
      <w:pPr>
        <w:pStyle w:val="Heading2"/>
        <w:spacing w:line="480" w:lineRule="auto"/>
      </w:pPr>
      <w:r>
        <w:t xml:space="preserve">Placing the two fits on a common scale</w:t>
      </w:r>
    </w:p>
    <w:p>
      <w:pPr>
        <w:pStyle w:val="FirstParagraph"/>
        <w:spacing w:line="480" w:lineRule="auto"/>
      </w:pPr>
      <w:r>
        <w:t xml:space="preserve">Laying the two results next to each other in one comparing breath helps, since their weakness is of one kind and reads best paired. Paper 1 accounts for about thirteen percent of signal-score variance before adjustment and near nothing after, at a joint p-value of 0.191; Paper 2 accounts for three tenths of one percent of citation variance, its lone slope at a p-value of 0.733. Neither omnibus test nears a customary threshold, and neither slope of theoretical interest, the recency slope at 0.071 and the age elasticity at 0.733, clears one either. The intercepts run opposite: Paper 1’s stands sharp at 4.788 with a p-value of 0.002, while Paper 2’s, at 0.541 with a p-value of 0.165, will not part from zero. The lopsidedness itself informs. The cross-sectional model turns up a real floor of topic content yet no structure ringing it; the temporal model turns up neither floor nor slope, which is just what a collection of mostly recent, mostly uncited records should yield</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29"/>
    <w:bookmarkStart w:id="130" w:name="what-the-results-establish"/>
    <w:p>
      <w:pPr>
        <w:pStyle w:val="Heading2"/>
        <w:spacing w:line="480" w:lineRule="auto"/>
      </w:pPr>
      <w:r>
        <w:t xml:space="preserve">What the results establish</w:t>
      </w:r>
    </w:p>
    <w:p>
      <w:pPr>
        <w:pStyle w:val="FirstParagraph"/>
        <w:spacing w:line="480" w:lineRule="auto"/>
      </w:pPr>
      <w:r>
        <w:t xml:space="preserve">Chapter 1 pinned the lone refutable claim: the topic signal ties systematically to recency, citation attention, and venue family, or it does not. The evidence gave a flat answer, that it does not, at least not in the direction and to the precision H1 wanted. Both nulls hold. That result reins in every rule-facing claim the work might otherwise have voiced. It clears the statement that autonomous failure-mode writing lives and is truly on subject in the retrieved sources, and it bars the bigger statement that these sources show the subject climbing on a clean, measurable slope. Chapter 7 picks up what that honest result means and where its threats to validity sit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30"/>
    <w:bookmarkEnd w:id="131"/>
    <w:bookmarkStart w:id="141" w:name="chapter-7.-discussion-and-limitations"/>
    <w:p>
      <w:pPr>
        <w:pStyle w:val="Heading1"/>
        <w:spacing w:line="480" w:lineRule="auto"/>
      </w:pPr>
      <w:r>
        <w:t xml:space="preserve">Chapter 7. Discussion and Limitations</w:t>
      </w:r>
    </w:p>
    <w:p>
      <w:pPr>
        <w:pStyle w:val="FirstParagraph"/>
        <w:spacing w:line="480" w:lineRule="auto"/>
      </w:pPr>
      <w:r>
        <w:t xml:space="preserve">Two null results do not make a disappointing dissertation. They make a disciplined one. That holds only so long as the analyst reads them for exactly what they are and resists the pull toward a more flattering story that the underlying capability, real and advancing as it is, would seem to invite at every turn. This chapter reads what the weak fits from Chapter 6 mean, sets down the threats to validity the design cannot escape, and draws the line between what the data support and what they merely hint. The obligation here is to press the results harder than any reviewer would.</w:t>
      </w:r>
    </w:p>
    <w:bookmarkStart w:id="132" w:name="what-the-findings-mean"/>
    <w:p>
      <w:pPr>
        <w:pStyle w:val="Heading2"/>
        <w:spacing w:line="480" w:lineRule="auto"/>
      </w:pPr>
      <w:r>
        <w:t xml:space="preserve">What the findings mean</w:t>
      </w:r>
    </w:p>
    <w:p>
      <w:pPr>
        <w:pStyle w:val="FirstParagraph"/>
        <w:spacing w:line="480" w:lineRule="auto"/>
      </w:pPr>
      <w:r>
        <w:t xml:space="preserve">The clearest substantive result is the one that survived. The precisely estimated intercept in the cross-sectional model, at 4.788 with a p-value of 0.002, establishes that the retrieved corpus has a real and nonzero baseline of topic signal. These records are genuinely about autonomous failure modes in space operations. That matters because it rules out the most deflationary possibility, that the corpus was a bag of loosely related papers with no coherent subject. The subject is there. The literature on agent-based space systems, fault detection, and autonomous situational awareness is real, and this corpus captures a coherent slice of it</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What the data do not show is measurable organization of that signal along the predicted axes. The recency coefficient came back negative and imprecise, so the corpus does not encode the rising trend a topic gaining operational urgency was expected to leave behind. That is no evidence the topic is fading. It is evidence that thirty records, drawn across three venue families with different publishing tempos, do not resolve a clean recency gradient. When a fast-turnaround conference series contributes most of the older records and a slower journal contributes many of the newest, the venue mix and the year axis entangle, and a thirty-row sample cannot pull them apart. That entanglement showing through, rather than a genuine decline in engagement, is the likeliest source of the negative recency point estimate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temporal result teaches a similar lesson. An age elasticity of 0.098 with a p-value of 0.733 and an R2 of 0.003 says citation accumulation in this corpus is not structured by age. The learning-curve model assumes a maturing literature in which attention compounds over time, and this corpus refuses to behave like one, carrying itself instead like an emerging topic that is ruled by recent, uncited work and propped by a mere few older, heavily cited anchors too sparse to trace any curve at all. Read that way, the null names the field’s youth. It marks no failure of the method</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32"/>
    <w:bookmarkStart w:id="133" w:name="threats-to-validity"/>
    <w:p>
      <w:pPr>
        <w:pStyle w:val="Heading2"/>
        <w:spacing w:line="480" w:lineRule="auto"/>
      </w:pPr>
      <w:r>
        <w:t xml:space="preserve">Threats to validity</w:t>
      </w:r>
    </w:p>
    <w:p>
      <w:pPr>
        <w:pStyle w:val="FirstParagraph"/>
        <w:spacing w:line="480" w:lineRule="auto"/>
      </w:pPr>
      <w:r>
        <w:t xml:space="preserve">Construct validity is the gravest threat. The topic-signal score tallies theme-relevant vocabulary, and vocabulary density only stands in for topical engagement; it is not that engagement. Consider the two ways the stand-in can slip. A paper may treat autonomous collision avoidance head-on in spare, idiosyncratic wording and score low for all its depth. Another may pile up modish terms without grappling with the failure question at all and score high for all its shallowness. On average the proxy holds, as the intercept attests, yet record by record it can misjudge enough to smear the very structure the predictors were built to catch</w:t>
      </w:r>
      <w:r>
        <w:t xml:space="preserve"> </w:t>
      </w:r>
      <w:hyperlink w:anchor="ref-2">
        <w:r>
          <w:rPr>
            <w:rStyle w:val="Hyperlink"/>
          </w:rPr>
          <w:t xml:space="preserve">[2]</w:t>
        </w:r>
      </w:hyperlink>
      <w:r>
        <w:t xml:space="preserve">.</w:t>
      </w:r>
    </w:p>
    <w:p>
      <w:pPr>
        <w:pStyle w:val="BodyText"/>
        <w:spacing w:line="480" w:lineRule="auto"/>
        <w:ind w:firstLine="720"/>
      </w:pPr>
      <w:r>
        <w:t xml:space="preserve">External validity is the second threat, severe by the very build. Thirty records from three venue families form no random draw of the autonomous-space writing, still less of the operational reality of collision avoidance. Provenance and topical fit, not representativeness, drove the assembly, so nothing here reaches out to the whole field or to how deployed systems behave. This is a read of one particular retrieved collection, and every claim carries that fence. Pull a different retrieval, with different venue shares or a wider year span, and the structure could shift; the design pretends nothing else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Statistical power is the third threat, and it feeds off the first two. At N = 30, with heavy-tailed citation counts and a scatter of high-leverage outliers, the models can catch strong structure and miss weak. The paper at 130 citations and the paper at 75 sit far out on the citation tail and cast outsized sway over both fits, so the citation channel especially leans on a few points. Any coefficient resting on two observations in a thirty-row sample is brittle. The honest read of the blurry citation and recency slopes is that the sample lacked the power to resolve ties of the size the theory looked for, not that those ties are truly gone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Measurement of the venue variable is the fourth threat. The venue-family score runs ordinal, and ordinal coding forces an order the underlying reality may lack. Casting three venue families as levels one, two, and three presumes a monotone scale that is a convenience, not a fact. That near-zero, wholly insignificant venue coefficient fits a world where venue simply does not matter here, and it fits equally a world where a real venue effect hides beyond what an ordinal code can hold. So the work reads the venue coefficient no further than the thin statement that no monotone venue association shows</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33"/>
    <w:bookmarkStart w:id="134" w:name="X3aae150223fc46a88d888c82f6ad6925598abd0"/>
    <w:p>
      <w:pPr>
        <w:pStyle w:val="Heading2"/>
        <w:spacing w:line="480" w:lineRule="auto"/>
      </w:pPr>
      <w:r>
        <w:t xml:space="preserve">Internal validity and the specification question</w:t>
      </w:r>
    </w:p>
    <w:p>
      <w:pPr>
        <w:pStyle w:val="FirstParagraph"/>
        <w:spacing w:line="480" w:lineRule="auto"/>
      </w:pPr>
      <w:r>
        <w:t xml:space="preserve">Past the four external threats waits a quieter internal one: the specification itself. The cross-sectional model presumes its three predictors seize the systematic variation in the signal score and leave the remainder to idiosyncratic noise. Suppose a fourth channel truly moves the signal, an author community, a subfield, a shared method. Its absence then skews the estimated coefficients on the predictors that are present. The negative recency slope, say, might partly mirror an unmodeled swing in which research communities were publishing when, rather than any quality of time itself. The design cannot shut that door, and it feigns no ability to. What it can affirm is that the predictors it carries are the ones the theory named beforehand, so the specification was not angled for after the data came into view</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related internal concern is the shared-column dependence between the two papers. Since both estimators draw on the same citation values, a reader might treat two nulls as two independent confirmations of the field’s immaturity, which would double-count the evidence. The honest framing, carried from the results chapter, is that the two papers share a fragility rather than corroborate each other, and any confidence in the immaturity reading should rest on the two findings as one coupled observation rather than two separate ones</w:t>
      </w:r>
      <w:r>
        <w:t xml:space="preserve"> </w:t>
      </w:r>
      <w:hyperlink w:anchor="ref-5">
        <w:r>
          <w:rPr>
            <w:rStyle w:val="Hyperlink"/>
          </w:rPr>
          <w:t xml:space="preserve">[5]</w:t>
        </w:r>
      </w:hyperlink>
      <w:r>
        <w:t xml:space="preserve">.</w:t>
      </w:r>
    </w:p>
    <w:bookmarkEnd w:id="134"/>
    <w:bookmarkStart w:id="135" w:name="Xe7fe16a93920985470c10a6dcf63b8d1bddfa9f"/>
    <w:p>
      <w:pPr>
        <w:pStyle w:val="Heading2"/>
        <w:spacing w:line="480" w:lineRule="auto"/>
      </w:pPr>
      <w:r>
        <w:t xml:space="preserve">Why the nulls are robust rather than merely weak</w:t>
      </w:r>
    </w:p>
    <w:p>
      <w:pPr>
        <w:pStyle w:val="FirstParagraph"/>
        <w:spacing w:line="480" w:lineRule="auto"/>
      </w:pPr>
      <w:r>
        <w:t xml:space="preserve">Waving away two null results as underpowered noise would be easy, and the dissertation resists it. There is a difference between a result that is weak and one that is robustly weak, and the difference is the whole point here. The weakness holds consistent across two different estimators, two different outcomes, and two different functional forms, and it survives the robust standard-error treatment that would have exposed any manufactured significance. The corpus had multiple independent chances to show structure, through recency, through citations, through venue, through age, and it took none of them. A single null could be bad luck; this pattern of nulls across independent channels is a stable description of a corpus that is topically real but structurally unconsolidated</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35"/>
    <w:bookmarkStart w:id="136" w:name="the-proxy-problem-examined-more-closely"/>
    <w:p>
      <w:pPr>
        <w:pStyle w:val="Heading2"/>
        <w:spacing w:line="480" w:lineRule="auto"/>
      </w:pPr>
      <w:r>
        <w:t xml:space="preserve">The proxy problem, examined more closely</w:t>
      </w:r>
    </w:p>
    <w:p>
      <w:pPr>
        <w:pStyle w:val="FirstParagraph"/>
        <w:spacing w:line="480" w:lineRule="auto"/>
      </w:pPr>
      <w:r>
        <w:t xml:space="preserve">The construct-validity threat deserves a deeper look, since it is the one a hostile examiner would press hardest and the one on which the whole screen ultimately rests. The topic-signal score counts theme-relevant terms, and the implicit assumption is that term density tracks topical engagement. That assumption holds on average, as the precisely estimated intercept of 4.788 confirms: the corpus is genuinely about its subject, not a bag of noise. What the intercept cannot guarantee is that the proxy tracks engagement record by record, and record-by-record fidelity is what the slopes depend on. A model paper that engages the failure-mode question through mathematics rather than vocabulary would score low despite deep relevance; a paper that sprinkles fashionable terms without serious engagement would score high despite shallow relevance. Both kinds of mismatch add noise to the outcome, and noise in the outcome is exactly what flattens slopes and widens intervals.</w:t>
      </w:r>
    </w:p>
    <w:p>
      <w:pPr>
        <w:pStyle w:val="BodyText"/>
        <w:spacing w:line="480" w:lineRule="auto"/>
        <w:ind w:firstLine="720"/>
      </w:pPr>
      <w:r>
        <w:t xml:space="preserve">There is a specific way this could hide real structure. Suppose the field is in fact consolidating, so recent, serious work does engage the question more deeply, but does so through formalism and citation rather than dense keyword vocabulary. The proxy would miss that consolidation entirely, and the recency slope would come back flat or negative not because the field is unstructured but because the instrument reads the wrong surface. The dissertation cannot rule this out, and it should not pretend to. What it can say is that the proxy is deterministic and reproducible, so any future study can improve on it by adding a hand-coded relevance judgment and testing directly whether the vocabulary proxy and the coded construct agree. Chapter 8 names that as the first item of future work, named because the proxy problem is the honest ceiling on everything the screen reports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36"/>
    <w:bookmarkStart w:id="137" w:name="X6a8dab9a899bab8310dc94e593b91837219f28a"/>
    <w:p>
      <w:pPr>
        <w:pStyle w:val="Heading2"/>
        <w:spacing w:line="480" w:lineRule="auto"/>
      </w:pPr>
      <w:r>
        <w:t xml:space="preserve">Why the two outliers are a limitation and not a bug</w:t>
      </w:r>
    </w:p>
    <w:p>
      <w:pPr>
        <w:pStyle w:val="FirstParagraph"/>
        <w:spacing w:line="480" w:lineRule="auto"/>
      </w:pPr>
      <w:r>
        <w:t xml:space="preserve">Two things that get confused are worth separating: an outlier that signals a data error, and an outlier that signals a real but sparsely sampled tail. The records at one hundred thirty and seventy-five citations are the second kind. They are correctly measured, topically legitimate older journal papers whose citation counts run large because they have had years to gather references</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Their leverage is a limitation of the sample rather than a flaw in the data, and that distinction changes the appropriate response. A data error would justify correction or removal. A sparsely sampled tail justifies neither, only disclosure and a wider corpus. The design chose disclosure, reporting the fits with the outliers in and naming their leverage plainly, and it defers the remedy, a larger and better-stratified retrieval, to future work.</w:t>
      </w:r>
    </w:p>
    <w:p>
      <w:pPr>
        <w:pStyle w:val="BodyText"/>
        <w:spacing w:line="480" w:lineRule="auto"/>
        <w:ind w:firstLine="720"/>
      </w:pPr>
      <w:r>
        <w:t xml:space="preserve">What makes the limitations genuinely coupled rather than merely listed is how these two points interact with statistical power. A larger corpus would dilute the leverage of the two high-citation records, give the recency index more spread at its low end, and let a hand-coded relevance construct replace the vocabulary proxy. Each remedy addresses one threat, yet all three threats stem from the same root: thirty provenance-first records cannot be representative, richly powered, and finely measured all at once. Naming that common root serves a future analyst better than treating the four threats as independent, because it says where a single investment, a larger and better-coded corpus, would relieve several limitations at once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37"/>
    <w:bookmarkStart w:id="138" w:name="X7a732c586eaba34e7f265dd0c78d272eff6371f"/>
    <w:p>
      <w:pPr>
        <w:pStyle w:val="Heading2"/>
        <w:spacing w:line="480" w:lineRule="auto"/>
      </w:pPr>
      <w:r>
        <w:t xml:space="preserve">The difference between this null and a policy null</w:t>
      </w:r>
    </w:p>
    <w:p>
      <w:pPr>
        <w:pStyle w:val="FirstParagraph"/>
        <w:spacing w:line="480" w:lineRule="auto"/>
      </w:pPr>
      <w:r>
        <w:t xml:space="preserve">A final interpretive caution guards against a misreading a governance audience is prone to. The nulls reported here concern the structure of a retrieved literature, not the safety of a technology or the wisdom of a rule. A reader who saw</w:t>
      </w:r>
      <w:r>
        <w:t xml:space="preserve"> </w:t>
      </w:r>
      <w:r>
        <w:t xml:space="preserve">“no measurable structure”</w:t>
      </w:r>
      <w:r>
        <w:t xml:space="preserve"> </w:t>
      </w:r>
      <w:r>
        <w:t xml:space="preserve">and inferred</w:t>
      </w:r>
      <w:r>
        <w:t xml:space="preserve"> </w:t>
      </w:r>
      <w:r>
        <w:t xml:space="preserve">“no cause for concern”</w:t>
      </w:r>
      <w:r>
        <w:t xml:space="preserve"> </w:t>
      </w:r>
      <w:r>
        <w:t xml:space="preserve">would invert the finding exactly. The absence of a consolidated, age-structured citation record is a sign of an emergent field still working out its failure modes, which if anything argues for more scrutiny, not less. The screen says the research base has not yet settled; it says nothing about the underlying risk being small. Keeping those two statements apart is the single most important act of interpretive discipline this chapter performs, and it is why the dissertation frames its governance contribution as a calibrated brake on overclaiming rather than a reassurance</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138"/>
    <w:bookmarkStart w:id="139" w:name="what-the-data-cannot-show"/>
    <w:p>
      <w:pPr>
        <w:pStyle w:val="Heading2"/>
        <w:spacing w:line="480" w:lineRule="auto"/>
      </w:pPr>
      <w:r>
        <w:t xml:space="preserve">What the data cannot show</w:t>
      </w:r>
    </w:p>
    <w:p>
      <w:pPr>
        <w:pStyle w:val="FirstParagraph"/>
        <w:spacing w:line="480" w:lineRule="auto"/>
      </w:pPr>
      <w:r>
        <w:t xml:space="preserve">Name the questions this design was never able to answer, so no reader mistakes the screen for something larger. The data cannot show whether an autonomous collision-avoidance system fails safely, because the observations are bibliometric and documentary rather than operational. Nothing here touches maneuver accuracy, false-positive rates, or the behavior of a decision procedure under stress; that would take system-level testing of the kind the adaptive-stress-testing literature performs, not a corpus screen</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data also cannot establish causation among the variables they do contain. Even had the recency coefficient come back strong and positive, it would have identified a partial association within a retrieved corpus, not a causal law about how topics gain signal over time. The design is a screen by intent, and screens describe structure without explaining it. The data cannot speak to governance efficacy either. Whether any institution should regulate autonomous avoidance, and how, is a normative and legal question no coefficient in this dissertation can settle. What the screen offers governance is narrower and still useful: a calibrated warning against claiming a measurable, rising topic trend that this corpus does not actually show</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39"/>
    <w:bookmarkStart w:id="140" w:name="Xbbc2016cdde5f4da5cf43e1bb81982aea9ecab6"/>
    <w:p>
      <w:pPr>
        <w:pStyle w:val="Heading2"/>
        <w:spacing w:line="480" w:lineRule="auto"/>
      </w:pPr>
      <w:r>
        <w:t xml:space="preserve">How a hostile examiner would attack the result, and the honest answers</w:t>
      </w:r>
    </w:p>
    <w:p>
      <w:pPr>
        <w:pStyle w:val="FirstParagraph"/>
        <w:spacing w:line="480" w:lineRule="auto"/>
      </w:pPr>
      <w:r>
        <w:t xml:space="preserve">Anticipating the sharpest objections tests a result better than defending it against friendly ones, so it is worth staging the attack. A hostile examiner would open by calling the nulls simply underpowered, arguing that thirty records could never resolve the modest structure the theory predicted and that the dissertation has learned nothing beyond the smallness of its own sample. The honest answer concedes the premise and denies the conclusion. Underpowered for weak structure the sample certainly is, and the dissertation says so repeatedly. What the objection misses is that a screen designed to detect strong structure returns useful information even in failure: it establishes that no strong structure is present, which is exactly the calibrated statement a governance reader needs. A rising tide strong enough to justify a rule would have shown at thirty records, and it was not there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Next the examiner would press on the proxy, arguing that a vocabulary count is too crude to represent topical engagement and that the whole outcome is therefore ill-measured. The answer pulls apart two claims the objection runs together. That the proxy is imperfect is true and conceded. That it is uninformative is refuted by the precisely estimated intercept, which shows the corpus is genuinely on topic on average. The proxy’s imperfection widens the intervals and could hide fine structure, and the dissertation names direct document coding as the remedy, yet imperfection is not invalidity, and the intercept is the evidence that keeps the two apart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third line of attack would target the shared-column dependence, claiming the two papers are really one analysis dressed as two. That objection is partly right, and the dissertation has already granted it. The two estimators do share the citation column and the same leverage points, so their nulls are one coupled observation rather than two independent confirmations. The design’s response is not to deny the coupling but to report it, refusing to present two weak fits as mutual corroboration. An examiner expecting the dissertation to overclaim double confirmation finds instead that the coupling was disclosed before the objection could be raised, which is the posture a design-stage study should hold</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examiner’s fourth and final move would concede all of that and then ask what the study is actually for, if it cannot resolve structure, cannot measure the construct perfectly, and cannot confirm anything twice. Here is the sharpest defense of the whole design. The study exists to establish, cleanly and auditably, that a confident claim of momentum in this literature would be unsupported, and that is a real and scarce thing. Governance and program decisions get justified routinely by asserted trends no one has measured, so a study that can say, along a traceable evidentiary chain, that a particular asserted trend is not visible in the corpus supplies exactly the discipline those decisions usually lack. A calibrated negative is no failure to find something; it is a successful refusal to invent something, and that refusal is the contribution the examiner’s own objections, taken together, actually confirm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40"/>
    <w:bookmarkEnd w:id="141"/>
    <w:bookmarkStart w:id="181" w:name="chapter-8.-conclusions-and-implications"/>
    <w:p>
      <w:pPr>
        <w:pStyle w:val="Heading1"/>
        <w:spacing w:line="480" w:lineRule="auto"/>
      </w:pPr>
      <w:r>
        <w:t xml:space="preserve">Chapter 8. Conclusions and Implications</w:t>
      </w:r>
    </w:p>
    <w:p>
      <w:pPr>
        <w:pStyle w:val="FirstParagraph"/>
        <w:spacing w:line="480" w:lineRule="auto"/>
      </w:pPr>
      <w:r>
        <w:t xml:space="preserve">One testable question drove the whole project, and the aim was to answer it without flinching. Does the topic signal for autonomous collision-avoidance failure modes hold measurable shape along the axes of recency, citation attention, and venue family inside a retrieved body of sources? The commitment, fixed before any coefficient appeared, was to report whatever the two models delivered. They delivered a pair of nulls and one sharply pinned intercept. What follows names the contribution left standing after those results, ties it to the needs of rule-writers and program planners, and points to the single act of data collection that would push the inquiry past a bibliometric read toward a test against a live system.</w:t>
      </w:r>
    </w:p>
    <w:bookmarkStart w:id="142" w:name="the-contribution"/>
    <w:p>
      <w:pPr>
        <w:pStyle w:val="Heading2"/>
        <w:spacing w:line="480" w:lineRule="auto"/>
      </w:pPr>
      <w:r>
        <w:t xml:space="preserve">The contribution</w:t>
      </w:r>
    </w:p>
    <w:p>
      <w:pPr>
        <w:pStyle w:val="FirstParagraph"/>
        <w:spacing w:line="480" w:lineRule="auto"/>
      </w:pPr>
      <w:r>
        <w:t xml:space="preserve">Begin with what lasts. The value earned here is a matter of method first and subject matter second, and both hold up. On the subject, the work shows that a coherent, findable body of writing on autonomous failure in orbit genuinely exists and can be assembled into a traceable collection, a fact underwritten by the strong baseline reading in the first model. Two separate nulls then show that this same collection has not yet taken on the measurable order, a climbing recency slope or an age-shaped attention curve, that a settled and cohering subject would wear. There is a real result about the field’s contour in that: the subject lives and moves, but it is young, tilted toward the newest years, and short of the citation rhythms an established program carries</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On method, the work lays out a trail from retrieved source to final coefficient that anyone can walk. Each record names its origin, each variable follows one fixed rule, each output prints at full precision under robust errors, and neither null is tucked away. There lies the portable payoff, a demonstration that an early-stage inquiry can stake a narrow, refutable claim about a body of writing while refusing the causal or operational reach its evidence would not bear. Fault-diagnosis practice in orbital systems holds that a choice no one can retrace is a choice no one should lean on</w:t>
      </w:r>
      <w:r>
        <w:t xml:space="preserve"> </w:t>
      </w:r>
      <w:hyperlink w:anchor="ref-5">
        <w:r>
          <w:rPr>
            <w:rStyle w:val="Hyperlink"/>
          </w:rPr>
          <w:t xml:space="preserve">[5]</w:t>
        </w:r>
      </w:hyperlink>
      <w:r>
        <w:t xml:space="preserve">; this study submits its own reasoning to that test and clears it.</w:t>
      </w:r>
    </w:p>
    <w:bookmarkEnd w:id="142"/>
    <w:bookmarkStart w:id="143" w:name="X5ccec7cfaa6e9de147dc8f048aae7601c9036fa"/>
    <w:p>
      <w:pPr>
        <w:pStyle w:val="Heading2"/>
        <w:spacing w:line="480" w:lineRule="auto"/>
      </w:pPr>
      <w:r>
        <w:t xml:space="preserve">Why the null result is the right kind of result</w:t>
      </w:r>
    </w:p>
    <w:p>
      <w:pPr>
        <w:pStyle w:val="FirstParagraph"/>
        <w:spacing w:line="480" w:lineRule="auto"/>
      </w:pPr>
      <w:r>
        <w:t xml:space="preserve">Any study capable only of ratifying its own guess would settle nothing. This collection had every liberty to return ordered, and it returned scattered, which is precisely why the surviving nulls inform rather than shame. A rule-writer hears: skip the tidy, measured upswing, because the numbers refuse to show one. An analyst coming later hears: the citation channel leans on a handful of heavy points and will not yet carry a conclusion. The field itself hears: at this size its own patterns of attention stay unreadable. Three serviceable messages, and not one available to an inquiry that had recorded only its hopes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43"/>
    <w:bookmarkStart w:id="144" w:name="governance-and-program-relevance"/>
    <w:p>
      <w:pPr>
        <w:pStyle w:val="Heading2"/>
        <w:spacing w:line="480" w:lineRule="auto"/>
      </w:pPr>
      <w:r>
        <w:t xml:space="preserve">Governance and program relevance</w:t>
      </w:r>
    </w:p>
    <w:p>
      <w:pPr>
        <w:pStyle w:val="FirstParagraph"/>
        <w:spacing w:line="480" w:lineRule="auto"/>
      </w:pPr>
      <w:r>
        <w:t xml:space="preserve">What this means for rule-writers falls straight out of the result’s candor. Autonomous avoidance is crossing from prototype into daily service, its flight safety systems now under active design</w:t>
      </w:r>
      <w:r>
        <w:t xml:space="preserve"> </w:t>
      </w:r>
      <w:hyperlink w:anchor="ref-12">
        <w:r>
          <w:rPr>
            <w:rStyle w:val="Hyperlink"/>
          </w:rPr>
          <w:t xml:space="preserve">[12]</w:t>
        </w:r>
      </w:hyperlink>
      <w:r>
        <w:t xml:space="preserve"> </w:t>
      </w:r>
      <w:r>
        <w:t xml:space="preserve">and its reinforcement-learning schedulers already parceling out sensing with nobody watching each call</w:t>
      </w:r>
      <w:r>
        <w:t xml:space="preserve"> </w:t>
      </w:r>
      <w:hyperlink w:anchor="ref-8">
        <w:r>
          <w:rPr>
            <w:rStyle w:val="Hyperlink"/>
          </w:rPr>
          <w:t xml:space="preserve">[8]</w:t>
        </w:r>
      </w:hyperlink>
      <w:r>
        <w:t xml:space="preserve">. Bodies drafting rules for that crossing will hunt for proof of how much notice the failure question now draws, and the pull will be to declare a swelling research tide as warrant. Here the study sets a measured check against that pull. Nothing in the retrieved sources backs the swelling-tide story, and a rule leaning on a slope the numbers withhold would stand on nothing firm.</w:t>
      </w:r>
    </w:p>
    <w:p>
      <w:pPr>
        <w:pStyle w:val="BodyText"/>
        <w:spacing w:line="480" w:lineRule="auto"/>
        <w:ind w:firstLine="720"/>
      </w:pPr>
      <w:r>
        <w:t xml:space="preserve">What it means for programs runs alongside. An office choosing where to spend on autonomy assurance has to know whether the research has cohered around a shared list of failure modes or is still scattering across journals and years. Both nulls lean toward scattering: the writing is busy yet unarranged into the steady, age-shaped citation pattern that would mark agreement. For that office the reading argues one way, toward treating autonomous failure assurance as open ground that wants fresh money rather than a finished field whose best practices one simply gathers up</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broad survey lands in the same place from above, tagging verification and coordination failure as still open</w:t>
      </w:r>
      <w:r>
        <w:t xml:space="preserve"> </w:t>
      </w:r>
      <w:hyperlink w:anchor="ref-9">
        <w:r>
          <w:rPr>
            <w:rStyle w:val="Hyperlink"/>
          </w:rPr>
          <w:t xml:space="preserve">[9]</w:t>
        </w:r>
      </w:hyperlink>
      <w:r>
        <w:t xml:space="preserve">; this study lands there from below, through the very shape of the collection.</w:t>
      </w:r>
    </w:p>
    <w:bookmarkEnd w:id="144"/>
    <w:bookmarkStart w:id="145" w:name="X04d4e36e2b2036d89da39c152e6f2ce74d0b1b7"/>
    <w:p>
      <w:pPr>
        <w:pStyle w:val="Heading2"/>
        <w:spacing w:line="480" w:lineRule="auto"/>
      </w:pPr>
      <w:r>
        <w:t xml:space="preserve">A restatement of the falsifiable claim and its verdict</w:t>
      </w:r>
    </w:p>
    <w:p>
      <w:pPr>
        <w:pStyle w:val="FirstParagraph"/>
        <w:spacing w:line="480" w:lineRule="auto"/>
      </w:pPr>
      <w:r>
        <w:t xml:space="preserve">One pre-registered fork formed the scientific backbone: the topic signal ties systematically to recency, citation attention, and venue family, or it does not. That fork left the collection free to break the hopeful guess, and break it the collection did. Recency came back negative and blurry, citation small and brittle, venue simply gone, the age-citation elasticity a hair from zero. Both models held their nulls. Anyone hunting for the work’s honesty can stop right here: the design had the chance to flatter its own premise and declined, letting the verdict stand as the data set it rather than as the author would have liked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Establishing that verdict cleanly is no minor feat. Talk of emerging technical fields tends to proclaim momentum it never measured, and a rule-making body that swallowed such a proclamation about autonomous failure would have raised rules atop an unchecked slope. The study hands over the measurement those proclamations usually omit, and the measurement reads: present, yes; measurably cohering, not yet. A measured negative earns its place as a contribution for the plain reason that the confident positive was the easier line to write and the less true one</w:t>
      </w:r>
      <w:r>
        <w:t xml:space="preserve"> </w:t>
      </w:r>
      <w:hyperlink w:anchor="ref-9">
        <w:r>
          <w:rPr>
            <w:rStyle w:val="Hyperlink"/>
          </w:rPr>
          <w:t xml:space="preserve">[9]</w:t>
        </w:r>
      </w:hyperlink>
      <w:r>
        <w:t xml:space="preserve">.</w:t>
      </w:r>
    </w:p>
    <w:bookmarkEnd w:id="145"/>
    <w:bookmarkStart w:id="146" w:name="X7128c548e247ae1ac1810707c39bb75d52356af"/>
    <w:p>
      <w:pPr>
        <w:pStyle w:val="Heading2"/>
        <w:spacing w:line="480" w:lineRule="auto"/>
      </w:pPr>
      <w:r>
        <w:t xml:space="preserve">Reflection on the method’s transferability</w:t>
      </w:r>
    </w:p>
    <w:p>
      <w:pPr>
        <w:pStyle w:val="FirstParagraph"/>
        <w:spacing w:line="480" w:lineRule="auto"/>
      </w:pPr>
      <w:r>
        <w:t xml:space="preserve">The procedure survives its own dataset. Any candidate subject across the autonomous-space writing, or a neighboring infrastructure area, would submit to the same treatment: gather a provenance-keeping collection, compute rule-fixed signal and predictor columns, fit one cross-sectional and one temporal model under robust errors, and print the result without smoothing. The gain is that it converts the gap between a cohered subject and an uncohered one from a matter of claim into a number you can estimate. Run across a spread of candidate frontiers, it would sort them by how measurably their writings have arranged themselves, exactly the sort of proof an office parceling out assurance money could act 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6"/>
    <w:bookmarkStart w:id="147" w:name="Xf4e1e9f514cc62b06362ef8d78a0fefca173d29"/>
    <w:p>
      <w:pPr>
        <w:pStyle w:val="Heading2"/>
        <w:spacing w:line="480" w:lineRule="auto"/>
      </w:pPr>
      <w:r>
        <w:t xml:space="preserve">What a program office should take from this</w:t>
      </w:r>
    </w:p>
    <w:p>
      <w:pPr>
        <w:pStyle w:val="FirstParagraph"/>
        <w:spacing w:line="480" w:lineRule="auto"/>
      </w:pPr>
      <w:r>
        <w:t xml:space="preserve">Put the result in the words of someone splitting a thin assurance budget, because that is where the work pays off. Before deciding how much to pour into autonomous failure assurance, an office must answer a prior question: is this ripe ground whose best practices one harvests, or open ground that wants original spending? Those answers carry very different price tags. The nulls here point without hedging to the second. Where a citation record is ruled by recent, uncited work, where the age axis says almost nothing about attention, and where the topic signal traces no clean recency slope, the writing has not settled into the steady patterns a harvestable practice would leave behind, nor gathered around a shared list of failure modes. For that office the lesson cuts against calling autonomous avoidance assurance finished and toward paying for direct characterization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leading survey lands at the same spot from overhead, cataloging verification, coordination failure, and emergent behavior as problems the field has yet to close</w:t>
      </w:r>
      <w:r>
        <w:t xml:space="preserve"> </w:t>
      </w:r>
      <w:hyperlink w:anchor="ref-9">
        <w:r>
          <w:rPr>
            <w:rStyle w:val="Hyperlink"/>
          </w:rPr>
          <w:t xml:space="preserve">[9]</w:t>
        </w:r>
      </w:hyperlink>
      <w:r>
        <w:t xml:space="preserve">. This work reaches the spot from underneath, through the collection’s own shape, and two roads meeting there counts for something. When a narrative survey and a quantitative structural read separately judge a field uncohered, an office holds sturdier ground for its spending stance than either road would give alone. The workable recommendation stays narrow and defensible: pay for the characterization of autonomous failure modes as fresh research, and refuse to prop that funding on a swelling research tide, since no such tide is measurable in these sources</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147"/>
    <w:bookmarkStart w:id="148" w:name="the-transferable-standard-of-evidence"/>
    <w:p>
      <w:pPr>
        <w:pStyle w:val="Heading2"/>
        <w:spacing w:line="480" w:lineRule="auto"/>
      </w:pPr>
      <w:r>
        <w:t xml:space="preserve">The transferable standard of evidence</w:t>
      </w:r>
    </w:p>
    <w:p>
      <w:pPr>
        <w:pStyle w:val="FirstParagraph"/>
        <w:spacing w:line="480" w:lineRule="auto"/>
      </w:pPr>
      <w:r>
        <w:t xml:space="preserve">Past the particular finding, the work offers a bar of evidence other candidate subjects could be held to, its four pieces shown here rather than merely claimed. Provenance leads: each record names a resolvable source, so the collection reads as a ledger a reviewer can walk, not a sealed box. Measurement holds deterministic: outcome and predictors follow fixed rules, leaving no analyst wiggle-room between a record and its coefficient. Direction stays pre-registered: the hypotheses lock in the expected signs ahead of the estimates, so a slope that returns backwards cannot be rebadged as agreement. And reporting keeps full precision: the output prints exactly, under robust errors, read at its true weight rather than rounded toward a kinder tale.</w:t>
      </w:r>
    </w:p>
    <w:p>
      <w:pPr>
        <w:pStyle w:val="BodyText"/>
        <w:spacing w:line="480" w:lineRule="auto"/>
        <w:ind w:firstLine="720"/>
      </w:pPr>
      <w:r>
        <w:t xml:space="preserve">Those four pledges are what turn a null from an embarrassment into a contribution. A study honoring none of them could always blame a flat result on some buried defect in measurement or specification. This one cannot, and there lies the point: with the whole chain from record to coefficient open to audit, the nulls it hands back are trustworthy nulls, and a trustworthy null about a young field is just the measured evidence a rule-making process usually goes without</w:t>
      </w:r>
      <w:r>
        <w:t xml:space="preserve"> </w:t>
      </w:r>
      <w:hyperlink w:anchor="ref-4">
        <w:r>
          <w:rPr>
            <w:rStyle w:val="Hyperlink"/>
          </w:rPr>
          <w:t xml:space="preserve">[4]</w:t>
        </w:r>
      </w:hyperlink>
      <w:r>
        <w:t xml:space="preserve"> </w:t>
      </w:r>
      <w:hyperlink w:anchor="ref-5">
        <w:r>
          <w:rPr>
            <w:rStyle w:val="Hyperlink"/>
          </w:rPr>
          <w:t xml:space="preserve">[5]</w:t>
        </w:r>
      </w:hyperlink>
      <w:r>
        <w:t xml:space="preserve">. Applied across many candidate frontiers, the bar would let an institution rank subjects by how measurably their writings have arranged, trading impression for estimation.</w:t>
      </w:r>
    </w:p>
    <w:bookmarkEnd w:id="148"/>
    <w:bookmarkStart w:id="149" w:name="Xc14cdd818a520c9fed6d2c9693a5a127b6b633a"/>
    <w:p>
      <w:pPr>
        <w:pStyle w:val="Heading2"/>
        <w:spacing w:line="480" w:lineRule="auto"/>
      </w:pPr>
      <w:r>
        <w:t xml:space="preserve">A closing reflection on honesty as method</w:t>
      </w:r>
    </w:p>
    <w:p>
      <w:pPr>
        <w:pStyle w:val="FirstParagraph"/>
        <w:spacing w:line="480" w:lineRule="auto"/>
      </w:pPr>
      <w:r>
        <w:t xml:space="preserve">Work on an emerging technology and the pull to write momentum into the findings is real, because the prototypes genuinely thrill and the danger genuinely bites. Flight safety systems are entering active design</w:t>
      </w:r>
      <w:r>
        <w:t xml:space="preserve"> </w:t>
      </w:r>
      <w:hyperlink w:anchor="ref-12">
        <w:r>
          <w:rPr>
            <w:rStyle w:val="Hyperlink"/>
          </w:rPr>
          <w:t xml:space="preserve">[12]</w:t>
        </w:r>
      </w:hyperlink>
      <w:r>
        <w:t xml:space="preserve">, reinforcement-learning schedulers already hand out sensing with no one watching each call</w:t>
      </w:r>
      <w:r>
        <w:t xml:space="preserve"> </w:t>
      </w:r>
      <w:hyperlink w:anchor="ref-8">
        <w:r>
          <w:rPr>
            <w:rStyle w:val="Hyperlink"/>
          </w:rPr>
          <w:t xml:space="preserve">[8]</w:t>
        </w:r>
      </w:hyperlink>
      <w:r>
        <w:t xml:space="preserve">, and swarms are learning to seize uncooperative targets by consensus</w:t>
      </w:r>
      <w:r>
        <w:t xml:space="preserve"> </w:t>
      </w:r>
      <w:hyperlink w:anchor="ref-13">
        <w:r>
          <w:rPr>
            <w:rStyle w:val="Hyperlink"/>
          </w:rPr>
          <w:t xml:space="preserve">[13]</w:t>
        </w:r>
      </w:hyperlink>
      <w:r>
        <w:t xml:space="preserve">. Every bit of that is true, and none of it warrants saying the failure-mode writing has cohered into a measurable slope. The collection was free to display that cohesion and displayed none. Keeping both facts in hand, the reality of the capability set against the youth of the writing about its failures, is the restraint the whole project was built to impose, and the same restraint is what makes the closing recommendation believable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bookmarkEnd w:id="149"/>
    <w:bookmarkStart w:id="150" w:name="future-work"/>
    <w:p>
      <w:pPr>
        <w:pStyle w:val="Heading2"/>
        <w:spacing w:line="480" w:lineRule="auto"/>
      </w:pPr>
      <w:r>
        <w:t xml:space="preserve">Future work</w:t>
      </w:r>
    </w:p>
    <w:p>
      <w:pPr>
        <w:pStyle w:val="FirstParagraph"/>
        <w:spacing w:line="480" w:lineRule="auto"/>
      </w:pPr>
      <w:r>
        <w:t xml:space="preserve">One next move stands above the rest: swap the vocabulary-density proxy for direct reading of each document. The topic-signal score catches theme-relevant terms and lands real content on average, yet it cannot separate a paper that wrestles the failure question hard from one that only sprinkles the modish words. A reading protocol that judges each record on how it handles autonomous decision failure, run by two or more readers with an agreement check, would lift the proxy into a genuine measurement and let the cross-sectional test work on something much nearer what the theory means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second move grows and evens out the collection. Thirty records over three venue families tie year to venue and hand the citation channel to two lone outliers. A wider pull, layered so each family shows up across the whole year span, would cut that tie and grant the recency coefficient a fair hearing. It would also feed the learning-curve model enough older, unevenly cited records to fix an age elasticity that no small cluster of points steers</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third move, the boldest, walks off the page altogether. A bibliometric read can describe how a body of writing talks about failure; it cannot watch failure happen. Adaptive stress testing lights the path, hunting on purpose for the input runs that break an autonomous system and logging the failure modes straight</w:t>
      </w:r>
      <w:r>
        <w:t xml:space="preserve"> </w:t>
      </w:r>
      <w:hyperlink w:anchor="ref-4">
        <w:r>
          <w:rPr>
            <w:rStyle w:val="Hyperlink"/>
          </w:rPr>
          <w:t xml:space="preserve">[4]</w:t>
        </w:r>
      </w:hyperlink>
      <w:r>
        <w:t xml:space="preserve">. Marrying a grown-up version of this read to a stress campaign fired at a working avoidance system would join what the writing claims about failure to what a system does when pressed, and at that join the title of this study, naming failure modes when the agent decides alone, would at last be earned outright</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bookmarkEnd w:id="150"/>
    <w:bookmarkStart w:id="151" w:name="sequencing-the-three-steps"/>
    <w:p>
      <w:pPr>
        <w:pStyle w:val="Heading2"/>
        <w:spacing w:line="480" w:lineRule="auto"/>
      </w:pPr>
      <w:r>
        <w:t xml:space="preserve">Sequencing the three steps</w:t>
      </w:r>
    </w:p>
    <w:p>
      <w:pPr>
        <w:pStyle w:val="FirstParagraph"/>
        <w:spacing w:line="480" w:lineRule="auto"/>
      </w:pPr>
      <w:r>
        <w:t xml:space="preserve">These three moves form no menu to pick one dish from; they run in order, and naming the order shows how the work would truly unfold. Direct reading leads, being the cheapest and mending the construct threat that caps every other inference. Until a read relevance judgment stands in for the vocabulary proxy, widening the collection would only smear the same measurement error over more records, buying power for a construct measured wrong. Reading before scaling makes the bigger sample gauge the right thing instead of more of the wrong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Growing and evening the collection comes next, once the construct holds. A layered pull granting each family records across the whole year span would sever the year-venue tie that makes the recency slope so murky, and it would supply enough older, unevenly cited records for the learning-curve model to fix an elasticity that rests on no two leverage points. Only after those two moves have yielded a well-gauged, well-powered read does the third, the stress campaign, become worth its steep cost. Marrying a grown read to firsthand sight of system failure is the reward, set last because it hangs on the first two having shown the writing worth joining to operational reality at all</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151"/>
    <w:bookmarkStart w:id="152" w:name="Xf0b9f7b0ec4d35cb2cd14517218c291622cfbc7"/>
    <w:p>
      <w:pPr>
        <w:pStyle w:val="Heading2"/>
        <w:spacing w:line="480" w:lineRule="auto"/>
      </w:pPr>
      <w:r>
        <w:t xml:space="preserve">A final word on what a calibrated negative buys</w:t>
      </w:r>
    </w:p>
    <w:p>
      <w:pPr>
        <w:pStyle w:val="FirstParagraph"/>
        <w:spacing w:line="480" w:lineRule="auto"/>
      </w:pPr>
      <w:r>
        <w:t xml:space="preserve">Closing on the worth of the result rather than its bounds pays off, because a study handing back two nulls reads too easily as one that failed. The reverse holds. The simplest and least honest thing to write about a young technical field is that its research is cresting and its momentum earns action. This work had every chance to set down that line and the proof to bar it, and it took the proof. The collection is real in its subject, its records truly about autonomous failure in orbit, and the sharply pinned baseline reading settles that. The collection is loose in its structure, since neither recency, nor citation attention, nor venue family, nor article age bears the subject the way a ripe field would.</w:t>
      </w:r>
    </w:p>
    <w:p>
      <w:pPr>
        <w:pStyle w:val="BodyText"/>
        <w:spacing w:line="480" w:lineRule="auto"/>
        <w:ind w:firstLine="720"/>
      </w:pPr>
      <w:r>
        <w:t xml:space="preserve">Holding those two findings side by side is the contribution. A rule-making process fed an unchecked claim of momentum would raise rules on sand; an office sure the area was finished would underspend on the very characterization the field still wants. The measured negative set down here supplies what confident assertion tends to leave out: an auditable statement that the subject lives and moves yet has not gathered into a slope anyone should cite as one. The statement is small, and small is exactly the size the proof allows, which is the whole restraint the work set out to show</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study ends where it began, on the gap between a capability landing on operational time and the institutions landing on treaty time. Neither null narrows that gap head-on. What the work does instead is shield the gap from being smoothed over with an unearned claim of research momentum. When the agent decides alone, the failure modes are real, the capability is climbing, and the writing that studies those failures lives but has not yet cohered. A rule-making process that takes in all three facts, rather than grabbing the first and inventing a fourth, is fitter to write rules matching the field as it truly stands. Handing over the measured facts that keep such a process honest, and withholding the momentum it would rather hear, is the modest and real service this study performs</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152"/>
    <w:bookmarkStart w:id="180" w:name="references"/>
    <w:p>
      <w:pPr>
        <w:pStyle w:val="Heading2"/>
        <w:spacing w:line="480" w:lineRule="auto"/>
      </w:pPr>
      <w:r>
        <w:t xml:space="preserve">References</w:t>
      </w:r>
    </w:p>
    <w:p>
      <w:pPr>
        <w:pStyle w:val="FirstParagraph"/>
        <w:spacing w:line="480" w:lineRule="auto"/>
      </w:pPr>
      <w:bookmarkStart w:id="153" w:name="ref-1"/>
      <w:bookmarkEnd w:id="153"/>
      <w:r>
        <w:t xml:space="preserve">1. Maciej Konacki, Nicolaus Copernicus Astronomical Center and Baltic Institute of Technology, Pawel Lejba, Space Research Center, Piotr Sybilski, Nicolaus Copernicus Astronomical Center and Sybilla Technologies, Rafal Pawlaszek, Nicolaus Copernicus Astronomical Center and Sybilla Technologies, Stanislaw Kozlowski, Nicolaus Copernicus Astronomical Center and Cillium Engineering, Tomasz Suchodolski, Space Research Center, Michal Litwicki, Nicolaus Copernicus Astronomical Center and Cillium Engineering, Ulrich Kolb, The Open University, Vadim Burwitz, Max-Planck-Institut für Extraterrestrische Physik, Johannes Baader, Baader Planetarium GmbH, Milena Ratajczak, Wroclaw University and Nicolaus Copernicus Astronomical Center, Krzysztof Helminiak, National Astronomical Observatory of Japan, Pawel Chodosiewicz, Ministry of Defense, Poland. Polish and European SST Assets: the Solaris-Panoptes Global Network of Robotic Telescopes and the Borowiec Satellite Laser Ranging System (2016). [AMOS]</w:t>
      </w:r>
    </w:p>
    <w:p>
      <w:pPr>
        <w:pStyle w:val="BodyText"/>
        <w:spacing w:line="480" w:lineRule="auto"/>
        <w:ind w:firstLine="720"/>
      </w:pPr>
      <w:bookmarkStart w:id="154" w:name="ref-2"/>
      <w:bookmarkEnd w:id="154"/>
      <w:r>
        <w:t xml:space="preserve">2.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155">
        <w:r>
          <w:rPr>
            <w:rStyle w:val="Hyperlink"/>
          </w:rPr>
          <w:t xml:space="preserve">10.64861/OWDT6586</w:t>
        </w:r>
      </w:hyperlink>
    </w:p>
    <w:p>
      <w:pPr>
        <w:pStyle w:val="BodyText"/>
        <w:spacing w:line="480" w:lineRule="auto"/>
        <w:ind w:firstLine="720"/>
      </w:pPr>
      <w:bookmarkStart w:id="156" w:name="ref-3"/>
      <w:bookmarkEnd w:id="156"/>
      <w:r>
        <w:t xml:space="preserve">3. Christopher J. Sullivan (Oceanit), Edward Pier (Oceanit), Scott Gregory (Oceanit), Michael Bush (Oceanit). Space Situational Awareness using Market Based Agents (2012). [AMOS]</w:t>
      </w:r>
    </w:p>
    <w:p>
      <w:pPr>
        <w:pStyle w:val="BodyText"/>
        <w:spacing w:line="480" w:lineRule="auto"/>
        <w:ind w:firstLine="720"/>
      </w:pPr>
      <w:bookmarkStart w:id="157" w:name="ref-4"/>
      <w:bookmarkEnd w:id="157"/>
      <w:r>
        <w:t xml:space="preserve">4. Johnathan Tucker, University of Colorado Boulder; Jackson Wagner, University of Colorado Boulder; Zachary Sunberg, University of Colorado Boulder. Adaptive Stress Testing Applied To Space Domain Awareness Systems (2022). [AMOS]</w:t>
      </w:r>
    </w:p>
    <w:p>
      <w:pPr>
        <w:pStyle w:val="BodyText"/>
        <w:spacing w:line="480" w:lineRule="auto"/>
        <w:ind w:firstLine="720"/>
      </w:pPr>
      <w:bookmarkStart w:id="158" w:name="ref-5"/>
      <w:bookmarkEnd w:id="158"/>
      <w:r>
        <w:t xml:space="preserve">5. Richard Stottler, Stottler Henke Associates, Inc.; Sowmya Ramachandran, Stottler Henke Associates, Inc.; Chris Healy, Stottler Henke Associates, Inc.; Abhimanyu Singhal, Stottler Henke Associates, Inc.. Autonomous, Hybrid Space System Fault and Anomaly Detection, Diagnosis, Root Cause Determination, and Recovery (2023). doi:</w:t>
      </w:r>
      <w:r>
        <w:t xml:space="preserve"> </w:t>
      </w:r>
      <w:hyperlink r:id="rId159">
        <w:r>
          <w:rPr>
            <w:rStyle w:val="Hyperlink"/>
          </w:rPr>
          <w:t xml:space="preserve">10.64861/XHRO4751</w:t>
        </w:r>
      </w:hyperlink>
    </w:p>
    <w:p>
      <w:pPr>
        <w:pStyle w:val="BodyText"/>
        <w:spacing w:line="480" w:lineRule="auto"/>
        <w:ind w:firstLine="720"/>
      </w:pPr>
      <w:bookmarkStart w:id="160" w:name="ref-6"/>
      <w:bookmarkEnd w:id="160"/>
      <w:r>
        <w:t xml:space="preserve">6. Lawrence Scally (Colorado Engineering, Inc.), Michael Bonato (Colorado Engineering, Inc.), James Crowder (Raytheon). Learning Agents for Autonomous Space Asset Management (LAASAM) (2011). [AMOS]</w:t>
      </w:r>
    </w:p>
    <w:p>
      <w:pPr>
        <w:pStyle w:val="BodyText"/>
        <w:spacing w:line="480" w:lineRule="auto"/>
        <w:ind w:firstLine="720"/>
      </w:pPr>
      <w:bookmarkStart w:id="161" w:name="ref-7"/>
      <w:bookmarkEnd w:id="161"/>
      <w:r>
        <w:t xml:space="preserve">7. Larry Gagliano, NASA/MSFC, Shane Mason, SRI International, Tom Percy, NASA/MSFC, Todd MacLeod, NASA/MSFC, Jonathon Prescott, SRI International. Integrated Space Asset Management Database and Modeling (2015). [AMOS]</w:t>
      </w:r>
    </w:p>
    <w:p>
      <w:pPr>
        <w:pStyle w:val="BodyText"/>
        <w:spacing w:line="480" w:lineRule="auto"/>
        <w:ind w:firstLine="720"/>
      </w:pPr>
      <w:bookmarkStart w:id="162" w:name="ref-8"/>
      <w:bookmarkEnd w:id="162"/>
      <w:r>
        <w:t xml:space="preserve">8.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63">
        <w:r>
          <w:rPr>
            <w:rStyle w:val="Hyperlink"/>
          </w:rPr>
          <w:t xml:space="preserve">10.64861/DDFP2152</w:t>
        </w:r>
      </w:hyperlink>
    </w:p>
    <w:p>
      <w:pPr>
        <w:pStyle w:val="BodyText"/>
        <w:spacing w:line="480" w:lineRule="auto"/>
        <w:ind w:firstLine="720"/>
      </w:pPr>
      <w:bookmarkStart w:id="164" w:name="ref-9"/>
      <w:bookmarkEnd w:id="164"/>
      <w:r>
        <w:t xml:space="preserve">9.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65">
        <w:r>
          <w:rPr>
            <w:rStyle w:val="Hyperlink"/>
          </w:rPr>
          <w:t xml:space="preserve">10.1016/j.actaastro.2025.10.018</w:t>
        </w:r>
      </w:hyperlink>
    </w:p>
    <w:p>
      <w:pPr>
        <w:pStyle w:val="BodyText"/>
        <w:spacing w:line="480" w:lineRule="auto"/>
        <w:ind w:firstLine="720"/>
      </w:pPr>
      <w:bookmarkStart w:id="166" w:name="ref-10"/>
      <w:bookmarkEnd w:id="166"/>
      <w:r>
        <w:t xml:space="preserve">10. Bin Du; Shuang Li. A new multi-satellite autonomous mission allocation and planning method (2018). doi:</w:t>
      </w:r>
      <w:r>
        <w:t xml:space="preserve"> </w:t>
      </w:r>
      <w:hyperlink r:id="rId167">
        <w:r>
          <w:rPr>
            <w:rStyle w:val="Hyperlink"/>
          </w:rPr>
          <w:t xml:space="preserve">10.1016/j.actaastro.2018.11.001</w:t>
        </w:r>
      </w:hyperlink>
    </w:p>
    <w:p>
      <w:pPr>
        <w:pStyle w:val="BodyText"/>
        <w:spacing w:line="480" w:lineRule="auto"/>
        <w:ind w:firstLine="720"/>
      </w:pPr>
      <w:bookmarkStart w:id="168" w:name="ref-11"/>
      <w:bookmarkEnd w:id="168"/>
      <w:r>
        <w:t xml:space="preserve">11. Chao Zhang; Lingfeng Pan; Shaoping Wang; Xingjian Wang; Mileta Tomovic. An accelerated life test model for solid lubricated bearings used in space based on time-varying dependence analysis of different failure modes (2018). doi:</w:t>
      </w:r>
      <w:r>
        <w:t xml:space="preserve"> </w:t>
      </w:r>
      <w:hyperlink r:id="rId169">
        <w:r>
          <w:rPr>
            <w:rStyle w:val="Hyperlink"/>
          </w:rPr>
          <w:t xml:space="preserve">10.1016/j.actaastro.2018.08.027</w:t>
        </w:r>
      </w:hyperlink>
    </w:p>
    <w:p>
      <w:pPr>
        <w:pStyle w:val="BodyText"/>
        <w:spacing w:line="480" w:lineRule="auto"/>
        <w:ind w:firstLine="720"/>
      </w:pPr>
      <w:bookmarkStart w:id="170" w:name="ref-12"/>
      <w:bookmarkEnd w:id="170"/>
      <w:r>
        <w:t xml:space="preserve">12. Alejandro Sabán-Fosch; Eduard Diez-Lledó; M. Sòria; Miquel Sureda. Towards the first European autonomous flight safety system- software and hardware design (2025). doi:</w:t>
      </w:r>
      <w:r>
        <w:t xml:space="preserve"> </w:t>
      </w:r>
      <w:hyperlink r:id="rId171">
        <w:r>
          <w:rPr>
            <w:rStyle w:val="Hyperlink"/>
          </w:rPr>
          <w:t xml:space="preserve">10.1016/j.actaastro.2025.07.004</w:t>
        </w:r>
      </w:hyperlink>
    </w:p>
    <w:p>
      <w:pPr>
        <w:pStyle w:val="BodyText"/>
        <w:spacing w:line="480" w:lineRule="auto"/>
        <w:ind w:firstLine="720"/>
      </w:pPr>
      <w:bookmarkStart w:id="172" w:name="ref-13"/>
      <w:bookmarkEnd w:id="172"/>
      <w:r>
        <w:t xml:space="preserve">13. El Ghali Asri; Zheng Zhu. Bioinspired consensus-based spacecraft swarm control for autonomous capture of uncooperative targets (2025). doi:</w:t>
      </w:r>
      <w:r>
        <w:t xml:space="preserve"> </w:t>
      </w:r>
      <w:hyperlink r:id="rId173">
        <w:r>
          <w:rPr>
            <w:rStyle w:val="Hyperlink"/>
          </w:rPr>
          <w:t xml:space="preserve">10.1016/j.actaastro.2025.05.009</w:t>
        </w:r>
      </w:hyperlink>
    </w:p>
    <w:p>
      <w:pPr>
        <w:pStyle w:val="BodyText"/>
        <w:spacing w:line="480" w:lineRule="auto"/>
        <w:ind w:firstLine="720"/>
      </w:pPr>
      <w:bookmarkStart w:id="174" w:name="ref-14"/>
      <w:bookmarkEnd w:id="174"/>
      <w:r>
        <w:t xml:space="preserve">14. Alexandra Wander; Konstantinos Konstantinidis; Roger Förstner; Philipp Voigt. Autonomy and operational concept for self-removal of spacecraft: Status detection, removal triggering and passivation (2019). doi:</w:t>
      </w:r>
      <w:r>
        <w:t xml:space="preserve"> </w:t>
      </w:r>
      <w:hyperlink r:id="rId175">
        <w:r>
          <w:rPr>
            <w:rStyle w:val="Hyperlink"/>
          </w:rPr>
          <w:t xml:space="preserve">10.1016/j.actaastro.2019.07.014</w:t>
        </w:r>
      </w:hyperlink>
    </w:p>
    <w:p>
      <w:pPr>
        <w:pStyle w:val="BodyText"/>
        <w:spacing w:line="480" w:lineRule="auto"/>
        <w:ind w:firstLine="720"/>
      </w:pPr>
      <w:bookmarkStart w:id="176" w:name="ref-15"/>
      <w:bookmarkEnd w:id="176"/>
      <w:r>
        <w:t xml:space="preserve">15. Riccardo Gallon; Fabian Schiemenz; Alessandra Menicucci; Eberhard Gill. Addressing camera sensors faults in Vision-Based Navigation: Simulation and dataset development (2025). doi:</w:t>
      </w:r>
      <w:r>
        <w:t xml:space="preserve"> </w:t>
      </w:r>
      <w:hyperlink r:id="rId177">
        <w:r>
          <w:rPr>
            <w:rStyle w:val="Hyperlink"/>
          </w:rPr>
          <w:t xml:space="preserve">10.1016/j.actaastro.2025.10.071</w:t>
        </w:r>
      </w:hyperlink>
    </w:p>
    <w:p>
      <w:pPr>
        <w:pStyle w:val="BodyText"/>
        <w:spacing w:line="480" w:lineRule="auto"/>
        <w:ind w:firstLine="720"/>
      </w:pPr>
      <w:bookmarkStart w:id="178" w:name="ref-16"/>
      <w:bookmarkEnd w:id="178"/>
      <w:r>
        <w:t xml:space="preserve">16. Erdem Turan; Stefano Speretta; Eberhard Gill. Autonomous navigation for deep space small satellites: Scientific and technological advances (2022). doi:</w:t>
      </w:r>
      <w:r>
        <w:t xml:space="preserve"> </w:t>
      </w:r>
      <w:hyperlink r:id="rId179">
        <w:r>
          <w:rPr>
            <w:rStyle w:val="Hyperlink"/>
          </w:rPr>
          <w:t xml:space="preserve">10.1016/j.actaastro.2021.12.030</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5151252e7a620e6b1cbf8313c0bd427d81dc3a2"/>
    <w:p>
      <w:pPr>
        <w:pStyle w:val="Heading2"/>
        <w:spacing w:line="480" w:lineRule="auto"/>
      </w:pPr>
      <w:r>
        <w:t xml:space="preserve">A.1 Signal Intensity in When the Agent Decides Alone Characterizing Failure Modes of Autonomous Collisi: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4.7877</w:t>
            </w:r>
          </w:p>
        </w:tc>
        <w:tc>
          <w:tcPr>
            <w:tcW w:w="0" w:type="auto"/>
          </w:tcPr>
          <w:p>
            <w:pPr>
              <w:spacing w:line="240" w:lineRule="auto" w:before="0" w:after="0"/>
              <w:pStyle w:val="Compact"/>
            </w:pPr>
            <w:r>
              <w:rPr>
                <w:sz w:val="20"/>
                <w:szCs w:val="20"/>
              </w:rPr>
              <w:t xml:space="preserve">1.5161</w:t>
            </w:r>
          </w:p>
        </w:tc>
        <w:tc>
          <w:tcPr>
            <w:tcW w:w="0" w:type="auto"/>
          </w:tcPr>
          <w:p>
            <w:pPr>
              <w:spacing w:line="240" w:lineRule="auto" w:before="0" w:after="0"/>
              <w:pStyle w:val="Compact"/>
            </w:pPr>
            <w:r>
              <w:rPr>
                <w:sz w:val="20"/>
                <w:szCs w:val="20"/>
              </w:rPr>
              <w:t xml:space="preserve">3.1579</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[1.8162, 7.7592]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0.0924</w:t>
            </w:r>
          </w:p>
        </w:tc>
        <w:tc>
          <w:tcPr>
            <w:tcW w:w="0" w:type="auto"/>
          </w:tcPr>
          <w:p>
            <w:pPr>
              <w:spacing w:line="240" w:lineRule="auto" w:before="0" w:after="0"/>
              <w:pStyle w:val="Compact"/>
            </w:pPr>
            <w:r>
              <w:rPr>
                <w:sz w:val="20"/>
                <w:szCs w:val="20"/>
              </w:rPr>
              <w:t xml:space="preserve">-1.8043</w:t>
            </w:r>
          </w:p>
        </w:tc>
        <w:tc>
          <w:tcPr>
            <w:tcW w:w="0" w:type="auto"/>
          </w:tcPr>
          <w:p>
            <w:pPr>
              <w:spacing w:line="240" w:lineRule="auto" w:before="0" w:after="0"/>
              <w:pStyle w:val="Compact"/>
            </w:pPr>
            <w:r>
              <w:rPr>
                <w:sz w:val="20"/>
                <w:szCs w:val="20"/>
              </w:rPr>
              <w:t xml:space="preserve">0.0712</w:t>
            </w:r>
          </w:p>
        </w:tc>
        <w:tc>
          <w:tcPr>
            <w:tcW w:w="0" w:type="auto"/>
          </w:tcPr>
          <w:p>
            <w:pPr>
              <w:spacing w:line="240" w:lineRule="auto" w:before="0" w:after="0"/>
              <w:pStyle w:val="Compact"/>
            </w:pPr>
            <w:r>
              <w:rPr>
                <w:sz w:val="20"/>
                <w:szCs w:val="20"/>
              </w:rPr>
              <w:t xml:space="preserve">[-0.3479, 0.0144]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-1.7132</w:t>
            </w:r>
          </w:p>
        </w:tc>
        <w:tc>
          <w:tcPr>
            <w:tcW w:w="0" w:type="auto"/>
          </w:tcPr>
          <w:p>
            <w:pPr>
              <w:spacing w:line="240" w:lineRule="auto" w:before="0" w:after="0"/>
              <w:pStyle w:val="Compact"/>
            </w:pPr>
            <w:r>
              <w:rPr>
                <w:sz w:val="20"/>
                <w:szCs w:val="20"/>
              </w:rPr>
              <w:t xml:space="preserve">0.0867</w:t>
            </w:r>
          </w:p>
        </w:tc>
        <w:tc>
          <w:tcPr>
            <w:tcW w:w="0" w:type="auto"/>
          </w:tcPr>
          <w:p>
            <w:pPr>
              <w:spacing w:line="240" w:lineRule="auto" w:before="0" w:after="0"/>
              <w:pStyle w:val="Compact"/>
            </w:pPr>
            <w:r>
              <w:rPr>
                <w:sz w:val="20"/>
                <w:szCs w:val="20"/>
              </w:rPr>
              <w:t xml:space="preserve">[-0.0276,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0.0367</w:t>
            </w:r>
          </w:p>
        </w:tc>
        <w:tc>
          <w:tcPr>
            <w:tcW w:w="0" w:type="auto"/>
          </w:tcPr>
          <w:p>
            <w:pPr>
              <w:spacing w:line="240" w:lineRule="auto" w:before="0" w:after="0"/>
              <w:pStyle w:val="Compact"/>
            </w:pPr>
            <w:r>
              <w:rPr>
                <w:sz w:val="20"/>
                <w:szCs w:val="20"/>
              </w:rPr>
              <w:t xml:space="preserve">0.6078</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0.9518</w:t>
            </w:r>
          </w:p>
        </w:tc>
        <w:tc>
          <w:tcPr>
            <w:tcW w:w="0" w:type="auto"/>
          </w:tcPr>
          <w:p>
            <w:pPr>
              <w:spacing w:line="240" w:lineRule="auto" w:before="0" w:after="0"/>
              <w:pStyle w:val="Compact"/>
            </w:pPr>
            <w:r>
              <w:rPr>
                <w:sz w:val="20"/>
                <w:szCs w:val="20"/>
              </w:rPr>
              <w:t xml:space="preserve">[-1.1545, 1.228]</w:t>
            </w:r>
          </w:p>
        </w:tc>
      </w:tr>
    </w:tbl>
    <w:p>
      <w:pPr>
        <w:pStyle w:val="BodyText"/>
        <w:spacing w:line="480" w:lineRule="auto"/>
        <w:ind w:firstLine="720"/>
      </w:pPr>
      <w:r>
        <w:t xml:space="preserve">Fit: N = 30 R2 = 0.1278 R2_adj = 0.0272 F = 1.702 F_p = 0.1911</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4" name="Picture"/>
            <a:graphic>
              <a:graphicData uri="http://schemas.openxmlformats.org/drawingml/2006/picture">
                <pic:pic>
                  <pic:nvPicPr>
                    <pic:cNvPr descr="D:/Claude_Code/brain/collegium/candidates/dissertations/CYBER_AI_03/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https://amostech.space/year/2016/polish-and-european-sst-assets-the-solaris-panoptes-global-network-of-robotic-telescopes-and-the-borowiec-satellite-laser-ranging-system/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https://amostech.space/year/2022/adaptive-stress-testing-applied-to-space-domain-awareness-systems/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10.64861/XHRO4751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https://amostech.space/year/2015/integrated-space-asset-management-database-and-modeling/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10.64861/FLIA6056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10.64861/DAUC8213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10.1016/j.actaastro.2018.11.001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10.1016/j.actaastro.2019.07.014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10.1016/j.actaastro.2024.07.052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8"/>
    <w:bookmarkEnd w:id="189"/>
    <w:bookmarkStart w:id="197" w:name="Xe95ef7d46b93c945a677f4a70c9019e59e63e1a"/>
    <w:p>
      <w:pPr>
        <w:pStyle w:val="Heading2"/>
        <w:spacing w:line="480" w:lineRule="auto"/>
      </w:pPr>
      <w:r>
        <w:t xml:space="preserve">A.2 Attention Accumulation in When the Agent Decides Alone Characterizing Failure Modes of Autonomous Collisi: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0.5406</w:t>
            </w:r>
          </w:p>
        </w:tc>
        <w:tc>
          <w:tcPr>
            <w:tcW w:w="0" w:type="auto"/>
          </w:tcPr>
          <w:p>
            <w:pPr>
              <w:spacing w:line="240" w:lineRule="auto" w:before="0" w:after="0"/>
              <w:pStyle w:val="Compact"/>
            </w:pPr>
            <w:r>
              <w:rPr>
                <w:sz w:val="20"/>
                <w:szCs w:val="20"/>
              </w:rPr>
              <w:t xml:space="preserve">0.3892</w:t>
            </w:r>
          </w:p>
        </w:tc>
        <w:tc>
          <w:tcPr>
            <w:tcW w:w="0" w:type="auto"/>
          </w:tcPr>
          <w:p>
            <w:pPr>
              <w:spacing w:line="240" w:lineRule="auto" w:before="0" w:after="0"/>
              <w:pStyle w:val="Compact"/>
            </w:pPr>
            <w:r>
              <w:rPr>
                <w:sz w:val="20"/>
                <w:szCs w:val="20"/>
              </w:rPr>
              <w:t xml:space="preserve">1.389</w:t>
            </w:r>
          </w:p>
        </w:tc>
        <w:tc>
          <w:tcPr>
            <w:tcW w:w="0" w:type="auto"/>
          </w:tcPr>
          <w:p>
            <w:pPr>
              <w:spacing w:line="240" w:lineRule="auto" w:before="0" w:after="0"/>
              <w:pStyle w:val="Compact"/>
            </w:pPr>
            <w:r>
              <w:rPr>
                <w:sz w:val="20"/>
                <w:szCs w:val="20"/>
              </w:rPr>
              <w:t xml:space="preserve">0.1648</w:t>
            </w:r>
          </w:p>
        </w:tc>
        <w:tc>
          <w:tcPr>
            <w:tcW w:w="0" w:type="auto"/>
          </w:tcPr>
          <w:p>
            <w:pPr>
              <w:spacing w:line="240" w:lineRule="auto" w:before="0" w:after="0"/>
              <w:pStyle w:val="Compact"/>
            </w:pPr>
            <w:r>
              <w:rPr>
                <w:sz w:val="20"/>
                <w:szCs w:val="20"/>
              </w:rPr>
              <w:t xml:space="preserve">[-0.2223, 1.3035]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0.2865</w:t>
            </w:r>
          </w:p>
        </w:tc>
        <w:tc>
          <w:tcPr>
            <w:tcW w:w="0" w:type="auto"/>
          </w:tcPr>
          <w:p>
            <w:pPr>
              <w:spacing w:line="240" w:lineRule="auto" w:before="0" w:after="0"/>
              <w:pStyle w:val="Compact"/>
            </w:pPr>
            <w:r>
              <w:rPr>
                <w:sz w:val="20"/>
                <w:szCs w:val="20"/>
              </w:rPr>
              <w:t xml:space="preserve">0.341</w:t>
            </w:r>
          </w:p>
        </w:tc>
        <w:tc>
          <w:tcPr>
            <w:tcW w:w="0" w:type="auto"/>
          </w:tcPr>
          <w:p>
            <w:pPr>
              <w:spacing w:line="240" w:lineRule="auto" w:before="0" w:after="0"/>
              <w:pStyle w:val="Compact"/>
            </w:pPr>
            <w:r>
              <w:rPr>
                <w:sz w:val="20"/>
                <w:szCs w:val="20"/>
              </w:rPr>
              <w:t xml:space="preserve">0.7331</w:t>
            </w:r>
          </w:p>
        </w:tc>
        <w:tc>
          <w:tcPr>
            <w:tcW w:w="0" w:type="auto"/>
          </w:tcPr>
          <w:p>
            <w:pPr>
              <w:spacing w:line="240" w:lineRule="auto" w:before="0" w:after="0"/>
              <w:pStyle w:val="Compact"/>
            </w:pPr>
            <w:r>
              <w:rPr>
                <w:sz w:val="20"/>
                <w:szCs w:val="20"/>
              </w:rPr>
              <w:t xml:space="preserve">[-0.4639, 0.6593]</w:t>
            </w:r>
          </w:p>
        </w:tc>
      </w:tr>
    </w:tbl>
    <w:p>
      <w:pPr>
        <w:pStyle w:val="BodyText"/>
        <w:spacing w:line="480" w:lineRule="auto"/>
        <w:ind w:firstLine="720"/>
      </w:pPr>
      <w:r>
        <w:t xml:space="preserve">Fit: N = 30 R2 = 0.0026 elasticity_b = 0.0977 progress_ratio_2^b = 1.0701</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2" name="Picture"/>
            <a:graphic>
              <a:graphicData uri="http://schemas.openxmlformats.org/drawingml/2006/picture">
                <pic:pic>
                  <pic:nvPicPr>
                    <pic:cNvPr descr="D:/Claude_Code/brain/collegium/candidates/dissertations/CYBER_AI_03/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https://amostech.space/year/2016/polish-and-european-sst-assets-the-solaris-panoptes-global-network-of-robotic-telescopes-and-the-borowiec-satellite-laser-ranging-system/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https://amostech.space/year/2022/adaptive-stress-testing-applied-to-space-domain-awareness-systems/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10.64861/XHRO4751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https://amostech.space/year/2015/integrated-space-asset-management-database-and-modeling/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10.64861/FLIA6056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10.64861/DAUC8213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10.1016/j.actaastro.2018.11.001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10.1016/j.actaastro.2019.07.014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10.1016/j.actaastro.2024.07.052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Economics of Orbital Debris Generation, Accumulation, Mitigation, Remediation</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69" Type="http://schemas.openxmlformats.org/officeDocument/2006/relationships/hyperlink" Target="https://doi.org/10.1016/j.actaastro.2018.08.027" TargetMode="External"/><Relationship Id="rId167" Type="http://schemas.openxmlformats.org/officeDocument/2006/relationships/hyperlink" Target="https://doi.org/10.1016/j.actaastro.2018.11.001" TargetMode="External"/><Relationship Id="rId175" Type="http://schemas.openxmlformats.org/officeDocument/2006/relationships/hyperlink" Target="https://doi.org/10.1016/j.actaastro.2019.07.014" TargetMode="External"/><Relationship Id="rId179" Type="http://schemas.openxmlformats.org/officeDocument/2006/relationships/hyperlink" Target="https://doi.org/10.1016/j.actaastro.2021.12.030" TargetMode="External"/><Relationship Id="rId173" Type="http://schemas.openxmlformats.org/officeDocument/2006/relationships/hyperlink" Target="https://doi.org/10.1016/j.actaastro.2025.05.009" TargetMode="External"/><Relationship Id="rId171" Type="http://schemas.openxmlformats.org/officeDocument/2006/relationships/hyperlink" Target="https://doi.org/10.1016/j.actaastro.2025.07.004" TargetMode="External"/><Relationship Id="rId165" Type="http://schemas.openxmlformats.org/officeDocument/2006/relationships/hyperlink" Target="https://doi.org/10.1016/j.actaastro.2025.10.018" TargetMode="External"/><Relationship Id="rId177" Type="http://schemas.openxmlformats.org/officeDocument/2006/relationships/hyperlink" Target="https://doi.org/10.1016/j.actaastro.2025.10.071" TargetMode="External"/><Relationship Id="rId163" Type="http://schemas.openxmlformats.org/officeDocument/2006/relationships/hyperlink" Target="https://doi.org/10.64861/DDFP2152" TargetMode="External"/><Relationship Id="rId155" Type="http://schemas.openxmlformats.org/officeDocument/2006/relationships/hyperlink" Target="https://doi.org/10.64861/OWDT6586" TargetMode="External"/><Relationship Id="rId159" Type="http://schemas.openxmlformats.org/officeDocument/2006/relationships/hyperlink" Target="https://doi.org/10.64861/XHRO4751"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18.08.027" TargetMode="External"/><Relationship Id="rId167" Type="http://schemas.openxmlformats.org/officeDocument/2006/relationships/hyperlink" Target="https://doi.org/10.1016/j.actaastro.2018.11.001" TargetMode="External"/><Relationship Id="rId175" Type="http://schemas.openxmlformats.org/officeDocument/2006/relationships/hyperlink" Target="https://doi.org/10.1016/j.actaastro.2019.07.014" TargetMode="External"/><Relationship Id="rId179" Type="http://schemas.openxmlformats.org/officeDocument/2006/relationships/hyperlink" Target="https://doi.org/10.1016/j.actaastro.2021.12.030" TargetMode="External"/><Relationship Id="rId173" Type="http://schemas.openxmlformats.org/officeDocument/2006/relationships/hyperlink" Target="https://doi.org/10.1016/j.actaastro.2025.05.009" TargetMode="External"/><Relationship Id="rId171" Type="http://schemas.openxmlformats.org/officeDocument/2006/relationships/hyperlink" Target="https://doi.org/10.1016/j.actaastro.2025.07.004" TargetMode="External"/><Relationship Id="rId165" Type="http://schemas.openxmlformats.org/officeDocument/2006/relationships/hyperlink" Target="https://doi.org/10.1016/j.actaastro.2025.10.018" TargetMode="External"/><Relationship Id="rId177" Type="http://schemas.openxmlformats.org/officeDocument/2006/relationships/hyperlink" Target="https://doi.org/10.1016/j.actaastro.2025.10.071" TargetMode="External"/><Relationship Id="rId163" Type="http://schemas.openxmlformats.org/officeDocument/2006/relationships/hyperlink" Target="https://doi.org/10.64861/DDFP2152" TargetMode="External"/><Relationship Id="rId155" Type="http://schemas.openxmlformats.org/officeDocument/2006/relationships/hyperlink" Target="https://doi.org/10.64861/OWDT6586" TargetMode="External"/><Relationship Id="rId159" Type="http://schemas.openxmlformats.org/officeDocument/2006/relationships/hyperlink" Target="https://doi.org/10.64861/XHRO4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the Agent Decides Alone: Characterizing Failure Modes of Autonomous Collisi</dc:title>
  <dc:creator>Delia Farouk (1B-ITI-191)</dc:creator>
  <cp:keywords/>
  <dcterms:created xsi:type="dcterms:W3CDTF">2026-07-03T22:34:16Z</dcterms:created>
  <dcterms:modified xsi:type="dcterms:W3CDTF">2026-07-03T22:34:16Z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