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7588ded56e734fb9c8310ea991c594f1a0fee27"/>
    <w:p>
      <w:pPr>
        <w:pStyle w:val="Heading1"/>
      </w:pPr>
      <w:r>
        <w:t xml:space="preserve">Signal Intensity in Command-Link Integrity Under Autonomy Does Onboard Decision Authority Reduce or: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Marcus Reinholt (1B-ITI-193) and the dissertation project</w:t>
      </w:r>
      <w:r>
        <w:t xml:space="preserve"> </w:t>
      </w:r>
      <w:r>
        <w:rPr>
          <w:i/>
          <w:iCs/>
        </w:rPr>
        <w:t xml:space="preserve">Command-Link Integrity Under Autonomy: Does Onboard Decision Authority Reduce or</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R2=0.2086520909455547, R2_adj=0.11734271682388786, F=2.604007187181375, F_p=0.07327646158710832. The exact term summary is: const coef=6.255945518205008 p=0.001121081222194338; recency_index coef=-0.08856988788567317 p=0.4057006341549717; cites_num coef=0.06562253871863537 p=0.08070482042309113; venue_score coef=-1.165461226842032 p=0.032709436165149174.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68">
        <w:r>
          <w:rPr>
            <w:rStyle w:val="Hyperlink"/>
          </w:rPr>
          <w:t xml:space="preserve">10.64861/XQCN3213</w:t>
        </w:r>
      </w:hyperlink>
      <w:r>
        <w:t xml:space="preserve"> </w:t>
      </w:r>
      <w:bookmarkStart w:id="69" w:name="ref-2"/>
      <w:bookmarkEnd w:id="69"/>
      <w:r>
        <w:t xml:space="preserve">2. Louis Marketos, Design_Net Engineering. Leveraging the Space Plug-and-Play Avionics (SPA) Standard to Enable Constellation-level Collaborative Autonomy (2009). [AMOS]</w:t>
      </w:r>
      <w:r>
        <w:t xml:space="preserve"> </w:t>
      </w:r>
      <w:bookmarkStart w:id="70" w:name="ref-3"/>
      <w:bookmarkEnd w:id="70"/>
      <w:r>
        <w:t xml:space="preserve">3. Edward Gregson, Dalhousie University; Mae Seto, Dalhousie University; Bumsoo Kim, Defence R&amp;D Canada. Autonomy Testbed Development for Satellite Debris Avoidance (2018). [AMOS]</w:t>
      </w:r>
      <w:r>
        <w:t xml:space="preserve"> </w:t>
      </w:r>
      <w:bookmarkStart w:id="71" w:name="ref-4"/>
      <w:bookmarkEnd w:id="71"/>
      <w:r>
        <w:t xml:space="preserve">4. Enrique De Alba, EO Solutions; Alexander Cabello, EO Solutions; Garrett Fitzgerald, EO Solutions; Zach Gazak, Space Systems Command A&amp;AS; Justin Fletcher, Space Systems Command A&amp;AS. Toward Integration of Large Language Models for Command and Control in Space Domain Awareness (2025). doi:</w:t>
      </w:r>
      <w:r>
        <w:t xml:space="preserve"> </w:t>
      </w:r>
      <w:hyperlink r:id="rId72">
        <w:r>
          <w:rPr>
            <w:rStyle w:val="Hyperlink"/>
          </w:rPr>
          <w:t xml:space="preserve">10.64861/OWDT6586</w:t>
        </w:r>
      </w:hyperlink>
      <w:r>
        <w:t xml:space="preserve"> </w:t>
      </w:r>
      <w:bookmarkStart w:id="73" w:name="ref-5"/>
      <w:bookmarkEnd w:id="73"/>
      <w:r>
        <w:t xml:space="preserve">5. Dario Modenini, University of Bologna; Giacomo Curzi, University of Bologna; Alfredo Locarini, Alma Mater Studiorum – University of Bologna; Paolo Tortora, University of Bologna; Stefano Cicalò, Space Dynamics Services s.r.l.; Alessia Bertolucci, Space Dynamics Services s.r.l.; Francesca Guerra, Space Dynamics Services s.r.l.; Mauro Cardone, Agenzia Spaziale Italiana. ABACO, An Autonomous Board for Avoiding Collisions (2023). doi:</w:t>
      </w:r>
      <w:r>
        <w:t xml:space="preserve"> </w:t>
      </w:r>
      <w:hyperlink r:id="rId74">
        <w:r>
          <w:rPr>
            <w:rStyle w:val="Hyperlink"/>
          </w:rPr>
          <w:t xml:space="preserve">10.64861/HAWR6096</w:t>
        </w:r>
      </w:hyperlink>
      <w:r>
        <w:t xml:space="preserve"> </w:t>
      </w:r>
      <w:bookmarkStart w:id="75" w:name="ref-6"/>
      <w:bookmarkEnd w:id="75"/>
      <w:r>
        <w:t xml:space="preserve">6. Carmen Reglero Andres, Amazon Web Services; Eloy Salcedo de Zarraga, Amazon Web Services; Shayn Hawthorne, Amazon Web Services; Margaret Cote, Amazon Web Services; Nicholas Ansell, Amazon Web Services; Yudhajeet Dasgupta, Amazon Web Services. Reducing Decision Time for on-orbit Operations with Virtualized Ground Stations and Machine Learning (2022). [AMOS]</w:t>
      </w:r>
      <w:r>
        <w:t xml:space="preserve"> </w:t>
      </w:r>
      <w:bookmarkStart w:id="76" w:name="ref-7"/>
      <w:bookmarkEnd w:id="76"/>
      <w:r>
        <w:t xml:space="preserve">7. Rishi P. Patel, United States Air Force; Varlin V. Sheffey, United States Space Force; Joseph D. Gerber, KBR; Riley Burfield, Tech7 Consulting, LLC; Ryan Waterer, Tech7 Consulting, LLC; James Tippets, MITRE Corporation; David Stout, MITRE Corporation; Emily Bohner, United States Space Force. Defense Readiness Agile Gaming Ops Networks (DRAGON) Army (2022). [AMOS]</w:t>
      </w:r>
      <w:r>
        <w:t xml:space="preserve"> </w:t>
      </w:r>
      <w:bookmarkStart w:id="77" w:name="ref-8"/>
      <w:bookmarkEnd w:id="77"/>
      <w:r>
        <w:t xml:space="preserve">8. Nathan Golovich, Lawrence Livermore National Laboratory; Robert Armstrong, Lawrence Livermore National Laboratory; Alex Geringer-Sameth, Lawrence Livermore National Laboratory; Benjamin Bahney, Lawrence Livermore National Laboratory; Gary Li, Impulse Space Inc.. XGEOSTARE: Extensible GEO Space-based Telescopes for Actionable Refinement of Ephemeris (2025). doi:</w:t>
      </w:r>
      <w:r>
        <w:t xml:space="preserve"> </w:t>
      </w:r>
      <w:hyperlink r:id="rId78">
        <w:r>
          <w:rPr>
            <w:rStyle w:val="Hyperlink"/>
          </w:rPr>
          <w:t xml:space="preserve">10.64861/RRTQ9485</w:t>
        </w:r>
      </w:hyperlink>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6.2559</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3.2582</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[2.4927, 10.0192]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-0.0886</w:t>
            </w:r>
          </w:p>
        </w:tc>
        <w:tc>
          <w:tcPr>
            <w:tcW w:w="0" w:type="auto"/>
          </w:tcPr>
          <w:p>
            <w:pPr>
              <w:spacing w:line="240" w:lineRule="auto" w:before="0" w:after="0"/>
              <w:pStyle w:val="Compact"/>
            </w:pPr>
            <w:r>
              <w:rPr>
                <w:sz w:val="20"/>
                <w:szCs w:val="20"/>
              </w:rPr>
              <w:t xml:space="preserve">0.1065</w:t>
            </w:r>
          </w:p>
        </w:tc>
        <w:tc>
          <w:tcPr>
            <w:tcW w:w="0" w:type="auto"/>
          </w:tcPr>
          <w:p>
            <w:pPr>
              <w:spacing w:line="240" w:lineRule="auto" w:before="0" w:after="0"/>
              <w:pStyle w:val="Compact"/>
            </w:pPr>
            <w:r>
              <w:rPr>
                <w:sz w:val="20"/>
                <w:szCs w:val="20"/>
              </w:rPr>
              <w:t xml:space="preserve">-0.8315</w:t>
            </w:r>
          </w:p>
        </w:tc>
        <w:tc>
          <w:tcPr>
            <w:tcW w:w="0" w:type="auto"/>
          </w:tcPr>
          <w:p>
            <w:pPr>
              <w:spacing w:line="240" w:lineRule="auto" w:before="0" w:after="0"/>
              <w:pStyle w:val="Compact"/>
            </w:pPr>
            <w:r>
              <w:rPr>
                <w:sz w:val="20"/>
                <w:szCs w:val="20"/>
              </w:rPr>
              <w:t xml:space="preserve">0.4057</w:t>
            </w:r>
          </w:p>
        </w:tc>
        <w:tc>
          <w:tcPr>
            <w:tcW w:w="0" w:type="auto"/>
          </w:tcPr>
          <w:p>
            <w:pPr>
              <w:spacing w:line="240" w:lineRule="auto" w:before="0" w:after="0"/>
              <w:pStyle w:val="Compact"/>
            </w:pPr>
            <w:r>
              <w:rPr>
                <w:sz w:val="20"/>
                <w:szCs w:val="20"/>
              </w:rPr>
              <w:t xml:space="preserve">[-0.2973, 0.1202]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0.0656</w:t>
            </w:r>
          </w:p>
        </w:tc>
        <w:tc>
          <w:tcPr>
            <w:tcW w:w="0" w:type="auto"/>
          </w:tcPr>
          <w:p>
            <w:pPr>
              <w:spacing w:line="240" w:lineRule="auto" w:before="0" w:after="0"/>
              <w:pStyle w:val="Compact"/>
            </w:pPr>
            <w:r>
              <w:rPr>
                <w:sz w:val="20"/>
                <w:szCs w:val="20"/>
              </w:rPr>
              <w:t xml:space="preserve">0.0376</w:t>
            </w:r>
          </w:p>
        </w:tc>
        <w:tc>
          <w:tcPr>
            <w:tcW w:w="0" w:type="auto"/>
          </w:tcPr>
          <w:p>
            <w:pPr>
              <w:spacing w:line="240" w:lineRule="auto" w:before="0" w:after="0"/>
              <w:pStyle w:val="Compact"/>
            </w:pPr>
            <w:r>
              <w:rPr>
                <w:sz w:val="20"/>
                <w:szCs w:val="20"/>
              </w:rPr>
              <w:t xml:space="preserve">1.7466</w:t>
            </w:r>
          </w:p>
        </w:tc>
        <w:tc>
          <w:tcPr>
            <w:tcW w:w="0" w:type="auto"/>
          </w:tcPr>
          <w:p>
            <w:pPr>
              <w:spacing w:line="240" w:lineRule="auto" w:before="0" w:after="0"/>
              <w:pStyle w:val="Compact"/>
            </w:pPr>
            <w:r>
              <w:rPr>
                <w:sz w:val="20"/>
                <w:szCs w:val="20"/>
              </w:rPr>
              <w:t xml:space="preserve">0.0807</w:t>
            </w:r>
          </w:p>
        </w:tc>
        <w:tc>
          <w:tcPr>
            <w:tcW w:w="0" w:type="auto"/>
          </w:tcPr>
          <w:p>
            <w:pPr>
              <w:spacing w:line="240" w:lineRule="auto" w:before="0" w:after="0"/>
              <w:pStyle w:val="Compact"/>
            </w:pPr>
            <w:r>
              <w:rPr>
                <w:sz w:val="20"/>
                <w:szCs w:val="20"/>
              </w:rPr>
              <w:t xml:space="preserve">[-0.008, 0.1393]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-1.1655</w:t>
            </w:r>
          </w:p>
        </w:tc>
        <w:tc>
          <w:tcPr>
            <w:tcW w:w="0" w:type="auto"/>
          </w:tcPr>
          <w:p>
            <w:pPr>
              <w:spacing w:line="240" w:lineRule="auto" w:before="0" w:after="0"/>
              <w:pStyle w:val="Compact"/>
            </w:pPr>
            <w:r>
              <w:rPr>
                <w:sz w:val="20"/>
                <w:szCs w:val="20"/>
              </w:rPr>
              <w:t xml:space="preserve">0.5457</w:t>
            </w:r>
          </w:p>
        </w:tc>
        <w:tc>
          <w:tcPr>
            <w:tcW w:w="0" w:type="auto"/>
          </w:tcPr>
          <w:p>
            <w:pPr>
              <w:spacing w:line="240" w:lineRule="auto" w:before="0" w:after="0"/>
              <w:pStyle w:val="Compact"/>
            </w:pPr>
            <w:r>
              <w:rPr>
                <w:sz w:val="20"/>
                <w:szCs w:val="20"/>
              </w:rPr>
              <w:t xml:space="preserve">-2.1356</w:t>
            </w:r>
          </w:p>
        </w:tc>
        <w:tc>
          <w:tcPr>
            <w:tcW w:w="0" w:type="auto"/>
          </w:tcPr>
          <w:p>
            <w:pPr>
              <w:spacing w:line="240" w:lineRule="auto" w:before="0" w:after="0"/>
              <w:pStyle w:val="Compact"/>
            </w:pPr>
            <w:r>
              <w:rPr>
                <w:sz w:val="20"/>
                <w:szCs w:val="20"/>
              </w:rPr>
              <w:t xml:space="preserve">0.0327</w:t>
            </w:r>
          </w:p>
        </w:tc>
        <w:tc>
          <w:tcPr>
            <w:tcW w:w="0" w:type="auto"/>
          </w:tcPr>
          <w:p>
            <w:pPr>
              <w:spacing w:line="240" w:lineRule="auto" w:before="0" w:after="0"/>
              <w:pStyle w:val="Compact"/>
            </w:pPr>
            <w:r>
              <w:rPr>
                <w:sz w:val="20"/>
                <w:szCs w:val="20"/>
              </w:rPr>
              <w:t xml:space="preserve">[-2.2351, -0.0959]</w:t>
            </w:r>
          </w:p>
        </w:tc>
      </w:tr>
    </w:tbl>
    <w:p>
      <w:pPr>
        <w:pStyle w:val="BodyText"/>
      </w:pPr>
      <w:r>
        <w:t xml:space="preserve">Fit: N = 30 R2 = 0.2087 R2_adj = 0.1173 F = 2.604 F_p = 0.0733</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CYBER_AI_02\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10.64861/XQCN3213</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https://amostech.space/year/2009/leveraging-the-space-plug-and-play-avionics-spa-standard-to-enable-constellation-level-collaborative-autonomy/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https://amostech.space/year/2018/autonomy-testbed-development-for-satellite-debris-avoidance/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10.64861/OWDT6586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10.64861/HAWR6096</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https://amostech.space/year/2022/reducing-decision-time-for-on-orbit-operations-with-virtualized-ground-stations-and-machine-learning/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https://amostech.space/year/2022/defense-readiness-agile-gaming-ops-networks-dragon-army/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10.64861/RRTQ9485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https://amostech.space/year/2021/flexible-closed-loop-feedback-control-architecture-for-sda-payloads/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https://amostech.space/year/2020/update-on-esas-space-safety-programme-and-its-cornerstone-on-collision-avoidance/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https://amostech.space/year/2019/orbit-design-of-an-autonomous-space-based-ssa-swarm-distributed-deep-learning-at-the-edge/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10.64861/RAAN7205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10.1016/j.actaastro.2024.04.039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10.1016/j.actaastro.2025.11.039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10.1016/j.actaastro.2025.01.035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10.1016/j.actaastro.2023.12.055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10.1016/j.actaastro.2026.02.008</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10.1016/j.actaastro.2020.04.018</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 Debris Impact on Orbital Resource in Life Cycle Assessment</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Prototyping Operational Autonomy for STM</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6.2559</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3.2582</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[2.4927, 10.0192]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-0.0886</w:t>
            </w:r>
          </w:p>
        </w:tc>
        <w:tc>
          <w:tcPr>
            <w:tcW w:w="0" w:type="auto"/>
          </w:tcPr>
          <w:p>
            <w:pPr>
              <w:spacing w:line="240" w:lineRule="auto" w:before="0" w:after="0"/>
              <w:pStyle w:val="Compact"/>
            </w:pPr>
            <w:r>
              <w:rPr>
                <w:sz w:val="20"/>
                <w:szCs w:val="20"/>
              </w:rPr>
              <w:t xml:space="preserve">0.1065</w:t>
            </w:r>
          </w:p>
        </w:tc>
        <w:tc>
          <w:tcPr>
            <w:tcW w:w="0" w:type="auto"/>
          </w:tcPr>
          <w:p>
            <w:pPr>
              <w:spacing w:line="240" w:lineRule="auto" w:before="0" w:after="0"/>
              <w:pStyle w:val="Compact"/>
            </w:pPr>
            <w:r>
              <w:rPr>
                <w:sz w:val="20"/>
                <w:szCs w:val="20"/>
              </w:rPr>
              <w:t xml:space="preserve">-0.8315</w:t>
            </w:r>
          </w:p>
        </w:tc>
        <w:tc>
          <w:tcPr>
            <w:tcW w:w="0" w:type="auto"/>
          </w:tcPr>
          <w:p>
            <w:pPr>
              <w:spacing w:line="240" w:lineRule="auto" w:before="0" w:after="0"/>
              <w:pStyle w:val="Compact"/>
            </w:pPr>
            <w:r>
              <w:rPr>
                <w:sz w:val="20"/>
                <w:szCs w:val="20"/>
              </w:rPr>
              <w:t xml:space="preserve">0.4057</w:t>
            </w:r>
          </w:p>
        </w:tc>
        <w:tc>
          <w:tcPr>
            <w:tcW w:w="0" w:type="auto"/>
          </w:tcPr>
          <w:p>
            <w:pPr>
              <w:spacing w:line="240" w:lineRule="auto" w:before="0" w:after="0"/>
              <w:pStyle w:val="Compact"/>
            </w:pPr>
            <w:r>
              <w:rPr>
                <w:sz w:val="20"/>
                <w:szCs w:val="20"/>
              </w:rPr>
              <w:t xml:space="preserve">[-0.2973, 0.1202]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0.0656</w:t>
            </w:r>
          </w:p>
        </w:tc>
        <w:tc>
          <w:tcPr>
            <w:tcW w:w="0" w:type="auto"/>
          </w:tcPr>
          <w:p>
            <w:pPr>
              <w:spacing w:line="240" w:lineRule="auto" w:before="0" w:after="0"/>
              <w:pStyle w:val="Compact"/>
            </w:pPr>
            <w:r>
              <w:rPr>
                <w:sz w:val="20"/>
                <w:szCs w:val="20"/>
              </w:rPr>
              <w:t xml:space="preserve">0.0376</w:t>
            </w:r>
          </w:p>
        </w:tc>
        <w:tc>
          <w:tcPr>
            <w:tcW w:w="0" w:type="auto"/>
          </w:tcPr>
          <w:p>
            <w:pPr>
              <w:spacing w:line="240" w:lineRule="auto" w:before="0" w:after="0"/>
              <w:pStyle w:val="Compact"/>
            </w:pPr>
            <w:r>
              <w:rPr>
                <w:sz w:val="20"/>
                <w:szCs w:val="20"/>
              </w:rPr>
              <w:t xml:space="preserve">1.7466</w:t>
            </w:r>
          </w:p>
        </w:tc>
        <w:tc>
          <w:tcPr>
            <w:tcW w:w="0" w:type="auto"/>
          </w:tcPr>
          <w:p>
            <w:pPr>
              <w:spacing w:line="240" w:lineRule="auto" w:before="0" w:after="0"/>
              <w:pStyle w:val="Compact"/>
            </w:pPr>
            <w:r>
              <w:rPr>
                <w:sz w:val="20"/>
                <w:szCs w:val="20"/>
              </w:rPr>
              <w:t xml:space="preserve">0.0807</w:t>
            </w:r>
          </w:p>
        </w:tc>
        <w:tc>
          <w:tcPr>
            <w:tcW w:w="0" w:type="auto"/>
          </w:tcPr>
          <w:p>
            <w:pPr>
              <w:spacing w:line="240" w:lineRule="auto" w:before="0" w:after="0"/>
              <w:pStyle w:val="Compact"/>
            </w:pPr>
            <w:r>
              <w:rPr>
                <w:sz w:val="20"/>
                <w:szCs w:val="20"/>
              </w:rPr>
              <w:t xml:space="preserve">[-0.008, 0.1393]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-1.1655</w:t>
            </w:r>
          </w:p>
        </w:tc>
        <w:tc>
          <w:tcPr>
            <w:tcW w:w="0" w:type="auto"/>
          </w:tcPr>
          <w:p>
            <w:pPr>
              <w:spacing w:line="240" w:lineRule="auto" w:before="0" w:after="0"/>
              <w:pStyle w:val="Compact"/>
            </w:pPr>
            <w:r>
              <w:rPr>
                <w:sz w:val="20"/>
                <w:szCs w:val="20"/>
              </w:rPr>
              <w:t xml:space="preserve">0.5457</w:t>
            </w:r>
          </w:p>
        </w:tc>
        <w:tc>
          <w:tcPr>
            <w:tcW w:w="0" w:type="auto"/>
          </w:tcPr>
          <w:p>
            <w:pPr>
              <w:spacing w:line="240" w:lineRule="auto" w:before="0" w:after="0"/>
              <w:pStyle w:val="Compact"/>
            </w:pPr>
            <w:r>
              <w:rPr>
                <w:sz w:val="20"/>
                <w:szCs w:val="20"/>
              </w:rPr>
              <w:t xml:space="preserve">-2.1356</w:t>
            </w:r>
          </w:p>
        </w:tc>
        <w:tc>
          <w:tcPr>
            <w:tcW w:w="0" w:type="auto"/>
          </w:tcPr>
          <w:p>
            <w:pPr>
              <w:spacing w:line="240" w:lineRule="auto" w:before="0" w:after="0"/>
              <w:pStyle w:val="Compact"/>
            </w:pPr>
            <w:r>
              <w:rPr>
                <w:sz w:val="20"/>
                <w:szCs w:val="20"/>
              </w:rPr>
              <w:t xml:space="preserve">0.0327</w:t>
            </w:r>
          </w:p>
        </w:tc>
        <w:tc>
          <w:tcPr>
            <w:tcW w:w="0" w:type="auto"/>
          </w:tcPr>
          <w:p>
            <w:pPr>
              <w:spacing w:line="240" w:lineRule="auto" w:before="0" w:after="0"/>
              <w:pStyle w:val="Compact"/>
            </w:pPr>
            <w:r>
              <w:rPr>
                <w:sz w:val="20"/>
                <w:szCs w:val="20"/>
              </w:rPr>
              <w:t xml:space="preserve">[-2.2351, -0.0959]</w:t>
            </w:r>
          </w:p>
        </w:tc>
      </w:tr>
    </w:tbl>
    <w:p>
      <w:pPr>
        <w:pStyle w:val="BodyText"/>
      </w:pPr>
      <w:r>
        <w:t xml:space="preserve">Fit: N = 30 R2 = 0.2087 R2_adj = 0.1173 F = 2.604 F_p = 0.0733</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4" Target="https://doi.org/10.64861/HAWR6096" TargetMode="External" /><Relationship Type="http://schemas.openxmlformats.org/officeDocument/2006/relationships/hyperlink" Id="rId72" Target="https://doi.org/10.64861/OWDT6586" TargetMode="External" /><Relationship Type="http://schemas.openxmlformats.org/officeDocument/2006/relationships/hyperlink" Id="rId78" Target="https://doi.org/10.64861/RRTQ9485" TargetMode="External" /><Relationship Type="http://schemas.openxmlformats.org/officeDocument/2006/relationships/hyperlink" Id="rId68" Target="https://doi.org/10.64861/XQCN3213"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HAWR6096" TargetMode="External" /><Relationship Type="http://schemas.openxmlformats.org/officeDocument/2006/relationships/hyperlink" Id="rId72" Target="https://doi.org/10.64861/OWDT6586" TargetMode="External" /><Relationship Type="http://schemas.openxmlformats.org/officeDocument/2006/relationships/hyperlink" Id="rId78" Target="https://doi.org/10.64861/RRTQ9485" TargetMode="External" /><Relationship Type="http://schemas.openxmlformats.org/officeDocument/2006/relationships/hyperlink" Id="rId68" Target="https://doi.org/10.64861/XQCN321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2026-06-29T09:35:39Z</dcterms:created>
  <dcterms:modified xsi:type="dcterms:W3CDTF">2026-06-29T09:35:39Z</dcterms:modified>
</cp:coreProperties>
</file>

<file path=docProps/custom.xml><?xml version="1.0" encoding="utf-8"?>
<Properties xmlns="http://schemas.openxmlformats.org/officeDocument/2006/custom-properties" xmlns:vt="http://schemas.openxmlformats.org/officeDocument/2006/docPropsVTypes"/>
</file>