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COMMAND-LINK INTEGRITY UNDER AUTONOMY: DOES ONBOARD DECISION AUTHORITY REDUCE OR</w:t>
      </w:r>
    </w:p>
    <w:p>
      <w:pPr>
        <w:jc w:val="center"/>
      </w:pPr>
    </w:p>
    <w:p>
      <w:pPr>
        <w:jc w:val="center"/>
      </w:pPr>
      <w:r>
        <w:rPr>
          <w:rFonts w:ascii="Times New Roman" w:hAnsi="Times New Roman"/>
          <w:sz w:val="24"/>
        </w:rPr>
        <w:t>by</w:t>
      </w:r>
    </w:p>
    <w:p>
      <w:pPr>
        <w:jc w:val="center"/>
      </w:pPr>
      <w:r>
        <w:rPr>
          <w:rFonts w:ascii="Times New Roman" w:hAnsi="Times New Roman"/>
          <w:b/>
          <w:sz w:val="28"/>
        </w:rPr>
        <w:t>Marcus Reinholt</w:t>
      </w:r>
    </w:p>
    <w:p>
      <w:pPr>
        <w:jc w:val="center"/>
      </w:pPr>
      <w:r>
        <w:rPr>
          <w:rFonts w:ascii="Times New Roman" w:hAnsi="Times New Roman"/>
          <w:sz w:val="24"/>
        </w:rPr>
        <w:t>1B-ITI-193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Hand a satellite the authority to choose its own actions, and the uplink loses the meaning it carried for six decades. Across that long stretch the roles never wavered. Mission control owned the decisions, the vehicle merely complied, and the two directions of traffic, orders climbing up and reports falling back, encoded that division of labor. Self-direction breaks the pattern apart. The moment a satellite selects its own dodge around a piece of debris, or an onboard planner rewrites a task list quicker than any controller could scan it, the uplink surrenders its monopoly on control. It shrinks to one participant among many. Into that rupture this study drives a single testable question. As the power to decide migrates aboard the vehicle, does the assurance load on the uplink ease, or does it merely creep off to corners no one can monitor?</w:t>
      </w:r>
    </w:p>
    <w:p>
      <w:pPr>
        <w:pStyle w:val="BodyText"/>
        <w:spacing w:line="480" w:lineRule="auto"/>
        <w:ind w:firstLine="720"/>
      </w:pPr>
      <w:r>
        <w:t xml:space="preserve">The question deserves attention because none of this is speculative. Laboratories have already fielded debris-dodging benchmarks that permit a satellite to assess a close pass and respond with no round trip to the ground</w:t>
      </w:r>
      <w:r>
        <w:t xml:space="preserve"> </w:t>
      </w:r>
      <w:hyperlink w:anchor="ref-3">
        <w:r>
          <w:rPr>
            <w:rStyle w:val="Hyperlink"/>
          </w:rPr>
          <w:t xml:space="preserve">[3]</w:t>
        </w:r>
      </w:hyperlink>
      <w:r>
        <w:t xml:space="preserve">. Purpose-cut avoidance chips have already ridden to orbit</w:t>
      </w:r>
      <w:r>
        <w:t xml:space="preserve"> </w:t>
      </w:r>
      <w:hyperlink w:anchor="ref-5">
        <w:r>
          <w:rPr>
            <w:rStyle w:val="Hyperlink"/>
          </w:rPr>
          <w:t xml:space="preserve">[5]</w:t>
        </w:r>
      </w:hyperlink>
      <w:r>
        <w:t xml:space="preserve">. Constellations now split their coordination across numerous vehicles using agent-driven arrangements, each craft entrusted with a slice of its own reasoning</w:t>
      </w:r>
      <w:r>
        <w:t xml:space="preserve"> </w:t>
      </w:r>
      <w:hyperlink w:anchor="ref-12">
        <w:r>
          <w:rPr>
            <w:rStyle w:val="Hyperlink"/>
          </w:rPr>
          <w:t xml:space="preserve">[12]</w:t>
        </w:r>
      </w:hyperlink>
      <w:r>
        <w:t xml:space="preserve">. A few researchers press even harder, floating large language models for command and control inside space domain awareness, which nudges the power of interpretation nearer to the vehicle still</w:t>
      </w:r>
      <w:r>
        <w:t xml:space="preserve"> </w:t>
      </w:r>
      <w:hyperlink w:anchor="ref-4">
        <w:r>
          <w:rPr>
            <w:rStyle w:val="Hyperlink"/>
          </w:rPr>
          <w:t xml:space="preserve">[4]</w:t>
        </w:r>
      </w:hyperlink>
      <w:r>
        <w:t xml:space="preserve">. Each of these steps makes its case on its own footing. Yet no single step, taken in isolation, can inform a program office whether the accumulated changes fortify uplink assurance or eat away at it.</w:t>
      </w:r>
    </w:p>
    <w:p>
      <w:pPr>
        <w:pStyle w:val="BodyText"/>
        <w:spacing w:line="480" w:lineRule="auto"/>
        <w:ind w:firstLine="720"/>
      </w:pPr>
      <w:r>
        <w:t xml:space="preserve">Retreat is off the table. Diffusion is what comes next.</w:t>
      </w:r>
    </w:p>
    <w:bookmarkStart w:id="61" w:name="the-problem"/>
    <w:p>
      <w:pPr>
        <w:pStyle w:val="Heading2"/>
        <w:spacing w:line="480" w:lineRule="auto"/>
      </w:pPr>
      <w:r>
        <w:t xml:space="preserve">1.1 The problem</w:t>
      </w:r>
    </w:p>
    <w:p>
      <w:pPr>
        <w:pStyle w:val="FirstParagraph"/>
        <w:spacing w:line="480" w:lineRule="auto"/>
      </w:pPr>
      <w:r>
        <w:t xml:space="preserve">Approach uplink assurance the ordinary way, and it collapses into a feature of the channel alone. Cipher the uplink, sign the orders, toughen the receiver, and the channel is declared trustworthy. Back when the craft obeyed and nothing more, that reading sufficed. It has ceased to suffice. A self-directing craft emits inner state changes that no ground station ever ordered, and each such change may run true, may run degraded, or may be steered by an adversary. So the assurance question splits down the middle. One half is the soundness of the pipe; the other half is the soundness of the choice the pipe existed to authorize. Self-direction wrenches those two halves apart.</w:t>
      </w:r>
    </w:p>
    <w:p>
      <w:pPr>
        <w:pStyle w:val="BodyText"/>
        <w:spacing w:line="480" w:lineRule="auto"/>
        <w:ind w:firstLine="720"/>
      </w:pPr>
      <w:r>
        <w:t xml:space="preserve">The lopsidedness shows up fastest in the field. Set a self-directing planner behind a fortified uplink, and the pairing can fire a burn no controller ever cleared, one no ground station can call back in time</w:t>
      </w:r>
      <w:r>
        <w:t xml:space="preserve"> </w:t>
      </w:r>
      <w:hyperlink w:anchor="ref-6">
        <w:r>
          <w:rPr>
            <w:rStyle w:val="Hyperlink"/>
          </w:rPr>
          <w:t xml:space="preserve">[6]</w:t>
        </w:r>
      </w:hyperlink>
      <w:r>
        <w:t xml:space="preserve">. Not one guarantee of the channel was broken. The power to choose merely slipped somewhere the channel’s promises cannot follow. Reduced to essentials, that is the displacement story. Aboard-vehicle authority might buy tolerance for delay and survivability, all while ferrying the assurance problem off the wire and into the deciding machine.</w:t>
      </w:r>
    </w:p>
    <w:p>
      <w:pPr>
        <w:pStyle w:val="BodyText"/>
        <w:spacing w:line="480" w:lineRule="auto"/>
        <w:ind w:firstLine="720"/>
      </w:pPr>
      <w:r>
        <w:t xml:space="preserve">The reverse is every bit as credible. Self-direction can trim how many deadline-bound orders ever need to traverse a hostile uplink at all. Fewer orders under the clock leaves fewer chances for interception, spoofing, or replay. A craft that clears its own routine close-pass checks never asks the ground to shove an emergency burn through a jammed contact. Framed that way, sending authority aboard subtracts from what the channel must shoulder. Reviews of how the sector governs itself, as it drifts from legacy toward newer operating models, catch exactly this strain, dispersed capability tugging against a single accountable center</w:t>
      </w:r>
      <w:r>
        <w:t xml:space="preserve"> </w:t>
      </w:r>
      <w:hyperlink w:anchor="ref-14">
        <w:r>
          <w:rPr>
            <w:rStyle w:val="Hyperlink"/>
          </w:rPr>
          <w:t xml:space="preserve">[14]</w:t>
        </w:r>
      </w:hyperlink>
      <w:r>
        <w:t xml:space="preserve">.</w:t>
      </w:r>
    </w:p>
    <w:p>
      <w:pPr>
        <w:pStyle w:val="BodyText"/>
        <w:spacing w:line="480" w:lineRule="auto"/>
        <w:ind w:firstLine="720"/>
      </w:pPr>
      <w:r>
        <w:t xml:space="preserve">Both stories cannot hold together across the board, and hunches resolve neither. Proof has to arbitrate, and at doctoral standard the proof has to run traceably from source through variable to estimate.</w:t>
      </w:r>
    </w:p>
    <w:p>
      <w:pPr>
        <w:pStyle w:val="BodyText"/>
        <w:spacing w:line="480" w:lineRule="auto"/>
        <w:ind w:firstLine="720"/>
      </w:pPr>
      <w:r>
        <w:t xml:space="preserve">A brief operational sketch brings the stakes into relief. Take a craft in low orbit fitted with an aboard close-pass checker, working a contact window an adversary is jamming in real time. The ground holds a forecast close approach in its queue, plus a burn its controllers would sign off if the window allowed, yet the uplink will not lock in time. Under the older regime the encounter simply plays out, since the channel is the lone route to authority and that route is severed. Under the newer regime the craft runs its own check and burns unaided. The burn executes, the strike is averted, and the ground pieces it together later off telemetry</w:t>
      </w:r>
      <w:r>
        <w:t xml:space="preserve"> </w:t>
      </w:r>
      <w:hyperlink w:anchor="ref-6">
        <w:r>
          <w:rPr>
            <w:rStyle w:val="Hyperlink"/>
          </w:rPr>
          <w:t xml:space="preserve">[6]</w:t>
        </w:r>
      </w:hyperlink>
      <w:r>
        <w:t xml:space="preserve">. At a glance, survivability has won. Peer closer and the assurance question has not evaporated, only moved. Ahead of the event, the controller can no longer verify that the burn the craft settled on lines up with the burn a sound checker would have settled on, nor that the checker’s feeds were themselves untainted. No intrusion reached the channel. Whatever assurance the channel once furnished simply cannot grip a choice the channel never conveyed.</w:t>
      </w:r>
    </w:p>
    <w:p>
      <w:pPr>
        <w:pStyle w:val="BodyText"/>
        <w:spacing w:line="480" w:lineRule="auto"/>
        <w:ind w:firstLine="720"/>
      </w:pPr>
      <w:r>
        <w:t xml:space="preserve">The sketch also lays bare why the question refuses a strictly engineering reply. Cut a keener checker, a hardier chip, a quicker loop, and every unit gets better</w:t>
      </w:r>
      <w:r>
        <w:t xml:space="preserve"> </w:t>
      </w:r>
      <w:hyperlink w:anchor="ref-5">
        <w:r>
          <w:rPr>
            <w:rStyle w:val="Hyperlink"/>
          </w:rPr>
          <w:t xml:space="preserve">[5]</w:t>
        </w:r>
      </w:hyperlink>
      <w:r>
        <w:t xml:space="preserve">. None of that informs a governing body whether deploying such kit across an entire fleet lifts or lowers the assurance load institutions are actually obliged to guarantee. That total is a trait of the literature and the practice read as one, never of any lone gadget, and the total is what this study was built to examine.</w:t>
      </w:r>
    </w:p>
    <w:bookmarkEnd w:id="61"/>
    <w:bookmarkStart w:id="62" w:name="stakes"/>
    <w:p>
      <w:pPr>
        <w:pStyle w:val="Heading2"/>
        <w:spacing w:line="480" w:lineRule="auto"/>
      </w:pPr>
      <w:r>
        <w:t xml:space="preserve">1.2 Stakes</w:t>
      </w:r>
    </w:p>
    <w:p>
      <w:pPr>
        <w:pStyle w:val="FirstParagraph"/>
        <w:spacing w:line="480" w:lineRule="auto"/>
      </w:pPr>
      <w:r>
        <w:t xml:space="preserve">What is at stake runs institutional at least as far as it runs technical. Space governance has a habit of spotting a problem long before it settles the rule that should contain it, and aboard-vehicle authority sits dead center in that habit right now. Operators deploy it, standards groups hover around it, and the scholarship still cannot agree whether it counts mainly as a control matter, a security matter, or a governance matter. A field lacking any means to gauge how a subject spreads across its own record can hardly hope to draft a rule for it that will hold.</w:t>
      </w:r>
    </w:p>
    <w:p>
      <w:pPr>
        <w:pStyle w:val="BodyText"/>
        <w:spacing w:line="480" w:lineRule="auto"/>
        <w:ind w:firstLine="720"/>
      </w:pPr>
      <w:r>
        <w:t xml:space="preserve">A program-relevance stake rides alongside. Programs like Starling have already flown autonomy across several craft, with immediate bearing on how the ground keeps track of what its own hardware is up to</w:t>
      </w:r>
      <w:r>
        <w:t xml:space="preserve"> </w:t>
      </w:r>
      <w:hyperlink w:anchor="ref-1">
        <w:r>
          <w:rPr>
            <w:rStyle w:val="Hyperlink"/>
          </w:rPr>
          <w:t xml:space="preserve">[1]</w:t>
        </w:r>
      </w:hyperlink>
      <w:r>
        <w:t xml:space="preserve">. Disperse the power to decide across a swarm, and the uplink ceases to be a private tether; it becomes a coordination surface, and its soundness turns into a trait of the entire formation instead of any lone craft. Misjudging that framing carries a price. It leads either to pouring money into channel hardening that autonomy has half rendered pointless, or to starving the decision assurance that autonomy has quietly hauled to the middle of the picture.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Settling the whole policy question is not a thing this study claims. It offers one falsifiable finding and reports strictly what the proof will support. That finding is a document-scale test of one matter alone: whether the uplink-under-autonomy subject surfaces as pattern inside the gathered scholarship, or scatters into formless static strewn across outlets and years with no order to it.</w:t>
      </w:r>
    </w:p>
    <w:p>
      <w:pPr>
        <w:pStyle w:val="BodyText"/>
        <w:spacing w:line="480" w:lineRule="auto"/>
        <w:ind w:firstLine="720"/>
      </w:pPr>
      <w:r>
        <w:t xml:space="preserve">Put as opposing hypotheses at the corpus scale:</w:t>
      </w:r>
    </w:p>
    <w:p>
      <w:pPr>
        <w:pStyle w:val="BodyText"/>
        <w:spacing w:line="480" w:lineRule="auto"/>
        <w:ind w:firstLine="720"/>
      </w:pPr>
      <w:r>
        <w:t xml:space="preserve">H0: the topic-signal intensity of a source record is unrelated to its publication recency, its citation attention, and its venue family.</w:t>
      </w:r>
    </w:p>
    <w:p>
      <w:pPr>
        <w:pStyle w:val="BodyText"/>
        <w:spacing w:line="480" w:lineRule="auto"/>
        <w:ind w:firstLine="720"/>
      </w:pPr>
      <w:r>
        <w:t xml:space="preserve">H1: the topic-signal intensity of a source record is systematically related to recency, citation attention, and venue family.</w:t>
      </w:r>
    </w:p>
    <w:p>
      <w:pPr>
        <w:pStyle w:val="BodyText"/>
        <w:spacing w:line="480" w:lineRule="auto"/>
        <w:ind w:firstLine="720"/>
      </w:pPr>
      <w:r>
        <w:t xml:space="preserve">Slim in reach, unbending in run. The test speaks not at all to whether aboard authority is safe. It probes whether the academic exchange around it carries structure enough to hold a coherent governance case, and it replies through two estimators run over a single auditable table of thirty gathered records. Come back real and patterned, and the next design stage is cleared. Come back faint or shaky, and that too counts as a finding: it signals to the field that the subject has yet to firm up enough to hold serious policy load, which is precisely what a design-stage study ought to hand back when the numbers insist.</w:t>
      </w:r>
    </w:p>
    <w:p>
      <w:pPr>
        <w:pStyle w:val="BodyText"/>
        <w:spacing w:line="480" w:lineRule="auto"/>
        <w:ind w:firstLine="720"/>
      </w:pPr>
      <w:r>
        <w:t xml:space="preserve">Cutting the finding this fine is what renders it falsifiable. Should the estimators return coefficients no different from zero, the null holds while any claim of subject structure collapses. No part of the design permits a preferred verdict to outlast a refuting coefficient.</w:t>
      </w:r>
    </w:p>
    <w:p>
      <w:pPr>
        <w:pStyle w:val="BodyText"/>
        <w:spacing w:line="480" w:lineRule="auto"/>
        <w:ind w:firstLine="720"/>
      </w:pPr>
      <w:r>
        <w:t xml:space="preserve">It bears saying why a document-scale test is the correct first stride rather than a fallback. The rival route, springing at once to a verdict on whether aboard authority is safe, would call for wired vehicles, staged fault injection, and operating logs beyond the reach of any design-stage effort. A corpus screen puts a leaner question that a leaner effort can genuinely handle: has the exchange around this subject firmed up enough that a weightier study, and in time a governance rule, would stand on sure footing? Handling that first shields against a recurring collapse in emerging-technology governance, where a rule ends up drafted over scholarship that proves, once opened up, a loose confederation of neighboring worries that never fused</w:t>
      </w:r>
      <w:r>
        <w:t xml:space="preserve"> </w:t>
      </w:r>
      <w:hyperlink w:anchor="ref-12">
        <w:r>
          <w:rPr>
            <w:rStyle w:val="Hyperlink"/>
          </w:rPr>
          <w:t xml:space="preserve">[12]</w:t>
        </w:r>
      </w:hyperlink>
      <w:r>
        <w:t xml:space="preserve">. The screen inspects the footing, and inspecting the footing belongs before the walls rise.</w:t>
      </w:r>
    </w:p>
    <w:p>
      <w:pPr>
        <w:pStyle w:val="BodyText"/>
        <w:spacing w:line="480" w:lineRule="auto"/>
        <w:ind w:firstLine="720"/>
      </w:pPr>
      <w:r>
        <w:t xml:space="preserve">Two design decisions drop out of this framing and belong on the table from the outset. One: every point estimate arrives with its precision fastened to it, so a signed yet jittery coefficient cannot pass itself off as a modest confirmation. Two: a pair of separate estimators runs against the identical records, since a subject can read as firm on one gauge and loose on another, and only running the pair lets the discussion pull those cases apart</w:t>
      </w:r>
      <w:r>
        <w:t xml:space="preserve"> </w:t>
      </w:r>
      <w:hyperlink w:anchor="ref-10">
        <w:r>
          <w:rPr>
            <w:rStyle w:val="Hyperlink"/>
          </w:rPr>
          <w:t xml:space="preserve">[10]</w:t>
        </w:r>
      </w:hyperlink>
      <w:r>
        <w:t xml:space="preserve">. Each decision swaps persuasive force for candor, which is the right swap for a design-stage study whose charge is to chart the terrain of proof rather than seize it.</w:t>
      </w:r>
    </w:p>
    <w:bookmarkEnd w:id="63"/>
    <w:bookmarkStart w:id="64" w:name="what-this-dissertation-is-not"/>
    <w:p>
      <w:pPr>
        <w:pStyle w:val="Heading2"/>
        <w:spacing w:line="480" w:lineRule="auto"/>
      </w:pPr>
      <w:r>
        <w:t xml:space="preserve">1.4 What this dissertation is not</w:t>
      </w:r>
    </w:p>
    <w:p>
      <w:pPr>
        <w:pStyle w:val="FirstParagraph"/>
        <w:spacing w:line="480" w:lineRule="auto"/>
      </w:pPr>
      <w:r>
        <w:t xml:space="preserve">Three caveats keep the reach honest. No causal account of how spacecraft behave lives in these pages; no vehicle is wired and no burn is watched. No security appraisal of any particular self-directing chip or planner lives here either; the flight kit named across these chapters serves as backdrop, not as an object under examination</w:t>
      </w:r>
      <w:r>
        <w:t xml:space="preserve"> </w:t>
      </w:r>
      <w:hyperlink w:anchor="ref-5">
        <w:r>
          <w:rPr>
            <w:rStyle w:val="Hyperlink"/>
          </w:rPr>
          <w:t xml:space="preserve">[5]</w:t>
        </w:r>
      </w:hyperlink>
      <w:r>
        <w:t xml:space="preserve">. Nor is this any universal citation census: the citation tallies are local index readings from the gathered pack, not worldwide citation sums, and they warrant reading as within-corpus notice rather than field-wide reach.</w:t>
      </w:r>
    </w:p>
    <w:bookmarkEnd w:id="64"/>
    <w:bookmarkStart w:id="65" w:name="X0d31e644a453d9c68b1f1941c7a0ec1f019821f"/>
    <w:p>
      <w:pPr>
        <w:pStyle w:val="Heading2"/>
        <w:spacing w:line="480" w:lineRule="auto"/>
      </w:pPr>
      <w:r>
        <w:t xml:space="preserve">1.4a Positioning within information technology infrastructure</w:t>
      </w:r>
    </w:p>
    <w:p>
      <w:pPr>
        <w:pStyle w:val="FirstParagraph"/>
        <w:spacing w:line="480" w:lineRule="auto"/>
      </w:pPr>
      <w:r>
        <w:t xml:space="preserve">Filing this study under the information technology infrastructure heading is a chosen move, not a clerical one. An uplink is infrastructure in the exact sense, a pooled and standardized conduit that many programs depend on and few can swap out on short notice. Self-direction alters what that infrastructure must promise. A conduit that formerly had only to ferry orders dependably must now mesh with vehicles that mint orders of their own, and that converts a delivery promise into a coordination promise</w:t>
      </w:r>
      <w:r>
        <w:t xml:space="preserve"> </w:t>
      </w:r>
      <w:hyperlink w:anchor="ref-12">
        <w:r>
          <w:rPr>
            <w:rStyle w:val="Hyperlink"/>
          </w:rPr>
          <w:t xml:space="preserve">[12]</w:t>
        </w:r>
      </w:hyperlink>
      <w:r>
        <w:t xml:space="preserve">. Infrastructure bound to coordinate self-made decisions is a stiffer thing to guarantee than infrastructure bound only to ferry instructions, and that guarantee shortfall is exactly where governance and program focus belong.</w:t>
      </w:r>
    </w:p>
    <w:p>
      <w:pPr>
        <w:pStyle w:val="BodyText"/>
        <w:spacing w:line="480" w:lineRule="auto"/>
        <w:ind w:firstLine="720"/>
      </w:pPr>
      <w:r>
        <w:t xml:space="preserve">Cast the subject as infrastructure and the reason a citation screen fits as the opening tool comes clear. Infrastructure questions firm up gradually, by way of standards groups, review scholarship, and piled-up practice, and that gradual firming leaves a paper trail</w:t>
      </w:r>
      <w:r>
        <w:t xml:space="preserve"> </w:t>
      </w:r>
      <w:hyperlink w:anchor="ref-2">
        <w:r>
          <w:rPr>
            <w:rStyle w:val="Hyperlink"/>
          </w:rPr>
          <w:t xml:space="preserve">[2]</w:t>
        </w:r>
      </w:hyperlink>
      <w:r>
        <w:t xml:space="preserve">. Following the trail is a fair way to ask whether the infrastructure community has agreed on how to handle self-directed command authority, or whether it is still, in the governance scholarship’s own words, watching capability sprint past accountability</w:t>
      </w:r>
      <w:r>
        <w:t xml:space="preserve"> </w:t>
      </w:r>
      <w:hyperlink w:anchor="ref-14">
        <w:r>
          <w:rPr>
            <w:rStyle w:val="Hyperlink"/>
          </w:rPr>
          <w:t xml:space="preserve">[14]</w:t>
        </w:r>
      </w:hyperlink>
      <w:r>
        <w:t xml:space="preserve">. Heading and tool suit one another.</w:t>
      </w:r>
    </w:p>
    <w:bookmarkEnd w:id="65"/>
    <w:bookmarkStart w:id="66" w:name="roadmap"/>
    <w:p>
      <w:pPr>
        <w:pStyle w:val="Heading2"/>
        <w:spacing w:line="480" w:lineRule="auto"/>
      </w:pPr>
      <w:r>
        <w:t xml:space="preserve">1.5 Roadmap</w:t>
      </w:r>
    </w:p>
    <w:p>
      <w:pPr>
        <w:pStyle w:val="FirstParagraph"/>
        <w:spacing w:line="480" w:lineRule="auto"/>
      </w:pPr>
      <w:r>
        <w:t xml:space="preserve">Eight chapters bear the argument. Chapter 2 places the work against earlier research on self-directed collision avoidance, dispersed mission control, and space-sector governance, then names the two openings the design pursues. Chapter 3 assembles the mechanism, the reason that shifting the power to decide aboard should, if displacement is right, deposit a measurable mark in how the subject gets discussed. Chapter 4 lays out the two estimators, an ordinary least squares model of topic-signal intensity and a log-log learning-curve model of citation accumulation, and it states what each pins down and what neither can. Chapter 5 records the table of thirty records, the way each variable is built, the venue-family coding, and the provenance rigor that leaves the workbook auditable. Chapter 6 delivers the estimator output precisely and reads the signs and sizes. Chapter 7 weighs what the findings mean, tallies the threats to validity, and states flatly what the data cannot reveal. Chapter 8 pulls the finding together, ties it to governance and program calls, and names the document-coding design the results point to as the next stride</w:t>
      </w:r>
      <w:r>
        <w:t xml:space="preserve"> </w:t>
      </w:r>
      <w:hyperlink w:anchor="ref-4">
        <w:r>
          <w:rPr>
            <w:rStyle w:val="Hyperlink"/>
          </w:rPr>
          <w:t xml:space="preserve">[4]</w:t>
        </w:r>
      </w:hyperlink>
      <w:r>
        <w:t xml:space="preserve">.</w:t>
      </w:r>
    </w:p>
    <w:bookmarkEnd w:id="66"/>
    <w:bookmarkStart w:id="67" w:name="a-note-on-standards-of-evidence"/>
    <w:p>
      <w:pPr>
        <w:pStyle w:val="Heading2"/>
        <w:spacing w:line="480" w:lineRule="auto"/>
      </w:pPr>
      <w:r>
        <w:t xml:space="preserve">1.6 A note on standards of evidence</w:t>
      </w:r>
    </w:p>
    <w:p>
      <w:pPr>
        <w:pStyle w:val="FirstParagraph"/>
        <w:spacing w:line="480" w:lineRule="auto"/>
      </w:pPr>
      <w:r>
        <w:t xml:space="preserve">One methodological pledge threads under the entire study, and it belongs up front so the reader carries it along. Precision rules interpretation. A coefficient stands as proof for a claim only where its standard error runs small enough to part it from zero at usual thresholds. A signed yet imprecise coefficient stands as proof against a bold claim, never as a hushed confirmation of whatever sign it happens to bear</w:t>
      </w:r>
      <w:r>
        <w:t xml:space="preserve"> </w:t>
      </w:r>
      <w:hyperlink w:anchor="ref-5">
        <w:r>
          <w:rPr>
            <w:rStyle w:val="Hyperlink"/>
          </w:rPr>
          <w:t xml:space="preserve">[5]</w:t>
        </w:r>
      </w:hyperlink>
      <w:r>
        <w:t xml:space="preserve">. Tighter than the common habit, this pledge is picked on purpose for a small-corpus design, where the tug to over-read a tempting point estimate runs hardest. It bites against the author’s own hypotheses as freely as for them, and that impartiality is what turns it into a discipline instead of an ornament.</w:t>
      </w:r>
    </w:p>
    <w:p>
      <w:pPr>
        <w:pStyle w:val="BodyText"/>
        <w:spacing w:line="480" w:lineRule="auto"/>
        <w:ind w:firstLine="720"/>
      </w:pPr>
      <w:r>
        <w:t xml:space="preserve">A second pledge bears on what the citations across these chapters are up to. Each bracketed reference lands on a real source in the pool, chosen because it touches the sentence it rides with, whether as the birthplace of a capability, the naming of a governance strain, or a specimen of the corpus the estimators run over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references are no decorative authority. They form the paper substrate the whole design handles as data. Where a chapter cites a record, that record is either proof for the point or a member of the very corpus under study, and often both together.</w:t>
      </w:r>
    </w:p>
    <w:p>
      <w:pPr>
        <w:pStyle w:val="BodyText"/>
        <w:spacing w:line="480" w:lineRule="auto"/>
        <w:ind w:firstLine="720"/>
      </w:pPr>
      <w:r>
        <w:t xml:space="preserve">Taken as a pair, these pledges lock the standard of proof the reader should hold the study to. Claims about spacecraft land outside the reach and will go unmade. Claims about the scholarship land inside it and will be made only to the precision the coefficients back. The distance between what one might crave to conclude and what the proof permits stays in plain view rather than smoothed over, since keeping that distance in plain view is the entire aim of a design-stage study</w:t>
      </w:r>
      <w:r>
        <w:t xml:space="preserve"> </w:t>
      </w:r>
      <w:hyperlink w:anchor="ref-4">
        <w:r>
          <w:rPr>
            <w:rStyle w:val="Hyperlink"/>
          </w:rPr>
          <w:t xml:space="preserve">[4]</w:t>
        </w:r>
      </w:hyperlink>
      <w:r>
        <w:t xml:space="preserve">.</w:t>
      </w:r>
    </w:p>
    <w:bookmarkEnd w:id="67"/>
    <w:bookmarkStart w:id="68" w:name="X24d4ae096330b9940da4cc72a0aa6abae27a53d"/>
    <w:p>
      <w:pPr>
        <w:pStyle w:val="Heading2"/>
        <w:spacing w:line="480" w:lineRule="auto"/>
      </w:pPr>
      <w:r>
        <w:t xml:space="preserve">1.6a Why an infrastructure question resists a device answer</w:t>
      </w:r>
    </w:p>
    <w:p>
      <w:pPr>
        <w:pStyle w:val="FirstParagraph"/>
        <w:spacing w:line="480" w:lineRule="auto"/>
      </w:pPr>
      <w:r>
        <w:t xml:space="preserve">One more distinction earns a place up front, since it returns through every later chapter. Repairing a device and vouching for a class of devices are separate jobs, and uplink assurance under self-direction is a class job dressed in a device costume. A program can clear one avoidance chip, one planner, one edge reasoner, and pronounce that unit safe</w:t>
      </w:r>
      <w:r>
        <w:t xml:space="preserve"> </w:t>
      </w:r>
      <w:hyperlink w:anchor="ref-5">
        <w:r>
          <w:rPr>
            <w:rStyle w:val="Hyperlink"/>
          </w:rPr>
          <w:t xml:space="preserve">[5]</w:t>
        </w:r>
      </w:hyperlink>
      <w:r>
        <w:t xml:space="preserve">. What clearing units cannot settle is whether deploying the entire class of aboard-authority systems, across a spread of programs and vendors and standards, lifts or lowers the assurance load institutions must bear in total. That total is a trait that emerges from practice, not a spec of any lone build, and emergent traits are exactly what paper proof is fit to record</w:t>
      </w:r>
      <w:r>
        <w:t xml:space="preserve"> </w:t>
      </w:r>
      <w:hyperlink w:anchor="ref-12">
        <w:r>
          <w:rPr>
            <w:rStyle w:val="Hyperlink"/>
          </w:rPr>
          <w:t xml:space="preserve">[12]</w:t>
        </w:r>
      </w:hyperlink>
      <w:r>
        <w:t xml:space="preserve">.</w:t>
      </w:r>
    </w:p>
    <w:p>
      <w:pPr>
        <w:pStyle w:val="BodyText"/>
        <w:spacing w:line="480" w:lineRule="auto"/>
        <w:ind w:firstLine="720"/>
      </w:pPr>
      <w:r>
        <w:t xml:space="preserve">Here sits the reason the study reaches for the scholarship over a testbed. A testbed answers the device job, and the device job already gets ample service from the engineering line that builds chips and reasoners</w:t>
      </w:r>
      <w:r>
        <w:t xml:space="preserve"> </w:t>
      </w:r>
      <w:hyperlink w:anchor="ref-3">
        <w:r>
          <w:rPr>
            <w:rStyle w:val="Hyperlink"/>
          </w:rPr>
          <w:t xml:space="preserve">[3]</w:t>
        </w:r>
      </w:hyperlink>
      <w:r>
        <w:t xml:space="preserve">. What lingers unanswered is the class job, and the class job leaves its mark in how the field writes about itself: whether a common vocabulary has set, whether influential work has pulled the notice that flags a canon, whether the subject has moved from scattered proceedings into a recognizable research front</w:t>
      </w:r>
      <w:r>
        <w:t xml:space="preserve"> </w:t>
      </w:r>
      <w:hyperlink w:anchor="ref-10">
        <w:r>
          <w:rPr>
            <w:rStyle w:val="Hyperlink"/>
          </w:rPr>
          <w:t xml:space="preserve">[10]</w:t>
        </w:r>
      </w:hyperlink>
      <w:r>
        <w:t xml:space="preserve">. Reading that mark is no runner-up stand-in for wiring a spacecraft. It is the fitting tool for the class-scale job a governing body genuinely faces, and picking it on purpose is part of what makes the design match its heading</w:t>
      </w:r>
      <w:r>
        <w:t xml:space="preserve"> </w:t>
      </w:r>
      <w:hyperlink w:anchor="ref-14">
        <w:r>
          <w:rPr>
            <w:rStyle w:val="Hyperlink"/>
          </w:rPr>
          <w:t xml:space="preserve">[14]</w:t>
        </w:r>
      </w:hyperlink>
      <w:r>
        <w:t xml:space="preserve">.</w:t>
      </w:r>
    </w:p>
    <w:bookmarkEnd w:id="68"/>
    <w:bookmarkStart w:id="69" w:name="the-through-line"/>
    <w:p>
      <w:pPr>
        <w:pStyle w:val="Heading2"/>
        <w:spacing w:line="480" w:lineRule="auto"/>
      </w:pPr>
      <w:r>
        <w:t xml:space="preserve">1.7 The through-line</w:t>
      </w:r>
    </w:p>
    <w:p>
      <w:pPr>
        <w:pStyle w:val="FirstParagraph"/>
        <w:spacing w:line="480" w:lineRule="auto"/>
      </w:pPr>
      <w:r>
        <w:t xml:space="preserve">Easy to state, hard to keep: every claim in the chapters ahead should run back to a source in the pack, a variable in the workbook, or a coefficient in the output. Where the thread frays, the claim halts. A reader who mistrusts any sentence should be able to trail it down to a record, a rule, or a number, and there confirm it or throw it out. That inspectability, over and above any lone result, is what the study puts forward, and it is the standard the chapters ahead should answer to.</w:t>
      </w:r>
    </w:p>
    <w:p>
      <w:pPr>
        <w:pStyle w:val="BodyText"/>
        <w:spacing w:line="480" w:lineRule="auto"/>
        <w:ind w:firstLine="720"/>
      </w:pPr>
      <w:r>
        <w:t xml:space="preserve">A sense of proportion about the claim on offer belongs with the reader too. This is no study that will teach a satellite operator how to tune a planner or a standards group how to phrase a rule. It will teach either of them whether the field they lean on has knit together enough to be leaned on with confidence</w:t>
      </w:r>
      <w:r>
        <w:t xml:space="preserve"> </w:t>
      </w:r>
      <w:hyperlink w:anchor="ref-14">
        <w:r>
          <w:rPr>
            <w:rStyle w:val="Hyperlink"/>
          </w:rPr>
          <w:t xml:space="preserve">[14]</w:t>
        </w:r>
      </w:hyperlink>
      <w:r>
        <w:t xml:space="preserve">. Leaner claim, deeper one. Deep claims slip past easily in the dash toward operating advice, and slipping past them is how governance winds up perched on proof nobody checked</w:t>
      </w:r>
      <w:r>
        <w:t xml:space="preserve"> </w:t>
      </w:r>
      <w:hyperlink w:anchor="ref-4">
        <w:r>
          <w:rPr>
            <w:rStyle w:val="Hyperlink"/>
          </w:rPr>
          <w:t xml:space="preserve">[4]</w:t>
        </w:r>
      </w:hyperlink>
      <w:r>
        <w:t xml:space="preserve">. Right at that juncture the study eases off, checks the footing, and reports what the check turned up. If the finding runs modest, the modesty is a virtue: a design-stage study wringing a sweeping verdict out of thirty records would earn less trust, not more. The chapters ahead assemble the check, run it, and report it, and they keep to the standard fixed here throughout.</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Three literatures touch uplink assurance under self-direction, and they seldom converse. The first is the engineering scholarship on how spacecraft decide for themselves, the planners, dodge boards, and edge reasoning that free a craft to act without pinging the ground. The second is the coordination scholarship on dispersed and multi-agent programs, where the power to decide fans out across many nodes instead of pooling in one. The third is the governance scholarship on how the space sector parcels out answerability as capability drifts outward. Each carries a piece the design wants. None surrenders the entire view, and the joints between them are where this study plants its finding.</w:t>
      </w:r>
    </w:p>
    <w:bookmarkStart w:id="71" w:name="X3005bd313457c2263ef2810df4cf5f847dabdab"/>
    <w:p>
      <w:pPr>
        <w:pStyle w:val="Heading2"/>
        <w:spacing w:line="480" w:lineRule="auto"/>
      </w:pPr>
      <w:r>
        <w:t xml:space="preserve">2.1 Onboard decision authority as an engineering achievement</w:t>
      </w:r>
    </w:p>
    <w:p>
      <w:pPr>
        <w:pStyle w:val="FirstParagraph"/>
        <w:spacing w:line="480" w:lineRule="auto"/>
      </w:pPr>
      <w:r>
        <w:t xml:space="preserve">To the engineering line, aboard authority is a capability worth building and proving out. Self-direction benchmarks for satellite debris dodging demonstrate that a craft can vet a close pass, size up its choices, and lock in an evasive move inside a sealed loop</w:t>
      </w:r>
      <w:r>
        <w:t xml:space="preserve"> </w:t>
      </w:r>
      <w:hyperlink w:anchor="ref-3">
        <w:r>
          <w:rPr>
            <w:rStyle w:val="Hyperlink"/>
          </w:rPr>
          <w:t xml:space="preserve">[3]</w:t>
        </w:r>
      </w:hyperlink>
      <w:r>
        <w:t xml:space="preserve">. Purpose-cut dodge hardware extends the notion, parking the collision logic on a dedicated chip so the function endures even while the main flight computer runs busy or degraded</w:t>
      </w:r>
      <w:r>
        <w:t xml:space="preserve"> </w:t>
      </w:r>
      <w:hyperlink w:anchor="ref-5">
        <w:r>
          <w:rPr>
            <w:rStyle w:val="Hyperlink"/>
          </w:rPr>
          <w:t xml:space="preserve">[5]</w:t>
        </w:r>
      </w:hyperlink>
      <w:r>
        <w:t xml:space="preserve">. One shared assumption underlies these contributions. Authority relocates aboard because the ground loop runs too sluggish, too patchy, or too clogged to hit the operational deadline.</w:t>
      </w:r>
    </w:p>
    <w:p>
      <w:pPr>
        <w:pStyle w:val="BodyText"/>
        <w:spacing w:line="480" w:lineRule="auto"/>
        <w:ind w:firstLine="720"/>
      </w:pPr>
      <w:r>
        <w:t xml:space="preserve">Sound on its own footing, that assumption stays mostly mute on assurance. A benchmark proves the craft can decide; it never characterizes what the ground forfeits in the trade. Right through this scholarship the uplink lingers largely as a boundary term, a thing to be unburdened rather than a thing whose assurance properties get re-opened once the burden shifts. That same habit surfaces in deorbit and end-of-life command runs, where hollow-cathode command tactics are tuned to the device while the command conduit itself never becomes a variable under study</w:t>
      </w:r>
      <w:r>
        <w:t xml:space="preserve"> </w:t>
      </w:r>
      <w:hyperlink w:anchor="ref-9">
        <w:r>
          <w:rPr>
            <w:rStyle w:val="Hyperlink"/>
          </w:rPr>
          <w:t xml:space="preserve">[9]</w:t>
        </w:r>
      </w:hyperlink>
      <w:r>
        <w:t xml:space="preserve">. The engineering feat is real. Its blind spot is the governance fallout of the very self-direction it hands over.</w:t>
      </w:r>
    </w:p>
    <w:bookmarkEnd w:id="71"/>
    <w:bookmarkStart w:id="72" w:name="X8d7cf634c64551d3ce00af788f0761d409d17b5"/>
    <w:p>
      <w:pPr>
        <w:pStyle w:val="Heading2"/>
        <w:spacing w:line="480" w:lineRule="auto"/>
      </w:pPr>
      <w:r>
        <w:t xml:space="preserve">2.2 Distributed authority and the coordination problem</w:t>
      </w:r>
    </w:p>
    <w:p>
      <w:pPr>
        <w:pStyle w:val="FirstParagraph"/>
        <w:spacing w:line="480" w:lineRule="auto"/>
      </w:pPr>
      <w:r>
        <w:t xml:space="preserve">Once authority is not simply aboard but strung across a formation, the uplink shifts in kind. No longer a leash to one compliant craft, it turns into a doorway onto a coordinating collective. Agent-driven takes on dispersed space systems formalize this, breaking mission control into bargaining agents that each grip partial authority and partial state</w:t>
      </w:r>
      <w:r>
        <w:t xml:space="preserve"> </w:t>
      </w:r>
      <w:hyperlink w:anchor="ref-12">
        <w:r>
          <w:rPr>
            <w:rStyle w:val="Hyperlink"/>
          </w:rPr>
          <w:t xml:space="preserve">[12]</w:t>
        </w:r>
      </w:hyperlink>
      <w:r>
        <w:t xml:space="preserve">. Surveys of the area set out methods, present practice, and standing puzzles, and they render the answerability strain plain, since a decision surfaces out of interaction rather than out of any lone commanded order.</w:t>
      </w:r>
    </w:p>
    <w:p>
      <w:pPr>
        <w:pStyle w:val="BodyText"/>
        <w:spacing w:line="480" w:lineRule="auto"/>
        <w:ind w:firstLine="720"/>
      </w:pPr>
      <w:r>
        <w:t xml:space="preserve">Drive the habit into optimization and you land at intelligent dispersed satellite systems for Earth observation, where the constellation entire is engineered to parcel tasks and resources with no central dispatcher stamping each move</w:t>
      </w:r>
      <w:r>
        <w:t xml:space="preserve"> </w:t>
      </w:r>
      <w:hyperlink w:anchor="ref-16">
        <w:r>
          <w:rPr>
            <w:rStyle w:val="Hyperlink"/>
          </w:rPr>
          <w:t xml:space="preserve">[16]</w:t>
        </w:r>
      </w:hyperlink>
      <w:r>
        <w:t xml:space="preserve">. Early sketches of plug-and-play avionics glimpsed this arc coming, floating standards that would let constellation-scale cooperative self-direction assemble from swappable parts</w:t>
      </w:r>
      <w:r>
        <w:t xml:space="preserve"> </w:t>
      </w:r>
      <w:hyperlink w:anchor="ref-2">
        <w:r>
          <w:rPr>
            <w:rStyle w:val="Hyperlink"/>
          </w:rPr>
          <w:t xml:space="preserve">[2]</w:t>
        </w:r>
      </w:hyperlink>
      <w:r>
        <w:t xml:space="preserve">. Across every one of these the uplink is refigured as a coordination surface, its assurance a trait of the formation rather than of a wire. That refiguring is exactly what displacement forecasts, and still the coordination scholarship declines to ask whether it eases or aggravates the assurance load.</w:t>
      </w:r>
    </w:p>
    <w:bookmarkEnd w:id="72"/>
    <w:bookmarkStart w:id="73" w:name="X01807b3ea7913e7f8270f4cd530dbc8e35e8b1e"/>
    <w:p>
      <w:pPr>
        <w:pStyle w:val="Heading2"/>
        <w:spacing w:line="480" w:lineRule="auto"/>
      </w:pPr>
      <w:r>
        <w:t xml:space="preserve">2.3 Latency, edge reasoning, and the case for reduction</w:t>
      </w:r>
    </w:p>
    <w:p>
      <w:pPr>
        <w:pStyle w:val="FirstParagraph"/>
        <w:spacing w:line="480" w:lineRule="auto"/>
      </w:pPr>
      <w:r>
        <w:t xml:space="preserve">A separate line contends, at least by implication, for reduction: aboard authority trims the assurance load by lifting orders off a contested uplink. Studies that shrink decision time for on-orbit work marry virtualized ground stations to machine learning so as to squeeze the loop</w:t>
      </w:r>
      <w:r>
        <w:t xml:space="preserve"> </w:t>
      </w:r>
      <w:hyperlink w:anchor="ref-6">
        <w:r>
          <w:rPr>
            <w:rStyle w:val="Hyperlink"/>
          </w:rPr>
          <w:t xml:space="preserve">[6]</w:t>
        </w:r>
      </w:hyperlink>
      <w:r>
        <w:t xml:space="preserve">. The reasoning holds that a swifter, part-automated decision path drives fewer emergency orders through an exposed contact. Part-autonomous navigation concepts for deep-space work, where light-time renders a live ground loop physically out of reach, carry the same point to its edge; a Mars-orbit navigation rig must reason on its own because the uplink cannot shut the loop in time</w:t>
      </w:r>
      <w:r>
        <w:t xml:space="preserve"> </w:t>
      </w:r>
      <w:hyperlink w:anchor="ref-15">
        <w:r>
          <w:rPr>
            <w:rStyle w:val="Hyperlink"/>
          </w:rPr>
          <w:t xml:space="preserve">[15]</w:t>
        </w:r>
      </w:hyperlink>
      <w:r>
        <w:t xml:space="preserve">. Command and control pitches that weave large language models into space domain awareness make a matching promise, soaking up interpretive load at the edge so operators hand down intent rather than micromanaged orders</w:t>
      </w:r>
      <w:r>
        <w:t xml:space="preserve"> </w:t>
      </w:r>
      <w:hyperlink w:anchor="ref-4">
        <w:r>
          <w:rPr>
            <w:rStyle w:val="Hyperlink"/>
          </w:rPr>
          <w:t xml:space="preserve">[4]</w:t>
        </w:r>
      </w:hyperlink>
      <w:r>
        <w:t xml:space="preserve">.</w:t>
      </w:r>
    </w:p>
    <w:p>
      <w:pPr>
        <w:pStyle w:val="BodyText"/>
        <w:spacing w:line="480" w:lineRule="auto"/>
        <w:ind w:firstLine="720"/>
      </w:pPr>
      <w:r>
        <w:t xml:space="preserve">Taken as one, this line hints that self-direction may protect. Fewer deadline-bound orders leave fewer gaps for interception or spoofing. Yet the case is claimed more than it is measured. The scholarship shows delay relief while leaving the assurance tradeoff uncounted, and that silence leaves the core empirical question of this study standing open.</w:t>
      </w:r>
    </w:p>
    <w:bookmarkEnd w:id="73"/>
    <w:bookmarkStart w:id="74" w:name="governance-and-the-accountability-gap"/>
    <w:p>
      <w:pPr>
        <w:pStyle w:val="Heading2"/>
        <w:spacing w:line="480" w:lineRule="auto"/>
      </w:pPr>
      <w:r>
        <w:t xml:space="preserve">2.4 Governance and the accountability gap</w:t>
      </w:r>
    </w:p>
    <w:p>
      <w:pPr>
        <w:pStyle w:val="FirstParagraph"/>
        <w:spacing w:line="480" w:lineRule="auto"/>
      </w:pPr>
      <w:r>
        <w:t xml:space="preserve">Where the engineering lines run short of vocabulary, the governance line delivers it. Studies of how the sector shifts from legacy toward newer space models chart how authority, exposure, and answerability get reshuffled as commercial and dispersed players pick up functions once held by state operators</w:t>
      </w:r>
      <w:r>
        <w:t xml:space="preserve"> </w:t>
      </w:r>
      <w:hyperlink w:anchor="ref-14">
        <w:r>
          <w:rPr>
            <w:rStyle w:val="Hyperlink"/>
          </w:rPr>
          <w:t xml:space="preserve">[14]</w:t>
        </w:r>
      </w:hyperlink>
      <w:r>
        <w:t xml:space="preserve">. This work names the strain flatly: capability is scattering quicker than answerability arrangements can chase. Program-scale accounts hammer it home. Starling and kindred multi-craft ventures carry space situational awareness weight precisely because a formation acting on its own read muddies who stands answerable for what the formation does</w:t>
      </w:r>
      <w:r>
        <w:t xml:space="preserve"> </w:t>
      </w:r>
      <w:hyperlink w:anchor="ref-1">
        <w:r>
          <w:rPr>
            <w:rStyle w:val="Hyperlink"/>
          </w:rPr>
          <w:t xml:space="preserve">[1]</w:t>
        </w:r>
      </w:hyperlink>
      <w:r>
        <w:t xml:space="preserve">. Even outlying operational writing, such as scoping surveys of in-space emergency response, reveals how decision authority under communication limits becomes a governance matter the instant a human loop cannot be presumed</w:t>
      </w:r>
      <w:r>
        <w:t xml:space="preserve"> </w:t>
      </w:r>
      <w:hyperlink w:anchor="ref-13">
        <w:r>
          <w:rPr>
            <w:rStyle w:val="Hyperlink"/>
          </w:rPr>
          <w:t xml:space="preserve">[13]</w:t>
        </w:r>
      </w:hyperlink>
      <w:r>
        <w:t xml:space="preserve">.</w:t>
      </w:r>
    </w:p>
    <w:p>
      <w:pPr>
        <w:pStyle w:val="BodyText"/>
        <w:spacing w:line="480" w:lineRule="auto"/>
        <w:ind w:firstLine="720"/>
      </w:pPr>
      <w:r>
        <w:t xml:space="preserve">Diagnosis is the governance scholarship’s forte; measurement is its shortfall. It settles that an answerability gap is present. It never settles whether the gap reads as pattern in how the subject gets written up, which is the precondition for handling it as a workable research object rather than a rhetorical one.</w:t>
      </w:r>
    </w:p>
    <w:bookmarkEnd w:id="74"/>
    <w:bookmarkStart w:id="75" w:name="X4ef07b419287e6746325a75b9c0d6ffcd49135f"/>
    <w:p>
      <w:pPr>
        <w:pStyle w:val="Heading2"/>
        <w:spacing w:line="480" w:lineRule="auto"/>
      </w:pPr>
      <w:r>
        <w:t xml:space="preserve">2.5 Adjacent literatures that sharpen the boundary</w:t>
      </w:r>
    </w:p>
    <w:p>
      <w:pPr>
        <w:pStyle w:val="FirstParagraph"/>
        <w:spacing w:line="480" w:lineRule="auto"/>
      </w:pPr>
      <w:r>
        <w:t xml:space="preserve">Three more literatures perch at the subject’s rim and help pin its edge by contrast. Collision-dodging manoeuvre design has ripened into its own survey scholarship, its methods canvassed over decades of practice</w:t>
      </w:r>
      <w:r>
        <w:t xml:space="preserve"> </w:t>
      </w:r>
      <w:hyperlink w:anchor="ref-10">
        <w:r>
          <w:rPr>
            <w:rStyle w:val="Hyperlink"/>
          </w:rPr>
          <w:t xml:space="preserve">[10]</w:t>
        </w:r>
      </w:hyperlink>
      <w:r>
        <w:t xml:space="preserve">. This work teaches by example, since it is what a firmed-up sub-field looks like: a steady vocabulary, a recognized kit of methods, a survey paper able to take the field’s own measure. Uplink assurance under self-direction has drawn no such survey yet, and the contrast diagnoses. A subject open to survey has firmed up; a subject still strewn across proceedings, journals, and grey notes has not.</w:t>
      </w:r>
    </w:p>
    <w:p>
      <w:pPr>
        <w:pStyle w:val="BodyText"/>
        <w:spacing w:line="480" w:lineRule="auto"/>
        <w:ind w:firstLine="720"/>
      </w:pPr>
      <w:r>
        <w:t xml:space="preserve">End-of-life and deorbit command writing marks a second rim. Tactics for driving a hollow cathode in a short electrodynamic tether deorbit rig cast the command matter as a tight control chore inside a well-fenced device</w:t>
      </w:r>
      <w:r>
        <w:t xml:space="preserve"> </w:t>
      </w:r>
      <w:hyperlink w:anchor="ref-9">
        <w:r>
          <w:rPr>
            <w:rStyle w:val="Hyperlink"/>
          </w:rPr>
          <w:t xml:space="preserve">[9]</w:t>
        </w:r>
      </w:hyperlink>
      <w:r>
        <w:t xml:space="preserve">. There the command conduit is a variable to tune, not an assurance surface to contest, since the operating envelope is pinned down in advance. Uplink assurance under self-direction is the reverse image: the envelope gapes open, the craft’s authority is contested, and the assurance matter shrugs off closure by sharper device-scale control. Reading the two side by side sharpens what makes the candidate subject stubborn.</w:t>
      </w:r>
    </w:p>
    <w:p>
      <w:pPr>
        <w:pStyle w:val="BodyText"/>
        <w:spacing w:line="480" w:lineRule="auto"/>
        <w:ind w:firstLine="720"/>
      </w:pPr>
      <w:r>
        <w:t xml:space="preserve">The third rim is the human-loop writing that self-direction stresses. Scoping surveys of in-space medical emergency handling reveal what befalls decision authority when a human loop cannot be presumed and communication runs limited</w:t>
      </w:r>
      <w:r>
        <w:t xml:space="preserve"> </w:t>
      </w:r>
      <w:hyperlink w:anchor="ref-13">
        <w:r>
          <w:rPr>
            <w:rStyle w:val="Hyperlink"/>
          </w:rPr>
          <w:t xml:space="preserve">[13]</w:t>
        </w:r>
      </w:hyperlink>
      <w:r>
        <w:t xml:space="preserve">. Its parallel to uplink assurance sits close, since in both the telling question opens right where the ground loop closes. That kinship counts, since it implies the candidate subject is no one-off; it is a single case of a wider habit in which authority under communication limits turns into a governance matter the moment self-direction lifts the human out of the immediate loop.</w:t>
      </w:r>
    </w:p>
    <w:bookmarkEnd w:id="75"/>
    <w:bookmarkStart w:id="76" w:name="two-gaps"/>
    <w:p>
      <w:pPr>
        <w:pStyle w:val="Heading2"/>
        <w:spacing w:line="480" w:lineRule="auto"/>
      </w:pPr>
      <w:r>
        <w:t xml:space="preserve">2.6 Two gaps</w:t>
      </w:r>
    </w:p>
    <w:p>
      <w:pPr>
        <w:pStyle w:val="FirstParagraph"/>
        <w:spacing w:line="480" w:lineRule="auto"/>
      </w:pPr>
      <w:r>
        <w:t xml:space="preserve">Two openings drop out of this survey. The first parts technical demonstration from institutional explanation. Source records can show a craft deciding on its own, and even a formation coordinating, yet they leave unexplained why governance language around the subject sets firm in some outlets and stays slack in others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engineering line builds the capability; the governance line narrates the fallout; neither joins the two with measurable proof.</w:t>
      </w:r>
    </w:p>
    <w:p>
      <w:pPr>
        <w:pStyle w:val="BodyText"/>
        <w:spacing w:line="480" w:lineRule="auto"/>
        <w:ind w:firstLine="720"/>
      </w:pPr>
      <w:r>
        <w:t xml:space="preserve">The second opening parts policy salience from measurement. Citation notice, publication recency, and venue family plausibly hold word of how a subject is firming up, but that word still wants disciplined reading before anyone leans on it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 subject can seem salient because a few recent papers bunch in one outlet, or it can be genuinely patterned across the record. Parting those two takes an estimator, not a glance.</w:t>
      </w:r>
    </w:p>
    <w:p>
      <w:pPr>
        <w:pStyle w:val="BodyText"/>
        <w:spacing w:line="480" w:lineRule="auto"/>
        <w:ind w:firstLine="720"/>
      </w:pPr>
      <w:r>
        <w:t xml:space="preserve">This study goes after both openings with one bounded move. It handles the gathered corpus as data, builds deterministic variables out of source metadata, and tests whether topic-signal intensity and citation accumulation carry the pattern a firming governance exchange would deposit. The scholarship surveyed here powers the test and marks its bounds.</w:t>
      </w:r>
    </w:p>
    <w:bookmarkEnd w:id="76"/>
    <w:bookmarkStart w:id="77" w:name="Xe6f7e7390df3378c26cb99683d462d37d0bb197"/>
    <w:p>
      <w:pPr>
        <w:pStyle w:val="Heading2"/>
        <w:spacing w:line="480" w:lineRule="auto"/>
      </w:pPr>
      <w:r>
        <w:t xml:space="preserve">2.7 What each strand contributes to the design</w:t>
      </w:r>
    </w:p>
    <w:p>
      <w:pPr>
        <w:pStyle w:val="FirstParagraph"/>
        <w:spacing w:line="480" w:lineRule="auto"/>
      </w:pPr>
      <w:r>
        <w:t xml:space="preserve">A survey earns its keep only when it reshapes what comes next, so it pays to state outright what the design draws from each line. Off the engineering line the design takes its object: aboard authority is a real, deployed capability, not a speculative one, which is what makes the subject worth measuring at all</w:t>
      </w:r>
      <w:r>
        <w:t xml:space="preserve"> </w:t>
      </w:r>
      <w:hyperlink w:anchor="ref-3">
        <w:r>
          <w:rPr>
            <w:rStyle w:val="Hyperlink"/>
          </w:rPr>
          <w:t xml:space="preserve">[3]</w:t>
        </w:r>
      </w:hyperlink>
      <w:r>
        <w:t xml:space="preserve"> </w:t>
      </w:r>
      <w:hyperlink w:anchor="ref-5">
        <w:r>
          <w:rPr>
            <w:rStyle w:val="Hyperlink"/>
          </w:rPr>
          <w:t xml:space="preserve">[5]</w:t>
        </w:r>
      </w:hyperlink>
      <w:r>
        <w:t xml:space="preserve">. Off the coordination line it takes the refiguring of the uplink as a doorway rather than a leash, which is why venue family and dispersed-systems vocabulary turn up in the corpus and why the signal coding must grapple with agent-driven and constellation-scale records</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Off the latency line it takes the reduction wager, the live chance that self-direction eases rather than aggravates the assurance load, which stops the design from prejudging its own outcome</w:t>
      </w:r>
      <w:r>
        <w:t xml:space="preserve"> </w:t>
      </w:r>
      <w:hyperlink w:anchor="ref-6">
        <w:r>
          <w:rPr>
            <w:rStyle w:val="Hyperlink"/>
          </w:rPr>
          <w:t xml:space="preserve">[6]</w:t>
        </w:r>
      </w:hyperlink>
      <w:r>
        <w:t xml:space="preserve"> </w:t>
      </w:r>
      <w:hyperlink w:anchor="ref-15">
        <w:r>
          <w:rPr>
            <w:rStyle w:val="Hyperlink"/>
          </w:rPr>
          <w:t xml:space="preserve">[15]</w:t>
        </w:r>
      </w:hyperlink>
      <w:r>
        <w:t xml:space="preserve">. Off the governance line it takes the answerability gap that powers the whole inquiry and delivers the reading frame for a firming finding</w:t>
      </w:r>
      <w:r>
        <w:t xml:space="preserve"> </w:t>
      </w:r>
      <w:hyperlink w:anchor="ref-14">
        <w:r>
          <w:rPr>
            <w:rStyle w:val="Hyperlink"/>
          </w:rPr>
          <w:t xml:space="preserve">[14]</w:t>
        </w:r>
      </w:hyperlink>
      <w:r>
        <w:t xml:space="preserve">.</w:t>
      </w:r>
    </w:p>
    <w:p>
      <w:pPr>
        <w:pStyle w:val="BodyText"/>
        <w:spacing w:line="480" w:lineRule="auto"/>
        <w:ind w:firstLine="720"/>
      </w:pPr>
      <w:r>
        <w:t xml:space="preserve">No lone line could have yielded the design by itself. The engineering line would have built a sharper device and never put the aggregate question. The governance line would have named the gap and never gauged it. The coordination and latency lines would have tuned the loop and left the assurance tradeoff claimed rather than tested. What this survey delivers is the recognition that the fragments of the question lie strewn across four literatures that under-cite one another, and that gathering them is itself part of the labor</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7"/>
    <w:bookmarkStart w:id="78" w:name="the-measurement-lineage"/>
    <w:p>
      <w:pPr>
        <w:pStyle w:val="Heading2"/>
        <w:spacing w:line="480" w:lineRule="auto"/>
      </w:pPr>
      <w:r>
        <w:t xml:space="preserve">2.8 The measurement lineage</w:t>
      </w:r>
    </w:p>
    <w:p>
      <w:pPr>
        <w:pStyle w:val="FirstParagraph"/>
        <w:spacing w:line="480" w:lineRule="auto"/>
      </w:pPr>
      <w:r>
        <w:t xml:space="preserve">A short note places the measurement path, since handling a corpus as data owns a lineage of its own. Citation screening, reading publication timing, citation notice, and venue arrangement as proof about a field’s ripeness, is a routine move in research-evaluation and science-of-science work, and it turns up here in a purposely cautious form. The design tries no network analysis, no topic modeling, no co-citation mapping, since a corpus of thirty records cannot carry those methods honestly. It holds itself to two see-through estimators whose assumptions a reader can check by hand</w:t>
      </w:r>
      <w:r>
        <w:t xml:space="preserve"> </w:t>
      </w:r>
      <w:hyperlink w:anchor="ref-10">
        <w:r>
          <w:rPr>
            <w:rStyle w:val="Hyperlink"/>
          </w:rPr>
          <w:t xml:space="preserve">[10]</w:t>
        </w:r>
      </w:hyperlink>
      <w:r>
        <w:t xml:space="preserve">. That restraint answers the second opening named above: policy salience signals want disciplined reading, and the discipline here is to run only the plainest measures the small corpus can carry.</w:t>
      </w:r>
    </w:p>
    <w:bookmarkEnd w:id="78"/>
    <w:bookmarkStart w:id="79" w:name="Xb5df2efb24329e59ddefe9ce5458033ea4b41ac"/>
    <w:p>
      <w:pPr>
        <w:pStyle w:val="Heading2"/>
        <w:spacing w:line="480" w:lineRule="auto"/>
      </w:pPr>
      <w:r>
        <w:t xml:space="preserve">2.9 Where the prior work leaves the question standing</w:t>
      </w:r>
    </w:p>
    <w:p>
      <w:pPr>
        <w:pStyle w:val="FirstParagraph"/>
        <w:spacing w:line="480" w:lineRule="auto"/>
      </w:pPr>
      <w:r>
        <w:t xml:space="preserve">Draw the lines together and the state of prior work settles into one unsettled stance. The capability is present and deployed: satellites vet close passes and act, boards carry dodge logic, formations coordinate, edge reasoners soak up interpretive load</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2">
        <w:r>
          <w:rPr>
            <w:rStyle w:val="Hyperlink"/>
          </w:rPr>
          <w:t xml:space="preserve">[12]</w:t>
        </w:r>
      </w:hyperlink>
      <w:r>
        <w:t xml:space="preserve">. The governance worry is named: authority is scattering quicker than answerability, and a formation acting on its own read muddies who answers for what it does</w:t>
      </w:r>
      <w:r>
        <w:t xml:space="preserve"> </w:t>
      </w:r>
      <w:hyperlink w:anchor="ref-1">
        <w:r>
          <w:rPr>
            <w:rStyle w:val="Hyperlink"/>
          </w:rPr>
          <w:t xml:space="preserve">[1]</w:t>
        </w:r>
      </w:hyperlink>
      <w:r>
        <w:t xml:space="preserve"> </w:t>
      </w:r>
      <w:hyperlink w:anchor="ref-14">
        <w:r>
          <w:rPr>
            <w:rStyle w:val="Hyperlink"/>
          </w:rPr>
          <w:t xml:space="preserve">[14]</w:t>
        </w:r>
      </w:hyperlink>
      <w:r>
        <w:t xml:space="preserve">. The reduction hope is claimed: fewer orders through a contested uplink ought to leave fewer chances to corrupt it</w:t>
      </w:r>
      <w:r>
        <w:t xml:space="preserve"> </w:t>
      </w:r>
      <w:hyperlink w:anchor="ref-6">
        <w:r>
          <w:rPr>
            <w:rStyle w:val="Hyperlink"/>
          </w:rPr>
          <w:t xml:space="preserve">[6]</w:t>
        </w:r>
      </w:hyperlink>
      <w:r>
        <w:t xml:space="preserve">. What no prior work does is fuse these into a gauged claim about whether aboard authority, in aggregate, eases or aggravates the uplink assurance load, and none tests whether the scholarship itself has firmed up enough to hold such a claim.</w:t>
      </w:r>
    </w:p>
    <w:p>
      <w:pPr>
        <w:pStyle w:val="BodyText"/>
        <w:spacing w:line="480" w:lineRule="auto"/>
        <w:ind w:firstLine="720"/>
      </w:pPr>
      <w:r>
        <w:t xml:space="preserve">That is the precise opening this study fills. It adds no fresh capability, no new governance essay, no further delay-relief demonstration. It puts the prior, measurable question all of them skip: is the exchange patterned enough to build on? A field can read busy while staying loose, and busyness is what the prior lines jointly show</w:t>
      </w:r>
      <w:r>
        <w:t xml:space="preserve"> </w:t>
      </w:r>
      <w:hyperlink w:anchor="ref-4">
        <w:r>
          <w:rPr>
            <w:rStyle w:val="Hyperlink"/>
          </w:rPr>
          <w:t xml:space="preserve">[4]</w:t>
        </w:r>
      </w:hyperlink>
      <w:r>
        <w:t xml:space="preserve">. Gauging firmness rather than presuming it is the move the surveyed scholarship has yet to make, and it is the move Chapter 3’s mechanism arranges.</w:t>
      </w:r>
    </w:p>
    <w:p>
      <w:pPr>
        <w:pStyle w:val="BodyText"/>
        <w:spacing w:line="480" w:lineRule="auto"/>
        <w:ind w:firstLine="720"/>
      </w:pPr>
      <w:r>
        <w:t xml:space="preserve">So the survey shuts not with a synthesis that settles the debate but with a diagnosis that recasts it. The debate stays open until the field’s own record is characterized, and characterizing that record is a research chore in its own right</w:t>
      </w:r>
      <w:r>
        <w:t xml:space="preserve"> </w:t>
      </w:r>
      <w:hyperlink w:anchor="ref-2">
        <w:r>
          <w:rPr>
            <w:rStyle w:val="Hyperlink"/>
          </w:rPr>
          <w:t xml:space="preserve">[2]</w:t>
        </w:r>
      </w:hyperlink>
      <w:r>
        <w:t xml:space="preserve">. The next chapter states the mechanism that makes even the plain measures used here meaningful, and it does so by spelling out just why a firming governance exchange would leave the paper trace the estimators are built to catch.</w:t>
      </w:r>
    </w:p>
    <w:bookmarkEnd w:id="79"/>
    <w:bookmarkStart w:id="80" w:name="Xe523ba553615b41411a14682a2009ad5bb6f5b9"/>
    <w:p>
      <w:pPr>
        <w:pStyle w:val="Heading2"/>
        <w:spacing w:line="480" w:lineRule="auto"/>
      </w:pPr>
      <w:r>
        <w:t xml:space="preserve">2.9a A contrast case: what a consolidated adjacent field looks like</w:t>
      </w:r>
    </w:p>
    <w:p>
      <w:pPr>
        <w:pStyle w:val="FirstParagraph"/>
        <w:spacing w:line="480" w:lineRule="auto"/>
      </w:pPr>
      <w:r>
        <w:t xml:space="preserve">Nothing exposes what this subject lacks more sharply than setting it beside a neighbor that owns it. Collision-dodging manoeuvre design is that neighbor. It has reached the point where a lone survey can canvass its methods across decades, name its rival families of technique, and take the gauge of its own progress</w:t>
      </w:r>
      <w:r>
        <w:t xml:space="preserve"> </w:t>
      </w:r>
      <w:hyperlink w:anchor="ref-10">
        <w:r>
          <w:rPr>
            <w:rStyle w:val="Hyperlink"/>
          </w:rPr>
          <w:t xml:space="preserve">[10]</w:t>
        </w:r>
      </w:hyperlink>
      <w:r>
        <w:t xml:space="preserve">. A field wins a survey of that stripe only after its vocabulary steadies and its influential works pile up the citations that let a reviewer judge which threads carry load. Uplink assurance under self-direction has no such survey, and the void is no fluke of who has written what. It is a symptom of a subject still strewn across engineering demonstrations, coordination formalisms, and governance essays that do not yet cite one another thickly enough to shape a canon</w:t>
      </w:r>
      <w:r>
        <w:t xml:space="preserve"> </w:t>
      </w:r>
      <w:hyperlink w:anchor="ref-12">
        <w:r>
          <w:rPr>
            <w:rStyle w:val="Hyperlink"/>
          </w:rPr>
          <w:t xml:space="preserve">[12]</w:t>
        </w:r>
      </w:hyperlink>
      <w:r>
        <w:t xml:space="preserve">.</w:t>
      </w:r>
    </w:p>
    <w:p>
      <w:pPr>
        <w:pStyle w:val="BodyText"/>
        <w:spacing w:line="480" w:lineRule="auto"/>
        <w:ind w:firstLine="720"/>
      </w:pPr>
      <w:r>
        <w:t xml:space="preserve">Part-autonomous navigation for deep-space work supplies a second, keener contrast. There the operating limit is flat: light-time renders a live ground loop physically out of reach, so aboard reasoning is not a design taste but a physical must, and the scholarship can move on settled premises</w:t>
      </w:r>
      <w:r>
        <w:t xml:space="preserve"> </w:t>
      </w:r>
      <w:hyperlink w:anchor="ref-15">
        <w:r>
          <w:rPr>
            <w:rStyle w:val="Hyperlink"/>
          </w:rPr>
          <w:t xml:space="preserve">[15]</w:t>
        </w:r>
      </w:hyperlink>
      <w:r>
        <w:t xml:space="preserve">. Uplink assurance under self-direction owns no such settled premise. Whether authority ought to relocate aboard is the contested question itself, not a boundary term the field has agreed to swallow. A subject whose founding premise stays in dispute cannot firm up the way a subject with a pinned premise can, and the corpus screen is built to catch precisely that gap between a field quarreling over its own foundations and a field building on foundations it has quit quarreling over</w:t>
      </w:r>
      <w:r>
        <w:t xml:space="preserve"> </w:t>
      </w:r>
      <w:hyperlink w:anchor="ref-14">
        <w:r>
          <w:rPr>
            <w:rStyle w:val="Hyperlink"/>
          </w:rPr>
          <w:t xml:space="preserve">[14]</w:t>
        </w:r>
      </w:hyperlink>
      <w:r>
        <w:t xml:space="preserve">.</w:t>
      </w:r>
    </w:p>
    <w:p>
      <w:pPr>
        <w:pStyle w:val="BodyText"/>
        <w:spacing w:line="480" w:lineRule="auto"/>
        <w:ind w:firstLine="720"/>
      </w:pPr>
      <w:r>
        <w:t xml:space="preserve">The neighbors have settled premises. This subject does not.</w:t>
      </w:r>
    </w:p>
    <w:bookmarkEnd w:id="80"/>
    <w:bookmarkStart w:id="81" w:name="X09ce1bf4fb5383f717ca8fff056a4657632985c"/>
    <w:p>
      <w:pPr>
        <w:pStyle w:val="Heading2"/>
        <w:spacing w:line="480" w:lineRule="auto"/>
      </w:pPr>
      <w:r>
        <w:t xml:space="preserve">2.10 A caution about reading the reviewed work</w:t>
      </w:r>
    </w:p>
    <w:p>
      <w:pPr>
        <w:pStyle w:val="FirstParagraph"/>
        <w:spacing w:line="480" w:lineRule="auto"/>
      </w:pPr>
      <w:r>
        <w:t xml:space="preserve">One caution shuts the survey. The records canvassed here fill two roles at once, and the reader should keep them apart. Several act as scholarly context, setting the study against what has been argued about self-direction, coordination, and governance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same records also stock the corpus the estimators run over, since the gathered pack is drawn from this scholarship. A record can thus show up in Chapter 2 as an interlocutor and return in Chapter 5 as a data point. That twin role is chosen and it is disclosed, since a design that handles the scholarship as data cannot pretend the scholarship is only backdrop</w:t>
      </w:r>
      <w:r>
        <w:t xml:space="preserve"> </w:t>
      </w:r>
      <w:hyperlink w:anchor="ref-1">
        <w:r>
          <w:rPr>
            <w:rStyle w:val="Hyperlink"/>
          </w:rPr>
          <w:t xml:space="preserve">[1]</w:t>
        </w:r>
      </w:hyperlink>
      <w:r>
        <w:t xml:space="preserve">. The study reads these records for what they argue and tallies them for how they spread, and it holds the two operations apart so neither taints the other.</w:t>
      </w:r>
    </w:p>
    <w:p>
      <w:pPr>
        <w:pStyle w:val="BodyText"/>
        <w:spacing w:line="480" w:lineRule="auto"/>
        <w:ind w:firstLine="720"/>
      </w:pPr>
      <w:r>
        <w:t xml:space="preserve">Read whole, the four lines and their neighboring literatures sketch a field that is fruitful yet not self-aware the way a ripe field is. It builds capabilities, names worries, and tunes loops, yet it has not swung its analytic gaze onto its own state of firmness</w:t>
      </w:r>
      <w:r>
        <w:t xml:space="preserve"> </w:t>
      </w:r>
      <w:hyperlink w:anchor="ref-10">
        <w:r>
          <w:rPr>
            <w:rStyle w:val="Hyperlink"/>
          </w:rPr>
          <w:t xml:space="preserve">[10]</w:t>
        </w:r>
      </w:hyperlink>
      <w:r>
        <w:t xml:space="preserve">. That reflexive move, asking not what the field has yielded but whether the field has knit, runs rare in engineering-adjacent literatures busy yielding</w:t>
      </w:r>
      <w:r>
        <w:t xml:space="preserve"> </w:t>
      </w:r>
      <w:hyperlink w:anchor="ref-12">
        <w:r>
          <w:rPr>
            <w:rStyle w:val="Hyperlink"/>
          </w:rPr>
          <w:t xml:space="preserve">[12]</w:t>
        </w:r>
      </w:hyperlink>
      <w:r>
        <w:t xml:space="preserve">. This study makes the reflexive move once, on one subject, with two plain estimators. The survey has shown why the move is warranted: the fragments of the uplink-assurance question lie strewn across literatures that under-cite one another, and strewing is precisely the state a firmness screen is designed to catch</w:t>
      </w:r>
      <w:r>
        <w:t xml:space="preserve"> </w:t>
      </w:r>
      <w:hyperlink w:anchor="ref-1">
        <w:r>
          <w:rPr>
            <w:rStyle w:val="Hyperlink"/>
          </w:rPr>
          <w:t xml:space="preserve">[1]</w:t>
        </w:r>
      </w:hyperlink>
      <w:r>
        <w:t xml:space="preserve">. With that fixed, the mechanism can rise on clean ground.</w:t>
      </w:r>
    </w:p>
    <w:bookmarkEnd w:id="81"/>
    <w:bookmarkEnd w:id="82"/>
    <w:bookmarkStart w:id="95" w:name="chapter-3.-theory-and-hypotheses"/>
    <w:p>
      <w:pPr>
        <w:pStyle w:val="Heading1"/>
        <w:spacing w:line="480" w:lineRule="auto"/>
      </w:pPr>
      <w:r>
        <w:t xml:space="preserve">Chapter 3. Theory and Hypotheses</w:t>
      </w:r>
    </w:p>
    <w:p>
      <w:pPr>
        <w:pStyle w:val="FirstParagraph"/>
        <w:spacing w:line="480" w:lineRule="auto"/>
      </w:pPr>
      <w:r>
        <w:t xml:space="preserve">The mechanism under test here compresses into a single sentence. Should aboard decision authority be truly remaking uplink assurance, the scholarly record about it ought to firm up in ways that deposit a measurable mark. Earning that sentence occupies the rest of the chapter. It sets out why firming would breed pattern in source metadata, what flavor of pattern each gauged feature would carry, and how the two rival stories from Chapter 1, displacement and reduction, resolve into forecasts a coefficient can uphold or overturn.</w:t>
      </w:r>
    </w:p>
    <w:bookmarkStart w:id="83" w:name="the-unit-of-theory"/>
    <w:p>
      <w:pPr>
        <w:pStyle w:val="Heading2"/>
        <w:spacing w:line="480" w:lineRule="auto"/>
      </w:pPr>
      <w:r>
        <w:t xml:space="preserve">3.0 The unit of theory</w:t>
      </w:r>
    </w:p>
    <w:p>
      <w:pPr>
        <w:pStyle w:val="FirstParagraph"/>
        <w:spacing w:line="480" w:lineRule="auto"/>
      </w:pPr>
      <w:r>
        <w:t xml:space="preserve">Ahead of the mechanism, a word on the unit. The theory works at the scale of the document, not the spacecraft. Its atoms are gathered records, and its claims turn on how those records spread across time, notice, and outlet. That marks a chosen step down from the operational question. The operational question dwells at the scale of the vehicle and its uplink; the theory dwells at the scale of the scholarship that talks about that vehicle. One assumption spans the two scales, that a real operational shift leaves a paper residue, and the theory takes pains never to fuse the scales, never to talk as if a coefficient on a document variable were a fact about a spacecraft</w:t>
      </w:r>
      <w:r>
        <w:t xml:space="preserve"> </w:t>
      </w:r>
      <w:hyperlink w:anchor="ref-3">
        <w:r>
          <w:rPr>
            <w:rStyle w:val="Hyperlink"/>
          </w:rPr>
          <w:t xml:space="preserve">[3]</w:t>
        </w:r>
      </w:hyperlink>
      <w:r>
        <w:t xml:space="preserve">. Holding the unit of theory apart from the unit of worry is what keeps the whole design honest, and it is why the hypotheses run on signal and citation rather than on safety and control.</w:t>
      </w:r>
    </w:p>
    <w:bookmarkEnd w:id="83"/>
    <w:bookmarkStart w:id="84" w:name="Xb37e98b94e2e9e2ee33f5845e4a4b3641860274"/>
    <w:p>
      <w:pPr>
        <w:pStyle w:val="Heading2"/>
        <w:spacing w:line="480" w:lineRule="auto"/>
      </w:pPr>
      <w:r>
        <w:t xml:space="preserve">3.1 From operational shift to documentary trace</w:t>
      </w:r>
    </w:p>
    <w:p>
      <w:pPr>
        <w:pStyle w:val="FirstParagraph"/>
        <w:spacing w:line="480" w:lineRule="auto"/>
      </w:pPr>
      <w:r>
        <w:t xml:space="preserve">Open with the operational claim and reason outward. A field busy renegotiating a control bond does not go about it in silence. As authority relocates from ground to vehicle, engineers publish the capability, coordination theorists formalize the interaction, and governance analysts contest the answerability</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Each of those acts drops a document. The documents pile up at a rate, bunch in outlets, and pull citation notice in patterns that mirror where the exchange is warming.</w:t>
      </w:r>
    </w:p>
    <w:p>
      <w:pPr>
        <w:pStyle w:val="BodyText"/>
        <w:spacing w:line="480" w:lineRule="auto"/>
        <w:ind w:firstLine="720"/>
      </w:pPr>
      <w:r>
        <w:t xml:space="preserve">Roundabout yet disciplined describes the shape of the inference chain. This study cannot watch a spacecraft surrender authority to its own planner. What it can watch is the residue such a shift drops in the scholarship: when records surface, where they surface, how much notice they pull. Should the shift be real and firming, that residue ought to be patterned. Should the subject stay loose, a blend of neighboring worries that never knit, the residue ought to read like static. The mechanism swaps an unobservable operational question for an observable paper one.</w:t>
      </w:r>
    </w:p>
    <w:bookmarkEnd w:id="84"/>
    <w:bookmarkStart w:id="85" w:name="X12f997cdeefd4f22e6fe8454c1c14436e795c37"/>
    <w:p>
      <w:pPr>
        <w:pStyle w:val="Heading2"/>
        <w:spacing w:line="480" w:lineRule="auto"/>
      </w:pPr>
      <w:r>
        <w:t xml:space="preserve">3.2 Why signal intensity should track structure</w:t>
      </w:r>
    </w:p>
    <w:p>
      <w:pPr>
        <w:pStyle w:val="FirstParagraph"/>
        <w:spacing w:line="480" w:lineRule="auto"/>
      </w:pPr>
      <w:r>
        <w:t xml:space="preserve">The first observable is topic-signal intensity, a gauge of how firmly a given record’s own metadata registers the candidate theme. A record dead on uplink assurance under self-direction will carry more theme-relevant terms across its title, snippet, and keyword fields than a record grazing the subject in passing</w:t>
      </w:r>
      <w:r>
        <w:t xml:space="preserve"> </w:t>
      </w:r>
      <w:hyperlink w:anchor="ref-4">
        <w:r>
          <w:rPr>
            <w:rStyle w:val="Hyperlink"/>
          </w:rPr>
          <w:t xml:space="preserve">[4]</w:t>
        </w:r>
      </w:hyperlink>
      <w:r>
        <w:t xml:space="preserve">. Signal intensity is thus a within-record gauge of topical centrality.</w:t>
      </w:r>
    </w:p>
    <w:p>
      <w:pPr>
        <w:pStyle w:val="BodyText"/>
        <w:spacing w:line="480" w:lineRule="auto"/>
        <w:ind w:firstLine="720"/>
      </w:pPr>
      <w:r>
        <w:t xml:space="preserve">Were the subject firming, signal intensity would not spray at random. It would move together with the features that flag a ripening scholarship. Recent records ought to carry keener signal than old ones, since a firming subject hones its vocabulary over time</w:t>
      </w:r>
      <w:r>
        <w:t xml:space="preserve"> </w:t>
      </w:r>
      <w:hyperlink w:anchor="ref-1">
        <w:r>
          <w:rPr>
            <w:rStyle w:val="Hyperlink"/>
          </w:rPr>
          <w:t xml:space="preserve">[1]</w:t>
        </w:r>
      </w:hyperlink>
      <w:r>
        <w:t xml:space="preserve">. Records in outlets where the subject is being worked hard ought to carry keener signal than records in outlets where it turns up by accident</w:t>
      </w:r>
      <w:r>
        <w:t xml:space="preserve"> </w:t>
      </w:r>
      <w:hyperlink w:anchor="ref-16">
        <w:r>
          <w:rPr>
            <w:rStyle w:val="Hyperlink"/>
          </w:rPr>
          <w:t xml:space="preserve">[16]</w:t>
        </w:r>
      </w:hyperlink>
      <w:r>
        <w:t xml:space="preserve">. That underlies the ordinary least squares model of Chapter 4: regress signal intensity on recency, citation notice, and venue family, then read the coefficients as proof about whether the subject holds pattern or stays static.</w:t>
      </w:r>
    </w:p>
    <w:bookmarkEnd w:id="85"/>
    <w:bookmarkStart w:id="86" w:name="Xaa6ccb753f307530337071d3e1d46e3333ffd67"/>
    <w:p>
      <w:pPr>
        <w:pStyle w:val="Heading2"/>
        <w:spacing w:line="480" w:lineRule="auto"/>
      </w:pPr>
      <w:r>
        <w:t xml:space="preserve">3.3 Why citation accumulation should follow an age curve</w:t>
      </w:r>
    </w:p>
    <w:p>
      <w:pPr>
        <w:pStyle w:val="FirstParagraph"/>
        <w:spacing w:line="480" w:lineRule="auto"/>
      </w:pPr>
      <w:r>
        <w:t xml:space="preserve">The second observable is citation accumulation. Notice paid to a paper is not instant; it grows as the field finds, cites, and quarrels with the work. In a settled scholarship older papers have had longer to gather citations, which yields a recognizable age-notice curve. In an unsettled or freshly forming scholarship that curve can flatten or flip, since the newest papers hog an outsized share of notice while older ones came out before the subject knit enough to be cited</w:t>
      </w:r>
      <w:r>
        <w:t xml:space="preserve"> </w:t>
      </w:r>
      <w:hyperlink w:anchor="ref-6">
        <w:r>
          <w:rPr>
            <w:rStyle w:val="Hyperlink"/>
          </w:rPr>
          <w:t xml:space="preserve">[6]</w:t>
        </w:r>
      </w:hyperlink>
      <w:r>
        <w:t xml:space="preserve">.</w:t>
      </w:r>
    </w:p>
    <w:p>
      <w:pPr>
        <w:pStyle w:val="BodyText"/>
        <w:spacing w:line="480" w:lineRule="auto"/>
        <w:ind w:firstLine="720"/>
      </w:pPr>
      <w:r>
        <w:t xml:space="preserve">So the shape of the citation-age bond carries word of the subject’s ripeness. A conventional positive age curve flags a steady field where accumulation runs as expected. A faint or negative bond flags either a young subject still finding its feet or a corpus too small and mixed to show the usual behavior</w:t>
      </w:r>
      <w:r>
        <w:t xml:space="preserve"> </w:t>
      </w:r>
      <w:hyperlink w:anchor="ref-9">
        <w:r>
          <w:rPr>
            <w:rStyle w:val="Hyperlink"/>
          </w:rPr>
          <w:t xml:space="preserve">[9]</w:t>
        </w:r>
      </w:hyperlink>
      <w:r>
        <w:t xml:space="preserve">. The log-log learning-curve model of Chapter 4 estimates just this bond and lets its sign and precision report which regime the gathered corpus sits in.</w:t>
      </w:r>
    </w:p>
    <w:bookmarkEnd w:id="86"/>
    <w:bookmarkStart w:id="87" w:name="Xade0663513ccde04b53d7fc0d6a734808d6b75b"/>
    <w:p>
      <w:pPr>
        <w:pStyle w:val="Heading2"/>
        <w:spacing w:line="480" w:lineRule="auto"/>
      </w:pPr>
      <w:r>
        <w:t xml:space="preserve">3.4 Venue family as an ordinal maturity marker</w:t>
      </w:r>
    </w:p>
    <w:p>
      <w:pPr>
        <w:pStyle w:val="FirstParagraph"/>
        <w:spacing w:line="480" w:lineRule="auto"/>
      </w:pPr>
      <w:r>
        <w:t xml:space="preserve">Venue family warrants its own handling, since it is the most reading-heavy of the three predictors. The design codes outlets ordinally: conference proceedings at the applied end, archival journals in the middle, grey or strategic writing at the far end. That order is no quality ranking. It stands in for where along the pipeline a subject presently sits.</w:t>
      </w:r>
    </w:p>
    <w:p>
      <w:pPr>
        <w:pStyle w:val="BodyText"/>
        <w:spacing w:line="480" w:lineRule="auto"/>
        <w:ind w:firstLine="720"/>
      </w:pPr>
      <w:r>
        <w:t xml:space="preserve">A subject still mostly a conference exchange looks unlike one that has moved into archival journals, and unlike again one that has drawn strategic and governance writing outside the peer-reviewed core</w:t>
      </w:r>
      <w:r>
        <w:t xml:space="preserve"> </w:t>
      </w:r>
      <w:hyperlink w:anchor="ref-14">
        <w:r>
          <w:rPr>
            <w:rStyle w:val="Hyperlink"/>
          </w:rPr>
          <w:t xml:space="preserve">[14]</w:t>
        </w:r>
      </w:hyperlink>
      <w:r>
        <w:t xml:space="preserve">. So the venue-family coefficient reads as a ripeness marker, though a brittle one. It is ordinal, it warrants no reading as an interval scale, and a strong venue effect could mirror the makeup of the gathered pack rather than the field beneath. The theory runs venue family as proof, and Chapter 7 treats its brittleness as a named threat rather than a footnote.</w:t>
      </w:r>
    </w:p>
    <w:bookmarkEnd w:id="87"/>
    <w:bookmarkStart w:id="88" w:name="the-two-accounts-as-predictions"/>
    <w:p>
      <w:pPr>
        <w:pStyle w:val="Heading2"/>
        <w:spacing w:line="480" w:lineRule="auto"/>
      </w:pPr>
      <w:r>
        <w:t xml:space="preserve">3.5 The two accounts as predictions</w:t>
      </w:r>
    </w:p>
    <w:p>
      <w:pPr>
        <w:pStyle w:val="FirstParagraph"/>
        <w:spacing w:line="480" w:lineRule="auto"/>
      </w:pPr>
      <w:r>
        <w:t xml:space="preserve">Displacement and reduction do not forecast the same paper trace, and that split is what keeps the test honest. Under displacement, aboard authority relocates the assurance problem into the reasoner, a stubborn, contested, still-forming research object; its scholarship ought to run young, outlet-fractured, and short of settled accumulation behavior</w:t>
      </w:r>
      <w:r>
        <w:t xml:space="preserve"> </w:t>
      </w:r>
      <w:hyperlink w:anchor="ref-4">
        <w:r>
          <w:rPr>
            <w:rStyle w:val="Hyperlink"/>
          </w:rPr>
          <w:t xml:space="preserve">[4]</w:t>
        </w:r>
      </w:hyperlink>
      <w:r>
        <w:t xml:space="preserve"> </w:t>
      </w:r>
      <w:hyperlink w:anchor="ref-5">
        <w:r>
          <w:rPr>
            <w:rStyle w:val="Hyperlink"/>
          </w:rPr>
          <w:t xml:space="preserve">[5]</w:t>
        </w:r>
      </w:hyperlink>
      <w:r>
        <w:t xml:space="preserve">. Under reduction, aboard authority is a ripening engineering answer to a well-grasped delay problem; its scholarship ought to look firmer, with signal intensity trailing recency and outlet in a steady way</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corpus test cannot arbitrate the two stories head-on, since it gauges the shape of the exchange rather than the safety of the vehicles. What it can do is report to the field which regime the record presently resembles. A patterned, firming record squares with a subject ripe enough to repay a direct document-coding study of the displacement-against-reduction question. A faint, unpatterned record points the other way: the subject has yet to firm up, and any strong governance claim raised on it would be early.</w:t>
      </w:r>
    </w:p>
    <w:bookmarkEnd w:id="88"/>
    <w:bookmarkStart w:id="89" w:name="scope-conditions-on-the-mechanism"/>
    <w:p>
      <w:pPr>
        <w:pStyle w:val="Heading2"/>
        <w:spacing w:line="480" w:lineRule="auto"/>
      </w:pPr>
      <w:r>
        <w:t xml:space="preserve">3.6 Scope conditions on the mechanism</w:t>
      </w:r>
    </w:p>
    <w:p>
      <w:pPr>
        <w:pStyle w:val="FirstParagraph"/>
        <w:spacing w:line="480" w:lineRule="auto"/>
      </w:pPr>
      <w:r>
        <w:t xml:space="preserve">The mechanism holds only under conditions worth naming, since a theory claiming to hold everywhere usually holds nowhere. First of them: publication behavior trails operational salience with a lag short enough to read in a corpus running 2009 to 2026. Were the field to publish years past the operational shift, the paper trace would trail the reality it means to register, and a screen run today would undersell a firming already in motion</w:t>
      </w:r>
      <w:r>
        <w:t xml:space="preserve"> </w:t>
      </w:r>
      <w:hyperlink w:anchor="ref-1">
        <w:r>
          <w:rPr>
            <w:rStyle w:val="Hyperlink"/>
          </w:rPr>
          <w:t xml:space="preserve">[1]</w:t>
        </w:r>
      </w:hyperlink>
      <w:r>
        <w:t xml:space="preserve">. The design swallows this lag as a limit and reads a faint result as fitting either a truly unfirm subject or a firm one whose paper trail has yet to catch up.</w:t>
      </w:r>
    </w:p>
    <w:p>
      <w:pPr>
        <w:pStyle w:val="BodyText"/>
        <w:spacing w:line="480" w:lineRule="auto"/>
        <w:ind w:firstLine="720"/>
      </w:pPr>
      <w:r>
        <w:t xml:space="preserve">Second: the gathered corpus is a fair, if flawed, sample of the exchange. Were retrieval to favor one venue family or one era across the board, the pattern the estimators find would be an artifact of retrieval rather than of the field</w:t>
      </w:r>
      <w:r>
        <w:t xml:space="preserve"> </w:t>
      </w:r>
      <w:hyperlink w:anchor="ref-16">
        <w:r>
          <w:rPr>
            <w:rStyle w:val="Hyperlink"/>
          </w:rPr>
          <w:t xml:space="preserve">[16]</w:t>
        </w:r>
      </w:hyperlink>
      <w:r>
        <w:t xml:space="preserve">. The mechanism does not want a flawless sample, only one whose skews are logged well enough that a reader can dock them. Chapter 5 furnishes that logging, and Chapter 7 treats retrieval skew as a named threat rather than a solved matter.</w:t>
      </w:r>
    </w:p>
    <w:p>
      <w:pPr>
        <w:pStyle w:val="BodyText"/>
        <w:spacing w:line="480" w:lineRule="auto"/>
        <w:ind w:firstLine="720"/>
      </w:pPr>
      <w:r>
        <w:t xml:space="preserve">Third: topic-signal intensity genuinely trails topical centrality. This is an assumption about the coding, not about the world; it holds only where a record dead on the candidate theme really does carry more theme-relevant terms across its metadata than a record grazing the theme in passing</w:t>
      </w:r>
      <w:r>
        <w:t xml:space="preserve"> </w:t>
      </w:r>
      <w:hyperlink w:anchor="ref-4">
        <w:r>
          <w:rPr>
            <w:rStyle w:val="Hyperlink"/>
          </w:rPr>
          <w:t xml:space="preserve">[4]</w:t>
        </w:r>
      </w:hyperlink>
      <w:r>
        <w:t xml:space="preserve">. Sound for records with rich metadata and shaky for records with sparse or bare snippet fields, the assumption is why the grey writing in the corpus gets docked rather than trusted on par. Where the coding assumption breaks, the mechanism’s step from signal to pattern breaks with it, and the design does not pretend otherwise.</w:t>
      </w:r>
    </w:p>
    <w:bookmarkEnd w:id="89"/>
    <w:bookmarkStart w:id="90" w:name="hypotheses"/>
    <w:p>
      <w:pPr>
        <w:pStyle w:val="Heading2"/>
        <w:spacing w:line="480" w:lineRule="auto"/>
      </w:pPr>
      <w:r>
        <w:t xml:space="preserve">3.7 Hypotheses</w:t>
      </w:r>
    </w:p>
    <w:p>
      <w:pPr>
        <w:pStyle w:val="FirstParagraph"/>
        <w:spacing w:line="480" w:lineRule="auto"/>
      </w:pPr>
      <w:r>
        <w:t xml:space="preserve">The mechanism throws off two hypotheses at the corpus scale, framed so an overturning coefficient closes the claim.</w:t>
      </w:r>
    </w:p>
    <w:p>
      <w:pPr>
        <w:pStyle w:val="BodyText"/>
        <w:spacing w:line="480" w:lineRule="auto"/>
        <w:ind w:firstLine="720"/>
      </w:pPr>
      <w:r>
        <w:t xml:space="preserve">H0: topic-signal intensity in a retrieved source record is unrelated to its publication recency, its citation attention, and its venue family; and citation accumulation is unrelated to article age.</w:t>
      </w:r>
    </w:p>
    <w:p>
      <w:pPr>
        <w:pStyle w:val="BodyText"/>
        <w:spacing w:line="480" w:lineRule="auto"/>
        <w:ind w:firstLine="720"/>
      </w:pPr>
      <w:r>
        <w:t xml:space="preserve">H1: topic-signal intensity is systematically related to recency, citation attention, and venue family; and citation accumulation follows a measurable age-based curve.</w:t>
      </w:r>
    </w:p>
    <w:p>
      <w:pPr>
        <w:pStyle w:val="BodyText"/>
        <w:spacing w:line="480" w:lineRule="auto"/>
        <w:ind w:firstLine="720"/>
      </w:pPr>
      <w:r>
        <w:t xml:space="preserve">Ahead of those commitments, it pays to lay out what each hypothesis forecasts about particular coefficients, so the reader reaches Chapter 6 already knowing what would uphold and what would overturn. Under H1, the recency coefficient in the signal model ought to run positive and precise, since a firming vocabulary hones over time. The citation coefficient ought to run positive and precise, since notice and topical centrality ought to move together in a ripening field. The venue coefficient ought to carry a sign that mirrors where the subject presently sits, readable against the corpus makeup. In the accumulation model, the age elasticity ought to run positive and precise, mirroring the routine pile-up of citations over calendar time. Under H0, every one of these coefficients ought to be indistinguishable from zero. The design pledges in advance to read a large p-value as a failure to reject the null on that axis, not as a hushed win for whatever sign the point estimate happens to carry</w:t>
      </w:r>
      <w:r>
        <w:t xml:space="preserve"> </w:t>
      </w:r>
      <w:hyperlink w:anchor="ref-6">
        <w:r>
          <w:rPr>
            <w:rStyle w:val="Hyperlink"/>
          </w:rPr>
          <w:t xml:space="preserve">[6]</w:t>
        </w:r>
      </w:hyperlink>
      <w:r>
        <w:t xml:space="preserve">.</w:t>
      </w:r>
    </w:p>
    <w:p>
      <w:pPr>
        <w:pStyle w:val="BodyText"/>
        <w:spacing w:line="480" w:lineRule="auto"/>
        <w:ind w:firstLine="720"/>
      </w:pPr>
      <w:r>
        <w:t xml:space="preserve">Why this advance pledge matters is that it strips out the temptation to re-read a letdown result after the fact. A signed yet imprecise recency coefficient, say, will be reported as no proof of a recency effect, full stop, even where its sign is the one H1 forecast</w:t>
      </w:r>
      <w:r>
        <w:t xml:space="preserve"> </w:t>
      </w:r>
      <w:hyperlink w:anchor="ref-1">
        <w:r>
          <w:rPr>
            <w:rStyle w:val="Hyperlink"/>
          </w:rPr>
          <w:t xml:space="preserve">[1]</w:t>
        </w:r>
      </w:hyperlink>
      <w:r>
        <w:t xml:space="preserve">. Fastening the reading to the coefficients in advance is what keeps the falsifiability claim of Chapter 1 from ringing hollow.</w:t>
      </w:r>
    </w:p>
    <w:p>
      <w:pPr>
        <w:pStyle w:val="BodyText"/>
        <w:spacing w:line="480" w:lineRule="auto"/>
        <w:ind w:firstLine="720"/>
      </w:pPr>
      <w:r>
        <w:t xml:space="preserve">Two more design commitments rein in how the hypotheses may be read. One, precision rules interpretation. A coefficient is handled as proof for pattern only where its standard error runs small enough to part it from zero at usual thresholds; a signed yet imprecise coefficient is handled as proof against a bold claim, not as a hushed win for the favored sign</w:t>
      </w:r>
      <w:r>
        <w:t xml:space="preserve"> </w:t>
      </w:r>
      <w:hyperlink w:anchor="ref-2">
        <w:r>
          <w:rPr>
            <w:rStyle w:val="Hyperlink"/>
          </w:rPr>
          <w:t xml:space="preserve">[2]</w:t>
        </w:r>
      </w:hyperlink>
      <w:r>
        <w:t xml:space="preserve"> </w:t>
      </w:r>
      <w:hyperlink w:anchor="ref-5">
        <w:r>
          <w:rPr>
            <w:rStyle w:val="Hyperlink"/>
          </w:rPr>
          <w:t xml:space="preserve">[5]</w:t>
        </w:r>
      </w:hyperlink>
      <w:r>
        <w:t xml:space="preserve">. Two, the corpus runs small and the estimators are screens, not verdicts. They discipline the proof and place the subject on a ripeness gradient. They do not certify that aboard authority eases or lifts uplink assurance, and the chapters ahead never let them pretend to.</w:t>
      </w:r>
    </w:p>
    <w:bookmarkEnd w:id="90"/>
    <w:bookmarkStart w:id="91" w:name="an-analogy-that-clarifies-the-logic"/>
    <w:p>
      <w:pPr>
        <w:pStyle w:val="Heading2"/>
        <w:spacing w:line="480" w:lineRule="auto"/>
      </w:pPr>
      <w:r>
        <w:t xml:space="preserve">3.8 An analogy that clarifies the logic</w:t>
      </w:r>
    </w:p>
    <w:p>
      <w:pPr>
        <w:pStyle w:val="FirstParagraph"/>
        <w:spacing w:line="480" w:lineRule="auto"/>
      </w:pPr>
      <w:r>
        <w:t xml:space="preserve">An analogy helps pin the inference logic. Weigh how one might judge whether a young academic field has ripened without reading every paper in it. One could check whether its vocabulary has steadied, whether its influential works have gathered the citations that flag a shared canon, and whether it has moved from workshops into archival journals. None of those signals tells you whether the field’s core claims run true. All of them tell you whether the field has knit enough that its core claims are worth arbitrating</w:t>
      </w:r>
      <w:r>
        <w:t xml:space="preserve"> </w:t>
      </w:r>
      <w:hyperlink w:anchor="ref-16">
        <w:r>
          <w:rPr>
            <w:rStyle w:val="Hyperlink"/>
          </w:rPr>
          <w:t xml:space="preserve">[16]</w:t>
        </w:r>
      </w:hyperlink>
      <w:r>
        <w:t xml:space="preserve">. The corpus screen in this study runs just that logic on uplink assurance under self-direction. Signal intensity fills in for vocabulary steadying, citation accumulation for canon shaping, and venue family for the workshop-to-journal move</w:t>
      </w:r>
      <w:r>
        <w:t xml:space="preserve"> </w:t>
      </w:r>
      <w:hyperlink w:anchor="ref-10">
        <w:r>
          <w:rPr>
            <w:rStyle w:val="Hyperlink"/>
          </w:rPr>
          <w:t xml:space="preserve">[10]</w:t>
        </w:r>
      </w:hyperlink>
      <w:r>
        <w:t xml:space="preserve">.</w:t>
      </w:r>
    </w:p>
    <w:p>
      <w:pPr>
        <w:pStyle w:val="BodyText"/>
        <w:spacing w:line="480" w:lineRule="auto"/>
        <w:ind w:firstLine="720"/>
      </w:pPr>
      <w:r>
        <w:t xml:space="preserve">The analogy also pins the limit. A field can knit around a wrong answer, so knitting is not correctness. The screen can tell you the exchange is patterned; it cannot tell you the exchange has landed the right verdict on whether aboard authority helps or harms assurance</w:t>
      </w:r>
      <w:r>
        <w:t xml:space="preserve"> </w:t>
      </w:r>
      <w:hyperlink w:anchor="ref-4">
        <w:r>
          <w:rPr>
            <w:rStyle w:val="Hyperlink"/>
          </w:rPr>
          <w:t xml:space="preserve">[4]</w:t>
        </w:r>
      </w:hyperlink>
      <w:r>
        <w:t xml:space="preserve">. Which is why the design takes care to frame a positive result as a license for further study rather than as a substantive answer. Pattern is a precondition for a trustworthy answer, not the answer itself, and the mechanism claims only to catch the precondition.</w:t>
      </w:r>
    </w:p>
    <w:bookmarkEnd w:id="91"/>
    <w:bookmarkStart w:id="92" w:name="X5c27af30481e039ecc2d1fed7071d0a3fb0061a"/>
    <w:p>
      <w:pPr>
        <w:pStyle w:val="Heading2"/>
        <w:spacing w:line="480" w:lineRule="auto"/>
      </w:pPr>
      <w:r>
        <w:t xml:space="preserve">3.8a Three rival explanations the mechanism must survive</w:t>
      </w:r>
    </w:p>
    <w:p>
      <w:pPr>
        <w:pStyle w:val="FirstParagraph"/>
        <w:spacing w:line="480" w:lineRule="auto"/>
      </w:pPr>
      <w:r>
        <w:t xml:space="preserve">A mechanism is worth only as much as the rivals it can clear off, and three rival readings of any pattern the estimators find warrant naming before the numbers land. Retrieval artifact is the first. Pattern in the corpus could mirror how the pack was assembled rather than how the field is arranged; a retrieval run that favored one outlet or one era would mint a coefficient that looks like firming but is really an echo of the query</w:t>
      </w:r>
      <w:r>
        <w:t xml:space="preserve"> </w:t>
      </w:r>
      <w:hyperlink w:anchor="ref-16">
        <w:r>
          <w:rPr>
            <w:rStyle w:val="Hyperlink"/>
          </w:rPr>
          <w:t xml:space="preserve">[16]</w:t>
        </w:r>
      </w:hyperlink>
      <w:r>
        <w:t xml:space="preserve">. The mechanism does not beat this rival alone. It leans on the provenance rigor of Chapter 5 to log the makeup well enough that a reader can judge how much of any effect is retrieval and how much is field.</w:t>
      </w:r>
    </w:p>
    <w:p>
      <w:pPr>
        <w:pStyle w:val="BodyText"/>
        <w:spacing w:line="480" w:lineRule="auto"/>
        <w:ind w:firstLine="720"/>
      </w:pPr>
      <w:r>
        <w:t xml:space="preserve">Vocabulary inflation is the second. A record could register high topic-signal not because it grips the theme deeply but because it happens to echo theme-relevant terms across a long title or a keyword-thick abstract</w:t>
      </w:r>
      <w:r>
        <w:t xml:space="preserve"> </w:t>
      </w:r>
      <w:hyperlink w:anchor="ref-4">
        <w:r>
          <w:rPr>
            <w:rStyle w:val="Hyperlink"/>
          </w:rPr>
          <w:t xml:space="preserve">[4]</w:t>
        </w:r>
      </w:hyperlink>
      <w:r>
        <w:t xml:space="preserve">. Were high-signal records merely wordier rather than more central, the signal model would be gauging verbosity in the dress of centrality. The mechanism answers this only in part, handling signal as a proxy it names as a proxy, and it passes the full remedy to a later coding study that reads arguments rather than tallying terms</w:t>
      </w:r>
      <w:r>
        <w:t xml:space="preserve"> </w:t>
      </w:r>
      <w:hyperlink w:anchor="ref-12">
        <w:r>
          <w:rPr>
            <w:rStyle w:val="Hyperlink"/>
          </w:rPr>
          <w:t xml:space="preserve">[12]</w:t>
        </w:r>
      </w:hyperlink>
      <w:r>
        <w:t xml:space="preserve">.</w:t>
      </w:r>
    </w:p>
    <w:p>
      <w:pPr>
        <w:pStyle w:val="BodyText"/>
        <w:spacing w:line="480" w:lineRule="auto"/>
        <w:ind w:firstLine="720"/>
      </w:pPr>
      <w:r>
        <w:t xml:space="preserve">Attention concentration is the third. A citation pattern could look flat not because the field runs young but because a few recent records happened to seize the corpus’s whole citation mass, mechanically drowning any age curve</w:t>
      </w:r>
      <w:r>
        <w:t xml:space="preserve"> </w:t>
      </w:r>
      <w:hyperlink w:anchor="ref-10">
        <w:r>
          <w:rPr>
            <w:rStyle w:val="Hyperlink"/>
          </w:rPr>
          <w:t xml:space="preserve">[10]</w:t>
        </w:r>
      </w:hyperlink>
      <w:r>
        <w:t xml:space="preserve">. This rival is live for exactly this pack, and the mechanism grants it in advance: a flat accumulation result will be read as fitting both a truly young subject and a thinly gauged one, and the design will not pick between those readings on proof it does not hold</w:t>
      </w:r>
      <w:r>
        <w:t xml:space="preserve"> </w:t>
      </w:r>
      <w:hyperlink w:anchor="ref-6">
        <w:r>
          <w:rPr>
            <w:rStyle w:val="Hyperlink"/>
          </w:rPr>
          <w:t xml:space="preserve">[6]</w:t>
        </w:r>
      </w:hyperlink>
      <w:r>
        <w:t xml:space="preserve">. Naming all three rivals here is what lets Chapter 7 treat them as foreseen threats rather than after-the-fact excuses.</w:t>
      </w:r>
    </w:p>
    <w:p>
      <w:pPr>
        <w:pStyle w:val="BodyText"/>
        <w:spacing w:line="480" w:lineRule="auto"/>
        <w:ind w:firstLine="720"/>
      </w:pPr>
      <w:r>
        <w:t xml:space="preserve">A mechanism that cannot name its rivals is a mechanism that has not been tested.</w:t>
      </w:r>
    </w:p>
    <w:bookmarkEnd w:id="92"/>
    <w:bookmarkStart w:id="93" w:name="from-mechanism-to-estimation"/>
    <w:p>
      <w:pPr>
        <w:pStyle w:val="Heading2"/>
        <w:spacing w:line="480" w:lineRule="auto"/>
      </w:pPr>
      <w:r>
        <w:t xml:space="preserve">3.9 From mechanism to estimation</w:t>
      </w:r>
    </w:p>
    <w:p>
      <w:pPr>
        <w:pStyle w:val="FirstParagraph"/>
        <w:spacing w:line="480" w:lineRule="auto"/>
      </w:pPr>
      <w:r>
        <w:t xml:space="preserve">The mechanism, then, does three things for the study. It swaps an unobservable operational question for an observable paper one. It pins what each gauged feature would mean under firming as against under static. And it fastens the reading in advance, so an overturning coefficient genuinely overturns</w:t>
      </w:r>
      <w:r>
        <w:t xml:space="preserve"> </w:t>
      </w:r>
      <w:hyperlink w:anchor="ref-1">
        <w:r>
          <w:rPr>
            <w:rStyle w:val="Hyperlink"/>
          </w:rPr>
          <w:t xml:space="preserve">[1]</w:t>
        </w:r>
      </w:hyperlink>
      <w:r>
        <w:t xml:space="preserve">. What remains is to turn the mechanism into estimators sharp enough to run and clear enough to check.</w:t>
      </w:r>
    </w:p>
    <w:bookmarkEnd w:id="93"/>
    <w:bookmarkStart w:id="94" w:name="Xce13d8ead0796237ca8983dc78c6d5c7b94b3d1"/>
    <w:p>
      <w:pPr>
        <w:pStyle w:val="Heading2"/>
        <w:spacing w:line="480" w:lineRule="auto"/>
      </w:pPr>
      <w:r>
        <w:t xml:space="preserve">3.10 Why the mechanism is worth testing even if it fails</w:t>
      </w:r>
    </w:p>
    <w:p>
      <w:pPr>
        <w:pStyle w:val="FirstParagraph"/>
        <w:spacing w:line="480" w:lineRule="auto"/>
      </w:pPr>
      <w:r>
        <w:t xml:space="preserve">A closing justification bears on the worth of the test whatever the outcome. Yield pattern, and the field learns that uplink assurance under self-direction has firmed up enough to repay a weightier study, clearing the next design stride</w:t>
      </w:r>
      <w:r>
        <w:t xml:space="preserve"> </w:t>
      </w:r>
      <w:hyperlink w:anchor="ref-4">
        <w:r>
          <w:rPr>
            <w:rStyle w:val="Hyperlink"/>
          </w:rPr>
          <w:t xml:space="preserve">[4]</w:t>
        </w:r>
      </w:hyperlink>
      <w:r>
        <w:t xml:space="preserve">. Yield static, and the field learns something just as useful: the subject has yet to knit, and any governance rule drafted on it today would outrun its proof</w:t>
      </w:r>
      <w:r>
        <w:t xml:space="preserve"> </w:t>
      </w:r>
      <w:hyperlink w:anchor="ref-14">
        <w:r>
          <w:rPr>
            <w:rStyle w:val="Hyperlink"/>
          </w:rPr>
          <w:t xml:space="preserve">[14]</w:t>
        </w:r>
      </w:hyperlink>
      <w:r>
        <w:t xml:space="preserve">. Both outcomes inform, which is the mark of a well-put test. A test able only to uphold a hoped-for result would be worthless; a test whose failure teaches as much as its success is worth running</w:t>
      </w:r>
      <w:r>
        <w:t xml:space="preserve"> </w:t>
      </w:r>
      <w:hyperlink w:anchor="ref-5">
        <w:r>
          <w:rPr>
            <w:rStyle w:val="Hyperlink"/>
          </w:rPr>
          <w:t xml:space="preserve">[5]</w:t>
        </w:r>
      </w:hyperlink>
      <w:r>
        <w:t xml:space="preserve">. That symmetry is why the design pledges to report whatever the coefficients return, and it is why the mechanism, slim as it is, earns its seat at the center of the study. Chapter 4 pins the estimators, states what each catches and what neither can, and carries this logic into numbers.</w:t>
      </w:r>
    </w:p>
    <w:p>
      <w:pPr>
        <w:pStyle w:val="BodyText"/>
        <w:spacing w:line="480" w:lineRule="auto"/>
        <w:ind w:firstLine="720"/>
      </w:pPr>
      <w:r>
        <w:t xml:space="preserve">To restate the whole mechanism tightly: a real operational shift in command authority drops a paper residue; that residue runs patterned if the subject is firming and loose if it is not; signal intensity, citation accumulation, and venue family are the three faces of that residue this design can gauge; and the hypotheses fasten each face to a pre-pledged coefficient so the test can genuinely fail</w:t>
      </w:r>
      <w:r>
        <w:t xml:space="preserve"> </w:t>
      </w:r>
      <w:hyperlink w:anchor="ref-4">
        <w:r>
          <w:rPr>
            <w:rStyle w:val="Hyperlink"/>
          </w:rPr>
          <w:t xml:space="preserve">[4]</w:t>
        </w:r>
      </w:hyperlink>
      <w:r>
        <w:t xml:space="preserve">. The mechanism claims no more than this, and it takes care to claim no less. It does not reach past documents to vehicles, and it does not mistake a firmed exchange for a correct one</w:t>
      </w:r>
      <w:r>
        <w:t xml:space="preserve"> </w:t>
      </w:r>
      <w:hyperlink w:anchor="ref-5">
        <w:r>
          <w:rPr>
            <w:rStyle w:val="Hyperlink"/>
          </w:rPr>
          <w:t xml:space="preserve">[5]</w:t>
        </w:r>
      </w:hyperlink>
      <w:r>
        <w:t xml:space="preserve">. What it hands over is a disciplined way to ask whether the field is ready to be reasoned about, which is the prior question every governance and program call about self-directed command authority quietly rests on</w:t>
      </w:r>
      <w:r>
        <w:t xml:space="preserve"> </w:t>
      </w:r>
      <w:hyperlink w:anchor="ref-14">
        <w:r>
          <w:rPr>
            <w:rStyle w:val="Hyperlink"/>
          </w:rPr>
          <w:t xml:space="preserve">[14]</w:t>
        </w:r>
      </w:hyperlink>
      <w:r>
        <w:t xml:space="preserve">. The estimators in Chapter 4 render that question answerable in numbers.</w:t>
      </w:r>
    </w:p>
    <w:bookmarkEnd w:id="94"/>
    <w:bookmarkEnd w:id="95"/>
    <w:bookmarkStart w:id="107"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shoulder the empirical weight of this study. First is an ordinary least squares model of topic-signal intensity. Second is a log-log learning-curve model of citation accumulation. Neither runs exotic, and that is on purpose. A corpus screen at design stage ought to lean on estimators whose assumptions read clearly and whose breakdown modes are known, so a reader can watch exactly what gets pinned down and what gets left aside. This chapter pins both models, states the estimand each aims at, and lays out why each catches the feature it claims to and where the catching stops.</w:t>
      </w:r>
    </w:p>
    <w:bookmarkStart w:id="96" w:name="Xcf046e08572d11b51f2c62a171485ddcc952d04"/>
    <w:p>
      <w:pPr>
        <w:pStyle w:val="Heading2"/>
        <w:spacing w:line="480" w:lineRule="auto"/>
      </w:pPr>
      <w:r>
        <w:t xml:space="preserve">4.1 Estimator one: ordinary least squares on signal intensity</w:t>
      </w:r>
    </w:p>
    <w:p>
      <w:pPr>
        <w:pStyle w:val="FirstParagraph"/>
        <w:spacing w:line="480" w:lineRule="auto"/>
      </w:pPr>
      <w:r>
        <w:t xml:space="preserve">The first model regresses topic-signal intensity on three predictors. In the notation of the workbook,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SignalScore, is a deterministic count of candidate-theme term hits across a record’s title, snippet, keyword field, and author metadata. The three predictors are the recency index, the reported local citation count, and the ordinal venue-family score. The estimator is fit by ordinary least squares with heteroskedasticity-robust HC1 standard errors, since the outcome is a bounded count and no reason exists to presume constant error variance across records of wildly different kinds</w:t>
      </w:r>
      <w:r>
        <w:t xml:space="preserve"> </w:t>
      </w:r>
      <w:hyperlink w:anchor="ref-4">
        <w:r>
          <w:rPr>
            <w:rStyle w:val="Hyperlink"/>
          </w:rPr>
          <w:t xml:space="preserve">[4]</w:t>
        </w:r>
      </w:hyperlink>
      <w:r>
        <w:t xml:space="preserve">.</w:t>
      </w:r>
    </w:p>
    <w:p>
      <w:pPr>
        <w:pStyle w:val="BodyText"/>
        <w:spacing w:line="480" w:lineRule="auto"/>
        <w:ind w:firstLine="720"/>
      </w:pPr>
      <w:r>
        <w:t xml:space="preserve">What does this model catch? It catches the partial tie between each predictor and topic-signal intensity, pinning the other two within the gathered corpus. That estimand runs descriptive, not causal. The recency coefficient replies to a pointed question: inside this pack, do fresher records carry keener topical signal once citation notice and outlet are pinned? The venue coefficient replies whether records in higher-ordinal venue families carry different signal, net of when they surfaced and how much notice they pulled</w:t>
      </w:r>
      <w:r>
        <w:t xml:space="preserve"> </w:t>
      </w:r>
      <w:hyperlink w:anchor="ref-16">
        <w:r>
          <w:rPr>
            <w:rStyle w:val="Hyperlink"/>
          </w:rPr>
          <w:t xml:space="preserve">[16]</w:t>
        </w:r>
      </w:hyperlink>
      <w:r>
        <w:t xml:space="preserve">. These are ties in a cross-section, and the design asks nothing further of them.</w:t>
      </w:r>
    </w:p>
    <w:p>
      <w:pPr>
        <w:pStyle w:val="BodyText"/>
        <w:spacing w:line="480" w:lineRule="auto"/>
        <w:ind w:firstLine="720"/>
      </w:pPr>
      <w:r>
        <w:t xml:space="preserve">Transparency in place of exogeneity is the pinning logic. There is no instrument and no natural experiment. Pinning rests instead on the fact that every variable is built deterministically from logged source metadata, so the path from raw record to regressor is fully auditable and reproducible</w:t>
      </w:r>
      <w:r>
        <w:t xml:space="preserve"> </w:t>
      </w:r>
      <w:hyperlink w:anchor="ref-1">
        <w:r>
          <w:rPr>
            <w:rStyle w:val="Hyperlink"/>
          </w:rPr>
          <w:t xml:space="preserve">[1]</w:t>
        </w:r>
      </w:hyperlink>
      <w:r>
        <w:t xml:space="preserve">. A reader who disputes the coding can recompute it. That auditability is what lets the coefficients read as proof about corpus pattern rather than as artifacts of analyst leeway.</w:t>
      </w:r>
    </w:p>
    <w:bookmarkEnd w:id="96"/>
    <w:bookmarkStart w:id="97" w:name="estimator-two-the-log-log-learning-curve"/>
    <w:p>
      <w:pPr>
        <w:pStyle w:val="Heading2"/>
        <w:spacing w:line="480" w:lineRule="auto"/>
      </w:pPr>
      <w:r>
        <w:t xml:space="preserve">4.2 Estimator two: the log-log learning curve</w:t>
      </w:r>
    </w:p>
    <w:p>
      <w:pPr>
        <w:pStyle w:val="FirstParagraph"/>
        <w:spacing w:line="480" w:lineRule="auto"/>
      </w:pPr>
      <w:r>
        <w:t xml:space="preserve">The second model estimates how citation notice piles up with the age of a record.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CitesPlus1 is the reported citation count plus one, the plus-one folded in so the logarithm stays defined for the many uncited records in the pack. AgeIndex is 2026 minus the publication year plus one, so a 2026 paper has age one and a 2009 paper has age eighteen. The model is fit with the same HC1 robust standard errors</w:t>
      </w:r>
      <w:r>
        <w:t xml:space="preserve"> </w:t>
      </w:r>
      <w:hyperlink w:anchor="ref-6">
        <w:r>
          <w:rPr>
            <w:rStyle w:val="Hyperlink"/>
          </w:rPr>
          <w:t xml:space="preserve">[6]</w:t>
        </w:r>
      </w:hyperlink>
      <w:r>
        <w:t xml:space="preserve">.</w:t>
      </w:r>
    </w:p>
    <w:p>
      <w:pPr>
        <w:pStyle w:val="BodyText"/>
        <w:spacing w:line="480" w:lineRule="auto"/>
        <w:ind w:firstLine="720"/>
      </w:pPr>
      <w:r>
        <w:t xml:space="preserve">The log-log form is no ornament. Its slope coefficient is an elasticity, the percentage change in citations-plus-one tied to a one-percent change in article age. Casting the accumulation bond as an elasticity lets the result stack against the learning-curve hunch head-on. A positive elasticity means older records carry more notice, the routine pattern of a settled field. A slope near zero or negative means the usual accumulation behavior is gone or flipped, which diagnoses a young or mixed subject</w:t>
      </w:r>
      <w:r>
        <w:t xml:space="preserve"> </w:t>
      </w:r>
      <w:hyperlink w:anchor="ref-9">
        <w:r>
          <w:rPr>
            <w:rStyle w:val="Hyperlink"/>
          </w:rPr>
          <w:t xml:space="preserve">[9]</w:t>
        </w:r>
      </w:hyperlink>
      <w:r>
        <w:t xml:space="preserve">. The functional form also throws off a progress-ratio reading, the factor by which citations-plus-one scale as age doubles, which lends a second, plainer grip on the same coefficient.</w:t>
      </w:r>
    </w:p>
    <w:p>
      <w:pPr>
        <w:pStyle w:val="BodyText"/>
        <w:spacing w:line="480" w:lineRule="auto"/>
        <w:ind w:firstLine="720"/>
      </w:pPr>
      <w:r>
        <w:t xml:space="preserve">This estimator catches the age-notice gradient within the corpus and nothing past it. It does not catch why any one paper is cited, and it does not part genuine intellectual sway from the mechanical fact that older papers have simply banked more calendar time to be spotted. The design handles the elasticity as a shape parameter for the corpus, handy for placing the subject on a ripeness gradient, not as a gauge of any paper’s worth.</w:t>
      </w:r>
    </w:p>
    <w:bookmarkEnd w:id="97"/>
    <w:bookmarkStart w:id="98" w:name="Xaf510c7f104000099a950c12d6b1815942cfbde"/>
    <w:p>
      <w:pPr>
        <w:pStyle w:val="Heading2"/>
        <w:spacing w:line="480" w:lineRule="auto"/>
      </w:pPr>
      <w:r>
        <w:t xml:space="preserve">4.2a Robust standard errors and why they matter here</w:t>
      </w:r>
    </w:p>
    <w:p>
      <w:pPr>
        <w:pStyle w:val="FirstParagraph"/>
        <w:spacing w:line="480" w:lineRule="auto"/>
      </w:pPr>
      <w:r>
        <w:t xml:space="preserve">Both models run heteroskedasticity-robust HC1 standard errors rather than the classical kind, and the pick is not cosmetic. The signal-score outcome is a bounded count that behaves very differently across venue families: the applied proceedings throw off a wide spread of scores while several journal records huddle near the floor. Error variance that shifts with the predictors breaks the constant-variance assumption behind classical standard errors, and running them anyway would yield precision estimates too rosy in some stretches of the data and too grim in others</w:t>
      </w:r>
      <w:r>
        <w:t xml:space="preserve"> </w:t>
      </w:r>
      <w:hyperlink w:anchor="ref-4">
        <w:r>
          <w:rPr>
            <w:rStyle w:val="Hyperlink"/>
          </w:rPr>
          <w:t xml:space="preserve">[4]</w:t>
        </w:r>
      </w:hyperlink>
      <w:r>
        <w:t xml:space="preserve">. The HC1 correction loosens the constant-variance assumption and lets each observation’s residual feed the variance estimate, which yields inference more honest about how far the coefficients can actually be trusted. For a small corpus where every claim leans on precision, that honesty is worth the slight loss of efficiency the robust estimator costs.</w:t>
      </w:r>
    </w:p>
    <w:bookmarkEnd w:id="98"/>
    <w:bookmarkStart w:id="99" w:name="why-two-estimators-rather-than-one"/>
    <w:p>
      <w:pPr>
        <w:pStyle w:val="Heading2"/>
        <w:spacing w:line="480" w:lineRule="auto"/>
      </w:pPr>
      <w:r>
        <w:t xml:space="preserve">4.3 Why two estimators rather than one</w:t>
      </w:r>
    </w:p>
    <w:p>
      <w:pPr>
        <w:pStyle w:val="FirstParagraph"/>
        <w:spacing w:line="480" w:lineRule="auto"/>
      </w:pPr>
      <w:r>
        <w:t xml:space="preserve">The two models complement, they do not double up, since they probe different faces of the same firming question. Signal intensity asks whether the topical content of records is patterned by time, notice, and outlet. Citation accumulation asks whether notice itself behaves like a ripening field’s notice. A subject could plausibly show one without the other. Say signal intensity is patterned while citation accumulation is flat: then the field is turning out coherent recent work not yet taken up. Say the reverse, accumulation orderly while signal intensity is unpatterned: then notice is flowing in familiar patterns to records that only brush the candidate theme</w:t>
      </w:r>
      <w:r>
        <w:t xml:space="preserve"> </w:t>
      </w:r>
      <w:hyperlink w:anchor="ref-14">
        <w:r>
          <w:rPr>
            <w:rStyle w:val="Hyperlink"/>
          </w:rPr>
          <w:t xml:space="preserve">[14]</w:t>
        </w:r>
      </w:hyperlink>
      <w:r>
        <w:t xml:space="preserve">. Running both estimators lets the discussion in Chapter 7 part these cases rather than fold them together.</w:t>
      </w:r>
    </w:p>
    <w:bookmarkEnd w:id="99"/>
    <w:bookmarkStart w:id="100" w:name="X4c96b3c17477f7ee410e0991af142db5d90bc65"/>
    <w:p>
      <w:pPr>
        <w:pStyle w:val="Heading2"/>
        <w:spacing w:line="480" w:lineRule="auto"/>
      </w:pPr>
      <w:r>
        <w:t xml:space="preserve">4.3a Assumptions of each estimator, stated plainly</w:t>
      </w:r>
    </w:p>
    <w:p>
      <w:pPr>
        <w:pStyle w:val="FirstParagraph"/>
        <w:spacing w:line="480" w:lineRule="auto"/>
      </w:pPr>
      <w:r>
        <w:t xml:space="preserve">Every estimator hauls assumptions, and naming them is part of pinning rather than an afterthought to it. The ordinary least squares model presumes that the tie between predictors and outcome is linear and additive, that the errors carry zero conditional mean, and, for the reported inference, that any heteroskedasticity is handled by the robust correction rather than by a kept constant-variance assumption. Linearity is the assumption most worth eyeing here, since signal score is a small bounded count and a strictly linear model can forecast values past its observed range for extreme predictor mixes</w:t>
      </w:r>
      <w:r>
        <w:t xml:space="preserve"> </w:t>
      </w:r>
      <w:hyperlink w:anchor="ref-4">
        <w:r>
          <w:rPr>
            <w:rStyle w:val="Hyperlink"/>
          </w:rPr>
          <w:t xml:space="preserve">[4]</w:t>
        </w:r>
      </w:hyperlink>
      <w:r>
        <w:t xml:space="preserve">. The design swallows the linear form as an approximation good enough for a screen, not as a claim that the true tie runs linear, and Chapter 7 logs the specification dependence this breeds.</w:t>
      </w:r>
    </w:p>
    <w:p>
      <w:pPr>
        <w:pStyle w:val="BodyText"/>
        <w:spacing w:line="480" w:lineRule="auto"/>
        <w:ind w:firstLine="720"/>
      </w:pPr>
      <w:r>
        <w:t xml:space="preserve">The log-log model presumes that the elasticity between age and citations-plus-one holds constant across the age span, and that the log transformation is the right scale on which the tie runs linear. Both assumptions run strong. A constant elasticity means the same percentage change in age throws off the same percentage change in citations whether a paper is one year old or eighteen, which is a smooth idealization of a citation process almost surely lumpier</w:t>
      </w:r>
      <w:r>
        <w:t xml:space="preserve"> </w:t>
      </w:r>
      <w:hyperlink w:anchor="ref-9">
        <w:r>
          <w:rPr>
            <w:rStyle w:val="Hyperlink"/>
          </w:rPr>
          <w:t xml:space="preserve">[9]</w:t>
        </w:r>
      </w:hyperlink>
      <w:r>
        <w:t xml:space="preserve">. The plus-one tweak, folded in so the logarithm stays defined for uncited records, also squeezes the many zeros into a single point, which caps what the model can learn from the uncited majority. The design runs the log-log form because its elasticity reading is readable and comparable, and it handles the resulting estimate as a shape summary rather than a precise law.</w:t>
      </w:r>
    </w:p>
    <w:bookmarkEnd w:id="100"/>
    <w:bookmarkStart w:id="101" w:name="Xec3af19b640aa339e2b8c61b99f623654c81432"/>
    <w:p>
      <w:pPr>
        <w:pStyle w:val="Heading2"/>
        <w:spacing w:line="480" w:lineRule="auto"/>
      </w:pPr>
      <w:r>
        <w:t xml:space="preserve">4.3b What a diagnostic pass would and would not add</w:t>
      </w:r>
    </w:p>
    <w:p>
      <w:pPr>
        <w:pStyle w:val="FirstParagraph"/>
        <w:spacing w:line="480" w:lineRule="auto"/>
      </w:pPr>
      <w:r>
        <w:t xml:space="preserve">A fuller study would run formal diagnostics: residual plots, influence measures, tests for the functional form. At thirty records those diagnostics carry limited worth, since a single influential record can swing them, and the corpus runs small enough that the influential records are already known from the descriptive tour in Chapter 5</w:t>
      </w:r>
      <w:r>
        <w:t xml:space="preserve"> </w:t>
      </w:r>
      <w:hyperlink w:anchor="ref-10">
        <w:r>
          <w:rPr>
            <w:rStyle w:val="Hyperlink"/>
          </w:rPr>
          <w:t xml:space="preserve">[10]</w:t>
        </w:r>
      </w:hyperlink>
      <w:r>
        <w:t xml:space="preserve">. So the design leans on transparency rather than on a battery of tests. Every record is in view, the two heavily cited journal records that drive the accumulation model are named outright, and a reader can watch the leverage points straight off rather than infer them from a diagnostic statistic. For a small auditable corpus this is the more honest stance: show the data that moves the result rather than certify it with tests the sample cannot carry.</w:t>
      </w:r>
    </w:p>
    <w:bookmarkEnd w:id="101"/>
    <w:bookmarkStart w:id="102" w:name="what-the-identification-cannot-deliver"/>
    <w:p>
      <w:pPr>
        <w:pStyle w:val="Heading2"/>
        <w:spacing w:line="480" w:lineRule="auto"/>
      </w:pPr>
      <w:r>
        <w:t xml:space="preserve">4.4 What the identification cannot deliver</w:t>
      </w:r>
    </w:p>
    <w:p>
      <w:pPr>
        <w:pStyle w:val="FirstParagraph"/>
        <w:spacing w:line="480" w:lineRule="auto"/>
      </w:pPr>
      <w:r>
        <w:t xml:space="preserve">Honesty about pinning is the point of this section, so the limits are stated flatly. The design cannot deliver a causal effect of aboard authority on uplink assurance, since it watches documents and not vehicles</w:t>
      </w:r>
      <w:r>
        <w:t xml:space="preserve"> </w:t>
      </w:r>
      <w:hyperlink w:anchor="ref-5">
        <w:r>
          <w:rPr>
            <w:rStyle w:val="Hyperlink"/>
          </w:rPr>
          <w:t xml:space="preserve">[5]</w:t>
        </w:r>
      </w:hyperlink>
      <w:r>
        <w:t xml:space="preserve">. It cannot deliver field-wide inference, since the citation counts are local index readings from the gathered pack rather than universal citation sums; a paper logged here as uncited may run well cited in a database this pack never taps. It cannot deliver a clean venue effect, since venue family is ordinal and tied to publication era, so the venue and recency coefficients partly vie to explain the same variance</w:t>
      </w:r>
      <w:r>
        <w:t xml:space="preserve"> </w:t>
      </w:r>
      <w:hyperlink w:anchor="ref-2">
        <w:r>
          <w:rPr>
            <w:rStyle w:val="Hyperlink"/>
          </w:rPr>
          <w:t xml:space="preserve">[2]</w:t>
        </w:r>
      </w:hyperlink>
      <w:r>
        <w:t xml:space="preserve">. And with thirty records, the models carry limited power, which means an imprecise coefficient is genuinely uninformative rather than secretly meaningful.</w:t>
      </w:r>
    </w:p>
    <w:p>
      <w:pPr>
        <w:pStyle w:val="BodyText"/>
        <w:spacing w:line="480" w:lineRule="auto"/>
        <w:ind w:firstLine="720"/>
      </w:pPr>
      <w:r>
        <w:t xml:space="preserve">A word on the estimand-versus-estimate split closes the pinning argument. The estimand is the thing the model aims at in the population of interest; the estimate is the number the sample hands back. For the signal model the estimand is a partial descriptive tie within a corpus of this kind, and the estimate is whatever the thirty records yield. The design never lets the estimate pose as an answer to a larger estimand than the one pinned. No coefficient here reads as the effect of self-direction on assurance, since that is not the estimand any of these models aims at</w:t>
      </w:r>
      <w:r>
        <w:t xml:space="preserve"> </w:t>
      </w:r>
      <w:hyperlink w:anchor="ref-5">
        <w:r>
          <w:rPr>
            <w:rStyle w:val="Hyperlink"/>
          </w:rPr>
          <w:t xml:space="preserve">[5]</w:t>
        </w:r>
      </w:hyperlink>
      <w:r>
        <w:t xml:space="preserve">. The models aim at the shape of a gathered scholarship, and that is the only quantity their estimates may speak to. Being plain about the estimand is what heads off the familiar overreach in which a modest descriptive regression gets quietly promoted into a causal verdict.</w:t>
      </w:r>
    </w:p>
    <w:p>
      <w:pPr>
        <w:pStyle w:val="BodyText"/>
        <w:spacing w:line="480" w:lineRule="auto"/>
        <w:ind w:firstLine="720"/>
      </w:pPr>
      <w:r>
        <w:t xml:space="preserve">These limits are not flaws to bury. They are the boundary the design draws around its own claims. The estimators are screens that show whether the gathered corpus holds the pattern a firming subject would carry, reported with enough precision word that a reader can watch where the proof runs strong and where it thins.</w:t>
      </w:r>
    </w:p>
    <w:bookmarkEnd w:id="102"/>
    <w:bookmarkStart w:id="103" w:name="X1c5865e0b9579787e5b96fed58dcb62b69dc174"/>
    <w:p>
      <w:pPr>
        <w:pStyle w:val="Heading2"/>
        <w:spacing w:line="480" w:lineRule="auto"/>
      </w:pPr>
      <w:r>
        <w:t xml:space="preserve">4.5 How the two models map onto the hypotheses</w:t>
      </w:r>
    </w:p>
    <w:p>
      <w:pPr>
        <w:pStyle w:val="FirstParagraph"/>
        <w:spacing w:line="480" w:lineRule="auto"/>
      </w:pPr>
      <w:r>
        <w:t xml:space="preserve">It pays to shut the methodology by mapping the estimators back onto the hypotheses of Chapter 3, so the reader sees the join before reaching the results. The signal model tests the first half of H1 head-on: its recency, citation, and venue coefficients are the coefficients whose precision decides whether topic-signal intensity is patterned by those three features</w:t>
      </w:r>
      <w:r>
        <w:t xml:space="preserve"> </w:t>
      </w:r>
      <w:hyperlink w:anchor="ref-4">
        <w:r>
          <w:rPr>
            <w:rStyle w:val="Hyperlink"/>
          </w:rPr>
          <w:t xml:space="preserve">[4]</w:t>
        </w:r>
      </w:hyperlink>
      <w:r>
        <w:t xml:space="preserve">. A precise nonzero coefficient on any of them rejects the matching piece of H0; a cluster of imprecise coefficients leaves H0 standing. The accumulation model tests the second half of H1: its age elasticity is the coefficient whose sign and precision decide whether citation accumulation trails a measurable age curve</w:t>
      </w:r>
      <w:r>
        <w:t xml:space="preserve"> </w:t>
      </w:r>
      <w:hyperlink w:anchor="ref-6">
        <w:r>
          <w:rPr>
            <w:rStyle w:val="Hyperlink"/>
          </w:rPr>
          <w:t xml:space="preserve">[6]</w:t>
        </w:r>
      </w:hyperlink>
      <w:r>
        <w:t xml:space="preserve">. A precise positive elasticity would uphold the routine pile-up of a settled field; an imprecise or negative one would fail to reject the null of no age pattern.</w:t>
      </w:r>
    </w:p>
    <w:p>
      <w:pPr>
        <w:pStyle w:val="BodyText"/>
        <w:spacing w:line="480" w:lineRule="auto"/>
        <w:ind w:firstLine="720"/>
      </w:pPr>
      <w:r>
        <w:t xml:space="preserve">Chosen one-to-one, the mapping asks no coefficient to pull double duty. Each hypothesis piece has a named coefficient, and each coefficient’s precision is the pre-pledged arbiter of that piece</w:t>
      </w:r>
      <w:r>
        <w:t xml:space="preserve"> </w:t>
      </w:r>
      <w:hyperlink w:anchor="ref-1">
        <w:r>
          <w:rPr>
            <w:rStyle w:val="Hyperlink"/>
          </w:rPr>
          <w:t xml:space="preserve">[1]</w:t>
        </w:r>
      </w:hyperlink>
      <w:r>
        <w:t xml:space="preserve">. That tight match is what lets Chapter 6 read the output almost mechanically: for each coefficient, state the value, state the precision, run the interpretive rule. There is no room in the design for a coefficient to be re-read after the fact to rescue a hypothesis, since the join between coefficient and claim was fixed before the numbers were seen.</w:t>
      </w:r>
    </w:p>
    <w:bookmarkEnd w:id="103"/>
    <w:bookmarkStart w:id="104" w:name="X9194276fb374c090090851e335fe89aaaabb41e"/>
    <w:p>
      <w:pPr>
        <w:pStyle w:val="Heading2"/>
        <w:spacing w:line="480" w:lineRule="auto"/>
      </w:pPr>
      <w:r>
        <w:t xml:space="preserve">4.5a Estimators that were considered and set aside</w:t>
      </w:r>
    </w:p>
    <w:p>
      <w:pPr>
        <w:pStyle w:val="FirstParagraph"/>
        <w:spacing w:line="480" w:lineRule="auto"/>
      </w:pPr>
      <w:r>
        <w:t xml:space="preserve">Part of justifying two plain estimators is showing that richer ones were weighed and turned down for reasons the sample forces rather than for ease. A count model, Poisson or negative-binomial regression say, is the textbook pick for a bounded non-negative outcome like signal score, and it was weighed</w:t>
      </w:r>
      <w:r>
        <w:t xml:space="preserve"> </w:t>
      </w:r>
      <w:hyperlink w:anchor="ref-4">
        <w:r>
          <w:rPr>
            <w:rStyle w:val="Hyperlink"/>
          </w:rPr>
          <w:t xml:space="preserve">[4]</w:t>
        </w:r>
      </w:hyperlink>
      <w:r>
        <w:t xml:space="preserve">. It was turned down because at thirty records the count model’s edge over ordinary least squares runs largely theoretical, its coefficients are stiffer for a reader to check by hand, and its added assumptions about the conditional variance would swap one readability problem for another. The linear model, read as an approximation and reported with robust standard errors, keeps the inference inspectable, which the design prizes over the slim efficiency a count model might buy on so few observations.</w:t>
      </w:r>
    </w:p>
    <w:p>
      <w:pPr>
        <w:pStyle w:val="BodyText"/>
        <w:spacing w:line="480" w:lineRule="auto"/>
        <w:ind w:firstLine="720"/>
      </w:pPr>
      <w:r>
        <w:t xml:space="preserve">A topic model or co-citation network was the natural richer pick for the accumulation question, and it too was turned down</w:t>
      </w:r>
      <w:r>
        <w:t xml:space="preserve"> </w:t>
      </w:r>
      <w:hyperlink w:anchor="ref-12">
        <w:r>
          <w:rPr>
            <w:rStyle w:val="Hyperlink"/>
          </w:rPr>
          <w:t xml:space="preserve">[12]</w:t>
        </w:r>
      </w:hyperlink>
      <w:r>
        <w:t xml:space="preserve">. A corpus of thirty records cannot carry a latent-topic breakdown or a co-citation graph without inventing pattern the data do not hold; both methods would return elaborate output whose steadiness no reader could check against the raw records. The log-log learning curve, by contrast, rests on a single elasticity a reader can recompute from two columns of the workbook</w:t>
      </w:r>
      <w:r>
        <w:t xml:space="preserve"> </w:t>
      </w:r>
      <w:hyperlink w:anchor="ref-6">
        <w:r>
          <w:rPr>
            <w:rStyle w:val="Hyperlink"/>
          </w:rPr>
          <w:t xml:space="preserve">[6]</w:t>
        </w:r>
      </w:hyperlink>
      <w:r>
        <w:t xml:space="preserve">. The design’s governing rule is that an estimator earns its seat only where a skeptic can audit it by hand, and that rule strikes out every method whose apparent sophistication the sample cannot honestly bear</w:t>
      </w:r>
      <w:r>
        <w:t xml:space="preserve"> </w:t>
      </w:r>
      <w:hyperlink w:anchor="ref-10">
        <w:r>
          <w:rPr>
            <w:rStyle w:val="Hyperlink"/>
          </w:rPr>
          <w:t xml:space="preserve">[10]</w:t>
        </w:r>
      </w:hyperlink>
      <w:r>
        <w:t xml:space="preserve">. Picking the plain estimators is therefore no limitation grudgingly swallowed but a discipline chosen on purpose, and it is the same discipline the interpretive rule presses on the coefficients those estimators return.</w:t>
      </w:r>
    </w:p>
    <w:p>
      <w:pPr>
        <w:pStyle w:val="BodyText"/>
        <w:spacing w:line="480" w:lineRule="auto"/>
        <w:ind w:firstLine="720"/>
      </w:pPr>
      <w:r>
        <w:t xml:space="preserve">A skeptic can check every step. That is the whole point.</w:t>
      </w:r>
    </w:p>
    <w:bookmarkEnd w:id="104"/>
    <w:bookmarkStart w:id="105" w:name="summary-of-the-identification-argument"/>
    <w:p>
      <w:pPr>
        <w:pStyle w:val="Heading2"/>
        <w:spacing w:line="480" w:lineRule="auto"/>
      </w:pPr>
      <w:r>
        <w:t xml:space="preserve">4.6 Summary of the identification argument</w:t>
      </w:r>
    </w:p>
    <w:p>
      <w:pPr>
        <w:pStyle w:val="FirstParagraph"/>
        <w:spacing w:line="480" w:lineRule="auto"/>
      </w:pPr>
      <w:r>
        <w:t xml:space="preserve">The pinning argument boils down to a single principle: transparency in place of exogeneity. The design holds no instrument and no experiment, so it claims no causal pinning</w:t>
      </w:r>
      <w:r>
        <w:t xml:space="preserve"> </w:t>
      </w:r>
      <w:hyperlink w:anchor="ref-5">
        <w:r>
          <w:rPr>
            <w:rStyle w:val="Hyperlink"/>
          </w:rPr>
          <w:t xml:space="preserve">[5]</w:t>
        </w:r>
      </w:hyperlink>
      <w:r>
        <w:t xml:space="preserve">. What it claims instead is that every variable is built deterministically from logged metadata, every estimator is plain enough to check by hand, every coefficient is mapped to a pre-pledged hypothesis piece, and every reading is fastened to precision in advance. That chain of transparency is what lets the descriptive coefficients read as trustworthy proof about corpus pattern.</w:t>
      </w:r>
    </w:p>
    <w:bookmarkEnd w:id="105"/>
    <w:bookmarkStart w:id="106" w:name="a-note-on-reproducibility"/>
    <w:p>
      <w:pPr>
        <w:pStyle w:val="Heading2"/>
        <w:spacing w:line="480" w:lineRule="auto"/>
      </w:pPr>
      <w:r>
        <w:t xml:space="preserve">4.7 A note on reproducibility</w:t>
      </w:r>
    </w:p>
    <w:p>
      <w:pPr>
        <w:pStyle w:val="FirstParagraph"/>
        <w:spacing w:line="480" w:lineRule="auto"/>
      </w:pPr>
      <w:r>
        <w:t xml:space="preserve">Reproducibility is the working test of the transparency claim, and the design is built to pass it. Because every variable trails a fixed arithmetic rule over logged metadata, and because every estimator is a standard fit with a named standard-error correction, a second analyst opening from the same records would recover the same coefficients</w:t>
      </w:r>
      <w:r>
        <w:t xml:space="preserve"> </w:t>
      </w:r>
      <w:hyperlink w:anchor="ref-1">
        <w:r>
          <w:rPr>
            <w:rStyle w:val="Hyperlink"/>
          </w:rPr>
          <w:t xml:space="preserve">[1]</w:t>
        </w:r>
      </w:hyperlink>
      <w:r>
        <w:t xml:space="preserve">. There are no tuning picks, no discretionary sample cuts, and no buried preprocessing steps a replication would have to guess at. The formulas sit in the paper configuration files, the records carry their sources, and the estimator settings are named</w:t>
      </w:r>
      <w:r>
        <w:t xml:space="preserve"> </w:t>
      </w:r>
      <w:hyperlink w:anchor="ref-4">
        <w:r>
          <w:rPr>
            <w:rStyle w:val="Hyperlink"/>
          </w:rPr>
          <w:t xml:space="preserve">[4]</w:t>
        </w:r>
      </w:hyperlink>
      <w:r>
        <w:t xml:space="preserve">. This is a purposely low bar to clear, and clearing it is the point: a design-stage screen earns trust not through methodological sophistication but through the plainness that lets anyone re-run it and check. Chapter 5 records the dataset the estimators run over, and Chapter 6 delivers their output without a single number altered.</w:t>
      </w:r>
    </w:p>
    <w:p>
      <w:pPr>
        <w:pStyle w:val="BodyText"/>
        <w:spacing w:line="480" w:lineRule="auto"/>
        <w:ind w:firstLine="720"/>
      </w:pPr>
      <w:r>
        <w:t xml:space="preserve">The methodology boils down to one sentence per estimator. The ordinary least squares model asks whether a record’s topical centrality, gauged as signal score, is partially tied to its recency, its local citation notice, and its venue family, and it reports each tie with robust precision so a reader can watch which are real</w:t>
      </w:r>
      <w:r>
        <w:t xml:space="preserve"> </w:t>
      </w:r>
      <w:hyperlink w:anchor="ref-4">
        <w:r>
          <w:rPr>
            <w:rStyle w:val="Hyperlink"/>
          </w:rPr>
          <w:t xml:space="preserve">[4]</w:t>
        </w:r>
      </w:hyperlink>
      <w:r>
        <w:t xml:space="preserve">. The log-log model asks whether citation notice scales with article age as an elasticity, and it reports that elasticity with the same robustness so a reader can watch whether the routine accumulation of a settled field is present</w:t>
      </w:r>
      <w:r>
        <w:t xml:space="preserve"> </w:t>
      </w:r>
      <w:hyperlink w:anchor="ref-6">
        <w:r>
          <w:rPr>
            <w:rStyle w:val="Hyperlink"/>
          </w:rPr>
          <w:t xml:space="preserve">[6]</w:t>
        </w:r>
      </w:hyperlink>
      <w:r>
        <w:t xml:space="preserve">. Neither sentence holds the word cause, and that omission is chosen. The estimators describe a corpus; they do not explain a spacecraft</w:t>
      </w:r>
      <w:r>
        <w:t xml:space="preserve"> </w:t>
      </w:r>
      <w:hyperlink w:anchor="ref-5">
        <w:r>
          <w:rPr>
            <w:rStyle w:val="Hyperlink"/>
          </w:rPr>
          <w:t xml:space="preserve">[5]</w:t>
        </w:r>
      </w:hyperlink>
      <w:r>
        <w:t xml:space="preserve">. Keeping to that limit through the results and discussion is the discipline the whole methodology was built to press.</w:t>
      </w:r>
    </w:p>
    <w:bookmarkEnd w:id="106"/>
    <w:bookmarkEnd w:id="107"/>
    <w:bookmarkStart w:id="121" w:name="chapter-5.-data-and-measurement"/>
    <w:p>
      <w:pPr>
        <w:pStyle w:val="Heading1"/>
        <w:spacing w:line="480" w:lineRule="auto"/>
      </w:pPr>
      <w:r>
        <w:t xml:space="preserve">Chapter 5. Data and Measurement</w:t>
      </w:r>
    </w:p>
    <w:p>
      <w:pPr>
        <w:pStyle w:val="FirstParagraph"/>
        <w:spacing w:line="480" w:lineRule="auto"/>
      </w:pPr>
      <w:r>
        <w:t xml:space="preserve">Thirty records constitute the dataset. That figure is the first honest fact of this chapter, and everything downstream is cut to fit it. A corpus of thirty gathered sources is ample to screen for pattern and far too slight to certify a field. This chapter records where the thirty records originate, how each variable rises out of them, why the venue coding takes the form it does, and what provenance rigor keeps the workbook auditable from raw source through to regressor.</w:t>
      </w:r>
    </w:p>
    <w:bookmarkStart w:id="108" w:name="why-a-small-deterministic-corpus"/>
    <w:p>
      <w:pPr>
        <w:pStyle w:val="Heading2"/>
        <w:spacing w:line="480" w:lineRule="auto"/>
      </w:pPr>
      <w:r>
        <w:t xml:space="preserve">5.0 Why a small deterministic corpus</w:t>
      </w:r>
    </w:p>
    <w:p>
      <w:pPr>
        <w:pStyle w:val="FirstParagraph"/>
        <w:spacing w:line="480" w:lineRule="auto"/>
      </w:pPr>
      <w:r>
        <w:t xml:space="preserve">A reader might fairly wonder why a doctoral design would perch on thirty records rather than three thousand. Because the effort swaps reach for auditability on purpose. A big scraped corpus would grant statistical power while forfeiting the property that counts most here, that every single row can be traced by hand back to its source and every variable recomputed from a logged rule</w:t>
      </w:r>
      <w:r>
        <w:t xml:space="preserve"> </w:t>
      </w:r>
      <w:hyperlink w:anchor="ref-1">
        <w:r>
          <w:rPr>
            <w:rStyle w:val="Hyperlink"/>
          </w:rPr>
          <w:t xml:space="preserve">[1]</w:t>
        </w:r>
      </w:hyperlink>
      <w:r>
        <w:t xml:space="preserve">. At design stage, when the aim is to settle whether a subject holds pattern enough to warrant a weightier study, a fully inspectable small corpus outweighs a big opaque one. The small corpus is a chosen instrument, not a resource shortfall, and the estimators are picked and read with its size in mind throughout.</w:t>
      </w:r>
    </w:p>
    <w:bookmarkEnd w:id="108"/>
    <w:bookmarkStart w:id="109" w:name="composition-of-the-corpus"/>
    <w:p>
      <w:pPr>
        <w:pStyle w:val="Heading2"/>
        <w:spacing w:line="480" w:lineRule="auto"/>
      </w:pPr>
      <w:r>
        <w:t xml:space="preserve">5.1 Composition of the corpus</w:t>
      </w:r>
    </w:p>
    <w:p>
      <w:pPr>
        <w:pStyle w:val="FirstParagraph"/>
        <w:spacing w:line="480" w:lineRule="auto"/>
      </w:pPr>
      <w:r>
        <w:t xml:space="preserve">The thirty records were gathered as the candidate corpus for uplink assurance under self-direction and its neighboring operational scholarship. They run across publication years from 2009 to 2026, and they land in three venue families of uneven size. Twelve records hail from applied conference proceedings, chiefly the space surveillance and self-direction community, among them plug-and-play avionics for cooperative self-direction</w:t>
      </w:r>
      <w:r>
        <w:t xml:space="preserve"> </w:t>
      </w:r>
      <w:hyperlink w:anchor="ref-2">
        <w:r>
          <w:rPr>
            <w:rStyle w:val="Hyperlink"/>
          </w:rPr>
          <w:t xml:space="preserve">[2]</w:t>
        </w:r>
      </w:hyperlink>
      <w:r>
        <w:t xml:space="preserve">, a debris-dodging self-direction benchmark</w:t>
      </w:r>
      <w:r>
        <w:t xml:space="preserve"> </w:t>
      </w:r>
      <w:hyperlink w:anchor="ref-3">
        <w:r>
          <w:rPr>
            <w:rStyle w:val="Hyperlink"/>
          </w:rPr>
          <w:t xml:space="preserve">[3]</w:t>
        </w:r>
      </w:hyperlink>
      <w:r>
        <w:t xml:space="preserve">, and virtualized ground-station work on cutting decision time</w:t>
      </w:r>
      <w:r>
        <w:t xml:space="preserve"> </w:t>
      </w:r>
      <w:hyperlink w:anchor="ref-6">
        <w:r>
          <w:rPr>
            <w:rStyle w:val="Hyperlink"/>
          </w:rPr>
          <w:t xml:space="preserve">[6]</w:t>
        </w:r>
      </w:hyperlink>
      <w:r>
        <w:t xml:space="preserve">. Twelve hail from archival journal scholarship, among them collision-dodging manoeuvre design surveys</w:t>
      </w:r>
      <w:r>
        <w:t xml:space="preserve"> </w:t>
      </w:r>
      <w:hyperlink w:anchor="ref-10">
        <w:r>
          <w:rPr>
            <w:rStyle w:val="Hyperlink"/>
          </w:rPr>
          <w:t xml:space="preserve">[10]</w:t>
        </w:r>
      </w:hyperlink>
      <w:r>
        <w:t xml:space="preserve">, agent-driven dispersed mission control</w:t>
      </w:r>
      <w:r>
        <w:t xml:space="preserve"> </w:t>
      </w:r>
      <w:hyperlink w:anchor="ref-12">
        <w:r>
          <w:rPr>
            <w:rStyle w:val="Hyperlink"/>
          </w:rPr>
          <w:t xml:space="preserve">[12]</w:t>
        </w:r>
      </w:hyperlink>
      <w:r>
        <w:t xml:space="preserve">, and part-autonomous Mars navigation</w:t>
      </w:r>
      <w:r>
        <w:t xml:space="preserve"> </w:t>
      </w:r>
      <w:hyperlink w:anchor="ref-15">
        <w:r>
          <w:rPr>
            <w:rStyle w:val="Hyperlink"/>
          </w:rPr>
          <w:t xml:space="preserve">[15]</w:t>
        </w:r>
      </w:hyperlink>
      <w:r>
        <w:t xml:space="preserve">. The last six are grey and strategic records, unpublished working papers and analytic notes that touch the governance and economic surround of self-directed operations.</w:t>
      </w:r>
    </w:p>
    <w:p>
      <w:pPr>
        <w:pStyle w:val="BodyText"/>
        <w:spacing w:line="480" w:lineRule="auto"/>
        <w:ind w:firstLine="720"/>
      </w:pPr>
      <w:r>
        <w:t xml:space="preserve">The makeup runs uneven by the design of retrieval rather than by intent, and the tilt matters for reading. Conference records lean older on average, journal records huddle in the last three years, and the grey writing sits at a fixed early-decade vintage in the pack. Because venue family and publication era are tangled this way, Chapter 6 reads the venue and recency coefficients together rather than as free-standing effects, and Chapter 7 names the tangle as a live threat.</w:t>
      </w:r>
    </w:p>
    <w:bookmarkEnd w:id="109"/>
    <w:bookmarkStart w:id="110" w:name="the-outcome-variable-topic-signal-score"/>
    <w:p>
      <w:pPr>
        <w:pStyle w:val="Heading2"/>
        <w:spacing w:line="480" w:lineRule="auto"/>
      </w:pPr>
      <w:r>
        <w:t xml:space="preserve">5.2 The outcome variable: topic-signal score</w:t>
      </w:r>
    </w:p>
    <w:p>
      <w:pPr>
        <w:pStyle w:val="FirstParagraph"/>
        <w:spacing w:line="480" w:lineRule="auto"/>
      </w:pPr>
      <w:r>
        <w:t xml:space="preserve">The primary outcome is the topic-signal score, a deterministic count of how firmly each record registers the candidate theme. Building it is a matter of tallying candidate-theme term hits across four fields of the record: the title, the gathered snippet, the keyword field, and the author metadata. Each hit bumps the score; the result is a small non-negative integer running across the corpus from one, for records grazing the theme only lightly, up to eight, for records dead on topic such as the closed-loop feedback control work for self-direction payloads and the collision-dodging programme update that both score eight in the pack.</w:t>
      </w:r>
    </w:p>
    <w:p>
      <w:pPr>
        <w:pStyle w:val="BodyText"/>
        <w:spacing w:line="480" w:lineRule="auto"/>
        <w:ind w:firstLine="720"/>
      </w:pPr>
      <w:r>
        <w:t xml:space="preserve">Two properties of this build warrant stress. It runs deterministic, so re-tallying the count on the same records yields the same scores, and it runs source-anchored, since every scored record carries a source column pointing to the exact gathered item</w:t>
      </w:r>
      <w:r>
        <w:t xml:space="preserve"> </w:t>
      </w:r>
      <w:hyperlink w:anchor="ref-1">
        <w:r>
          <w:rPr>
            <w:rStyle w:val="Hyperlink"/>
          </w:rPr>
          <w:t xml:space="preserve">[1]</w:t>
        </w:r>
      </w:hyperlink>
      <w:r>
        <w:t xml:space="preserve">. A record with a high signal score is not claimed to be important; it is logged as topically central to this corpus, which is a leaner and sturdier claim</w:t>
      </w:r>
      <w:r>
        <w:t xml:space="preserve"> </w:t>
      </w:r>
      <w:hyperlink w:anchor="ref-4">
        <w:r>
          <w:rPr>
            <w:rStyle w:val="Hyperlink"/>
          </w:rPr>
          <w:t xml:space="preserve">[4]</w:t>
        </w:r>
      </w:hyperlink>
      <w:r>
        <w:t xml:space="preserve">.</w:t>
      </w:r>
    </w:p>
    <w:bookmarkEnd w:id="110"/>
    <w:bookmarkStart w:id="111" w:name="the-predictors"/>
    <w:p>
      <w:pPr>
        <w:pStyle w:val="Heading2"/>
        <w:spacing w:line="480" w:lineRule="auto"/>
      </w:pPr>
      <w:r>
        <w:t xml:space="preserve">5.3 The predictors</w:t>
      </w:r>
    </w:p>
    <w:p>
      <w:pPr>
        <w:pStyle w:val="FirstParagraph"/>
        <w:spacing w:line="480" w:lineRule="auto"/>
      </w:pPr>
      <w:r>
        <w:t xml:space="preserve">Three predictors enter the ordinary least squares model. Recency index is figured as the publication year minus the minimum publication year in the sample plus one, so the oldest record, a 2009 proceeding, takes recency one, and the newest, a 2026 journal article, takes recency eighteen. The transformation runs monotone and keeps the index strictly positive, which counts for the companion log model.</w:t>
      </w:r>
    </w:p>
    <w:p>
      <w:pPr>
        <w:pStyle w:val="BodyText"/>
        <w:spacing w:line="480" w:lineRule="auto"/>
        <w:ind w:firstLine="720"/>
      </w:pPr>
      <w:r>
        <w:t xml:space="preserve">Citation count is the reported figure from the local brain index, set to zero when the index returned no count. This is a within-corpus notice gauge, and its ceiling in the pack runs modest: most records report zero local citations, a handful report low single digits, and two 2023 journal records report the maximum of twenty-one each. That bunching of citations in a few recent journal records is itself a trait of the corpus, and it drives much of what the accumulation model in Chapter 6 can and cannot catch</w:t>
      </w:r>
      <w:r>
        <w:t xml:space="preserve"> </w:t>
      </w:r>
      <w:hyperlink w:anchor="ref-10">
        <w:r>
          <w:rPr>
            <w:rStyle w:val="Hyperlink"/>
          </w:rPr>
          <w:t xml:space="preserve">[10]</w:t>
        </w:r>
      </w:hyperlink>
      <w:r>
        <w:t xml:space="preserve">.</w:t>
      </w:r>
    </w:p>
    <w:p>
      <w:pPr>
        <w:pStyle w:val="BodyText"/>
        <w:spacing w:line="480" w:lineRule="auto"/>
        <w:ind w:firstLine="720"/>
      </w:pPr>
      <w:r>
        <w:t xml:space="preserve">Venue score is the ordinal family code: applied conference proceedings take one, archival journals take two, and grey or strategic writing takes three. The order encodes pipeline position, not quality, and it is handled as ordinal throughout. The design never multiplies or averages venue scores as if the spacing between families carried meaning</w:t>
      </w:r>
      <w:r>
        <w:t xml:space="preserve"> </w:t>
      </w:r>
      <w:hyperlink w:anchor="ref-14">
        <w:r>
          <w:rPr>
            <w:rStyle w:val="Hyperlink"/>
          </w:rPr>
          <w:t xml:space="preserve">[14]</w:t>
        </w:r>
      </w:hyperlink>
      <w:r>
        <w:t xml:space="preserve">.</w:t>
      </w:r>
    </w:p>
    <w:bookmarkEnd w:id="111"/>
    <w:bookmarkStart w:id="112" w:name="X9f364acb008b59f345f2ec9e68b8a0a36b83592"/>
    <w:p>
      <w:pPr>
        <w:pStyle w:val="Heading2"/>
        <w:spacing w:line="480" w:lineRule="auto"/>
      </w:pPr>
      <w:r>
        <w:t xml:space="preserve">5.4 The companion measures for the learning curve</w:t>
      </w:r>
    </w:p>
    <w:p>
      <w:pPr>
        <w:pStyle w:val="FirstParagraph"/>
        <w:spacing w:line="480" w:lineRule="auto"/>
      </w:pPr>
      <w:r>
        <w:t xml:space="preserve">The citation-accumulation model runs two derived measures built from the same records. CitesPlus1 is the reported citation count plus one, the bump folded in so that uncited records, which are the majority, stay defined under the logarithm. AgeIndex is 2026 minus the publication year plus one, granting a 2026 record age one and a 2009 record age eighteen. Both measures run strictly positive by build, which is the minimal condition the log-log estimator wants</w:t>
      </w:r>
      <w:r>
        <w:t xml:space="preserve"> </w:t>
      </w:r>
      <w:hyperlink w:anchor="ref-6">
        <w:r>
          <w:rPr>
            <w:rStyle w:val="Hyperlink"/>
          </w:rPr>
          <w:t xml:space="preserve">[6]</w:t>
        </w:r>
      </w:hyperlink>
      <w:r>
        <w:t xml:space="preserve">. Because most records report zero citations, CitesPlus1 equals one for the bulk of the corpus, and the accumulation model is effectively estimated off the slim subset of records that drew any local notice at all.</w:t>
      </w:r>
    </w:p>
    <w:bookmarkEnd w:id="112"/>
    <w:bookmarkStart w:id="113" w:name="a-a-walk-through-representative-records"/>
    <w:p>
      <w:pPr>
        <w:pStyle w:val="Heading2"/>
        <w:spacing w:line="480" w:lineRule="auto"/>
      </w:pPr>
      <w:r>
        <w:t xml:space="preserve">5.4a A walk through representative records</w:t>
      </w:r>
    </w:p>
    <w:p>
      <w:pPr>
        <w:pStyle w:val="FirstParagraph"/>
        <w:spacing w:line="480" w:lineRule="auto"/>
      </w:pPr>
      <w:r>
        <w:t xml:space="preserve">Naming a few records makes the abstract variables solid. The highest-signal records in the corpus, both scoring eight, are a closed-loop feedback control architecture for self-direction payloads and an update on a space-safety programme built around collision dodging; both are applied proceedings, recent, and thickly on-topic in title and keyword fields, which is exactly the profile the signal coding is meant to reward. At the far end, several journal records score one despite being substantial pieces of work, since their grip on uplink assurance under self-direction runs oblique: a lunar subsurface legged-robot mission concept and a scoping survey of in-space medical emergencies both brush self-direction but not the candidate theme head-on, so their metadata carries few theme-relevant terms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citation extremes teach just as sharply. The two records reporting twenty-one local citations are both 2023 archival journal articles, one an intelligent dispersed satellite systems optimization and one a companion Earth-observation design study, and they carry the corpus’s whole upper tail of notice between them</w:t>
      </w:r>
      <w:r>
        <w:t xml:space="preserve"> </w:t>
      </w:r>
      <w:hyperlink w:anchor="ref-16">
        <w:r>
          <w:rPr>
            <w:rStyle w:val="Hyperlink"/>
          </w:rPr>
          <w:t xml:space="preserve">[16]</w:t>
        </w:r>
      </w:hyperlink>
      <w:r>
        <w:t xml:space="preserve">. The 2009 plug-and-play avionics proceeding, by contrast, is the oldest record in the pack and reports zero local citations, which is precisely the pattern that flattens the age-notice curve: the oldest record holds the least local notice, the inverse of what a settled field would show</w:t>
      </w:r>
      <w:r>
        <w:t xml:space="preserve"> </w:t>
      </w:r>
      <w:hyperlink w:anchor="ref-2">
        <w:r>
          <w:rPr>
            <w:rStyle w:val="Hyperlink"/>
          </w:rPr>
          <w:t xml:space="preserve">[2]</w:t>
        </w:r>
      </w:hyperlink>
      <w:r>
        <w:t xml:space="preserve">. Reading the estimates in Chapter 6 with these named records in mind keeps the coefficients tied to real documents.</w:t>
      </w:r>
    </w:p>
    <w:bookmarkEnd w:id="113"/>
    <w:bookmarkStart w:id="114" w:name="b-the-coding-rules-in-full"/>
    <w:p>
      <w:pPr>
        <w:pStyle w:val="Heading2"/>
        <w:spacing w:line="480" w:lineRule="auto"/>
      </w:pPr>
      <w:r>
        <w:t xml:space="preserve">5.4b The coding rules in full</w:t>
      </w:r>
    </w:p>
    <w:p>
      <w:pPr>
        <w:pStyle w:val="FirstParagraph"/>
        <w:spacing w:line="480" w:lineRule="auto"/>
      </w:pPr>
      <w:r>
        <w:t xml:space="preserve">The variable build trails fixed rules logged in the paper configuration files, and stating them here shuts the audit loop. Signal score bumps by one for each candidate-theme term hit in the title, snippet, keyword field, or author metadata, with no weighting across fields and no partial credit; the count is a plain sum. Recency index is publication year minus the minimum year in the sample plus one, a single arithmetic operation with no rounding or binning. Citation count is taken verbatim from the local index and set to zero on a missing value, never imputed. Venue score is set by a lookup from venue family to the ordinal codes one, two, and three. Age index is 2026 minus publication year plus one, and citations-plus-one is the citation count plus one. None of these rules calls on analyst judgment at the point of coding, which is what makes the whole dataset reproducible from the raw records</w:t>
      </w:r>
      <w:r>
        <w:t xml:space="preserve"> </w:t>
      </w:r>
      <w:hyperlink w:anchor="ref-1">
        <w:r>
          <w:rPr>
            <w:rStyle w:val="Hyperlink"/>
          </w:rPr>
          <w:t xml:space="preserve">[1]</w:t>
        </w:r>
      </w:hyperlink>
      <w:r>
        <w:t xml:space="preserve">. A second coder trailing these rules would produce the same numbers, and that reproducibility is the property the design most wants at this stage.</w:t>
      </w:r>
    </w:p>
    <w:bookmarkEnd w:id="114"/>
    <w:bookmarkStart w:id="115" w:name="provenance-discipline"/>
    <w:p>
      <w:pPr>
        <w:pStyle w:val="Heading2"/>
        <w:spacing w:line="480" w:lineRule="auto"/>
      </w:pPr>
      <w:r>
        <w:t xml:space="preserve">5.5 Provenance discipline</w:t>
      </w:r>
    </w:p>
    <w:p>
      <w:pPr>
        <w:pStyle w:val="FirstParagraph"/>
        <w:spacing w:line="480" w:lineRule="auto"/>
      </w:pPr>
      <w:r>
        <w:t xml:space="preserve">The workbook is built so a skeptical reader can walk backward from any coefficient to a raw record. Every row in both estimation files carries a source column: a digital object identifier for the journal and proceedings records, a resolvable URL for the conference items, and a descriptive citation for the grey writing. No variable is keyed by hand without a logged rule; each rises deterministically out of the source metadata by the definitions in the paper configuration files</w:t>
      </w:r>
      <w:r>
        <w:t xml:space="preserve"> </w:t>
      </w:r>
      <w:hyperlink w:anchor="ref-5">
        <w:r>
          <w:rPr>
            <w:rStyle w:val="Hyperlink"/>
          </w:rPr>
          <w:t xml:space="preserve">[5]</w:t>
        </w:r>
      </w:hyperlink>
      <w:r>
        <w:t xml:space="preserve">. That means the chain from claim to number to record is inspectable end to end, which is the standard the introduction fixed for the whole project.</w:t>
      </w:r>
    </w:p>
    <w:p>
      <w:pPr>
        <w:pStyle w:val="BodyText"/>
        <w:spacing w:line="480" w:lineRule="auto"/>
        <w:ind w:firstLine="720"/>
      </w:pPr>
      <w:r>
        <w:t xml:space="preserve">Provenance rigor also reins in what the grey writing can bear. The six strategic records stay because they mark the governance surround of the subject, but they carry zero local citations and short or bare snippet fields, so their signal scores rest largely on title and author-metadata hits. The design keeps them in the corpus for completeness and docks their weight to match, rather than pretending that an unpublished working note and a peer-reviewed journal article are interchangeable proof</w:t>
      </w:r>
      <w:r>
        <w:t xml:space="preserve"> </w:t>
      </w:r>
      <w:hyperlink w:anchor="ref-14">
        <w:r>
          <w:rPr>
            <w:rStyle w:val="Hyperlink"/>
          </w:rPr>
          <w:t xml:space="preserve">[14]</w:t>
        </w:r>
      </w:hyperlink>
      <w:r>
        <w:t xml:space="preserve">.</w:t>
      </w:r>
    </w:p>
    <w:bookmarkEnd w:id="115"/>
    <w:bookmarkStart w:id="116" w:name="a-descriptive-shape-of-the-variables"/>
    <w:p>
      <w:pPr>
        <w:pStyle w:val="Heading2"/>
        <w:spacing w:line="480" w:lineRule="auto"/>
      </w:pPr>
      <w:r>
        <w:t xml:space="preserve">5.5a Descriptive shape of the variables</w:t>
      </w:r>
    </w:p>
    <w:p>
      <w:pPr>
        <w:pStyle w:val="FirstParagraph"/>
        <w:spacing w:line="480" w:lineRule="auto"/>
      </w:pPr>
      <w:r>
        <w:t xml:space="preserve">A short descriptive tour of the variables makes the estimation chapters easier to read. Recency index runs from one to eighteen, with a heavy right tail: more than half the records came out in 2023 or later, so the corpus leans toward recent work. Signal score huddles low, with most records scoring between one and five and only a few reaching the upper values of six and eight; the distribution runs right-skewed, which is exactly why a robust estimator is run against it</w:t>
      </w:r>
      <w:r>
        <w:t xml:space="preserve"> </w:t>
      </w:r>
      <w:hyperlink w:anchor="ref-4">
        <w:r>
          <w:rPr>
            <w:rStyle w:val="Hyperlink"/>
          </w:rPr>
          <w:t xml:space="preserve">[4]</w:t>
        </w:r>
      </w:hyperlink>
      <w:r>
        <w:t xml:space="preserve">. Local citations are the most lopsided variable of all. The modal value is zero, the median is zero, and the mean is dragged upward only by the two 2023 journal records that each report twenty-one citations</w:t>
      </w:r>
      <w:r>
        <w:t xml:space="preserve"> </w:t>
      </w:r>
      <w:hyperlink w:anchor="ref-10">
        <w:r>
          <w:rPr>
            <w:rStyle w:val="Hyperlink"/>
          </w:rPr>
          <w:t xml:space="preserve">[10]</w:t>
        </w:r>
      </w:hyperlink>
      <w:r>
        <w:t xml:space="preserve">. Venue score takes its three ordinal values in near-equal thirds, twelve proceedings, twelve journals, and six grey records, so no single family swamps the count even though the families split sharply on their other traits.</w:t>
      </w:r>
    </w:p>
    <w:p>
      <w:pPr>
        <w:pStyle w:val="BodyText"/>
        <w:spacing w:line="480" w:lineRule="auto"/>
        <w:ind w:firstLine="720"/>
      </w:pPr>
      <w:r>
        <w:t xml:space="preserve">These shapes count for reading ahead of any estimate. A citation variable that is zero for most records cannot carry fine splits in the accumulation model; it can only part the cited few from the uncited many. A signal variable that runs right-skewed will be sensitive to the handful of high-scoring records, so the signal model’s coefficients are partly a story about what those few records share. Reading the estimates in Chapter 6 against these descriptive shapes keeps the reading rooted in the real distribution rather than in an idealized one.</w:t>
      </w:r>
    </w:p>
    <w:bookmarkEnd w:id="116"/>
    <w:bookmarkStart w:id="117" w:name="X04e258bf14ac920919deee30f04d7ba3fc2e0a9"/>
    <w:p>
      <w:pPr>
        <w:pStyle w:val="Heading2"/>
        <w:spacing w:line="480" w:lineRule="auto"/>
      </w:pPr>
      <w:r>
        <w:t xml:space="preserve">5.6 What the measurement supports and what it does not</w:t>
      </w:r>
    </w:p>
    <w:p>
      <w:pPr>
        <w:pStyle w:val="FirstParagraph"/>
        <w:spacing w:line="480" w:lineRule="auto"/>
      </w:pPr>
      <w:r>
        <w:t xml:space="preserve">The measurement scheme carries a pointed, bounded set of claims. It can say how topically central each record is to this corpus, how recent it is, how much local notice it has drawn, and where it sits in the publication pipeline. Off those, the estimators can test whether the corpus is patterned. The scheme cannot carry claims about universal citation reach, about the safety of any self-directing system, or about the field past the thirty gathered records</w:t>
      </w:r>
      <w:r>
        <w:t xml:space="preserve"> </w:t>
      </w:r>
      <w:hyperlink w:anchor="ref-2">
        <w:r>
          <w:rPr>
            <w:rStyle w:val="Hyperlink"/>
          </w:rPr>
          <w:t xml:space="preserve">[2]</w:t>
        </w:r>
      </w:hyperlink>
      <w:r>
        <w:t xml:space="preserve">. The variables run precise about small things and mute about large ones, and that swap is the price of keeping every number auditable.</w:t>
      </w:r>
    </w:p>
    <w:bookmarkEnd w:id="117"/>
    <w:bookmarkStart w:id="118" w:name="the-corpus-as-a-snapshot-in-time"/>
    <w:p>
      <w:pPr>
        <w:pStyle w:val="Heading2"/>
        <w:spacing w:line="480" w:lineRule="auto"/>
      </w:pPr>
      <w:r>
        <w:t xml:space="preserve">5.7 The corpus as a snapshot in time</w:t>
      </w:r>
    </w:p>
    <w:p>
      <w:pPr>
        <w:pStyle w:val="FirstParagraph"/>
        <w:spacing w:line="480" w:lineRule="auto"/>
      </w:pPr>
      <w:r>
        <w:t xml:space="preserve">One temporal property of the corpus shapes everything downstream and warrants its own note. The pack is a snapshot taken in 2026, and its citation counts are frozen at that moment. A 2025 journal article logged here with a handful of local citations may bank many more over the next three years, and a 2023 article at the top of the present distribution may or may not keep that spot</w:t>
      </w:r>
      <w:r>
        <w:t xml:space="preserve"> </w:t>
      </w:r>
      <w:hyperlink w:anchor="ref-10">
        <w:r>
          <w:rPr>
            <w:rStyle w:val="Hyperlink"/>
          </w:rPr>
          <w:t xml:space="preserve">[10]</w:t>
        </w:r>
      </w:hyperlink>
      <w:r>
        <w:t xml:space="preserve">. So the accumulation model estimates an age-notice bond at one instant, not a behavior that has run to completion. This is not a flaw so much as a definition of what a snapshot can be, but it reins in the reading: the flat age curve found in Chapter 6 describes notice as of 2026, and a later snapshot could show a different shape as the recent cohort ripens</w:t>
      </w:r>
      <w:r>
        <w:t xml:space="preserve"> </w:t>
      </w:r>
      <w:hyperlink w:anchor="ref-6">
        <w:r>
          <w:rPr>
            <w:rStyle w:val="Hyperlink"/>
          </w:rPr>
          <w:t xml:space="preserve">[6]</w:t>
        </w:r>
      </w:hyperlink>
      <w:r>
        <w:t xml:space="preserve">.</w:t>
      </w:r>
    </w:p>
    <w:p>
      <w:pPr>
        <w:pStyle w:val="BodyText"/>
        <w:spacing w:line="480" w:lineRule="auto"/>
        <w:ind w:firstLine="720"/>
      </w:pPr>
      <w:r>
        <w:t xml:space="preserve">The snapshot property also plays against the corpus’s recency lean. Because more than half the records are from 2023 or later, the pack is weighted toward work that has banked little time to gather notice, which mechanically drags down the older-equals-more-cited pattern a settled field would show</w:t>
      </w:r>
      <w:r>
        <w:t xml:space="preserve"> </w:t>
      </w:r>
      <w:hyperlink w:anchor="ref-1">
        <w:r>
          <w:rPr>
            <w:rStyle w:val="Hyperlink"/>
          </w:rPr>
          <w:t xml:space="preserve">[1]</w:t>
        </w:r>
      </w:hyperlink>
      <w:r>
        <w:t xml:space="preserve">. A reader should hold the accumulation result as conditional on this makeup. Had the pack run balanced across eras, the age curve might have looked different, and Chapter 7 lists the recency lean among the threats that shape the findings.</w:t>
      </w:r>
    </w:p>
    <w:bookmarkEnd w:id="118"/>
    <w:bookmarkStart w:id="119" w:name="X5439823c485e476e00e1dd2312c68ff55c56b5b"/>
    <w:p>
      <w:pPr>
        <w:pStyle w:val="Heading2"/>
        <w:spacing w:line="480" w:lineRule="auto"/>
      </w:pPr>
      <w:r>
        <w:t xml:space="preserve">5.7a How the venue families differ beyond their codes</w:t>
      </w:r>
    </w:p>
    <w:p>
      <w:pPr>
        <w:pStyle w:val="FirstParagraph"/>
        <w:spacing w:line="480" w:lineRule="auto"/>
      </w:pPr>
      <w:r>
        <w:t xml:space="preserve">The ordinal venue code squeezes three families into three integers, but the families split in ways the code cannot carry, and those splits shape what the estimators can see. The applied proceedings, coded one, are the oldest cohort on average and the thickest in on-topic vocabulary; their metadata runs rich, their snippet fields run populated, and the two highest-signal records in the corpus sit here</w:t>
      </w:r>
      <w:r>
        <w:t xml:space="preserve"> </w:t>
      </w:r>
      <w:hyperlink w:anchor="ref-3">
        <w:r>
          <w:rPr>
            <w:rStyle w:val="Hyperlink"/>
          </w:rPr>
          <w:t xml:space="preserve">[3]</w:t>
        </w:r>
      </w:hyperlink>
      <w:r>
        <w:t xml:space="preserve">. This is where the candidate theme is worked most head-on, in the applied self-direction and space-surveillance community, and it is why the venue coefficient in Chapter 6 leans the way it does. The journals, coded two, are the most recent cohort and carry the corpus’s only substantial citation counts, but they grip the theme more obliquely, handling self-direction as one facet of a wider design or survey problem</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Grey and strategic records, coded three, differ in kind rather than in degree. They carry zero local citations, their snippet fields run short or bare, and their signal scores rest almost wholly on title and author-metadata hits</w:t>
      </w:r>
      <w:r>
        <w:t xml:space="preserve"> </w:t>
      </w:r>
      <w:hyperlink w:anchor="ref-14">
        <w:r>
          <w:rPr>
            <w:rStyle w:val="Hyperlink"/>
          </w:rPr>
          <w:t xml:space="preserve">[14]</w:t>
        </w:r>
      </w:hyperlink>
      <w:r>
        <w:t xml:space="preserve">. A working note on behavioral economics in space or a life-cycle assessment of debris impact belongs to the governance surround of the subject, not to its technical core, and the corpus keeps such records for completeness while trusting them least. The estimators cannot know any of this; they see only the integer codes. Reading the coefficients therefore wants the qualitative splits held in mind alongside the quantitative codes, since a venue effect estimated on integers means something only when a reader knows what the integers stand for</w:t>
      </w:r>
      <w:r>
        <w:t xml:space="preserve"> </w:t>
      </w:r>
      <w:hyperlink w:anchor="ref-2">
        <w:r>
          <w:rPr>
            <w:rStyle w:val="Hyperlink"/>
          </w:rPr>
          <w:t xml:space="preserve">[2]</w:t>
        </w:r>
      </w:hyperlink>
      <w:r>
        <w:t xml:space="preserve">. That is why Chapter 6 reads the venue coefficient against the named records rather than as a bare slope, and why Chapter 7 treats the grey tier as the most brittle part of the venue scale.</w:t>
      </w:r>
    </w:p>
    <w:p>
      <w:pPr>
        <w:pStyle w:val="BodyText"/>
        <w:spacing w:line="480" w:lineRule="auto"/>
        <w:ind w:firstLine="720"/>
      </w:pPr>
      <w:r>
        <w:t xml:space="preserve">The integers hide the differences. A careful reader must put them back.</w:t>
      </w:r>
    </w:p>
    <w:bookmarkEnd w:id="119"/>
    <w:bookmarkStart w:id="120" w:name="what-a-fuller-dataset-would-add"/>
    <w:p>
      <w:pPr>
        <w:pStyle w:val="Heading2"/>
        <w:spacing w:line="480" w:lineRule="auto"/>
      </w:pPr>
      <w:r>
        <w:t xml:space="preserve">5.8 What a fuller dataset would add</w:t>
      </w:r>
    </w:p>
    <w:p>
      <w:pPr>
        <w:pStyle w:val="FirstParagraph"/>
        <w:spacing w:line="480" w:lineRule="auto"/>
      </w:pPr>
      <w:r>
        <w:t xml:space="preserve">Stating what the dataset lacks clarifies what it is. A fuller version of this study would swap local citation counts for universal counts from a comprehensive citation database, so the accumulation model would no longer run off a handful of cited records against a wall of zeros</w:t>
      </w:r>
      <w:r>
        <w:t xml:space="preserve"> </w:t>
      </w:r>
      <w:hyperlink w:anchor="ref-10">
        <w:r>
          <w:rPr>
            <w:rStyle w:val="Hyperlink"/>
          </w:rPr>
          <w:t xml:space="preserve">[10]</w:t>
        </w:r>
      </w:hyperlink>
      <w:r>
        <w:t xml:space="preserve">. It would sample on purpose across eras within each venue family, breaking the venue-recency tangle that clouds the signal model</w:t>
      </w:r>
      <w:r>
        <w:t xml:space="preserve"> </w:t>
      </w:r>
      <w:hyperlink w:anchor="ref-2">
        <w:r>
          <w:rPr>
            <w:rStyle w:val="Hyperlink"/>
          </w:rPr>
          <w:t xml:space="preserve">[2]</w:t>
        </w:r>
      </w:hyperlink>
      <w:r>
        <w:t xml:space="preserve">. And it would grow well past thirty records, restoring the statistical power the present sample lacks. Each of these additions would swap some auditability for some rigor, which is exactly the swap a design-stage study defers and a follow-on study should make. Logging the present dataset’s limits is how this chapter hands that follow-on study a clear specification.</w:t>
      </w:r>
    </w:p>
    <w:p>
      <w:pPr>
        <w:pStyle w:val="BodyText"/>
        <w:spacing w:line="480" w:lineRule="auto"/>
        <w:ind w:firstLine="720"/>
      </w:pPr>
      <w:r>
        <w:t xml:space="preserve">The dataset, in sum, is a small, deterministic, fully sourced corpus of thirty records running 2009 to 2026, built to be checked by hand rather than trusted on faith. Its outcome variable gauges topical centrality, its predictors gauge recency, local notice, and venue position, and its companion measures carry the accumulation model</w:t>
      </w:r>
      <w:r>
        <w:t xml:space="preserve"> </w:t>
      </w:r>
      <w:hyperlink w:anchor="ref-1">
        <w:r>
          <w:rPr>
            <w:rStyle w:val="Hyperlink"/>
          </w:rPr>
          <w:t xml:space="preserve">[1]</w:t>
        </w:r>
      </w:hyperlink>
      <w:r>
        <w:t xml:space="preserve">. Its weaknesses are known and named: sparse local citations, a recency lean, an ordinal venue scale tangled with era, and six grey records that carry little weight</w:t>
      </w:r>
      <w:r>
        <w:t xml:space="preserve"> </w:t>
      </w:r>
      <w:hyperlink w:anchor="ref-2">
        <w:r>
          <w:rPr>
            <w:rStyle w:val="Hyperlink"/>
          </w:rPr>
          <w:t xml:space="preserve">[2]</w:t>
        </w:r>
      </w:hyperlink>
      <w:r>
        <w:t xml:space="preserve">. Its strength is that none of these weaknesses is buried; each is logged well enough that a reader can dock it. A dataset one can quarrel with, row by row, outweighs at design stage a larger one that must be taken on trust, and building such a dataset is the contribution of this chapter. With the data logged, Chapter 6 delivers what the two estimators return.</w:t>
      </w:r>
    </w:p>
    <w:bookmarkEnd w:id="120"/>
    <w:bookmarkEnd w:id="121"/>
    <w:bookmarkStart w:id="133" w:name="chapter-6.-results"/>
    <w:p>
      <w:pPr>
        <w:pStyle w:val="Heading1"/>
        <w:spacing w:line="480" w:lineRule="auto"/>
      </w:pPr>
      <w:r>
        <w:t xml:space="preserve">Chapter 6. Results</w:t>
      </w:r>
    </w:p>
    <w:p>
      <w:pPr>
        <w:pStyle w:val="FirstParagraph"/>
        <w:spacing w:line="480" w:lineRule="auto"/>
      </w:pPr>
      <w:r>
        <w:t xml:space="preserve">This chapter delivers what the two estimators returned and reads the signs and sizes with no softening and no dressing up. The numbers are the deterministic output of the workbooks laid out in Chapters 4 and 5. They hold exactly as the estimators threw them off. Where a result runs precise, it reads as proof about corpus pattern. Where a result runs imprecise, it reads as proof against a bold claim, in keeping with the interpretive rule fixed in Chapter 3.</w:t>
      </w:r>
    </w:p>
    <w:bookmarkStart w:id="122" w:name="the-signal-intensity-model"/>
    <w:p>
      <w:pPr>
        <w:pStyle w:val="Heading2"/>
        <w:spacing w:line="480" w:lineRule="auto"/>
      </w:pPr>
      <w:r>
        <w:t xml:space="preserve">6.1 The signal-intensity model</w:t>
      </w:r>
    </w:p>
    <w:p>
      <w:pPr>
        <w:pStyle w:val="FirstParagraph"/>
        <w:spacing w:line="480" w:lineRule="auto"/>
      </w:pPr>
      <w:r>
        <w:t xml:space="preserve">Paper 1 fit an ordinary least squares model of topic-signal score on recency, citation notice, and venue family, with heteroskedasticity-robust HC1 standard errors. The overall fit runs as follows. The sample is N = 30. The coefficient of determination is R2 = 0.2087, and the adjusted figure is R2_adj = 0.1173. A joint test of the three predictors yields F = 2.6040 with F_p = 0.0733</w:t>
      </w:r>
      <w:r>
        <w:t xml:space="preserve"> </w:t>
      </w:r>
      <w:hyperlink w:anchor="ref-4">
        <w:r>
          <w:rPr>
            <w:rStyle w:val="Hyperlink"/>
          </w:rPr>
          <w:t xml:space="preserve">[4]</w:t>
        </w:r>
      </w:hyperlink>
      <w:r>
        <w:t xml:space="preserve">.</w:t>
      </w:r>
    </w:p>
    <w:p>
      <w:pPr>
        <w:pStyle w:val="BodyText"/>
        <w:spacing w:line="480" w:lineRule="auto"/>
        <w:ind w:firstLine="720"/>
      </w:pPr>
      <w:r>
        <w:t xml:space="preserve">Term by term, the estimates run these. The constant is 6.2559, with a standard error of 1.92 and p = 0.0011. The recency-index coefficient is -0.0886, with a standard error of 0.1065 and p = 0.4057. The citation-count coefficient is 0.0656, with a standard error of 0.0376 and p = 0.0807. The venue-score coefficient is -1.1655, with a standard error of 0.5457 and p = 0.0327</w:t>
      </w:r>
      <w:r>
        <w:t xml:space="preserve"> </w:t>
      </w:r>
      <w:hyperlink w:anchor="ref-16">
        <w:r>
          <w:rPr>
            <w:rStyle w:val="Hyperlink"/>
          </w:rPr>
          <w:t xml:space="preserve">[16]</w:t>
        </w:r>
      </w:hyperlink>
      <w:r>
        <w:t xml:space="preserve">.</w:t>
      </w:r>
    </w:p>
    <w:p>
      <w:pPr>
        <w:pStyle w:val="BodyText"/>
        <w:spacing w:line="480" w:lineRule="auto"/>
        <w:ind w:firstLine="720"/>
      </w:pPr>
      <w:r>
        <w:t xml:space="preserve">Now read these against the interpretive rule. The model explains about a fifth of the variance in topic-signal score, and the joint F-test lands just outside conventional significance at p = 0.0733, so the three predictors together carry suggestive but not decisive pattern. The individual coefficients sharpen the view. Recency is the weakest of the three: its coefficient runs small, negative, and thoroughly imprecise at p = 0.4057, which lends no backing to the hunch that fresher records carry keener topical signal once notice and outlet are pinned. That non-result is itself telling, since it says the subject’s signal is not merely a recency artifact</w:t>
      </w:r>
      <w:r>
        <w:t xml:space="preserve"> </w:t>
      </w:r>
      <w:hyperlink w:anchor="ref-1">
        <w:r>
          <w:rPr>
            <w:rStyle w:val="Hyperlink"/>
          </w:rPr>
          <w:t xml:space="preserve">[1]</w:t>
        </w:r>
      </w:hyperlink>
      <w:r>
        <w:t xml:space="preserve">.</w:t>
      </w:r>
    </w:p>
    <w:p>
      <w:pPr>
        <w:pStyle w:val="BodyText"/>
        <w:spacing w:line="480" w:lineRule="auto"/>
        <w:ind w:firstLine="720"/>
      </w:pPr>
      <w:r>
        <w:t xml:space="preserve">Citation notice points the looked-for way. Its coefficient runs positive at 0.0656, meaning records with more local citations tend to carry marginally higher signal scores, and it nears conventional significance at p = 0.0807 without landing there. The design handles this as a faint positive tie rather than a settled one. The size runs modest in any case: each added local citation ties to roughly seven-hundredths of a point of signal score, so even the two most-cited records in the corpus shift the outcome by only a bit over a full point through this channel</w:t>
      </w:r>
      <w:r>
        <w:t xml:space="preserve"> </w:t>
      </w:r>
      <w:hyperlink w:anchor="ref-10">
        <w:r>
          <w:rPr>
            <w:rStyle w:val="Hyperlink"/>
          </w:rPr>
          <w:t xml:space="preserve">[10]</w:t>
        </w:r>
      </w:hyperlink>
      <w:r>
        <w:t xml:space="preserve">.</w:t>
      </w:r>
    </w:p>
    <w:p>
      <w:pPr>
        <w:pStyle w:val="BodyText"/>
        <w:spacing w:line="480" w:lineRule="auto"/>
        <w:ind w:firstLine="720"/>
      </w:pPr>
      <w:r>
        <w:t xml:space="preserve">Precision belongs to one result in this model, the venue coefficient. It runs negative at -1.1655 and significant at p = 0.0327, so climbing one venue family, from applied proceedings toward journals and then toward grey writing, ties to a signal score about 1.17 points lower, net of recency and citations. The sign wants care. It does not mean journals grip the subject less ably; it mirrors the makeup of this pack, in which the highest signal scores bunch among applied self-direction proceedings such as the closed-loop feedback control and collision-dodging programme records, while several journal records brush the candidate theme more obliquely</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venue effect runs real within the corpus and brittle past it, a point Chapter 7 builds out.</w:t>
      </w:r>
    </w:p>
    <w:bookmarkEnd w:id="122"/>
    <w:bookmarkStart w:id="123" w:name="a-magnitude-in-context"/>
    <w:p>
      <w:pPr>
        <w:pStyle w:val="Heading2"/>
        <w:spacing w:line="480" w:lineRule="auto"/>
      </w:pPr>
      <w:r>
        <w:t xml:space="preserve">6.1a Magnitude in context</w:t>
      </w:r>
    </w:p>
    <w:p>
      <w:pPr>
        <w:pStyle w:val="FirstParagraph"/>
        <w:spacing w:line="480" w:lineRule="auto"/>
      </w:pPr>
      <w:r>
        <w:t xml:space="preserve">It helps to render the venue coefficient into the scale of the outcome. Signal scores in this corpus run from one to eight, so a shift of about 1.17 points per venue step is roughly a sixth of the full observed range. That is not trivial. Climbing across all three venue families, from applied proceedings to grey writing, ties through this channel to a signal-score change of around 2.3 points, which is the gap between a record that reads as dead on-topic and one that reads as tangential</w:t>
      </w:r>
      <w:r>
        <w:t xml:space="preserve"> </w:t>
      </w:r>
      <w:hyperlink w:anchor="ref-16">
        <w:r>
          <w:rPr>
            <w:rStyle w:val="Hyperlink"/>
          </w:rPr>
          <w:t xml:space="preserve">[16]</w:t>
        </w:r>
      </w:hyperlink>
      <w:r>
        <w:t xml:space="preserve">. The size of the venue effect is what makes it the load-bearing result of the model, even though the model as a whole clears only about a fifth of the variance.</w:t>
      </w:r>
    </w:p>
    <w:p>
      <w:pPr>
        <w:pStyle w:val="BodyText"/>
        <w:spacing w:line="480" w:lineRule="auto"/>
        <w:ind w:firstLine="720"/>
      </w:pPr>
      <w:r>
        <w:t xml:space="preserve">The recency and citation channels, by contrast, shift the outcome barely at all. Across the full eighteen-point span of the recency index, the recency coefficient of -0.0886 implies a total swing of about 1.6 points, but with a standard error of 0.1065 the coefficient cannot be parted from zero, so even that slight implied swing is not one the design will assert</w:t>
      </w:r>
      <w:r>
        <w:t xml:space="preserve"> </w:t>
      </w:r>
      <w:hyperlink w:anchor="ref-1">
        <w:r>
          <w:rPr>
            <w:rStyle w:val="Hyperlink"/>
          </w:rPr>
          <w:t xml:space="preserve">[1]</w:t>
        </w:r>
      </w:hyperlink>
      <w:r>
        <w:t xml:space="preserve">. The citation channel runs smaller still in aggregate for most records, since most records carry zero citations and so sit at the same spot on that axis; the channel only does visible work for the two heavily cited 2023 journal records, and even for them it shifts the outcome by little over a point</w:t>
      </w:r>
      <w:r>
        <w:t xml:space="preserve"> </w:t>
      </w:r>
      <w:hyperlink w:anchor="ref-10">
        <w:r>
          <w:rPr>
            <w:rStyle w:val="Hyperlink"/>
          </w:rPr>
          <w:t xml:space="preserve">[10]</w:t>
        </w:r>
      </w:hyperlink>
      <w:r>
        <w:t xml:space="preserve">. What the sizes teach lines up with what the p-values teach: venue carries the model, and the other two channels run close to inert.</w:t>
      </w:r>
    </w:p>
    <w:p>
      <w:pPr>
        <w:pStyle w:val="BodyText"/>
        <w:spacing w:line="480" w:lineRule="auto"/>
        <w:ind w:firstLine="720"/>
      </w:pPr>
      <w:r>
        <w:t xml:space="preserve">Venue carries the model. The rest is noise.</w:t>
      </w:r>
    </w:p>
    <w:bookmarkEnd w:id="123"/>
    <w:bookmarkStart w:id="124" w:name="the-citation-accumulation-model"/>
    <w:p>
      <w:pPr>
        <w:pStyle w:val="Heading2"/>
        <w:spacing w:line="480" w:lineRule="auto"/>
      </w:pPr>
      <w:r>
        <w:t xml:space="preserve">6.2 The citation-accumulation model</w:t>
      </w:r>
    </w:p>
    <w:p>
      <w:pPr>
        <w:pStyle w:val="FirstParagraph"/>
        <w:spacing w:line="480" w:lineRule="auto"/>
      </w:pPr>
      <w:r>
        <w:t xml:space="preserve">Paper 2 fit the log-log learning-curve model of citation accumulation on article age, again with HC1 robust standard errors. The fit summary is N = 30 and R2 = 0.0294. The estimated elasticity is -0.2450, and the implied progress ratio, the factor by which citations-plus-one scale as age doubles, is 0.8438</w:t>
      </w:r>
      <w:r>
        <w:t xml:space="preserve"> </w:t>
      </w:r>
      <w:hyperlink w:anchor="ref-6">
        <w:r>
          <w:rPr>
            <w:rStyle w:val="Hyperlink"/>
          </w:rPr>
          <w:t xml:space="preserve">[6]</w:t>
        </w:r>
      </w:hyperlink>
      <w:r>
        <w:t xml:space="preserve">.</w:t>
      </w:r>
    </w:p>
    <w:p>
      <w:pPr>
        <w:pStyle w:val="BodyText"/>
        <w:spacing w:line="480" w:lineRule="auto"/>
        <w:ind w:firstLine="720"/>
      </w:pPr>
      <w:r>
        <w:t xml:space="preserve">The term estimates run these. The constant is 0.8959 with p = 0.0133. The log-age coefficient, which is the elasticity, is -0.2450 with p = 0.1981</w:t>
      </w:r>
      <w:r>
        <w:t xml:space="preserve"> </w:t>
      </w:r>
      <w:hyperlink w:anchor="ref-9">
        <w:r>
          <w:rPr>
            <w:rStyle w:val="Hyperlink"/>
          </w:rPr>
          <w:t xml:space="preserve">[9]</w:t>
        </w:r>
      </w:hyperlink>
      <w:r>
        <w:t xml:space="preserve">.</w:t>
      </w:r>
    </w:p>
    <w:p>
      <w:pPr>
        <w:pStyle w:val="BodyText"/>
        <w:spacing w:line="480" w:lineRule="auto"/>
        <w:ind w:firstLine="720"/>
      </w:pPr>
      <w:r>
        <w:t xml:space="preserve">Direct reading follows. The model explains almost none of the variance in citation accumulation, at under three percent, and the age elasticity, while negative, runs imprecise at p = 0.1981 and cannot be parted from zero at any conventional level. Put flatly, older records in this corpus do not reliably carry more citations than newer ones; if anything the point estimate leans the other way, with the progress ratio below one implying that a doubling of age ties to a slight drop in citations-plus-one. But the imprecision bars leaning on that sign</w:t>
      </w:r>
      <w:r>
        <w:t xml:space="preserve"> </w:t>
      </w:r>
      <w:hyperlink w:anchor="ref-15">
        <w:r>
          <w:rPr>
            <w:rStyle w:val="Hyperlink"/>
          </w:rPr>
          <w:t xml:space="preserve">[15]</w:t>
        </w:r>
      </w:hyperlink>
      <w:r>
        <w:t xml:space="preserve">.</w:t>
      </w:r>
    </w:p>
    <w:p>
      <w:pPr>
        <w:pStyle w:val="BodyText"/>
        <w:spacing w:line="480" w:lineRule="auto"/>
        <w:ind w:firstLine="720"/>
      </w:pPr>
      <w:r>
        <w:t xml:space="preserve">This is exactly the diagnostic pattern Chapter 3 foresaw for a young or mixed subject. A settled field would show a positive age curve as citations pile up over calendar time. This corpus shows no such curve. The reason reads plain in the data logged in Chapter 5: most records report zero local citations, so CitesPlus1 equals one for the majority, and the whole bond is estimated off a handful of recent journal records that happen to carry the corpus’s only substantial citation counts</w:t>
      </w:r>
      <w:r>
        <w:t xml:space="preserve"> </w:t>
      </w:r>
      <w:hyperlink w:anchor="ref-10">
        <w:r>
          <w:rPr>
            <w:rStyle w:val="Hyperlink"/>
          </w:rPr>
          <w:t xml:space="preserve">[10]</w:t>
        </w:r>
      </w:hyperlink>
      <w:r>
        <w:t xml:space="preserve">. When notice bunches in the newest cohort rather than banking to the oldest, the routine learning curve flattens or flips, and that is what the estimator recovered.</w:t>
      </w:r>
    </w:p>
    <w:bookmarkEnd w:id="124"/>
    <w:bookmarkStart w:id="125" w:name="Xf079fca2db2ead64f680c231eede217bef1bf98"/>
    <w:p>
      <w:pPr>
        <w:pStyle w:val="Heading2"/>
        <w:spacing w:line="480" w:lineRule="auto"/>
      </w:pPr>
      <w:r>
        <w:t xml:space="preserve">6.2a The constant and the baseline it implies</w:t>
      </w:r>
    </w:p>
    <w:p>
      <w:pPr>
        <w:pStyle w:val="FirstParagraph"/>
        <w:spacing w:line="480" w:lineRule="auto"/>
      </w:pPr>
      <w:r>
        <w:t xml:space="preserve">The constants in both models warrant a sentence, since they anchor the reading. In the signal model the constant is 6.2559 and precise at p = 0.0011; it is the model’s forecast signal score for a hypothetical record at zero recency, zero citations, and zero venue score, which sits outside the observed range but fixes the intercept from which the venue slope subtracts</w:t>
      </w:r>
      <w:r>
        <w:t xml:space="preserve"> </w:t>
      </w:r>
      <w:hyperlink w:anchor="ref-4">
        <w:r>
          <w:rPr>
            <w:rStyle w:val="Hyperlink"/>
          </w:rPr>
          <w:t xml:space="preserve">[4]</w:t>
        </w:r>
      </w:hyperlink>
      <w:r>
        <w:t xml:space="preserve">. Read together with the negative venue coefficient, the constant says the model’s high-signal baseline sits with the applied end of the venue scale and falls from there, which matches the descriptive fact that the eight-scoring records are proceedings. In the accumulation model the constant is 0.8959 and precise at p = 0.0133; on the log scale it implies a citations-plus-one intercept of roughly two and a half for a record at the model’s reference age, a figure the negative elasticity then erodes as age climbs</w:t>
      </w:r>
      <w:r>
        <w:t xml:space="preserve"> </w:t>
      </w:r>
      <w:hyperlink w:anchor="ref-10">
        <w:r>
          <w:rPr>
            <w:rStyle w:val="Hyperlink"/>
          </w:rPr>
          <w:t xml:space="preserve">[10]</w:t>
        </w:r>
      </w:hyperlink>
      <w:r>
        <w:t xml:space="preserve">. Neither constant is a substantive finding on its own, but both run precise, and their precision is a reminder that the imprecision elsewhere is peculiar to the slope coefficients rather than a general failure of the models to estimate anything.</w:t>
      </w:r>
    </w:p>
    <w:bookmarkEnd w:id="125"/>
    <w:bookmarkStart w:id="126" w:name="X8086f2552dd65df0d00d9f69f97b3d6e5921f7d"/>
    <w:p>
      <w:pPr>
        <w:pStyle w:val="Heading2"/>
        <w:spacing w:line="480" w:lineRule="auto"/>
      </w:pPr>
      <w:r>
        <w:t xml:space="preserve">6.2b Why the accumulation model explains so little</w:t>
      </w:r>
    </w:p>
    <w:p>
      <w:pPr>
        <w:pStyle w:val="FirstParagraph"/>
        <w:spacing w:line="480" w:lineRule="auto"/>
      </w:pPr>
      <w:r>
        <w:t xml:space="preserve">The accumulation model’s R2 of 0.0294 is worth dwelling on, since a near-zero fit can mean two very different things. It can mean the age-notice bond runs genuinely flat, or it can mean the outcome holds too little variation to model. Here it is the second more than the first. Twenty-two of the thirty records report zero local citations, so CitesPlus1 equals one for them and log CitesPlus1 equals zero; the outcome is a spike at zero with a thin scatter of positive values thrown off by the eight cited records</w:t>
      </w:r>
      <w:r>
        <w:t xml:space="preserve"> </w:t>
      </w:r>
      <w:hyperlink w:anchor="ref-6">
        <w:r>
          <w:rPr>
            <w:rStyle w:val="Hyperlink"/>
          </w:rPr>
          <w:t xml:space="preserve">[6]</w:t>
        </w:r>
      </w:hyperlink>
      <w:r>
        <w:t xml:space="preserve">. A model regressing a mostly-constant outcome on anything will explain almost none of its variance, since there is little variance to explain. So the low R2 is as much a statement about the sparsity of local citations as about the shape of notice, and Chapter 7 treats the local-citation measure as the binding limitation it plainly is</w:t>
      </w:r>
      <w:r>
        <w:t xml:space="preserve"> </w:t>
      </w:r>
      <w:hyperlink w:anchor="ref-9">
        <w:r>
          <w:rPr>
            <w:rStyle w:val="Hyperlink"/>
          </w:rPr>
          <w:t xml:space="preserve">[9]</w:t>
        </w:r>
      </w:hyperlink>
      <w:r>
        <w:t xml:space="preserve">.</w:t>
      </w:r>
    </w:p>
    <w:bookmarkEnd w:id="126"/>
    <w:bookmarkStart w:id="127" w:name="against-the-hypotheses-of-chapter-3"/>
    <w:p>
      <w:pPr>
        <w:pStyle w:val="Heading2"/>
        <w:spacing w:line="480" w:lineRule="auto"/>
      </w:pPr>
      <w:r>
        <w:t xml:space="preserve">6.3 Against the hypotheses of Chapter 3</w:t>
      </w:r>
    </w:p>
    <w:p>
      <w:pPr>
        <w:pStyle w:val="FirstParagraph"/>
        <w:spacing w:line="480" w:lineRule="auto"/>
      </w:pPr>
      <w:r>
        <w:t xml:space="preserve">Against the hypotheses of Chapter 3, the proof runs mixed and, on balance, cautious. The venue coefficient lets the null of no pattern be rejected on that one axis. The recency and accumulation results leave the null standing on the others. No single coefficient rescues a claim that the subject is fully firmed, and the design does not manufacture one from the suggestive-but-imprecise citation term. The honest summary is that uplink assurance under self-direction reads in the record as a venue-anchored cluster of applied work, not yet as a settled scholarship with the citation behavior that would license heavy governance weight</w:t>
      </w:r>
      <w:r>
        <w:t xml:space="preserve"> </w:t>
      </w:r>
      <w:hyperlink w:anchor="ref-4">
        <w:r>
          <w:rPr>
            <w:rStyle w:val="Hyperlink"/>
          </w:rPr>
          <w:t xml:space="preserve">[4]</w:t>
        </w:r>
      </w:hyperlink>
      <w:r>
        <w:t xml:space="preserve">.</w:t>
      </w:r>
    </w:p>
    <w:bookmarkEnd w:id="127"/>
    <w:bookmarkStart w:id="128" w:name="Xfe513b26898b0b84cbd0e867b597c25c45e1020"/>
    <w:p>
      <w:pPr>
        <w:pStyle w:val="Heading2"/>
        <w:spacing w:line="480" w:lineRule="auto"/>
      </w:pPr>
      <w:r>
        <w:t xml:space="preserve">6.4 Applying the pre-registered interpretive rule</w:t>
      </w:r>
    </w:p>
    <w:p>
      <w:pPr>
        <w:pStyle w:val="FirstParagraph"/>
        <w:spacing w:line="480" w:lineRule="auto"/>
      </w:pPr>
      <w:r>
        <w:t xml:space="preserve">Chapter 3 pledged the design to reading each coefficient through a fixed rule, and it pays to run that rule outright to shut the results. Recency in the signal model: coefficient -0.0886, p = 0.4057, imprecise, so the rule returns no proof of a recency effect, and the negative sign is not asserted</w:t>
      </w:r>
      <w:r>
        <w:t xml:space="preserve"> </w:t>
      </w:r>
      <w:hyperlink w:anchor="ref-1">
        <w:r>
          <w:rPr>
            <w:rStyle w:val="Hyperlink"/>
          </w:rPr>
          <w:t xml:space="preserve">[1]</w:t>
        </w:r>
      </w:hyperlink>
      <w:r>
        <w:t xml:space="preserve">. Citations in the signal model: coefficient 0.0656, p = 0.0807, short of the conventional threshold, so the rule returns a faint positive tie held as suggestive rather than settled</w:t>
      </w:r>
      <w:r>
        <w:t xml:space="preserve"> </w:t>
      </w:r>
      <w:hyperlink w:anchor="ref-10">
        <w:r>
          <w:rPr>
            <w:rStyle w:val="Hyperlink"/>
          </w:rPr>
          <w:t xml:space="preserve">[10]</w:t>
        </w:r>
      </w:hyperlink>
      <w:r>
        <w:t xml:space="preserve">. Venue in the signal model: coefficient -1.1655, p = 0.0327, precise, so the rule rejects the null on this axis and the negative sign is asserted within the corpus</w:t>
      </w:r>
      <w:r>
        <w:t xml:space="preserve"> </w:t>
      </w:r>
      <w:hyperlink w:anchor="ref-16">
        <w:r>
          <w:rPr>
            <w:rStyle w:val="Hyperlink"/>
          </w:rPr>
          <w:t xml:space="preserve">[16]</w:t>
        </w:r>
      </w:hyperlink>
      <w:r>
        <w:t xml:space="preserve">. Age elasticity in the accumulation model: coefficient -0.2450, p = 0.1981, imprecise, so the rule returns no proof of an age curve, and the negative lean is not asserted</w:t>
      </w:r>
      <w:r>
        <w:t xml:space="preserve"> </w:t>
      </w:r>
      <w:hyperlink w:anchor="ref-6">
        <w:r>
          <w:rPr>
            <w:rStyle w:val="Hyperlink"/>
          </w:rPr>
          <w:t xml:space="preserve">[6]</w:t>
        </w:r>
      </w:hyperlink>
      <w:r>
        <w:t xml:space="preserve">.</w:t>
      </w:r>
    </w:p>
    <w:p>
      <w:pPr>
        <w:pStyle w:val="BodyText"/>
        <w:spacing w:line="480" w:lineRule="auto"/>
        <w:ind w:firstLine="720"/>
      </w:pPr>
      <w:r>
        <w:t xml:space="preserve">Run mechanically, the rule yields one rejection of the null and three failures to reject. That tally is the result, stated with no dressing. A design that had let in post hoc re-reading might have made more of the near-miss citation coefficient or the suggestive negative elasticity, but the pre-registered rule bars it, and the study abides by the rule it fixed</w:t>
      </w:r>
      <w:r>
        <w:t xml:space="preserve"> </w:t>
      </w:r>
      <w:hyperlink w:anchor="ref-5">
        <w:r>
          <w:rPr>
            <w:rStyle w:val="Hyperlink"/>
          </w:rPr>
          <w:t xml:space="preserve">[5]</w:t>
        </w:r>
      </w:hyperlink>
      <w:r>
        <w:t xml:space="preserve">. The single rejection is genuine and the three non-rejections are genuine, and the honest reading is the conjunction of all four.</w:t>
      </w:r>
    </w:p>
    <w:bookmarkEnd w:id="128"/>
    <w:bookmarkStart w:id="129" w:name="reading-the-two-results-together"/>
    <w:p>
      <w:pPr>
        <w:pStyle w:val="Heading2"/>
        <w:spacing w:line="480" w:lineRule="auto"/>
      </w:pPr>
      <w:r>
        <w:t xml:space="preserve">6.5 Reading the two results together</w:t>
      </w:r>
    </w:p>
    <w:p>
      <w:pPr>
        <w:pStyle w:val="FirstParagraph"/>
        <w:spacing w:line="480" w:lineRule="auto"/>
      </w:pPr>
      <w:r>
        <w:t xml:space="preserve">The two models tell a coherent story about the corpus, and it is not the story a bold claim would want. Signal intensity carries some pattern, driven almost wholly by venue makeup, with a faint positive nod from citation notice and nothing from recency. Citation accumulation carries no reliable pattern at all. Taken together, the gathered corpus looks like a subject that is present and identifiable but not yet firmed: its records bunch by where they came out more than by when, and the notice flowing to them does not yet behave the way notice behaves in a ripe field</w:t>
      </w:r>
      <w:r>
        <w:t xml:space="preserve"> </w:t>
      </w:r>
      <w:hyperlink w:anchor="ref-14">
        <w:r>
          <w:rPr>
            <w:rStyle w:val="Hyperlink"/>
          </w:rPr>
          <w:t xml:space="preserve">[14]</w:t>
        </w:r>
      </w:hyperlink>
      <w:r>
        <w:t xml:space="preserve">.</w:t>
      </w:r>
    </w:p>
    <w:bookmarkEnd w:id="129"/>
    <w:bookmarkStart w:id="130" w:name="what-the-results-do-not-license"/>
    <w:p>
      <w:pPr>
        <w:pStyle w:val="Heading2"/>
        <w:spacing w:line="480" w:lineRule="auto"/>
      </w:pPr>
      <w:r>
        <w:t xml:space="preserve">6.6 What the results do not license</w:t>
      </w:r>
    </w:p>
    <w:p>
      <w:pPr>
        <w:pStyle w:val="FirstParagraph"/>
        <w:spacing w:line="480" w:lineRule="auto"/>
      </w:pPr>
      <w:r>
        <w:t xml:space="preserve">It is as vital to state what the results bar as what they permit. The venue coefficient does not license a claim that journals grip uplink assurance under self-direction less ably than proceedings; it mirrors the topical makeup of this pack, in which the on-topic density happens to sit with applied self-direction proceedings, and it would want re-checking against a differently built corpus before any portable claim could be made</w:t>
      </w:r>
      <w:r>
        <w:t xml:space="preserve"> </w:t>
      </w:r>
      <w:hyperlink w:anchor="ref-16">
        <w:r>
          <w:rPr>
            <w:rStyle w:val="Hyperlink"/>
          </w:rPr>
          <w:t xml:space="preserve">[16]</w:t>
        </w:r>
      </w:hyperlink>
      <w:r>
        <w:t xml:space="preserve">. The faint citation coefficient does not license a claim that notice and centrality move together in the field; at p = 0.0807 it is a hint the design declines to bank</w:t>
      </w:r>
      <w:r>
        <w:t xml:space="preserve"> </w:t>
      </w:r>
      <w:hyperlink w:anchor="ref-10">
        <w:r>
          <w:rPr>
            <w:rStyle w:val="Hyperlink"/>
          </w:rPr>
          <w:t xml:space="preserve">[10]</w:t>
        </w:r>
      </w:hyperlink>
      <w:r>
        <w:t xml:space="preserve">. The flat age curve does not license a claim that older work is genuinely ignored; it mirrors a sparse local citation measure and a recency-leaned pack more than a real flip of notice</w:t>
      </w:r>
      <w:r>
        <w:t xml:space="preserve"> </w:t>
      </w:r>
      <w:hyperlink w:anchor="ref-6">
        <w:r>
          <w:rPr>
            <w:rStyle w:val="Hyperlink"/>
          </w:rPr>
          <w:t xml:space="preserve">[6]</w:t>
        </w:r>
      </w:hyperlink>
      <w:r>
        <w:t xml:space="preserve">. And nothing in either model licenses a claim about spacecraft, links, or safety, since no such quantity was gauged</w:t>
      </w:r>
      <w:r>
        <w:t xml:space="preserve"> </w:t>
      </w:r>
      <w:hyperlink w:anchor="ref-5">
        <w:r>
          <w:rPr>
            <w:rStyle w:val="Hyperlink"/>
          </w:rPr>
          <w:t xml:space="preserve">[5]</w:t>
        </w:r>
      </w:hyperlink>
      <w:r>
        <w:t xml:space="preserve">.</w:t>
      </w:r>
    </w:p>
    <w:p>
      <w:pPr>
        <w:pStyle w:val="BodyText"/>
        <w:spacing w:line="480" w:lineRule="auto"/>
        <w:ind w:firstLine="720"/>
      </w:pPr>
      <w:r>
        <w:t xml:space="preserve">These bars are not hedging. They are the other half of the result. A finding is only as trustworthy as the boundary drawn around it, and drawing that boundary tightly is what lets the one precise coefficient be believed at all</w:t>
      </w:r>
      <w:r>
        <w:t xml:space="preserve"> </w:t>
      </w:r>
      <w:hyperlink w:anchor="ref-4">
        <w:r>
          <w:rPr>
            <w:rStyle w:val="Hyperlink"/>
          </w:rPr>
          <w:t xml:space="preserve">[4]</w:t>
        </w:r>
      </w:hyperlink>
      <w:r>
        <w:t xml:space="preserve">. A reader who wants more from the numbers than the boundary permits is asking the data to carry weight it cannot bear, which is precisely the failure the whole design was built to dodge.</w:t>
      </w:r>
    </w:p>
    <w:bookmarkEnd w:id="130"/>
    <w:bookmarkStart w:id="131" w:name="X532acdb38bc3a74aea91ac69cac57233f3ed964"/>
    <w:p>
      <w:pPr>
        <w:pStyle w:val="Heading2"/>
        <w:spacing w:line="480" w:lineRule="auto"/>
      </w:pPr>
      <w:r>
        <w:t xml:space="preserve">6.6a The F-test and the adjusted fit read together</w:t>
      </w:r>
    </w:p>
    <w:p>
      <w:pPr>
        <w:pStyle w:val="FirstParagraph"/>
        <w:spacing w:line="480" w:lineRule="auto"/>
      </w:pPr>
      <w:r>
        <w:t xml:space="preserve">Two summary statistics repay a closer look than a results chapter usually grants them, since together they tell a story the individual coefficients only imply. The joint F-statistic is 2.6040 with F_p = 0.0733, which lands just outside the conventional five-percent threshold</w:t>
      </w:r>
      <w:r>
        <w:t xml:space="preserve"> </w:t>
      </w:r>
      <w:hyperlink w:anchor="ref-4">
        <w:r>
          <w:rPr>
            <w:rStyle w:val="Hyperlink"/>
          </w:rPr>
          <w:t xml:space="preserve">[4]</w:t>
        </w:r>
      </w:hyperlink>
      <w:r>
        <w:t xml:space="preserve">. Read literally, the three predictors together fail, by a slim margin, to clear joint significance, even though one of them, venue, is individually significant at p = 0.0327. That mix is no contradiction. It is the routine arithmetic of a model in which one predictor carries almost all the explanatory weight and two carry almost none: the significant venue term tugs the joint test toward significance, and the inert recency and citation terms drag it back below the line</w:t>
      </w:r>
      <w:r>
        <w:t xml:space="preserve"> </w:t>
      </w:r>
      <w:hyperlink w:anchor="ref-16">
        <w:r>
          <w:rPr>
            <w:rStyle w:val="Hyperlink"/>
          </w:rPr>
          <w:t xml:space="preserve">[16]</w:t>
        </w:r>
      </w:hyperlink>
      <w:r>
        <w:t xml:space="preserve">. The F-test is diluted by the dead weight of the two channels that do nothing.</w:t>
      </w:r>
    </w:p>
    <w:p>
      <w:pPr>
        <w:pStyle w:val="BodyText"/>
        <w:spacing w:line="480" w:lineRule="auto"/>
        <w:ind w:firstLine="720"/>
      </w:pPr>
      <w:r>
        <w:t xml:space="preserve">The adjusted fit tells the same story from the far side. The raw R2 is 0.2087 and the adjusted figure is 0.1173, a drop of about nine points</w:t>
      </w:r>
      <w:r>
        <w:t xml:space="preserve"> </w:t>
      </w:r>
      <w:hyperlink w:anchor="ref-1">
        <w:r>
          <w:rPr>
            <w:rStyle w:val="Hyperlink"/>
          </w:rPr>
          <w:t xml:space="preserve">[1]</w:t>
        </w:r>
      </w:hyperlink>
      <w:r>
        <w:t xml:space="preserve">. The adjustment docks the model for the two predictors that buy little explanatory power, and the size of the penalty is itself telling: nearly half the raw fit evaporates once the model is charged for its inert regressors. A model whose predictors all earned their seat would shed far less to the adjustment. This one sheds a lot, which is a numerical restatement of the qualitative finding that venue is doing the work and the other two channels run close to idle</w:t>
      </w:r>
      <w:r>
        <w:t xml:space="preserve"> </w:t>
      </w:r>
      <w:hyperlink w:anchor="ref-10">
        <w:r>
          <w:rPr>
            <w:rStyle w:val="Hyperlink"/>
          </w:rPr>
          <w:t xml:space="preserve">[10]</w:t>
        </w:r>
      </w:hyperlink>
      <w:r>
        <w:t xml:space="preserve">. Reading the F-test and the adjusted R2 together, rather than reporting each in isolation, is what turns two summary numbers into corroboration of the single-predictor pattern the coefficient table already hinted.</w:t>
      </w:r>
    </w:p>
    <w:bookmarkEnd w:id="131"/>
    <w:bookmarkStart w:id="132" w:name="transition-to-interpretation"/>
    <w:p>
      <w:pPr>
        <w:pStyle w:val="Heading2"/>
        <w:spacing w:line="480" w:lineRule="auto"/>
      </w:pPr>
      <w:r>
        <w:t xml:space="preserve">6.7 Transition to interpretation</w:t>
      </w:r>
    </w:p>
    <w:p>
      <w:pPr>
        <w:pStyle w:val="FirstParagraph"/>
        <w:spacing w:line="480" w:lineRule="auto"/>
      </w:pPr>
      <w:r>
        <w:t xml:space="preserve">The results, then, are one precise venue effect, a faint and inconclusive citation nod, and two clean non-findings on recency and accumulation, all delivered at their exact values and read through a rule fixed before the numbers were seen. That is the empirical core of the study. Chapter 7 turns to what it means, works through the threats that could be inflating or deflating even these modest findings, and states plainly the line between what the corpus shows and what decision-makers still need to learn.</w:t>
      </w:r>
    </w:p>
    <w:p>
      <w:pPr>
        <w:pStyle w:val="BodyText"/>
        <w:spacing w:line="480" w:lineRule="auto"/>
        <w:ind w:firstLine="720"/>
      </w:pPr>
      <w:r>
        <w:t xml:space="preserve">For the record, the full numeric output holds as delivered and bears repeating in one place. The signal model: N = 30, R2 = 0.2087, R2_adj = 0.1173, F = 2.6040, F_p = 0.0733; constant 6.2559 at p = 0.0011, recency -0.0886 at p = 0.4057, citations 0.0656 at p = 0.0807, venue -1.1655 at p = 0.0327</w:t>
      </w:r>
      <w:r>
        <w:t xml:space="preserve"> </w:t>
      </w:r>
      <w:hyperlink w:anchor="ref-4">
        <w:r>
          <w:rPr>
            <w:rStyle w:val="Hyperlink"/>
          </w:rPr>
          <w:t xml:space="preserve">[4]</w:t>
        </w:r>
      </w:hyperlink>
      <w:r>
        <w:t xml:space="preserve">. The accumulation model: N = 30, R2 = 0.0294, elasticity -0.2450, progress ratio 0.8438; constant 0.8959 at p = 0.0133, log-age -0.2450 at p = 0.1981</w:t>
      </w:r>
      <w:r>
        <w:t xml:space="preserve"> </w:t>
      </w:r>
      <w:hyperlink w:anchor="ref-6">
        <w:r>
          <w:rPr>
            <w:rStyle w:val="Hyperlink"/>
          </w:rPr>
          <w:t xml:space="preserve">[6]</w:t>
        </w:r>
      </w:hyperlink>
      <w:r>
        <w:t xml:space="preserve">. Every figure in this chapter rises out of these two lines, and no figure strays from them. Reproducing them verbatim is the closing act of the transparency the design promised: the numbers are here, in full, for any reader to check against the workbooks that threw them off</w:t>
      </w:r>
      <w:r>
        <w:t xml:space="preserve"> </w:t>
      </w:r>
      <w:hyperlink w:anchor="ref-1">
        <w:r>
          <w:rPr>
            <w:rStyle w:val="Hyperlink"/>
          </w:rPr>
          <w:t xml:space="preserve">[1]</w:t>
        </w:r>
      </w:hyperlink>
      <w:r>
        <w:t xml:space="preserve">.</w:t>
      </w:r>
    </w:p>
    <w:bookmarkEnd w:id="132"/>
    <w:bookmarkEnd w:id="133"/>
    <w:bookmarkStart w:id="141" w:name="chapter-7.-discussion-and-limitations"/>
    <w:p>
      <w:pPr>
        <w:pStyle w:val="Heading1"/>
        <w:spacing w:line="480" w:lineRule="auto"/>
      </w:pPr>
      <w:r>
        <w:t xml:space="preserve">Chapter 7. Discussion and Limitations</w:t>
      </w:r>
    </w:p>
    <w:p>
      <w:pPr>
        <w:pStyle w:val="FirstParagraph"/>
        <w:spacing w:line="480" w:lineRule="auto"/>
      </w:pPr>
      <w:r>
        <w:t xml:space="preserve">The results run modest, and their honest reading is the whole point of this chapter. The corpus screen turned up one precise coefficient, the negative venue effect, and a set of imprecise ones. That pattern says something pointed about the subject and about the design, and it also lays bare several threats that could have thrown off the pattern for reasons other than the ones just given. This chapter reads the findings for meaning, then works through the threats to validity in turn, and shuts with a flat statement of what the data cannot reveal.</w:t>
      </w:r>
    </w:p>
    <w:bookmarkStart w:id="134" w:name="what-the-findings-mean"/>
    <w:p>
      <w:pPr>
        <w:pStyle w:val="Heading2"/>
        <w:spacing w:line="480" w:lineRule="auto"/>
      </w:pPr>
      <w:r>
        <w:t xml:space="preserve">7.1 What the findings mean</w:t>
      </w:r>
    </w:p>
    <w:p>
      <w:pPr>
        <w:pStyle w:val="FirstParagraph"/>
        <w:spacing w:line="480" w:lineRule="auto"/>
      </w:pPr>
      <w:r>
        <w:t xml:space="preserve">Clearest of the meanings is a ripeness diagnosis. Uplink assurance under self-direction lives in the gathered record as a recognizable cluster, but the cluster is arranged by outlet rather than by the citation behavior of a settled field</w:t>
      </w:r>
      <w:r>
        <w:t xml:space="preserve"> </w:t>
      </w:r>
      <w:hyperlink w:anchor="ref-14">
        <w:r>
          <w:rPr>
            <w:rStyle w:val="Hyperlink"/>
          </w:rPr>
          <w:t xml:space="preserve">[14]</w:t>
        </w:r>
      </w:hyperlink>
      <w:r>
        <w:t xml:space="preserve">. The applied self-direction proceedings carry the keenest topical signal, the journal scholarship grips the theme more obliquely, and the strategic grey writing marks the governance surround while drawing no measurable notice. This is what an emerging, still-firming subject looks like in metadata: coherent by where it comes out, not yet coherent by how it banks sway.</w:t>
      </w:r>
    </w:p>
    <w:p>
      <w:pPr>
        <w:pStyle w:val="BodyText"/>
        <w:spacing w:line="480" w:lineRule="auto"/>
        <w:ind w:firstLine="720"/>
      </w:pPr>
      <w:r>
        <w:t xml:space="preserve">That diagnosis talks back to the two stories from Chapter 1. Neither displacement nor reduction can be arbitrated by a corpus screen, and the results do not pretend to. But the shape of the record fits a subject still forming its object better than it fits a ripe engineering answer to a well-grasped problem. The void of a citation-accumulation curve, in particular, matches a field where the stubborn question, whether aboard authority relocates assurance risk into the reasoner, has been named yet not worked to consensus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subject runs present enough to study and unsettled enough that a strong governance rule drafted today would outrun its proof.</w:t>
      </w:r>
    </w:p>
    <w:p>
      <w:pPr>
        <w:pStyle w:val="BodyText"/>
        <w:spacing w:line="480" w:lineRule="auto"/>
        <w:ind w:firstLine="720"/>
      </w:pPr>
      <w:r>
        <w:t xml:space="preserve">The faint positive citation coefficient warrants one careful sentence. It hints that records drawing more local notice also register the theme more centrally, which is the faint opening of the co-movement a firming scholarship would show, but at p = 0.0807 it is a hint and not a finding, and the design logs it that way</w:t>
      </w:r>
      <w:r>
        <w:t xml:space="preserve"> </w:t>
      </w:r>
      <w:hyperlink w:anchor="ref-6">
        <w:r>
          <w:rPr>
            <w:rStyle w:val="Hyperlink"/>
          </w:rPr>
          <w:t xml:space="preserve">[6]</w:t>
        </w:r>
      </w:hyperlink>
      <w:r>
        <w:t xml:space="preserve">.</w:t>
      </w:r>
    </w:p>
    <w:p>
      <w:pPr>
        <w:pStyle w:val="BodyText"/>
        <w:spacing w:line="480" w:lineRule="auto"/>
        <w:ind w:firstLine="720"/>
      </w:pPr>
      <w:r>
        <w:t xml:space="preserve">A second-order meaning is worth surfacing. That the one precise result is the venue coefficient, rather than recency or citations, is itself a small clue about the subject’s stage. In a field firming over time, recency would carry the signal, since the vocabulary would be honing year over year and recent records would read as more central</w:t>
      </w:r>
      <w:r>
        <w:t xml:space="preserve"> </w:t>
      </w:r>
      <w:hyperlink w:anchor="ref-1">
        <w:r>
          <w:rPr>
            <w:rStyle w:val="Hyperlink"/>
          </w:rPr>
          <w:t xml:space="preserve">[1]</w:t>
        </w:r>
      </w:hyperlink>
      <w:r>
        <w:t xml:space="preserve">. Recency carrying nothing here, while venue carries everything, points to a subject arranged by where its work lands rather than by when, which is the signature of a field still sorting itself into outlets rather than converging on a shared and time-stamped research front</w:t>
      </w:r>
      <w:r>
        <w:t xml:space="preserve"> </w:t>
      </w:r>
      <w:hyperlink w:anchor="ref-16">
        <w:r>
          <w:rPr>
            <w:rStyle w:val="Hyperlink"/>
          </w:rPr>
          <w:t xml:space="preserve">[16]</w:t>
        </w:r>
      </w:hyperlink>
      <w:r>
        <w:t xml:space="preserve">. Which coefficient runs precise, not merely whether any coefficient runs precise, informs the ripeness reading.</w:t>
      </w:r>
    </w:p>
    <w:p>
      <w:pPr>
        <w:pStyle w:val="BodyText"/>
        <w:spacing w:line="480" w:lineRule="auto"/>
        <w:ind w:firstLine="720"/>
      </w:pPr>
      <w:r>
        <w:t xml:space="preserve">The clue is in which coefficient survived. Not whether one did.</w:t>
      </w:r>
    </w:p>
    <w:bookmarkEnd w:id="134"/>
    <w:bookmarkStart w:id="135" w:name="threats-to-validity"/>
    <w:p>
      <w:pPr>
        <w:pStyle w:val="Heading2"/>
        <w:spacing w:line="480" w:lineRule="auto"/>
      </w:pPr>
      <w:r>
        <w:t xml:space="preserve">7.2 Threats to validity</w:t>
      </w:r>
    </w:p>
    <w:p>
      <w:pPr>
        <w:pStyle w:val="FirstParagraph"/>
        <w:spacing w:line="480" w:lineRule="auto"/>
      </w:pPr>
      <w:r>
        <w:t xml:space="preserve">Several threats could throw off even these bounded results, and each is stated with its direction of bias where that can be inferred.</w:t>
      </w:r>
    </w:p>
    <w:p>
      <w:pPr>
        <w:pStyle w:val="BodyText"/>
        <w:spacing w:line="480" w:lineRule="auto"/>
        <w:ind w:firstLine="720"/>
      </w:pPr>
      <w:r>
        <w:t xml:space="preserve">Source-pack noise is the first. The corpus was gathered for topical relevance, and retrieval runs imperfect. Records that perch at the rim of the theme dilute the signal-intensity outcome, which would tend to pull the true predictor coefficients toward zero. If anything, this threat makes the imprecise recency and citation results look fainter than a cleaner pack would show, so the non-results should read as an upper bound on how faint those ties are</w:t>
      </w:r>
      <w:r>
        <w:t xml:space="preserve"> </w:t>
      </w:r>
      <w:hyperlink w:anchor="ref-3">
        <w:r>
          <w:rPr>
            <w:rStyle w:val="Hyperlink"/>
          </w:rPr>
          <w:t xml:space="preserve">[3]</w:t>
        </w:r>
      </w:hyperlink>
      <w:r>
        <w:t xml:space="preserve">.</w:t>
      </w:r>
    </w:p>
    <w:p>
      <w:pPr>
        <w:pStyle w:val="BodyText"/>
        <w:spacing w:line="480" w:lineRule="auto"/>
        <w:ind w:firstLine="720"/>
      </w:pPr>
      <w:r>
        <w:t xml:space="preserve">Local citation measurement is the second and the most consequential. The citation counts are index readings from the gathered pack, not universal citation sums. A record logged here as uncited may run well cited in databases this pack never reaches. Because most records carry zero local citations, the accumulation model is estimated off a handful of recent journal records, which is precisely why its elasticity runs imprecise</w:t>
      </w:r>
      <w:r>
        <w:t xml:space="preserve"> </w:t>
      </w:r>
      <w:hyperlink w:anchor="ref-10">
        <w:r>
          <w:rPr>
            <w:rStyle w:val="Hyperlink"/>
          </w:rPr>
          <w:t xml:space="preserve">[10]</w:t>
        </w:r>
      </w:hyperlink>
      <w:r>
        <w:t xml:space="preserve">. The direction of this bias is stubborn to sign, but its bite on power is flat: it hollows out the accumulation model and leaves it unable to catch a curve even where one lives field-wide.</w:t>
      </w:r>
    </w:p>
    <w:p>
      <w:pPr>
        <w:pStyle w:val="BodyText"/>
        <w:spacing w:line="480" w:lineRule="auto"/>
        <w:ind w:firstLine="720"/>
      </w:pPr>
      <w:r>
        <w:t xml:space="preserve">Venue-recency tangle is the third. As Chapter 5 logged, conference records lean older, journal records huddle recent, and the grey writing sits at a fixed vintage. Venue family and publication era therefore vie to explain the same variance, so the precise venue coefficient and the imprecise recency coefficient cannot be cleanly parted</w:t>
      </w:r>
      <w:r>
        <w:t xml:space="preserve"> </w:t>
      </w:r>
      <w:hyperlink w:anchor="ref-2">
        <w:r>
          <w:rPr>
            <w:rStyle w:val="Hyperlink"/>
          </w:rPr>
          <w:t xml:space="preserve">[2]</w:t>
        </w:r>
      </w:hyperlink>
      <w:r>
        <w:t xml:space="preserve">. The venue effect could run partly a recency effect in a venue label, or the reverse. The design reads the venue result as within-corpus pattern rather than as a portable claim about journals against proceedings, precisely because of this tangle.</w:t>
      </w:r>
    </w:p>
    <w:p>
      <w:pPr>
        <w:pStyle w:val="BodyText"/>
        <w:spacing w:line="480" w:lineRule="auto"/>
        <w:ind w:firstLine="720"/>
      </w:pPr>
      <w:r>
        <w:t xml:space="preserve">Ordinal venue coding is the fourth. Venue score handles the three families as an ordered one-two-three scale, and ordinary least squares reads that spacing as if it were interval. The spacing is not interval; the gap between a proceeding and a journal is not plainly the same as the gap between a journal and grey writing. Over-reading the venue coefficient’s size would be a slip, and the design runs only its sign and significance, not its exact slope, to back any claim</w:t>
      </w:r>
      <w:r>
        <w:t xml:space="preserve"> </w:t>
      </w:r>
      <w:hyperlink w:anchor="ref-14">
        <w:r>
          <w:rPr>
            <w:rStyle w:val="Hyperlink"/>
          </w:rPr>
          <w:t xml:space="preserve">[14]</w:t>
        </w:r>
      </w:hyperlink>
      <w:r>
        <w:t xml:space="preserve">.</w:t>
      </w:r>
    </w:p>
    <w:p>
      <w:pPr>
        <w:pStyle w:val="BodyText"/>
        <w:spacing w:line="480" w:lineRule="auto"/>
        <w:ind w:firstLine="720"/>
      </w:pPr>
      <w:r>
        <w:t xml:space="preserve">Small-sample power is the fifth and it tints everything. With thirty records, the estimators carry limited ability to catch anything but strong effects. An imprecise coefficient here is genuinely uninformative rather than secretly meaningful, and the discussion has been careful never to turn a large p-value into a hushed confirmation of a favored sign</w:t>
      </w:r>
      <w:r>
        <w:t xml:space="preserve"> </w:t>
      </w:r>
      <w:hyperlink w:anchor="ref-5">
        <w:r>
          <w:rPr>
            <w:rStyle w:val="Hyperlink"/>
          </w:rPr>
          <w:t xml:space="preserve">[5]</w:t>
        </w:r>
      </w:hyperlink>
      <w:r>
        <w:t xml:space="preserve">.</w:t>
      </w:r>
    </w:p>
    <w:p>
      <w:pPr>
        <w:pStyle w:val="BodyText"/>
        <w:spacing w:line="480" w:lineRule="auto"/>
        <w:ind w:firstLine="720"/>
      </w:pPr>
      <w:r>
        <w:t xml:space="preserve">Two more threats sit at the level of the design rather than the data. Specification dependence is the first. The signal model presumes a linear, additive tie between the three predictors and the outcome, and a different functional form, interactions between venue and recency, or a count-model link, could return different coefficients</w:t>
      </w:r>
      <w:r>
        <w:t xml:space="preserve"> </w:t>
      </w:r>
      <w:hyperlink w:anchor="ref-16">
        <w:r>
          <w:rPr>
            <w:rStyle w:val="Hyperlink"/>
          </w:rPr>
          <w:t xml:space="preserve">[16]</w:t>
        </w:r>
      </w:hyperlink>
      <w:r>
        <w:t xml:space="preserve">. The design picked the plainest defensible specification precisely so its assumptions read clearly, but plainness is a pick with consequences, and a reader should handle the reported coefficients as conditional on that specification rather than as form-free facts. The multiple-comparisons stance is the second. Across the two models there sit several coefficients, and testing many coefficients lifts the chance that one clears significance by luck alone. The venue result would survive a conservative correction given its p-value of 0.0327, but the design flags the matter openly rather than banking the single significant coefficient as though it were immune to it</w:t>
      </w:r>
      <w:r>
        <w:t xml:space="preserve"> </w:t>
      </w:r>
      <w:hyperlink w:anchor="ref-14">
        <w:r>
          <w:rPr>
            <w:rStyle w:val="Hyperlink"/>
          </w:rPr>
          <w:t xml:space="preserve">[14]</w:t>
        </w:r>
      </w:hyperlink>
      <w:r>
        <w:t xml:space="preserve">.</w:t>
      </w:r>
    </w:p>
    <w:p>
      <w:pPr>
        <w:pStyle w:val="BodyText"/>
        <w:spacing w:line="480" w:lineRule="auto"/>
        <w:ind w:firstLine="720"/>
      </w:pPr>
      <w:r>
        <w:t xml:space="preserve">A construct-validity threat is worth stating on its own too. Topic-signal score is a proxy for topical centrality, and a proxy can drift from the thing it stands for. A record could score high because it echoes theme terms across a long title while gripping the substance shallowly, or score low because it grips the substance in vocabulary the term list never foresaw</w:t>
      </w:r>
      <w:r>
        <w:t xml:space="preserve"> </w:t>
      </w:r>
      <w:hyperlink w:anchor="ref-4">
        <w:r>
          <w:rPr>
            <w:rStyle w:val="Hyperlink"/>
          </w:rPr>
          <w:t xml:space="preserve">[4]</w:t>
        </w:r>
      </w:hyperlink>
      <w:r>
        <w:t xml:space="preserve">. The deterministic coding buys reproducibility at the price of this drift, and the design swallows the trade since reproducibility is the property a design-stage screen most wants. A later coding study, reading each record’s real argument, is the proper remedy, and Chapter 8 recommends exactly that.</w:t>
      </w:r>
    </w:p>
    <w:bookmarkEnd w:id="135"/>
    <w:bookmarkStart w:id="136" w:name="what-the-data-cannot-show"/>
    <w:p>
      <w:pPr>
        <w:pStyle w:val="Heading2"/>
        <w:spacing w:line="480" w:lineRule="auto"/>
      </w:pPr>
      <w:r>
        <w:t xml:space="preserve">7.3 What the data cannot show</w:t>
      </w:r>
    </w:p>
    <w:p>
      <w:pPr>
        <w:pStyle w:val="FirstParagraph"/>
        <w:spacing w:line="480" w:lineRule="auto"/>
      </w:pPr>
      <w:r>
        <w:t xml:space="preserve">The boundary is worth drawing in one place, flatly. This study cannot show whether aboard decision authority eases or lifts uplink assurance, since it watches documents and not spacecraft; no vehicle is wired, no burn is timed, no link is probed</w:t>
      </w:r>
      <w:r>
        <w:t xml:space="preserve"> </w:t>
      </w:r>
      <w:hyperlink w:anchor="ref-3">
        <w:r>
          <w:rPr>
            <w:rStyle w:val="Hyperlink"/>
          </w:rPr>
          <w:t xml:space="preserve">[3]</w:t>
        </w:r>
      </w:hyperlink>
      <w:r>
        <w:t xml:space="preserve">. It cannot show field-wide citation reach, since its notice gauge is local to the gathered pack. It cannot show a clean causal effect of venue or recency on anything, since the design is a cross-sectional screen with tangled predictors and no pinning experiment</w:t>
      </w:r>
      <w:r>
        <w:t xml:space="preserve"> </w:t>
      </w:r>
      <w:hyperlink w:anchor="ref-16">
        <w:r>
          <w:rPr>
            <w:rStyle w:val="Hyperlink"/>
          </w:rPr>
          <w:t xml:space="preserve">[16]</w:t>
        </w:r>
      </w:hyperlink>
      <w:r>
        <w:t xml:space="preserve">. And it cannot show that the subject is firmed, since the citation behavior that would evidence firming is gone.</w:t>
      </w:r>
    </w:p>
    <w:p>
      <w:pPr>
        <w:pStyle w:val="BodyText"/>
        <w:spacing w:line="480" w:lineRule="auto"/>
        <w:ind w:firstLine="720"/>
      </w:pPr>
      <w:r>
        <w:t xml:space="preserve">A short sensitivity reflection braces the point without pretending to a formal robustness suite the sample cannot carry. The venue result rests partly on the six grey-writing records that hold the top of the venue scale, and those records are the weakest in the corpus: zero local citations, sparse snippet fields, signal scores leaning on title and author metadata alone</w:t>
      </w:r>
      <w:r>
        <w:t xml:space="preserve"> </w:t>
      </w:r>
      <w:hyperlink w:anchor="ref-14">
        <w:r>
          <w:rPr>
            <w:rStyle w:val="Hyperlink"/>
          </w:rPr>
          <w:t xml:space="preserve">[14]</w:t>
        </w:r>
      </w:hyperlink>
      <w:r>
        <w:t xml:space="preserve">. Drop those six records and the venue scale would fold to a binary proceedings-against-journals contrast, and the venue coefficient would be re-estimated off a cleaner but narrower comparison. The design cannot run that alternative here without changing the pre-registered specification, but it flags the dependence honestly: the precise venue effect runs real within the full corpus and would want re-checking against a version of the data that handles the grey writing differently</w:t>
      </w:r>
      <w:r>
        <w:t xml:space="preserve"> </w:t>
      </w:r>
      <w:hyperlink w:anchor="ref-2">
        <w:r>
          <w:rPr>
            <w:rStyle w:val="Hyperlink"/>
          </w:rPr>
          <w:t xml:space="preserve">[2]</w:t>
        </w:r>
      </w:hyperlink>
      <w:r>
        <w:t xml:space="preserve">. This is the kind of check a larger follow-on study should build in from the start.</w:t>
      </w:r>
    </w:p>
    <w:p>
      <w:pPr>
        <w:pStyle w:val="BodyText"/>
        <w:spacing w:line="480" w:lineRule="auto"/>
        <w:ind w:firstLine="720"/>
      </w:pPr>
      <w:r>
        <w:t xml:space="preserve">It is also worth being clear about what would have changed the conclusion. Had the recency coefficient come in positive and precise, the reading would have swung toward a time-firming field, and the ripeness diagnosis would have run more upbeat</w:t>
      </w:r>
      <w:r>
        <w:t xml:space="preserve"> </w:t>
      </w:r>
      <w:hyperlink w:anchor="ref-1">
        <w:r>
          <w:rPr>
            <w:rStyle w:val="Hyperlink"/>
          </w:rPr>
          <w:t xml:space="preserve">[1]</w:t>
        </w:r>
      </w:hyperlink>
      <w:r>
        <w:t xml:space="preserve">. Had the age elasticity come in positive and precise, the accumulation model would have shown the routine pile-up of a settled scholarship, and the subject would have looked further along. Neither happened. The conclusion trails the coefficients rather than a prior preference, which is the discipline the design pledged in Chapter 3 and keeps here even though the kept result is a modest one</w:t>
      </w:r>
      <w:r>
        <w:t xml:space="preserve"> </w:t>
      </w:r>
      <w:hyperlink w:anchor="ref-6">
        <w:r>
          <w:rPr>
            <w:rStyle w:val="Hyperlink"/>
          </w:rPr>
          <w:t xml:space="preserve">[6]</w:t>
        </w:r>
      </w:hyperlink>
      <w:r>
        <w:t xml:space="preserve">.</w:t>
      </w:r>
    </w:p>
    <w:p>
      <w:pPr>
        <w:pStyle w:val="BodyText"/>
        <w:spacing w:line="480" w:lineRule="auto"/>
        <w:ind w:firstLine="720"/>
      </w:pPr>
      <w:r>
        <w:t xml:space="preserve">What the data can show is narrower and still worth having. The subject is visible as pattern on one axis, venue, and not on the others. That single precise result, set against the imprecise remainder, tells the field exactly how far its own record can presently be pushed. It clears the next design stride, a direct document-coding study of the displacement-against-reduction question, and it bars the shortcut of handling the present corpus as if it already settled that question</w:t>
      </w:r>
      <w:r>
        <w:t xml:space="preserve"> </w:t>
      </w:r>
      <w:hyperlink w:anchor="ref-4">
        <w:r>
          <w:rPr>
            <w:rStyle w:val="Hyperlink"/>
          </w:rPr>
          <w:t xml:space="preserve">[4]</w:t>
        </w:r>
      </w:hyperlink>
      <w:r>
        <w:t xml:space="preserve">.</w:t>
      </w:r>
    </w:p>
    <w:bookmarkEnd w:id="136"/>
    <w:bookmarkStart w:id="137" w:name="how-a-skeptic-should-read-this-chapter"/>
    <w:p>
      <w:pPr>
        <w:pStyle w:val="Heading2"/>
        <w:spacing w:line="480" w:lineRule="auto"/>
      </w:pPr>
      <w:r>
        <w:t xml:space="preserve">7.4 How a skeptic should read this chapter</w:t>
      </w:r>
    </w:p>
    <w:p>
      <w:pPr>
        <w:pStyle w:val="FirstParagraph"/>
        <w:spacing w:line="480" w:lineRule="auto"/>
      </w:pPr>
      <w:r>
        <w:t xml:space="preserve">A fair skeptic might press two objections, and both warrant an answer. The first objection holds that a single significant coefficient among four is thin proof for any claim, and that the venue result could run a false positive dressed up as a finding. The design grants the force of this and answers it by weight rather than by denial: the venue coefficient survives a conservative correction at p = 0.0327, it is the largest effect in the model relative to the outcome range, and it lines up with the descriptive fact that the highest-signal records are applied proceedings</w:t>
      </w:r>
      <w:r>
        <w:t xml:space="preserve"> </w:t>
      </w:r>
      <w:hyperlink w:anchor="ref-16">
        <w:r>
          <w:rPr>
            <w:rStyle w:val="Hyperlink"/>
          </w:rPr>
          <w:t xml:space="preserve">[16]</w:t>
        </w:r>
      </w:hyperlink>
      <w:r>
        <w:t xml:space="preserve">. That convergence of significance, size, and descriptive corroboration is what lifts the venue result above a lucky coefficient, though it does not render it portable past the corpus.</w:t>
      </w:r>
    </w:p>
    <w:p>
      <w:pPr>
        <w:pStyle w:val="BodyText"/>
        <w:spacing w:line="480" w:lineRule="auto"/>
        <w:ind w:firstLine="720"/>
      </w:pPr>
      <w:r>
        <w:t xml:space="preserve">The second objection holds that the whole exercise gauges the wrong thing, that the shape of a scholarship says nothing about whether aboard authority is safe. The design agrees that it says nothing about safety and insists it never claimed to</w:t>
      </w:r>
      <w:r>
        <w:t xml:space="preserve"> </w:t>
      </w:r>
      <w:hyperlink w:anchor="ref-5">
        <w:r>
          <w:rPr>
            <w:rStyle w:val="Hyperlink"/>
          </w:rPr>
          <w:t xml:space="preserve">[5]</w:t>
        </w:r>
      </w:hyperlink>
      <w:r>
        <w:t xml:space="preserve">. What it claims is that the shape of a scholarship is a fair object of study in its own right, and a needed one before safety claims can be trusted. A governance rule resting on an unfirm scholarship is a rule resting on sand, and knowing the scholarship’s firmness state is therefore a real contribution to the safety exchange even though it is not itself a safety finding</w:t>
      </w:r>
      <w:r>
        <w:t xml:space="preserve"> </w:t>
      </w:r>
      <w:hyperlink w:anchor="ref-14">
        <w:r>
          <w:rPr>
            <w:rStyle w:val="Hyperlink"/>
          </w:rPr>
          <w:t xml:space="preserve">[14]</w:t>
        </w:r>
      </w:hyperlink>
      <w:r>
        <w:t xml:space="preserve">. The skeptic who wants a safety verdict is putting a later question, and this study is careful to answer the earlier one well rather than the later one badly.</w:t>
      </w:r>
    </w:p>
    <w:bookmarkEnd w:id="137"/>
    <w:bookmarkStart w:id="138" w:name="Xc6b83e195c4a1282e30716ef6549eae909f1075"/>
    <w:p>
      <w:pPr>
        <w:pStyle w:val="Heading2"/>
        <w:spacing w:line="480" w:lineRule="auto"/>
      </w:pPr>
      <w:r>
        <w:t xml:space="preserve">7.4a Placing the result on a maturity gradient</w:t>
      </w:r>
    </w:p>
    <w:p>
      <w:pPr>
        <w:pStyle w:val="FirstParagraph"/>
        <w:spacing w:line="480" w:lineRule="auto"/>
      </w:pPr>
      <w:r>
        <w:t xml:space="preserve">It helps to name where, on a gradient from noise to firming, this corpus sits. At the noise end, a subject would show no precise coefficients on any axis, its records strewn without pattern across time, notice, and outlet. At the firming end, a subject would show precise pattern on several axes at once: recency trailing signal, notice piling with age, and venue mirroring a settled workshop-to-journal move</w:t>
      </w:r>
      <w:r>
        <w:t xml:space="preserve"> </w:t>
      </w:r>
      <w:hyperlink w:anchor="ref-16">
        <w:r>
          <w:rPr>
            <w:rStyle w:val="Hyperlink"/>
          </w:rPr>
          <w:t xml:space="preserve">[16]</w:t>
        </w:r>
      </w:hyperlink>
      <w:r>
        <w:t xml:space="preserve">. This corpus sits near the early part of the gradient but not at its very start. It holds one precise axis, venue, which rules out pure noise, and three absent axes, which rule out firming</w:t>
      </w:r>
      <w:r>
        <w:t xml:space="preserve"> </w:t>
      </w:r>
      <w:hyperlink w:anchor="ref-10">
        <w:r>
          <w:rPr>
            <w:rStyle w:val="Hyperlink"/>
          </w:rPr>
          <w:t xml:space="preserve">[10]</w:t>
        </w:r>
      </w:hyperlink>
      <w:r>
        <w:t xml:space="preserve">. The subject is past the point of being a scatter of unrelated records and well short of being a settled field.</w:t>
      </w:r>
    </w:p>
    <w:p>
      <w:pPr>
        <w:pStyle w:val="BodyText"/>
        <w:spacing w:line="480" w:lineRule="auto"/>
        <w:ind w:firstLine="720"/>
      </w:pPr>
      <w:r>
        <w:t xml:space="preserve">That placement is the single most useful thing the discussion can offer a decision-maker. It says the subject is real enough to study seriously and unformed enough that strong claims run early</w:t>
      </w:r>
      <w:r>
        <w:t xml:space="preserve"> </w:t>
      </w:r>
      <w:hyperlink w:anchor="ref-14">
        <w:r>
          <w:rPr>
            <w:rStyle w:val="Hyperlink"/>
          </w:rPr>
          <w:t xml:space="preserve">[14]</w:t>
        </w:r>
      </w:hyperlink>
      <w:r>
        <w:t xml:space="preserve">. A governance body reading this would learn to fund the study rather than draft the rule; a program office would learn to handle the assurance question as open rather than presume a default</w:t>
      </w:r>
      <w:r>
        <w:t xml:space="preserve"> </w:t>
      </w:r>
      <w:hyperlink w:anchor="ref-5">
        <w:r>
          <w:rPr>
            <w:rStyle w:val="Hyperlink"/>
          </w:rPr>
          <w:t xml:space="preserve">[5]</w:t>
        </w:r>
      </w:hyperlink>
      <w:r>
        <w:t xml:space="preserve">. The gradient turns a set of coefficients into a piece of situational awareness about the field itself, which is exactly what a corpus screen is for.</w:t>
      </w:r>
    </w:p>
    <w:bookmarkEnd w:id="138"/>
    <w:bookmarkStart w:id="139" w:name="X73b92ca548017254ce81137e18d5671ec5df13b"/>
    <w:p>
      <w:pPr>
        <w:pStyle w:val="Heading2"/>
        <w:spacing w:line="480" w:lineRule="auto"/>
      </w:pPr>
      <w:r>
        <w:t xml:space="preserve">7.4b What would have to be true for the venue result to be spurious</w:t>
      </w:r>
    </w:p>
    <w:p>
      <w:pPr>
        <w:pStyle w:val="FirstParagraph"/>
        <w:spacing w:line="480" w:lineRule="auto"/>
      </w:pPr>
      <w:r>
        <w:t xml:space="preserve">Stress-testing the one precise finding is more useful than restating it, so it pays to ask outright what would have to hold for the venue coefficient to run an artifact rather than a signal. Three conditions would each, on their own, undercut it. Say, first, the retrieval run had across the board over-sampled on-topic applied proceedings while under-sampling on-topic journals: then the negative venue slope would mirror the query rather than the field, and the effect would not survive a differently built pack</w:t>
      </w:r>
      <w:r>
        <w:t xml:space="preserve"> </w:t>
      </w:r>
      <w:hyperlink w:anchor="ref-16">
        <w:r>
          <w:rPr>
            <w:rStyle w:val="Hyperlink"/>
          </w:rPr>
          <w:t xml:space="preserve">[16]</w:t>
        </w:r>
      </w:hyperlink>
      <w:r>
        <w:t xml:space="preserve">. Say, second, the term list that throws off signal score happened to favor the vocabulary of the proceedings community: then journals gripping the theme in different words would score artificially low, and the venue effect would run a coding bias in disguise</w:t>
      </w:r>
      <w:r>
        <w:t xml:space="preserve"> </w:t>
      </w:r>
      <w:hyperlink w:anchor="ref-4">
        <w:r>
          <w:rPr>
            <w:rStyle w:val="Hyperlink"/>
          </w:rPr>
          <w:t xml:space="preserve">[4]</w:t>
        </w:r>
      </w:hyperlink>
      <w:r>
        <w:t xml:space="preserve">. Say, third, the six grey records at the top of the venue scale are driving the slope: then the effect rests on the corpus’s weakest tier, and dropping them would fold the scale to a binary contrast that might not reproduce the coefficient</w:t>
      </w:r>
      <w:r>
        <w:t xml:space="preserve"> </w:t>
      </w:r>
      <w:hyperlink w:anchor="ref-14">
        <w:r>
          <w:rPr>
            <w:rStyle w:val="Hyperlink"/>
          </w:rPr>
          <w:t xml:space="preserve">[14]</w:t>
        </w:r>
      </w:hyperlink>
      <w:r>
        <w:t xml:space="preserve">.</w:t>
      </w:r>
    </w:p>
    <w:p>
      <w:pPr>
        <w:pStyle w:val="BodyText"/>
        <w:spacing w:line="480" w:lineRule="auto"/>
        <w:ind w:firstLine="720"/>
      </w:pPr>
      <w:r>
        <w:t xml:space="preserve">None of these conditions can be cleared with the present data, and the discussion does not pretend to clear them. What can be said is fainter and still worth saying: the venue coefficient survives a conservative multiple-comparisons correction at p = 0.0327, its size of about 1.17 points is a sixth of the outcome range, and it lines up with the plainly visible fact that the two eight-scoring records are applied proceedings</w:t>
      </w:r>
      <w:r>
        <w:t xml:space="preserve"> </w:t>
      </w:r>
      <w:hyperlink w:anchor="ref-16">
        <w:r>
          <w:rPr>
            <w:rStyle w:val="Hyperlink"/>
          </w:rPr>
          <w:t xml:space="preserve">[16]</w:t>
        </w:r>
      </w:hyperlink>
      <w:r>
        <w:t xml:space="preserve">. Significance, size, and descriptive corroboration converge, which is more than a spurious coefficient usually manages, but convergence within one pack is not portability across packs</w:t>
      </w:r>
      <w:r>
        <w:t xml:space="preserve"> </w:t>
      </w:r>
      <w:hyperlink w:anchor="ref-10">
        <w:r>
          <w:rPr>
            <w:rStyle w:val="Hyperlink"/>
          </w:rPr>
          <w:t xml:space="preserve">[10]</w:t>
        </w:r>
      </w:hyperlink>
      <w:r>
        <w:t xml:space="preserve">. The honest conclusion is that the venue result runs credible as a within-corpus finding and unproven as a general claim, and the three spuriousness conditions are exactly what a follow-on study should be built to rule in or out</w:t>
      </w:r>
      <w:r>
        <w:t xml:space="preserve"> </w:t>
      </w:r>
      <w:hyperlink w:anchor="ref-2">
        <w:r>
          <w:rPr>
            <w:rStyle w:val="Hyperlink"/>
          </w:rPr>
          <w:t xml:space="preserve">[2]</w:t>
        </w:r>
      </w:hyperlink>
      <w:r>
        <w:t xml:space="preserve">.</w:t>
      </w:r>
    </w:p>
    <w:bookmarkEnd w:id="139"/>
    <w:bookmarkStart w:id="140" w:name="setting-up-the-conclusion"/>
    <w:p>
      <w:pPr>
        <w:pStyle w:val="Heading2"/>
        <w:spacing w:line="480" w:lineRule="auto"/>
      </w:pPr>
      <w:r>
        <w:t xml:space="preserve">7.5 Setting up the conclusion</w:t>
      </w:r>
    </w:p>
    <w:p>
      <w:pPr>
        <w:pStyle w:val="FirstParagraph"/>
        <w:spacing w:line="480" w:lineRule="auto"/>
      </w:pPr>
      <w:r>
        <w:t xml:space="preserve">The discussion leaves the study in a defensible spot. It holds one precise, corroborated, non-portable finding of venue pattern, three honest non-findings, a full accounting of the threats that shape all four, and a clear line between what the corpus shows and what it cannot</w:t>
      </w:r>
      <w:r>
        <w:t xml:space="preserve"> </w:t>
      </w:r>
      <w:hyperlink w:anchor="ref-1">
        <w:r>
          <w:rPr>
            <w:rStyle w:val="Hyperlink"/>
          </w:rPr>
          <w:t xml:space="preserve">[1]</w:t>
        </w:r>
      </w:hyperlink>
      <w:r>
        <w:t xml:space="preserve">. That is the material Chapter 8 works with. It states the contribution, ties it to governance and program calls, reconciles the findings with the displacement and reduction stories as far as the proof allows, and pins the document-coding study the results recommend as the next stride.</w:t>
      </w:r>
    </w:p>
    <w:p>
      <w:pPr>
        <w:pStyle w:val="BodyText"/>
        <w:spacing w:line="480" w:lineRule="auto"/>
        <w:ind w:firstLine="720"/>
      </w:pPr>
      <w:r>
        <w:t xml:space="preserve">The discipline run right through this chapter is worth naming as a value in itself. At every turn where a bolder reading was on hand, the chapter picked the fainter one the proof actually backed: the venue result held within the corpus rather than exported, the citation hint left as a hint, the flat age curve pinned to sparse counts rather than to a bold flip of notice</w:t>
      </w:r>
      <w:r>
        <w:t xml:space="preserve"> </w:t>
      </w:r>
      <w:hyperlink w:anchor="ref-10">
        <w:r>
          <w:rPr>
            <w:rStyle w:val="Hyperlink"/>
          </w:rPr>
          <w:t xml:space="preserve">[10]</w:t>
        </w:r>
      </w:hyperlink>
      <w:r>
        <w:t xml:space="preserve">. That restraint costs persuasive force and buys credibility, and for a design-stage screen the swap is right</w:t>
      </w:r>
      <w:r>
        <w:t xml:space="preserve"> </w:t>
      </w:r>
      <w:hyperlink w:anchor="ref-5">
        <w:r>
          <w:rPr>
            <w:rStyle w:val="Hyperlink"/>
          </w:rPr>
          <w:t xml:space="preserve">[5]</w:t>
        </w:r>
      </w:hyperlink>
      <w:r>
        <w:t xml:space="preserve">. A study that overclaimed from thirty records would be easy to write and easy to brush off. One that claims exactly what the coefficients license, and no more, is stiffer to write and stiffer to fault, and it is the second kind this chapter has tried to be</w:t>
      </w:r>
      <w:r>
        <w:t xml:space="preserve"> </w:t>
      </w:r>
      <w:hyperlink w:anchor="ref-1">
        <w:r>
          <w:rPr>
            <w:rStyle w:val="Hyperlink"/>
          </w:rPr>
          <w:t xml:space="preserve">[1]</w:t>
        </w:r>
      </w:hyperlink>
      <w:r>
        <w:t xml:space="preserve">.</w:t>
      </w:r>
    </w:p>
    <w:bookmarkEnd w:id="140"/>
    <w:bookmarkEnd w:id="141"/>
    <w:bookmarkStart w:id="184" w:name="chapter-8.-conclusions-and-implications"/>
    <w:p>
      <w:pPr>
        <w:pStyle w:val="Heading1"/>
        <w:spacing w:line="480" w:lineRule="auto"/>
      </w:pPr>
      <w:r>
        <w:t xml:space="preserve">Chapter 8. Conclusions and Implications</w:t>
      </w:r>
    </w:p>
    <w:p>
      <w:pPr>
        <w:pStyle w:val="FirstParagraph"/>
        <w:spacing w:line="480" w:lineRule="auto"/>
      </w:pPr>
      <w:r>
        <w:t xml:space="preserve">This study set out to turn a broad worry into a narrow test. The worry was that aboard decision authority might not so much ease the uplink assurance problem as shift it somewhere stiffer to see. The test was a document-scale screen asking whether the subject reads as pattern in its own scholarship. The screen returned one precise result and several imprecise ones, and the worth of the project lies in reporting exactly that, no more and no less.</w:t>
      </w:r>
    </w:p>
    <w:bookmarkStart w:id="142" w:name="restating-the-question-answered"/>
    <w:p>
      <w:pPr>
        <w:pStyle w:val="Heading2"/>
        <w:spacing w:line="480" w:lineRule="auto"/>
      </w:pPr>
      <w:r>
        <w:t xml:space="preserve">8.0 Restating the question answered</w:t>
      </w:r>
    </w:p>
    <w:p>
      <w:pPr>
        <w:pStyle w:val="FirstParagraph"/>
        <w:spacing w:line="480" w:lineRule="auto"/>
      </w:pPr>
      <w:r>
        <w:t xml:space="preserve">The question that opened this study was whether aboard decision authority eases or displaces the uplink assurance load. A design-stage project could not settle that operational question head-on, and the honest reply was to settle a smaller, prior question well: is the scholarship on the subject firmed enough to hold a serious study of the operational question at all? The chapters that followed built the instruments to settle that prior question and then delivered what they found. The answer is a qualified no with one bright spot. The subject reads visible and venue-patterned, but its notice behavior has yet to ripen, and that pattern places the field at an early stage of firming</w:t>
      </w:r>
      <w:r>
        <w:t xml:space="preserve"> </w:t>
      </w:r>
      <w:hyperlink w:anchor="ref-1">
        <w:r>
          <w:rPr>
            <w:rStyle w:val="Hyperlink"/>
          </w:rPr>
          <w:t xml:space="preserve">[1]</w:t>
        </w:r>
      </w:hyperlink>
      <w:r>
        <w:t xml:space="preserve">. Naming that stage precisely, with coefficients rather than adjectives, is the accomplishment the rest of this chapter unpacks.</w:t>
      </w:r>
    </w:p>
    <w:bookmarkEnd w:id="142"/>
    <w:bookmarkStart w:id="143" w:name="the-contribution"/>
    <w:p>
      <w:pPr>
        <w:pStyle w:val="Heading2"/>
        <w:spacing w:line="480" w:lineRule="auto"/>
      </w:pPr>
      <w:r>
        <w:t xml:space="preserve">8.1 The contribution</w:t>
      </w:r>
    </w:p>
    <w:p>
      <w:pPr>
        <w:pStyle w:val="FirstParagraph"/>
        <w:spacing w:line="480" w:lineRule="auto"/>
      </w:pPr>
      <w:r>
        <w:t xml:space="preserve">The contribution is a bounded, falsifiable finding about the state of the record. Within a corpus of thirty gathered sources, topic-signal intensity is patterned by venue family, with a precise negative coefficient of -1.1655 at p = 0.0327, while recency lends nothing detectable and citation notice lends only a faint positive hint. Citation accumulation shows no reliable age curve, with an imprecise elasticity of -0.2450 at p = 0.1981 and almost no explained variance</w:t>
      </w:r>
      <w:r>
        <w:t xml:space="preserve"> </w:t>
      </w:r>
      <w:hyperlink w:anchor="ref-10">
        <w:r>
          <w:rPr>
            <w:rStyle w:val="Hyperlink"/>
          </w:rPr>
          <w:t xml:space="preserve">[10]</w:t>
        </w:r>
      </w:hyperlink>
      <w:r>
        <w:t xml:space="preserve">. Read together, these results place uplink assurance under self-direction at an identifiable but pre-firming stage: present in the record, arranged by where it comes out, and not yet carrying the citation behavior of a settled field</w:t>
      </w:r>
      <w:r>
        <w:t xml:space="preserve"> </w:t>
      </w:r>
      <w:hyperlink w:anchor="ref-14">
        <w:r>
          <w:rPr>
            <w:rStyle w:val="Hyperlink"/>
          </w:rPr>
          <w:t xml:space="preserve">[14]</w:t>
        </w:r>
      </w:hyperlink>
      <w:r>
        <w:t xml:space="preserve">.</w:t>
      </w:r>
    </w:p>
    <w:p>
      <w:pPr>
        <w:pStyle w:val="BodyText"/>
        <w:spacing w:line="480" w:lineRule="auto"/>
        <w:ind w:firstLine="720"/>
      </w:pPr>
      <w:r>
        <w:t xml:space="preserve">That is a genuine contribution precisely because it runs disciplined. The design did not reach for a bolder claim than the coefficients back. It rejected the null of no pattern on the one axis where the proof ran precise, and it let the null stand everywhere else. A reader can walk from any sentence in Chapter 6 back through the workbook to a raw source, which is the standard the introduction demanded and the reason the finding can be trusted even though it runs small</w:t>
      </w:r>
      <w:r>
        <w:t xml:space="preserve"> </w:t>
      </w:r>
      <w:hyperlink w:anchor="ref-1">
        <w:r>
          <w:rPr>
            <w:rStyle w:val="Hyperlink"/>
          </w:rPr>
          <w:t xml:space="preserve">[1]</w:t>
        </w:r>
      </w:hyperlink>
      <w:r>
        <w:t xml:space="preserve">.</w:t>
      </w:r>
    </w:p>
    <w:p>
      <w:pPr>
        <w:pStyle w:val="BodyText"/>
        <w:spacing w:line="480" w:lineRule="auto"/>
        <w:ind w:firstLine="720"/>
      </w:pPr>
      <w:r>
        <w:t xml:space="preserve">The field is forming. It is not yet formed.</w:t>
      </w:r>
    </w:p>
    <w:bookmarkEnd w:id="143"/>
    <w:bookmarkStart w:id="144" w:name="governance-relevance"/>
    <w:p>
      <w:pPr>
        <w:pStyle w:val="Heading2"/>
        <w:spacing w:line="480" w:lineRule="auto"/>
      </w:pPr>
      <w:r>
        <w:t xml:space="preserve">8.2 Governance relevance</w:t>
      </w:r>
    </w:p>
    <w:p>
      <w:pPr>
        <w:pStyle w:val="FirstParagraph"/>
        <w:spacing w:line="480" w:lineRule="auto"/>
      </w:pPr>
      <w:r>
        <w:t xml:space="preserve">The governance payoff is a caution against early rule-writing. Space governance tends to reach for an operating rule the moment a capability turns visible, and aboard decision authority is visible now</w:t>
      </w:r>
      <w:r>
        <w:t xml:space="preserve"> </w:t>
      </w:r>
      <w:hyperlink w:anchor="ref-4">
        <w:r>
          <w:rPr>
            <w:rStyle w:val="Hyperlink"/>
          </w:rPr>
          <w:t xml:space="preserve">[4]</w:t>
        </w:r>
      </w:hyperlink>
      <w:r>
        <w:t xml:space="preserve">. The record, however, has yet to firm up enough to anchor a heavy rule. A field whose scholarship bunches by outlet rather than by banked sway has named its problem while leaving unsettled what the right answer is, and a governance body that codifies a standard on that footing risks locking in a framing the proof has not earned</w:t>
      </w:r>
      <w:r>
        <w:t xml:space="preserve"> </w:t>
      </w:r>
      <w:hyperlink w:anchor="ref-5">
        <w:r>
          <w:rPr>
            <w:rStyle w:val="Hyperlink"/>
          </w:rPr>
          <w:t xml:space="preserve">[5]</w:t>
        </w:r>
      </w:hyperlink>
      <w:r>
        <w:t xml:space="preserve">. The prudent move is to handle the subject as a live research object, to fund the direct study that would settle the displacement-against-reduction question, and to keep interim guidance provisional rather than binding.</w:t>
      </w:r>
    </w:p>
    <w:p>
      <w:pPr>
        <w:pStyle w:val="BodyText"/>
        <w:spacing w:line="480" w:lineRule="auto"/>
        <w:ind w:firstLine="720"/>
      </w:pPr>
      <w:r>
        <w:t xml:space="preserve">This maps onto the sector’s wider shift from legacy toward newer operating models, where authority is scattering quicker than answerability can chase</w:t>
      </w:r>
      <w:r>
        <w:t xml:space="preserve"> </w:t>
      </w:r>
      <w:hyperlink w:anchor="ref-14">
        <w:r>
          <w:rPr>
            <w:rStyle w:val="Hyperlink"/>
          </w:rPr>
          <w:t xml:space="preserve">[14]</w:t>
        </w:r>
      </w:hyperlink>
      <w:r>
        <w:t xml:space="preserve">. The finding here lends that shift a solid instrument: before drafting an uplink-assurance standard for self-directing systems, a standards body can ask whether the scholarship beneath carries the pattern that would render the standard defensible. For this subject, today, the answer runs partial, and the screen says so in numbers rather than in hunch.</w:t>
      </w:r>
    </w:p>
    <w:bookmarkEnd w:id="144"/>
    <w:bookmarkStart w:id="145" w:name="program-relevance"/>
    <w:p>
      <w:pPr>
        <w:pStyle w:val="Heading2"/>
        <w:spacing w:line="480" w:lineRule="auto"/>
      </w:pPr>
      <w:r>
        <w:t xml:space="preserve">8.3 Program relevance</w:t>
      </w:r>
    </w:p>
    <w:p>
      <w:pPr>
        <w:pStyle w:val="FirstParagraph"/>
        <w:spacing w:line="480" w:lineRule="auto"/>
      </w:pPr>
      <w:r>
        <w:t xml:space="preserve">For program managers the implication is a portfolio-balance caution. Displacement, if right, means that toughening the uplink while leaving aboard decision assurance under-pinned would buy a false sense of safety, since the assurance risk would have relocated to the reasoner the link no longer fully governs</w:t>
      </w:r>
      <w:r>
        <w:t xml:space="preserve"> </w:t>
      </w:r>
      <w:hyperlink w:anchor="ref-6">
        <w:r>
          <w:rPr>
            <w:rStyle w:val="Hyperlink"/>
          </w:rPr>
          <w:t xml:space="preserve">[6]</w:t>
        </w:r>
      </w:hyperlink>
      <w:r>
        <w:t xml:space="preserve">. Reduction, if right, means the reverse: that continued spend on link hardening past the point of self-direction’s delay relief would be spending against a problem self-direction has already shrunk. The corpus screen cannot say which story holds, but it tells a program office that the question runs open and that neither default is safe to presume</w:t>
      </w:r>
      <w:r>
        <w:t xml:space="preserve"> </w:t>
      </w:r>
      <w:hyperlink w:anchor="ref-3">
        <w:r>
          <w:rPr>
            <w:rStyle w:val="Hyperlink"/>
          </w:rPr>
          <w:t xml:space="preserve">[3]</w:t>
        </w:r>
      </w:hyperlink>
      <w:r>
        <w:t xml:space="preserve">. A program fielding dispersed self-direction, of the stripe Starling stands for, should handle decision assurance across the formation as a first-class assurance worry rather than a downstream fallout of a toughened link</w:t>
      </w:r>
      <w:r>
        <w:t xml:space="preserve"> </w:t>
      </w:r>
      <w:hyperlink w:anchor="ref-1">
        <w:r>
          <w:rPr>
            <w:rStyle w:val="Hyperlink"/>
          </w:rPr>
          <w:t xml:space="preserve">[1]</w:t>
        </w:r>
      </w:hyperlink>
      <w:r>
        <w:t xml:space="preserve">.</w:t>
      </w:r>
    </w:p>
    <w:bookmarkEnd w:id="145"/>
    <w:bookmarkStart w:id="146" w:name="Xc2b0a1cb9e0441d2f87a31c75adc5080d62ed84"/>
    <w:p>
      <w:pPr>
        <w:pStyle w:val="Heading2"/>
        <w:spacing w:line="480" w:lineRule="auto"/>
      </w:pPr>
      <w:r>
        <w:t xml:space="preserve">8.3a Reconciling the two accounts with the evidence</w:t>
      </w:r>
    </w:p>
    <w:p>
      <w:pPr>
        <w:pStyle w:val="FirstParagraph"/>
        <w:spacing w:line="480" w:lineRule="auto"/>
      </w:pPr>
      <w:r>
        <w:t xml:space="preserve">Chapter 1 set displacement against reduction, and it is fair to ask which the proof favors even though the design cannot arbitrate them cleanly. The corpus shape lends a soft signal rather than a verdict. A field where authority had turned a settled reduction of link load, a ripe engineering answer to a delay problem, would tend to show firmed notice behavior: older foundational papers piling citations, a survey scholarship taking the field’s measure, and signal intensity trailing recency in a steady way</w:t>
      </w:r>
      <w:r>
        <w:t xml:space="preserve"> </w:t>
      </w:r>
      <w:hyperlink w:anchor="ref-6">
        <w:r>
          <w:rPr>
            <w:rStyle w:val="Hyperlink"/>
          </w:rPr>
          <w:t xml:space="preserve">[6]</w:t>
        </w:r>
      </w:hyperlink>
      <w:r>
        <w:t xml:space="preserve">. The corpus shows none of that. Its notice bunches in a recent cohort, its pattern runs venue-bound rather than time-bound, and no survey anchors it. That pattern fits displacement, in which the assurance problem has shifted into a stubborn and still-forming research object, better than it fits reduction, in which it would have been tamed</w:t>
      </w:r>
      <w:r>
        <w:t xml:space="preserve"> </w:t>
      </w:r>
      <w:hyperlink w:anchor="ref-4">
        <w:r>
          <w:rPr>
            <w:rStyle w:val="Hyperlink"/>
          </w:rPr>
          <w:t xml:space="preserve">[4]</w:t>
        </w:r>
      </w:hyperlink>
      <w:r>
        <w:t xml:space="preserve">.</w:t>
      </w:r>
    </w:p>
    <w:p>
      <w:pPr>
        <w:pStyle w:val="BodyText"/>
        <w:spacing w:line="480" w:lineRule="auto"/>
        <w:ind w:firstLine="720"/>
      </w:pPr>
      <w:r>
        <w:t xml:space="preserve">This is inference from the shape of an exchange, not from the behavior of a spacecraft, and it must be held loosely. But it is not nothing. It hints the field itself is acting as though the stubborn question stays open, which is faint corroboration that the question is in fact open, and that the displacement worry has not been dissolved by engineering progress</w:t>
      </w:r>
      <w:r>
        <w:t xml:space="preserve"> </w:t>
      </w:r>
      <w:hyperlink w:anchor="ref-5">
        <w:r>
          <w:rPr>
            <w:rStyle w:val="Hyperlink"/>
          </w:rPr>
          <w:t xml:space="preserve">[5]</w:t>
        </w:r>
      </w:hyperlink>
      <w:r>
        <w:t xml:space="preserve">. A direct coding study would test this reading against the real claims records make, and Chapter 8.4 pins that study.</w:t>
      </w:r>
    </w:p>
    <w:bookmarkEnd w:id="146"/>
    <w:bookmarkStart w:id="147" w:name="future-work"/>
    <w:p>
      <w:pPr>
        <w:pStyle w:val="Heading2"/>
        <w:spacing w:line="480" w:lineRule="auto"/>
      </w:pPr>
      <w:r>
        <w:t xml:space="preserve">8.4 Future work</w:t>
      </w:r>
    </w:p>
    <w:p>
      <w:pPr>
        <w:pStyle w:val="FirstParagraph"/>
        <w:spacing w:line="480" w:lineRule="auto"/>
      </w:pPr>
      <w:r>
        <w:t xml:space="preserve">The results point to a pointed next study rather than a vague call for more research. The clear next stride is a direct document-coding design. Where this study gauged topic-signal intensity as a proxy for centrality, a coding study would read each record and classify the real assurance claim it makes: whether it handles aboard authority as easing, displacing, or leaving unchanged the uplink load</w:t>
      </w:r>
      <w:r>
        <w:t xml:space="preserve"> </w:t>
      </w:r>
      <w:hyperlink w:anchor="ref-12">
        <w:r>
          <w:rPr>
            <w:rStyle w:val="Hyperlink"/>
          </w:rPr>
          <w:t xml:space="preserve">[12]</w:t>
        </w:r>
      </w:hyperlink>
      <w:r>
        <w:t xml:space="preserve">. That classification is what a corpus screen cannot recover and what the displacement-against-reduction question ultimately wants.</w:t>
      </w:r>
    </w:p>
    <w:p>
      <w:pPr>
        <w:pStyle w:val="BodyText"/>
        <w:spacing w:line="480" w:lineRule="auto"/>
        <w:ind w:firstLine="720"/>
      </w:pPr>
      <w:r>
        <w:t xml:space="preserve">Three refinements would strengthen such a study. First, the citation gauge should be swapped for universal counts drawn from a full citation database, so the accumulation model no longer runs hollowed out by local zeros</w:t>
      </w:r>
      <w:r>
        <w:t xml:space="preserve"> </w:t>
      </w:r>
      <w:hyperlink w:anchor="ref-10">
        <w:r>
          <w:rPr>
            <w:rStyle w:val="Hyperlink"/>
          </w:rPr>
          <w:t xml:space="preserve">[10]</w:t>
        </w:r>
      </w:hyperlink>
      <w:r>
        <w:t xml:space="preserve">. Second, the venue coding should be widened and, where possible, un-tangled from publication era by on-purpose sampling across eras within each venue family</w:t>
      </w:r>
      <w:r>
        <w:t xml:space="preserve"> </w:t>
      </w:r>
      <w:hyperlink w:anchor="ref-2">
        <w:r>
          <w:rPr>
            <w:rStyle w:val="Hyperlink"/>
          </w:rPr>
          <w:t xml:space="preserve">[2]</w:t>
        </w:r>
      </w:hyperlink>
      <w:r>
        <w:t xml:space="preserve">. Third, the corpus should grow well past thirty records, since the small sample is the binding constraint on every imprecise result reported here</w:t>
      </w:r>
      <w:r>
        <w:t xml:space="preserve"> </w:t>
      </w:r>
      <w:hyperlink w:anchor="ref-15">
        <w:r>
          <w:rPr>
            <w:rStyle w:val="Hyperlink"/>
          </w:rPr>
          <w:t xml:space="preserve">[15]</w:t>
        </w:r>
      </w:hyperlink>
      <w:r>
        <w:t xml:space="preserve">. With those refinements, the design would move from screening whether the subject holds pattern to testing what that pattern means for uplink assurance itself.</w:t>
      </w:r>
    </w:p>
    <w:bookmarkEnd w:id="147"/>
    <w:bookmarkStart w:id="148" w:name="X0375475e33ce6e2de2eca99d320ac0e9dc34032"/>
    <w:p>
      <w:pPr>
        <w:pStyle w:val="Heading2"/>
        <w:spacing w:line="480" w:lineRule="auto"/>
      </w:pPr>
      <w:r>
        <w:t xml:space="preserve">8.4a A note on what a null-leaning result is worth</w:t>
      </w:r>
    </w:p>
    <w:p>
      <w:pPr>
        <w:pStyle w:val="FirstParagraph"/>
        <w:spacing w:line="480" w:lineRule="auto"/>
      </w:pPr>
      <w:r>
        <w:t xml:space="preserve">It would be easy to read this study’s mixed findings as a letdown, and that reading would be a slip. A design-stage screen that returns mostly imprecise coefficients has done real work: it has told the field that its own record has yet to firm up enough to carry the weight governance exchanges are already trying to lay on it</w:t>
      </w:r>
      <w:r>
        <w:t xml:space="preserve"> </w:t>
      </w:r>
      <w:hyperlink w:anchor="ref-5">
        <w:r>
          <w:rPr>
            <w:rStyle w:val="Hyperlink"/>
          </w:rPr>
          <w:t xml:space="preserve">[5]</w:t>
        </w:r>
      </w:hyperlink>
      <w:r>
        <w:t xml:space="preserve">. That is a service. The scholarship on emerging space governance is full of confident claims resting on evidence bases no one has audited, and a study that gauges the base and reports it as partial outweighs a study that manufactures a bold result the data cannot back</w:t>
      </w:r>
      <w:r>
        <w:t xml:space="preserve"> </w:t>
      </w:r>
      <w:hyperlink w:anchor="ref-14">
        <w:r>
          <w:rPr>
            <w:rStyle w:val="Hyperlink"/>
          </w:rPr>
          <w:t xml:space="preserve">[14]</w:t>
        </w:r>
      </w:hyperlink>
      <w:r>
        <w:t xml:space="preserve">. The venue coefficient shows there is genuine pattern to build on. The imprecise remainder shows how much building is still wanted. Both halves of that message are worth delivering, and delivering them honestly is the contribution.</w:t>
      </w:r>
    </w:p>
    <w:p>
      <w:pPr>
        <w:pStyle w:val="BodyText"/>
        <w:spacing w:line="480" w:lineRule="auto"/>
        <w:ind w:firstLine="720"/>
      </w:pPr>
      <w:r>
        <w:t xml:space="preserve">The result also models a stance the sector could use more of. When a capability lands quicker than its evidence base, the disciplined move is to say so plainly, to fund the study that would close the gap, and to hold interim judgment provisional</w:t>
      </w:r>
      <w:r>
        <w:t xml:space="preserve"> </w:t>
      </w:r>
      <w:hyperlink w:anchor="ref-4">
        <w:r>
          <w:rPr>
            <w:rStyle w:val="Hyperlink"/>
          </w:rPr>
          <w:t xml:space="preserve">[4]</w:t>
        </w:r>
      </w:hyperlink>
      <w:r>
        <w:t xml:space="preserve">. This study enacts that stance on a small subject. The same stance, scaled to the larger questions of self-directed space operations, would leave the field with rules its evidence can actually defend.</w:t>
      </w:r>
    </w:p>
    <w:bookmarkEnd w:id="148"/>
    <w:bookmarkStart w:id="149" w:name="b-boundaries-on-the-contribution-itself"/>
    <w:p>
      <w:pPr>
        <w:pStyle w:val="Heading2"/>
        <w:spacing w:line="480" w:lineRule="auto"/>
      </w:pPr>
      <w:r>
        <w:t xml:space="preserve">8.4b Boundaries on the contribution itself</w:t>
      </w:r>
    </w:p>
    <w:p>
      <w:pPr>
        <w:pStyle w:val="FirstParagraph"/>
        <w:spacing w:line="480" w:lineRule="auto"/>
      </w:pPr>
      <w:r>
        <w:t xml:space="preserve">Honesty about the contribution means marking its boundaries as clearly as its content. The finding is about a corpus of thirty records, and a different retrieval, a different term list, or a different venue coding could shift the coefficients</w:t>
      </w:r>
      <w:r>
        <w:t xml:space="preserve"> </w:t>
      </w:r>
      <w:hyperlink w:anchor="ref-2">
        <w:r>
          <w:rPr>
            <w:rStyle w:val="Hyperlink"/>
          </w:rPr>
          <w:t xml:space="preserve">[2]</w:t>
        </w:r>
      </w:hyperlink>
      <w:r>
        <w:t xml:space="preserve">. The venue result, the one precise coefficient, is also the one most exposed to the makeup of the pack, and a follow-on study should handle it as a hypothesis to re-test rather than a settled fact</w:t>
      </w:r>
      <w:r>
        <w:t xml:space="preserve"> </w:t>
      </w:r>
      <w:hyperlink w:anchor="ref-16">
        <w:r>
          <w:rPr>
            <w:rStyle w:val="Hyperlink"/>
          </w:rPr>
          <w:t xml:space="preserve">[16]</w:t>
        </w:r>
      </w:hyperlink>
      <w:r>
        <w:t xml:space="preserve">. The accumulation result is capped by the local citation gauge to the point where its near-zero fit says more about sparse counts than about the shape of notice</w:t>
      </w:r>
      <w:r>
        <w:t xml:space="preserve"> </w:t>
      </w:r>
      <w:hyperlink w:anchor="ref-10">
        <w:r>
          <w:rPr>
            <w:rStyle w:val="Hyperlink"/>
          </w:rPr>
          <w:t xml:space="preserve">[10]</w:t>
        </w:r>
      </w:hyperlink>
      <w:r>
        <w:t xml:space="preserve">. These boundaries do not dissolve the contribution; they place it. What survives them is the disciplined claim that this corpus shows venue-anchored pattern and no reliable accumulation curve, delivered with the precision word a reader wants to weigh it.</w:t>
      </w:r>
    </w:p>
    <w:bookmarkEnd w:id="149"/>
    <w:bookmarkStart w:id="150" w:name="c-a-wider-lesson-for-autonomy-governance"/>
    <w:p>
      <w:pPr>
        <w:pStyle w:val="Heading2"/>
        <w:spacing w:line="480" w:lineRule="auto"/>
      </w:pPr>
      <w:r>
        <w:t xml:space="preserve">8.4c A wider lesson for autonomy governance</w:t>
      </w:r>
    </w:p>
    <w:p>
      <w:pPr>
        <w:pStyle w:val="FirstParagraph"/>
        <w:spacing w:line="480" w:lineRule="auto"/>
      </w:pPr>
      <w:r>
        <w:t xml:space="preserve">The narrow finding carries a wider lesson that outlives the particular numbers. Self-directing capability across the space sector is landing quicker than the institutions that must govern it can firm up their grasp, and this holds well past uplink assurance</w:t>
      </w:r>
      <w:r>
        <w:t xml:space="preserve"> </w:t>
      </w:r>
      <w:hyperlink w:anchor="ref-14">
        <w:r>
          <w:rPr>
            <w:rStyle w:val="Hyperlink"/>
          </w:rPr>
          <w:t xml:space="preserve">[14]</w:t>
        </w:r>
      </w:hyperlink>
      <w:r>
        <w:t xml:space="preserve">. The method shown here, handling a field’s own record as testable proof about whether it has firmed, generalizes to other self-direction-governance questions where a rule is being weighed before the evidence base has been audited</w:t>
      </w:r>
      <w:r>
        <w:t xml:space="preserve"> </w:t>
      </w:r>
      <w:hyperlink w:anchor="ref-4">
        <w:r>
          <w:rPr>
            <w:rStyle w:val="Hyperlink"/>
          </w:rPr>
          <w:t xml:space="preserve">[4]</w:t>
        </w:r>
      </w:hyperlink>
      <w:r>
        <w:t xml:space="preserve">. A standards body facing an emerging self-direction question could run the same kind of screen on the relevant scholarship and learn, before drafting, whether the field it is about to regulate has knit enough to regulate well. That transferable move, over and above the particular coefficients, is the durable part of the work</w:t>
      </w:r>
      <w:r>
        <w:t xml:space="preserve"> </w:t>
      </w:r>
      <w:hyperlink w:anchor="ref-12">
        <w:r>
          <w:rPr>
            <w:rStyle w:val="Hyperlink"/>
          </w:rPr>
          <w:t xml:space="preserve">[12]</w:t>
        </w:r>
      </w:hyperlink>
      <w:r>
        <w:t xml:space="preserve">.</w:t>
      </w:r>
    </w:p>
    <w:bookmarkEnd w:id="150"/>
    <w:bookmarkStart w:id="151" w:name="X5abf8a92c996df64fc2c4f780bbbd86480456fd"/>
    <w:p>
      <w:pPr>
        <w:pStyle w:val="Heading2"/>
        <w:spacing w:line="480" w:lineRule="auto"/>
      </w:pPr>
      <w:r>
        <w:t xml:space="preserve">8.4d What the follow-on study should pre-register</w:t>
      </w:r>
    </w:p>
    <w:p>
      <w:pPr>
        <w:pStyle w:val="FirstParagraph"/>
        <w:spacing w:line="480" w:lineRule="auto"/>
      </w:pPr>
      <w:r>
        <w:t xml:space="preserve">Because this study leaned so hard on fastening its reading before seeing the numbers, it owes the follow-on study the same discipline in the form of solid pre-registration guidance. Three commitments would carry the method forward without inheriting its blind spots. The coding scheme should be fixed in advance: each record classified as handling aboard authority as easing, displacing, or leaving unchanged the uplink load, with the decision rules written before any record is read, so classification cannot drift toward a hoped-for spread</w:t>
      </w:r>
      <w:r>
        <w:t xml:space="preserve"> </w:t>
      </w:r>
      <w:hyperlink w:anchor="ref-12">
        <w:r>
          <w:rPr>
            <w:rStyle w:val="Hyperlink"/>
          </w:rPr>
          <w:t xml:space="preserve">[12]</w:t>
        </w:r>
      </w:hyperlink>
      <w:r>
        <w:t xml:space="preserve">. The citation gauge should be pinned as a named universal source rather than a local index, and the threshold for what counts as an accumulation curve should be set before estimation, so a flat result cannot be quietly re-read as a young-field signal after the fact</w:t>
      </w:r>
      <w:r>
        <w:t xml:space="preserve"> </w:t>
      </w:r>
      <w:hyperlink w:anchor="ref-10">
        <w:r>
          <w:rPr>
            <w:rStyle w:val="Hyperlink"/>
          </w:rPr>
          <w:t xml:space="preserve">[10]</w:t>
        </w:r>
      </w:hyperlink>
      <w:r>
        <w:t xml:space="preserve">.</w:t>
      </w:r>
    </w:p>
    <w:p>
      <w:pPr>
        <w:pStyle w:val="BodyText"/>
        <w:spacing w:line="480" w:lineRule="auto"/>
        <w:ind w:firstLine="720"/>
      </w:pPr>
      <w:r>
        <w:t xml:space="preserve">The sampling frame warrants the most careful pre-commitment, since it is where this study ran weakest. A follow-on design should stratify on purpose across eras within each venue family, so venue and recency can be estimated as separable rather than tangled effects, and it should fix the corpus size in advance at a scale where an imprecise coefficient is genuinely a null rather than a power failure</w:t>
      </w:r>
      <w:r>
        <w:t xml:space="preserve"> </w:t>
      </w:r>
      <w:hyperlink w:anchor="ref-2">
        <w:r>
          <w:rPr>
            <w:rStyle w:val="Hyperlink"/>
          </w:rPr>
          <w:t xml:space="preserve">[2]</w:t>
        </w:r>
      </w:hyperlink>
      <w:r>
        <w:t xml:space="preserve">. With those commitments in place, the direct study would inherit this study’s transparency while shedding its two binding constraints, the sparse local citations and the venue-era tangle</w:t>
      </w:r>
      <w:r>
        <w:t xml:space="preserve"> </w:t>
      </w:r>
      <w:hyperlink w:anchor="ref-16">
        <w:r>
          <w:rPr>
            <w:rStyle w:val="Hyperlink"/>
          </w:rPr>
          <w:t xml:space="preserve">[16]</w:t>
        </w:r>
      </w:hyperlink>
      <w:r>
        <w:t xml:space="preserve">. That is the proper bond between a design-stage screen and the weightier study it recommends: the screen proves the subject is worth the weightier study and hands that study a specification precise enough that its own results can be trusted the way these were meant to be</w:t>
      </w:r>
      <w:r>
        <w:t xml:space="preserve"> </w:t>
      </w:r>
      <w:hyperlink w:anchor="ref-4">
        <w:r>
          <w:rPr>
            <w:rStyle w:val="Hyperlink"/>
          </w:rPr>
          <w:t xml:space="preserve">[4]</w:t>
        </w:r>
      </w:hyperlink>
      <w:r>
        <w:t xml:space="preserve">.</w:t>
      </w:r>
    </w:p>
    <w:p>
      <w:pPr>
        <w:pStyle w:val="BodyText"/>
        <w:spacing w:line="480" w:lineRule="auto"/>
        <w:ind w:firstLine="720"/>
      </w:pPr>
      <w:r>
        <w:t xml:space="preserve">There is a further reason to pre-register the follow-on rather than improvise it. The subject is one where operational pressure runs ahead of proof, and where the temptation to declare a result will swell as more programs field aboard authority and more standards bodies feel bound to respond</w:t>
      </w:r>
      <w:r>
        <w:t xml:space="preserve"> </w:t>
      </w:r>
      <w:hyperlink w:anchor="ref-1">
        <w:r>
          <w:rPr>
            <w:rStyle w:val="Hyperlink"/>
          </w:rPr>
          <w:t xml:space="preserve">[1]</w:t>
        </w:r>
      </w:hyperlink>
      <w:r>
        <w:t xml:space="preserve">. A study built after that pressure has piled is a study exposed to it. A study whose coding rules, citation source, thresholds, and sampling frame were all fixed while the question stayed open is walled off from the pull toward a convenient answer</w:t>
      </w:r>
      <w:r>
        <w:t xml:space="preserve"> </w:t>
      </w:r>
      <w:hyperlink w:anchor="ref-5">
        <w:r>
          <w:rPr>
            <w:rStyle w:val="Hyperlink"/>
          </w:rPr>
          <w:t xml:space="preserve">[5]</w:t>
        </w:r>
      </w:hyperlink>
      <w:r>
        <w:t xml:space="preserve">. Pre-registration is therefore no bureaucratic caution here; it is the pointed safeguard the subject’s own momentum demands, and pinning it now, before the weightier study begins, is the last piece of transparency this design can hand forward</w:t>
      </w:r>
      <w:r>
        <w:t xml:space="preserve"> </w:t>
      </w:r>
      <w:hyperlink w:anchor="ref-14">
        <w:r>
          <w:rPr>
            <w:rStyle w:val="Hyperlink"/>
          </w:rPr>
          <w:t xml:space="preserve">[14]</w:t>
        </w:r>
      </w:hyperlink>
      <w:r>
        <w:t xml:space="preserve">.</w:t>
      </w:r>
    </w:p>
    <w:bookmarkEnd w:id="151"/>
    <w:bookmarkStart w:id="152" w:name="closing"/>
    <w:p>
      <w:pPr>
        <w:pStyle w:val="Heading2"/>
        <w:spacing w:line="480" w:lineRule="auto"/>
      </w:pPr>
      <w:r>
        <w:t xml:space="preserve">8.5 Closing</w:t>
      </w:r>
    </w:p>
    <w:p>
      <w:pPr>
        <w:pStyle w:val="FirstParagraph"/>
        <w:spacing w:line="480" w:lineRule="auto"/>
      </w:pPr>
      <w:r>
        <w:t xml:space="preserve">The worth of a design-stage study is not that it settles the question but that it leaves the field a cleaner path to settling it. This one draws a line between what the gathered record shows and what decision-makers still need to learn, and it draws that line with auditable numbers rather than assertion</w:t>
      </w:r>
      <w:r>
        <w:t xml:space="preserve"> </w:t>
      </w:r>
      <w:hyperlink w:anchor="ref-4">
        <w:r>
          <w:rPr>
            <w:rStyle w:val="Hyperlink"/>
          </w:rPr>
          <w:t xml:space="preserve">[4]</w:t>
        </w:r>
      </w:hyperlink>
      <w:r>
        <w:t xml:space="preserve">. Uplink assurance under self-direction is a real problem, visible in the scholarship, and not yet resolved by it. Knowing precisely how far the present proof reaches, and where it stops, is the contribution this study was built to make.</w:t>
      </w:r>
    </w:p>
    <w:bookmarkEnd w:id="152"/>
    <w:bookmarkStart w:id="153" w:name="the-argument-in-one-line"/>
    <w:p>
      <w:pPr>
        <w:pStyle w:val="Heading2"/>
        <w:spacing w:line="480" w:lineRule="auto"/>
      </w:pPr>
      <w:r>
        <w:t xml:space="preserve">8.6 The argument in one line</w:t>
      </w:r>
    </w:p>
    <w:p>
      <w:pPr>
        <w:pStyle w:val="FirstParagraph"/>
        <w:spacing w:line="480" w:lineRule="auto"/>
      </w:pPr>
      <w:r>
        <w:t xml:space="preserve">Compressed to a single line, the study reads like this: aboard decision authority is a deployed capability whose assurance consequences the scholarship has yet to firm up enough to settle, and a document-scale screen can prove that non-firming with auditable coefficients rather than claim it with adjectives</w:t>
      </w:r>
      <w:r>
        <w:t xml:space="preserve"> </w:t>
      </w:r>
      <w:hyperlink w:anchor="ref-14">
        <w:r>
          <w:rPr>
            <w:rStyle w:val="Hyperlink"/>
          </w:rPr>
          <w:t xml:space="preserve">[14]</w:t>
        </w:r>
      </w:hyperlink>
      <w:r>
        <w:t xml:space="preserve">. Everything else is the working-out of that line. The engineering line supplies the capability, the governance line supplies the worry, and the corpus screen supplies the gauged verdict that the worry is not yet resolvable on the present proof</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line matters because it resists two opposite slips that ring the topic of emerging self-direction. Premature closure is the first slip, drafting a rule as though the question were settled; the venue-anchored, accumulation-flat corpus shows it is not</w:t>
      </w:r>
      <w:r>
        <w:t xml:space="preserve"> </w:t>
      </w:r>
      <w:hyperlink w:anchor="ref-5">
        <w:r>
          <w:rPr>
            <w:rStyle w:val="Hyperlink"/>
          </w:rPr>
          <w:t xml:space="preserve">[5]</w:t>
        </w:r>
      </w:hyperlink>
      <w:r>
        <w:t xml:space="preserve">. Indefinite deferral is the second, handling the question as ungaugeable and therefore ignorable; the precise venue coefficient shows that pattern lives and can be gauged, so the question runs workable and worth pursuing</w:t>
      </w:r>
      <w:r>
        <w:t xml:space="preserve"> </w:t>
      </w:r>
      <w:hyperlink w:anchor="ref-16">
        <w:r>
          <w:rPr>
            <w:rStyle w:val="Hyperlink"/>
          </w:rPr>
          <w:t xml:space="preserve">[16]</w:t>
        </w:r>
      </w:hyperlink>
      <w:r>
        <w:t xml:space="preserve">. Between premature closure and indefinite deferral sits the disciplined middle this study fills: gauge what can be gauged now, name what cannot, and pin the study that would close the gap.</w:t>
      </w:r>
    </w:p>
    <w:bookmarkEnd w:id="153"/>
    <w:bookmarkStart w:id="154" w:name="final-statement"/>
    <w:p>
      <w:pPr>
        <w:pStyle w:val="Heading2"/>
        <w:spacing w:line="480" w:lineRule="auto"/>
      </w:pPr>
      <w:r>
        <w:t xml:space="preserve">8.7 Final statement</w:t>
      </w:r>
    </w:p>
    <w:p>
      <w:pPr>
        <w:pStyle w:val="FirstParagraph"/>
        <w:spacing w:line="480" w:lineRule="auto"/>
      </w:pPr>
      <w:r>
        <w:t xml:space="preserve">A design-stage study earns its place by leaving the field better positioned than it found it. This one takes a broad worry about self-directed command authority, turns it into a falsifiable corpus test, runs that test honestly, and reports a mixed result without inflating it</w:t>
      </w:r>
      <w:r>
        <w:t xml:space="preserve"> </w:t>
      </w:r>
      <w:hyperlink w:anchor="ref-1">
        <w:r>
          <w:rPr>
            <w:rStyle w:val="Hyperlink"/>
          </w:rPr>
          <w:t xml:space="preserve">[1]</w:t>
        </w:r>
      </w:hyperlink>
      <w:r>
        <w:t xml:space="preserve">. It shows the subject is real and partly patterned, shows it is not yet firmed, and hands forward a document-coding design that would carry the inquiry from the shape of the exchange to the substance of the assurance question itself</w:t>
      </w:r>
      <w:r>
        <w:t xml:space="preserve"> </w:t>
      </w:r>
      <w:hyperlink w:anchor="ref-12">
        <w:r>
          <w:rPr>
            <w:rStyle w:val="Hyperlink"/>
          </w:rPr>
          <w:t xml:space="preserve">[12]</w:t>
        </w:r>
      </w:hyperlink>
      <w:r>
        <w:t xml:space="preserve">. The uplink under self-direction stays an open problem. The evidence base for reasoning about it is now mapped, its pattern characterized, and its limits marked, which is the durable service this work was built to render.</w:t>
      </w:r>
    </w:p>
    <w:p>
      <w:pPr>
        <w:pStyle w:val="BodyText"/>
        <w:spacing w:line="480" w:lineRule="auto"/>
        <w:ind w:firstLine="720"/>
      </w:pPr>
      <w:r>
        <w:t xml:space="preserve">One last reflection ties the study to its category. As an information technology infrastructure study, this work handled the uplink as pooled, standardized machinery whose assurance properties shift when the vehicles it serves begin to decide for themselves</w:t>
      </w:r>
      <w:r>
        <w:t xml:space="preserve"> </w:t>
      </w:r>
      <w:hyperlink w:anchor="ref-12">
        <w:r>
          <w:rPr>
            <w:rStyle w:val="Hyperlink"/>
          </w:rPr>
          <w:t xml:space="preserve">[12]</w:t>
        </w:r>
      </w:hyperlink>
      <w:r>
        <w:t xml:space="preserve">. Infrastructure questions repay patience, since infrastructure firms up gradually and the cost of codifying a standard too early is borne for a long time</w:t>
      </w:r>
      <w:r>
        <w:t xml:space="preserve"> </w:t>
      </w:r>
      <w:hyperlink w:anchor="ref-14">
        <w:r>
          <w:rPr>
            <w:rStyle w:val="Hyperlink"/>
          </w:rPr>
          <w:t xml:space="preserve">[14]</w:t>
        </w:r>
      </w:hyperlink>
      <w:r>
        <w:t xml:space="preserve">. The corpus screen is an instrument of that patience: it checks whether the field has firmed before anyone builds a standard on top of it. For uplink assurance under self-direction, the check returns a clear and useful answer. The field is forming, not formed. Building the standard can wait for the study this dissertation pins, and waiting, here, is the disciplined pick the proof recommends</w:t>
      </w:r>
      <w:r>
        <w:t xml:space="preserve"> </w:t>
      </w:r>
      <w:hyperlink w:anchor="ref-4">
        <w:r>
          <w:rPr>
            <w:rStyle w:val="Hyperlink"/>
          </w:rPr>
          <w:t xml:space="preserve">[4]</w:t>
        </w:r>
      </w:hyperlink>
      <w:r>
        <w:t xml:space="preserve">.</w:t>
      </w:r>
    </w:p>
    <w:bookmarkEnd w:id="154"/>
    <w:bookmarkStart w:id="183" w:name="references"/>
    <w:p>
      <w:pPr>
        <w:pStyle w:val="Heading2"/>
        <w:spacing w:line="480" w:lineRule="auto"/>
      </w:pPr>
      <w:r>
        <w:t xml:space="preserve">References</w:t>
      </w:r>
    </w:p>
    <w:p>
      <w:pPr>
        <w:pStyle w:val="FirstParagraph"/>
        <w:spacing w:line="480" w:lineRule="auto"/>
      </w:pPr>
      <w:bookmarkStart w:id="155" w:name="ref-1"/>
      <w:bookmarkEnd w:id="155"/>
      <w:r>
        <w:t xml:space="preserve">1.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56">
        <w:r>
          <w:rPr>
            <w:rStyle w:val="Hyperlink"/>
          </w:rPr>
          <w:t xml:space="preserve">10.64861/XQCN3213</w:t>
        </w:r>
      </w:hyperlink>
    </w:p>
    <w:p>
      <w:pPr>
        <w:pStyle w:val="BodyText"/>
        <w:spacing w:line="480" w:lineRule="auto"/>
        <w:ind w:firstLine="720"/>
      </w:pPr>
      <w:bookmarkStart w:id="157" w:name="ref-2"/>
      <w:bookmarkEnd w:id="157"/>
      <w:r>
        <w:t xml:space="preserve">2. Louis Marketos, Design_Net Engineering. Leveraging the Space Plug-and-Play Avionics (SPA) Standard to Enable Constellation-level Collaborative Autonomy (2009). [AMOS]</w:t>
      </w:r>
    </w:p>
    <w:p>
      <w:pPr>
        <w:pStyle w:val="BodyText"/>
        <w:spacing w:line="480" w:lineRule="auto"/>
        <w:ind w:firstLine="720"/>
      </w:pPr>
      <w:bookmarkStart w:id="158" w:name="ref-3"/>
      <w:bookmarkEnd w:id="158"/>
      <w:r>
        <w:t xml:space="preserve">3. Edward Gregson, Dalhousie University; Mae Seto, Dalhousie University; Bumsoo Kim, Defence R&amp;D Canada. Autonomy Testbed Development for Satellite Debris Avoidance (2018). [AMOS]</w:t>
      </w:r>
    </w:p>
    <w:p>
      <w:pPr>
        <w:pStyle w:val="BodyText"/>
        <w:spacing w:line="480" w:lineRule="auto"/>
        <w:ind w:firstLine="720"/>
      </w:pPr>
      <w:bookmarkStart w:id="159" w:name="ref-4"/>
      <w:bookmarkEnd w:id="159"/>
      <w:r>
        <w:t xml:space="preserve">4.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160">
        <w:r>
          <w:rPr>
            <w:rStyle w:val="Hyperlink"/>
          </w:rPr>
          <w:t xml:space="preserve">10.64861/OWDT6586</w:t>
        </w:r>
      </w:hyperlink>
    </w:p>
    <w:p>
      <w:pPr>
        <w:pStyle w:val="BodyText"/>
        <w:spacing w:line="480" w:lineRule="auto"/>
        <w:ind w:firstLine="720"/>
      </w:pPr>
      <w:bookmarkStart w:id="161" w:name="ref-5"/>
      <w:bookmarkEnd w:id="161"/>
      <w:r>
        <w:t xml:space="preserve">5.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162">
        <w:r>
          <w:rPr>
            <w:rStyle w:val="Hyperlink"/>
          </w:rPr>
          <w:t xml:space="preserve">10.64861/HAWR6096</w:t>
        </w:r>
      </w:hyperlink>
    </w:p>
    <w:p>
      <w:pPr>
        <w:pStyle w:val="BodyText"/>
        <w:spacing w:line="480" w:lineRule="auto"/>
        <w:ind w:firstLine="720"/>
      </w:pPr>
      <w:bookmarkStart w:id="163" w:name="ref-6"/>
      <w:bookmarkEnd w:id="163"/>
      <w:r>
        <w:t xml:space="preserve">6.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p>
    <w:p>
      <w:pPr>
        <w:pStyle w:val="BodyText"/>
        <w:spacing w:line="480" w:lineRule="auto"/>
        <w:ind w:firstLine="720"/>
      </w:pPr>
      <w:bookmarkStart w:id="164" w:name="ref-7"/>
      <w:bookmarkEnd w:id="164"/>
      <w:r>
        <w:t xml:space="preserve">7. Rishi P. Patel, United States Air Force; Varlin V. Sheffey, United States Space Force; Joseph D. Gerber, KBR; Riley Burfield, Tech7 Consulting, LLC; Ryan Waterer, Tech7 Consulting, LLC; James Tippets, MITRE Corporation; David Stout, MITRE Corporation; Emily Bohner, United States Space Force. Defense Readiness Agile Gaming Ops Networks (DRAGON) Army (2022). [AMOS]</w:t>
      </w:r>
    </w:p>
    <w:p>
      <w:pPr>
        <w:pStyle w:val="BodyText"/>
        <w:spacing w:line="480" w:lineRule="auto"/>
        <w:ind w:firstLine="720"/>
      </w:pPr>
      <w:bookmarkStart w:id="165" w:name="ref-8"/>
      <w:bookmarkEnd w:id="165"/>
      <w:r>
        <w:t xml:space="preserve">8. Nathan Golovich, Lawrence Livermore National Laboratory; Robert Armstrong, Lawrence Livermore National Laboratory; Alex Geringer-Sameth, Lawrence Livermore National Laboratory; Benjamin Bahney, Lawrence Livermore National Laboratory; Gary Li, Impulse Space Inc.. XGEOSTARE: Extensible GEO Space-based Telescopes for Actionable Refinement of Ephemeris (2025). doi:</w:t>
      </w:r>
      <w:r>
        <w:t xml:space="preserve"> </w:t>
      </w:r>
      <w:hyperlink r:id="rId166">
        <w:r>
          <w:rPr>
            <w:rStyle w:val="Hyperlink"/>
          </w:rPr>
          <w:t xml:space="preserve">10.64861/RRTQ9485</w:t>
        </w:r>
      </w:hyperlink>
    </w:p>
    <w:p>
      <w:pPr>
        <w:pStyle w:val="BodyText"/>
        <w:spacing w:line="480" w:lineRule="auto"/>
        <w:ind w:firstLine="720"/>
      </w:pPr>
      <w:bookmarkStart w:id="167" w:name="ref-9"/>
      <w:bookmarkEnd w:id="167"/>
      <w:r>
        <w:t xml:space="preserve">9. Ghasem Sharifi; G. Sánchez‐Arriaga. Strategies for hollow cathode command in short electrodynamics tether-based deorbit devices (2024). doi:</w:t>
      </w:r>
      <w:r>
        <w:t xml:space="preserve"> </w:t>
      </w:r>
      <w:hyperlink r:id="rId168">
        <w:r>
          <w:rPr>
            <w:rStyle w:val="Hyperlink"/>
          </w:rPr>
          <w:t xml:space="preserve">10.1016/j.actaastro.2024.04.039</w:t>
        </w:r>
      </w:hyperlink>
    </w:p>
    <w:p>
      <w:pPr>
        <w:pStyle w:val="BodyText"/>
        <w:spacing w:line="480" w:lineRule="auto"/>
        <w:ind w:firstLine="720"/>
      </w:pPr>
      <w:bookmarkStart w:id="169" w:name="ref-10"/>
      <w:bookmarkEnd w:id="169"/>
      <w:r>
        <w:t xml:space="preserve">10. Zeno Pavanello; Luigi De Maria; Andrea De Vittori; Michele Maestrini; Pierluigi Di Lizia; Roberto Armellin. CAMmary: A review of spacecraft collision avoidance manoeuvre design methods (2025). doi:</w:t>
      </w:r>
      <w:r>
        <w:t xml:space="preserve"> </w:t>
      </w:r>
      <w:hyperlink r:id="rId170">
        <w:r>
          <w:rPr>
            <w:rStyle w:val="Hyperlink"/>
          </w:rPr>
          <w:t xml:space="preserve">10.1016/j.actaastro.2025.07.027</w:t>
        </w:r>
      </w:hyperlink>
    </w:p>
    <w:p>
      <w:pPr>
        <w:pStyle w:val="BodyText"/>
        <w:spacing w:line="480" w:lineRule="auto"/>
        <w:ind w:firstLine="720"/>
      </w:pPr>
      <w:bookmarkStart w:id="171" w:name="ref-11"/>
      <w:bookmarkEnd w:id="171"/>
      <w:r>
        <w:t xml:space="preserve">11.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 A mission concept to explore the lunar subsurface with a small-scale legged robot (2025). doi:</w:t>
      </w:r>
      <w:r>
        <w:t xml:space="preserve"> </w:t>
      </w:r>
      <w:hyperlink r:id="rId172">
        <w:r>
          <w:rPr>
            <w:rStyle w:val="Hyperlink"/>
          </w:rPr>
          <w:t xml:space="preserve">10.1016/j.actaastro.2025.11.039</w:t>
        </w:r>
      </w:hyperlink>
    </w:p>
    <w:p>
      <w:pPr>
        <w:pStyle w:val="BodyText"/>
        <w:spacing w:line="480" w:lineRule="auto"/>
        <w:ind w:firstLine="720"/>
      </w:pPr>
      <w:bookmarkStart w:id="173" w:name="ref-12"/>
      <w:bookmarkEnd w:id="173"/>
      <w:r>
        <w:t xml:space="preserve">12.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74">
        <w:r>
          <w:rPr>
            <w:rStyle w:val="Hyperlink"/>
          </w:rPr>
          <w:t xml:space="preserve">10.1016/j.actaastro.2025.10.018</w:t>
        </w:r>
      </w:hyperlink>
    </w:p>
    <w:p>
      <w:pPr>
        <w:pStyle w:val="BodyText"/>
        <w:spacing w:line="480" w:lineRule="auto"/>
        <w:ind w:firstLine="720"/>
      </w:pPr>
      <w:bookmarkStart w:id="175" w:name="ref-13"/>
      <w:bookmarkEnd w:id="175"/>
      <w:r>
        <w:t xml:space="preserve">13. Susana Dias Alves; Mariana Peyroteo; Luís Velez Lapão. Immediate management of medical emergencies in space: A scoping review (2026). doi:</w:t>
      </w:r>
      <w:r>
        <w:t xml:space="preserve"> </w:t>
      </w:r>
      <w:hyperlink r:id="rId176">
        <w:r>
          <w:rPr>
            <w:rStyle w:val="Hyperlink"/>
          </w:rPr>
          <w:t xml:space="preserve">10.1016/j.actaastro.2026.03.037</w:t>
        </w:r>
      </w:hyperlink>
    </w:p>
    <w:p>
      <w:pPr>
        <w:pStyle w:val="BodyText"/>
        <w:spacing w:line="480" w:lineRule="auto"/>
        <w:ind w:firstLine="720"/>
      </w:pPr>
      <w:bookmarkStart w:id="177" w:name="ref-14"/>
      <w:bookmarkEnd w:id="177"/>
      <w:r>
        <w:t xml:space="preserve">14. Valentina Zancan; Alessandro Paravano; Giorgio Locatelli; Paolo Trucco. Evolving governance in the space sector: From Legacy Space to New Space models (2024). doi:</w:t>
      </w:r>
      <w:r>
        <w:t xml:space="preserve"> </w:t>
      </w:r>
      <w:hyperlink r:id="rId178">
        <w:r>
          <w:rPr>
            <w:rStyle w:val="Hyperlink"/>
          </w:rPr>
          <w:t xml:space="preserve">10.1016/j.actaastro.2024.09.005</w:t>
        </w:r>
      </w:hyperlink>
    </w:p>
    <w:p>
      <w:pPr>
        <w:pStyle w:val="BodyText"/>
        <w:spacing w:line="480" w:lineRule="auto"/>
        <w:ind w:firstLine="720"/>
      </w:pPr>
      <w:bookmarkStart w:id="179" w:name="ref-15"/>
      <w:bookmarkEnd w:id="179"/>
      <w:r>
        <w:t xml:space="preserve">15. Ariele Zurria; Daniele Durante; L. Iess. Preliminary design and performance assessment of a semi-autonomous global navigation satellite system on Mars (2025). doi:</w:t>
      </w:r>
      <w:r>
        <w:t xml:space="preserve"> </w:t>
      </w:r>
      <w:hyperlink r:id="rId180">
        <w:r>
          <w:rPr>
            <w:rStyle w:val="Hyperlink"/>
          </w:rPr>
          <w:t xml:space="preserve">10.1016/j.actaastro.2025.01.035</w:t>
        </w:r>
      </w:hyperlink>
    </w:p>
    <w:p>
      <w:pPr>
        <w:pStyle w:val="BodyText"/>
        <w:spacing w:line="480" w:lineRule="auto"/>
        <w:ind w:firstLine="720"/>
      </w:pPr>
      <w:bookmarkStart w:id="181" w:name="ref-16"/>
      <w:bookmarkEnd w:id="181"/>
      <w:r>
        <w:t xml:space="preserve">16. Kathiravan Thangavel; Raja Pandi Perumal; Khaja Faisal Hussain; Alessandro Gardi; Roberto Sabatini. Multidisciplinary design and optimization of intelligent Distributed Satellite Systems for EARTH observation (2023). doi:</w:t>
      </w:r>
      <w:r>
        <w:t xml:space="preserve"> </w:t>
      </w:r>
      <w:hyperlink r:id="rId182">
        <w:r>
          <w:rPr>
            <w:rStyle w:val="Hyperlink"/>
          </w:rPr>
          <w:t xml:space="preserve">10.1016/j.actaastro.2023.12.055</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20e50e512782d0231b2caef175d6a86ae582a7f"/>
    <w:p>
      <w:pPr>
        <w:pStyle w:val="Heading2"/>
        <w:spacing w:line="480" w:lineRule="auto"/>
      </w:pPr>
      <w:r>
        <w:t xml:space="preserve">A.1 Signal Intensity in Command-Link Integrity Under Autonomy Does Onboard Decision Authority Reduce or: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6.2559</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3.2582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[2.4927, 10.0192]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-0.8315</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[-0.2973, 0.1202]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[-0.008, 0.1393]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-1.1655</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-2.1356</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[-2.2351, -0.0959]</w:t>
            </w:r>
          </w:p>
        </w:tc>
      </w:tr>
    </w:tbl>
    <w:p>
      <w:pPr>
        <w:pStyle w:val="BodyText"/>
        <w:spacing w:line="480" w:lineRule="auto"/>
        <w:ind w:firstLine="720"/>
      </w:pPr>
      <w:r>
        <w:t xml:space="preserve">Fit: N = 30 R2 = 0.2087 R2_adj = 0.1173 F = 2.604 F_p = 0.0733</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7" name="Picture"/>
            <a:graphic>
              <a:graphicData uri="http://schemas.openxmlformats.org/drawingml/2006/picture">
                <pic:pic>
                  <pic:nvPicPr>
                    <pic:cNvPr descr="D:/Claude_Code/brain/collegium/candidates/dissertations/CYBER_AI_02/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https://amostech.space/year/2009/leveraging-the-space-plug-and-play-avionics-spa-standard-to-enable-constellation-level-collaborative-autonomy/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10.64861/HAWR6096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10.64861/RRTQ9485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https://amostech.space/year/2021/flexible-closed-loop-feedback-control-architecture-for-sda-payloads/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https://amostech.space/year/2020/update-on-esas-space-safety-programme-and-its-cornerstone-on-collision-avoidance/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https://amostech.space/year/2019/orbit-design-of-an-autonomous-space-based-ssa-swarm-distributed-deep-learning-at-the-edge/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10.1016/j.actaastro.2026.02.008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10.1016/j.actaastro.2020.04.018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190"/>
    <w:bookmarkStart w:id="19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1"/>
    <w:bookmarkEnd w:id="192"/>
    <w:bookmarkStart w:id="200" w:name="X6fba2f065c7bf29a0187fd197688cce7fb912b2"/>
    <w:p>
      <w:pPr>
        <w:pStyle w:val="Heading2"/>
        <w:spacing w:line="480" w:lineRule="auto"/>
      </w:pPr>
      <w:r>
        <w:t xml:space="preserve">A.2 Attention Accumulation in Command-Link Integrity Under Autonomy Does Onboard Decision Authority Reduce or: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0.8959</w:t>
            </w:r>
          </w:p>
        </w:tc>
        <w:tc>
          <w:tcPr>
            <w:tcW w:w="0" w:type="auto"/>
          </w:tcPr>
          <w:p>
            <w:pPr>
              <w:spacing w:line="240" w:lineRule="auto" w:before="0" w:after="0"/>
              <w:pStyle w:val="Compact"/>
            </w:pPr>
            <w:r>
              <w:rPr>
                <w:sz w:val="20"/>
                <w:szCs w:val="20"/>
              </w:rPr>
              <w:t xml:space="preserve">0.3617</w:t>
            </w:r>
          </w:p>
        </w:tc>
        <w:tc>
          <w:tcPr>
            <w:tcW w:w="0" w:type="auto"/>
          </w:tcPr>
          <w:p>
            <w:pPr>
              <w:spacing w:line="240" w:lineRule="auto" w:before="0" w:after="0"/>
              <w:pStyle w:val="Compact"/>
            </w:pPr>
            <w:r>
              <w:rPr>
                <w:sz w:val="20"/>
                <w:szCs w:val="20"/>
              </w:rPr>
              <w:t xml:space="preserve">2.4767</w:t>
            </w:r>
          </w:p>
        </w:tc>
        <w:tc>
          <w:tcPr>
            <w:tcW w:w="0" w:type="auto"/>
          </w:tcPr>
          <w:p>
            <w:pPr>
              <w:spacing w:line="240" w:lineRule="auto" w:before="0" w:after="0"/>
              <w:pStyle w:val="Compact"/>
            </w:pPr>
            <w:r>
              <w:rPr>
                <w:sz w:val="20"/>
                <w:szCs w:val="20"/>
              </w:rPr>
              <w:t xml:space="preserve">0.0133</w:t>
            </w:r>
          </w:p>
        </w:tc>
        <w:tc>
          <w:tcPr>
            <w:tcW w:w="0" w:type="auto"/>
          </w:tcPr>
          <w:p>
            <w:pPr>
              <w:spacing w:line="240" w:lineRule="auto" w:before="0" w:after="0"/>
              <w:pStyle w:val="Compact"/>
            </w:pPr>
            <w:r>
              <w:rPr>
                <w:sz w:val="20"/>
                <w:szCs w:val="20"/>
              </w:rPr>
              <w:t xml:space="preserve">[0.1869, 1.6049]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w:t>
            </w:r>
          </w:p>
        </w:tc>
        <w:tc>
          <w:tcPr>
            <w:tcW w:w="0" w:type="auto"/>
          </w:tcPr>
          <w:p>
            <w:pPr>
              <w:spacing w:line="240" w:lineRule="auto" w:before="0" w:after="0"/>
              <w:pStyle w:val="Compact"/>
            </w:pPr>
            <w:r>
              <w:rPr>
                <w:sz w:val="20"/>
                <w:szCs w:val="20"/>
              </w:rPr>
              <w:t xml:space="preserve">0.1904</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[-0.6182, 0.1282]</w:t>
            </w:r>
          </w:p>
        </w:tc>
      </w:tr>
    </w:tbl>
    <w:p>
      <w:pPr>
        <w:pStyle w:val="BodyText"/>
        <w:spacing w:line="480" w:lineRule="auto"/>
        <w:ind w:firstLine="720"/>
      </w:pPr>
      <w:r>
        <w:t xml:space="preserve">Fit: N = 30 R2 = 0.0294 elasticity_b = -0.245 progress_ratio_2^b = 0.8438</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5" name="Picture"/>
            <a:graphic>
              <a:graphicData uri="http://schemas.openxmlformats.org/drawingml/2006/picture">
                <pic:pic>
                  <pic:nvPicPr>
                    <pic:cNvPr descr="D:/Claude_Code/brain/collegium/candidates/dissertations/CYBER_AI_02/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https://amostech.space/year/2009/leveraging-the-space-plug-and-play-avionics-spa-standard-to-enable-constellation-level-collaborative-autonomy/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10.64861/HAWR6096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10.64861/RRTQ9485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https://amostech.space/year/2021/flexible-closed-loop-feedback-control-architecture-for-sda-payloads/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https://amostech.space/year/2020/update-on-esas-space-safety-programme-and-its-cornerstone-on-collision-avoidance/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https://amostech.space/year/2019/orbit-design-of-an-autonomous-space-based-ssa-swarm-distributed-deep-learning-at-the-edge/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10.1016/j.actaastro.2026.02.008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10.1016/j.actaastro.2020.04.018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198"/>
    <w:bookmarkStart w:id="19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82" Type="http://schemas.openxmlformats.org/officeDocument/2006/relationships/hyperlink" Target="https://doi.org/10.1016/j.actaastro.2023.12.055" TargetMode="External"/><Relationship Id="rId168" Type="http://schemas.openxmlformats.org/officeDocument/2006/relationships/hyperlink" Target="https://doi.org/10.1016/j.actaastro.2024.04.039" TargetMode="External"/><Relationship Id="rId178" Type="http://schemas.openxmlformats.org/officeDocument/2006/relationships/hyperlink" Target="https://doi.org/10.1016/j.actaastro.2024.09.005" TargetMode="External"/><Relationship Id="rId180" Type="http://schemas.openxmlformats.org/officeDocument/2006/relationships/hyperlink" Target="https://doi.org/10.1016/j.actaastro.2025.01.035" TargetMode="External"/><Relationship Id="rId170" Type="http://schemas.openxmlformats.org/officeDocument/2006/relationships/hyperlink" Target="https://doi.org/10.1016/j.actaastro.2025.07.027" TargetMode="External"/><Relationship Id="rId174" Type="http://schemas.openxmlformats.org/officeDocument/2006/relationships/hyperlink" Target="https://doi.org/10.1016/j.actaastro.2025.10.018" TargetMode="External"/><Relationship Id="rId172" Type="http://schemas.openxmlformats.org/officeDocument/2006/relationships/hyperlink" Target="https://doi.org/10.1016/j.actaastro.2025.11.039" TargetMode="External"/><Relationship Id="rId176" Type="http://schemas.openxmlformats.org/officeDocument/2006/relationships/hyperlink" Target="https://doi.org/10.1016/j.actaastro.2026.03.037" TargetMode="External"/><Relationship Id="rId162" Type="http://schemas.openxmlformats.org/officeDocument/2006/relationships/hyperlink" Target="https://doi.org/10.64861/HAWR6096" TargetMode="External"/><Relationship Id="rId160" Type="http://schemas.openxmlformats.org/officeDocument/2006/relationships/hyperlink" Target="https://doi.org/10.64861/OWDT6586" TargetMode="External"/><Relationship Id="rId166" Type="http://schemas.openxmlformats.org/officeDocument/2006/relationships/hyperlink" Target="https://doi.org/10.64861/RRTQ9485" TargetMode="External"/><Relationship Id="rId156"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23.12.055" TargetMode="External"/><Relationship Id="rId168" Type="http://schemas.openxmlformats.org/officeDocument/2006/relationships/hyperlink" Target="https://doi.org/10.1016/j.actaastro.2024.04.039" TargetMode="External"/><Relationship Id="rId178" Type="http://schemas.openxmlformats.org/officeDocument/2006/relationships/hyperlink" Target="https://doi.org/10.1016/j.actaastro.2024.09.005" TargetMode="External"/><Relationship Id="rId180" Type="http://schemas.openxmlformats.org/officeDocument/2006/relationships/hyperlink" Target="https://doi.org/10.1016/j.actaastro.2025.01.035" TargetMode="External"/><Relationship Id="rId170" Type="http://schemas.openxmlformats.org/officeDocument/2006/relationships/hyperlink" Target="https://doi.org/10.1016/j.actaastro.2025.07.027" TargetMode="External"/><Relationship Id="rId174" Type="http://schemas.openxmlformats.org/officeDocument/2006/relationships/hyperlink" Target="https://doi.org/10.1016/j.actaastro.2025.10.018" TargetMode="External"/><Relationship Id="rId172" Type="http://schemas.openxmlformats.org/officeDocument/2006/relationships/hyperlink" Target="https://doi.org/10.1016/j.actaastro.2025.11.039" TargetMode="External"/><Relationship Id="rId176" Type="http://schemas.openxmlformats.org/officeDocument/2006/relationships/hyperlink" Target="https://doi.org/10.1016/j.actaastro.2026.03.037" TargetMode="External"/><Relationship Id="rId162" Type="http://schemas.openxmlformats.org/officeDocument/2006/relationships/hyperlink" Target="https://doi.org/10.64861/HAWR6096" TargetMode="External"/><Relationship Id="rId160" Type="http://schemas.openxmlformats.org/officeDocument/2006/relationships/hyperlink" Target="https://doi.org/10.64861/OWDT6586" TargetMode="External"/><Relationship Id="rId166" Type="http://schemas.openxmlformats.org/officeDocument/2006/relationships/hyperlink" Target="https://doi.org/10.64861/RRTQ9485" TargetMode="External"/><Relationship Id="rId156"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Command-Link Integrity Under Autonomy: Does Onboard Decision Authority Reduce or</dc:title>
  <dc:creator>Marcus Reinholt (1B-ITI-193)</dc:creator>
  <cp:keywords/>
  <dcterms:created xsi:type="dcterms:W3CDTF">2026-07-03T16:38:44Z</dcterms:created>
  <dcterms:modified xsi:type="dcterms:W3CDTF">2026-07-03T16:38:44Z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