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bd22a78f6661c336c77ba7879d8015b83868388"/>
    <w:p>
      <w:pPr>
        <w:pStyle w:val="Heading1"/>
      </w:pPr>
      <w:r>
        <w:t xml:space="preserve">Who Gets the Short Clock? A Logistic Analysis of Short Versus Extended Patch-Latency Windows for Ground-Segment and Mission-Control Vulnerabilities</w:t>
      </w:r>
    </w:p>
    <w:bookmarkStart w:id="61" w:name="introduction"/>
    <w:p>
      <w:pPr>
        <w:pStyle w:val="Heading2"/>
      </w:pPr>
      <w:r>
        <w:t xml:space="preserve">1. Introduction</w:t>
      </w:r>
    </w:p>
    <w:p>
      <w:pPr>
        <w:pStyle w:val="FirstParagraph"/>
      </w:pPr>
      <w:r>
        <w:t xml:space="preserve">A satellite is only as defensible as the ground segment that flies it. Mission-control consoles, telemetry-and-command links, and the internet-facing gateways that front operations are ordinary information-technology and operational-technology assets, and they inherit the ordinary problem of every such asset: a known vulnerability stays open for some interval before it is closed. That interval, the patch-latency window, is the period during which an adversary who has the exploit and the access can act with impunity. For United States civilian federal systems, the upper bound on the window is not left to operator discretion. Under Binding Operational Directive 22-01, the Cybersecurity and Infrastructure Security Agency (CISA) publishes a Known Exploited Vulnerabilities (KEV) catalog and attaches a remediation due date to every entry, converting a fuzzy operational habit into a dated administrative obligation</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p>
      <w:pPr>
        <w:pStyle w:val="FirstParagraph"/>
      </w:pPr>
      <w:r>
        <w:t xml:space="preserve">The mandated windows in that catalog are not a smooth continuum. They fall into two regimes: a short clock of roughly two to three weeks, and an extended clock of about six months. The question this paper asks is which vulnerabilities get the short clock. If the regulator were severity-driven, the most dangerous flaws would be the ones placed on the short clock, and a defender could read the short window as a danger signal. This paper tests that proposition directly, using logistic regression on a real, fully sourced sample of ground-segment-relevant vulnerabilities to model the probability that a flaw is assigned the short window as a function of its severity, its ransomware association, and its administrative vintage. The companion paper in this dissertation models the length of the window as a continuous quantity; this paper models the binary regulatory decision that produces the two regimes.</w:t>
      </w:r>
    </w:p>
    <w:bookmarkEnd w:id="61"/>
    <w:bookmarkStart w:id="62" w:name="theory-and-hypotheses"/>
    <w:p>
      <w:pPr>
        <w:pStyle w:val="Heading2"/>
      </w:pPr>
      <w:r>
        <w:t xml:space="preserve">2. Theory and Hypotheses</w:t>
      </w:r>
    </w:p>
    <w:p>
      <w:pPr>
        <w:pStyle w:val="FirstParagraph"/>
      </w:pPr>
      <w:r>
        <w:t xml:space="preserve">The intuitive model of vulnerability prioritization is severity-monotone: the higher the technical severity, the shorter the tolerated delay. The Common Vulnerability Scoring System (CVSS) base score is the standard expression of that severity, and a severity-driven regulator would place high-CVSS flaws on the short clock. Recent empirical work, however, shows that severity scores are weak and often contradictory signals of real-world risk. Koscinski and colleagues, comparing four public scoring systems across six hundred disclosed vulnerabilities, document substantial disagreement in how the systems rank the same flaws, so a high CVSS score is not a reliable proxy for the things a defender actually fears</w:t>
      </w:r>
      <w:r>
        <w:t xml:space="preserve"> </w:t>
      </w:r>
      <w:hyperlink w:anchor="ref-5">
        <m:oMathPara>
          <m:oMathParaPr>
            <m:jc m:val="center"/>
          </m:oMathParaPr>
          <m:oMath>
            <m:r>
              <m:t>5</m:t>
            </m:r>
          </m:oMath>
        </m:oMathPara>
      </w:hyperlink>
      <w:r>
        <w:t xml:space="preserve">. Parla, examining the Exploit Prediction Scoring System against the CISA KEV catalog, finds that exploitation probability and severity diverge for the very vulnerabilities that are known to be exploited</w:t>
      </w:r>
      <w:r>
        <w:t xml:space="preserve"> </w:t>
      </w:r>
      <w:hyperlink w:anchor="ref-6">
        <m:oMathPara>
          <m:oMathParaPr>
            <m:jc m:val="center"/>
          </m:oMathParaPr>
          <m:oMath>
            <m:r>
              <m:t>6</m:t>
            </m:r>
          </m:oMath>
        </m:oMathPara>
      </w:hyperlink>
      <w:r>
        <w:t xml:space="preserve">. If severity is a noisy signal of risk, a rule-bound regulator has little reason to make the short-clock decision a function of it.</w:t>
      </w:r>
    </w:p>
    <w:p>
      <w:pPr>
        <w:pStyle w:val="FirstParagraph"/>
      </w:pPr>
      <w:r>
        <w:t xml:space="preserve">The alternative model is administrative. BOD 22-01 does not assign the clock by reading the CVSS score; it assigns it by a small number of categorical rules, most prominently the vintage of the identifier. Vulnerabilities with a CVE assigned before 2021 are routed to the extended six-month clock, while newer ones are routed to the short clock measured in weeks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On this account, the short-clock decision is a clerical outcome of a categorical schedule, and technical severity should have no detectable effect on the odds of the short clock once vintage is in the model. This motivates the hypothesis: the odds of receiving the short window are sharply lower for pre-2021 vulnerabilities, a large negative coefficient on the vintage indicator, while CVSS severity carries an odds ratio statistically indistinguishable from one.</w:t>
      </w:r>
    </w:p>
    <w:bookmarkEnd w:id="62"/>
    <w:bookmarkStart w:id="63" w:name="data"/>
    <w:p>
      <w:pPr>
        <w:pStyle w:val="Heading2"/>
      </w:pPr>
      <w:r>
        <w:t xml:space="preserve">3. Data</w:t>
      </w:r>
    </w:p>
    <w:p>
      <w:pPr>
        <w:pStyle w:val="FirstParagraph"/>
      </w:pPr>
      <w:r>
        <w:t xml:space="preserve">The dataset is a cross-section of 31 vulnerabilities drawn from the CISA KEV catalog, version 2026.06.18, restricted to the vendors whose products constitute the ground-segment and mission-control attack surface: internet-facing remote-access, virtual-private-network, and edge gateways that front ground operations (Cisco, Fortinet, Citrix, Ivanti, Palo Alto Networks, Juniper, F5, SonicWall, Check Point, Pulse Secure), and operational-technology controllers used in ground infrastructure (Siemens, Schneider Electric, Delta Electronics, Unitronics). The dependent variable is binary: one if the mandated window, computed as the catalog due date minus the date added, is 21 days or fewer, zero if it falls in the extended 181-day class</w:t>
      </w:r>
      <w:r>
        <w:t xml:space="preserve"> </w:t>
      </w:r>
      <w:hyperlink w:anchor="ref-2">
        <m:oMathPara>
          <m:oMathParaPr>
            <m:jc m:val="center"/>
          </m:oMathParaPr>
          <m:oMath>
            <m:r>
              <m:t>2</m:t>
            </m:r>
          </m:oMath>
        </m:oMathPara>
      </w:hyperlink>
      <w:r>
        <w:t xml:space="preserve">. The ransomware indicator is taken directly from the catalog known-ransomware-campaign-use field. The severity regressor is the CVSS base score retrieved per identifier from the National Vulnerability Database CVE API 2.0</w:t>
      </w:r>
      <w:r>
        <w:t xml:space="preserve"> </w:t>
      </w:r>
      <w:hyperlink w:anchor="ref-4">
        <m:oMathPara>
          <m:oMathParaPr>
            <m:jc m:val="center"/>
          </m:oMathParaPr>
          <m:oMath>
            <m:r>
              <m:t>4</m:t>
            </m:r>
          </m:oMath>
        </m:oMathPara>
      </w:hyperlink>
      <w:r>
        <w:t xml:space="preserve">. The vintage indicator is one for any CVE assigned before 2021. Of the 31 vulnerabilities, 25 received the short window and 6 received the extended window. Every row carries an explicit source string naming its provenance, and no value in the dataset is illustrative or imputed.</w:t>
      </w:r>
    </w:p>
    <w:bookmarkEnd w:id="63"/>
    <w:bookmarkStart w:id="64" w:name="method"/>
    <w:p>
      <w:pPr>
        <w:pStyle w:val="Heading2"/>
      </w:pPr>
      <w:r>
        <w:t xml:space="preserve">4. Method</w:t>
      </w:r>
    </w:p>
    <w:p>
      <w:pPr>
        <w:pStyle w:val="FirstParagraph"/>
      </w:pPr>
      <w:r>
        <w:t xml:space="preserve">The estimator is a binary logistic regression. The probability that a vulnerability is placed on the short clock is modeled as a logistic function of the CVSS base score, the ransomware indicator, and the pre-2021 vintage indicator. The asset-class indicator was excluded by design: in this sample every extended-window entry is an internet-facing gateway, so including the asset class produces perfect separation and an unidentified coefficient. The three retained predictors yield a converged maximum-likelihood fit. Coefficients are reported on the log-odds scale, and the substantive effects are read as odds ratios, the exponentiated coefficients. The coefficient of interest for the hypothesis is the one on CVSS severity; the coefficient on the vintage indicator is the administrative benchmark against which severity is judged. The full specification, the estimator output, and the underlying data are reproduced in the embedded workbook so that every reported figure can be audited against its source.</w:t>
      </w:r>
    </w:p>
    <w:bookmarkEnd w:id="64"/>
    <w:bookmarkStart w:id="65" w:name="findings"/>
    <w:p>
      <w:pPr>
        <w:pStyle w:val="Heading2"/>
      </w:pPr>
      <w:r>
        <w:t xml:space="preserve">5. Findings</w:t>
      </w:r>
    </w:p>
    <w:p>
      <w:pPr>
        <w:pStyle w:val="FirstParagraph"/>
      </w:pPr>
      <w:r>
        <w:t xml:space="preserve">The logistic regression recovers the administrative model. The coefficient on CVSS severity is 0.0444 on the log-odds scale, with a standard error of 0.3571, a z statistic of 0.1244, and a p value of 0.901. The corresponding odds ratio is 1.045: a one-point increase in the CVSS base score changes the odds of receiving the short window by roughly four percent, an estimate that is statistically indistinguishable from no effect. Severity does not decide who gets the short clock.</w:t>
      </w:r>
    </w:p>
    <w:p>
      <w:pPr>
        <w:pStyle w:val="BodyText"/>
      </w:pPr>
      <w:r>
        <w:t xml:space="preserve">The ransomware indicator is negative but not significant. Ransomware-associated flaws have a coefficient of -1.538 (standard error 1.3125, z = -1.1718, p = 0.2413), an odds ratio of about 0.215; the sign reflects that several ransomware entries in this sample sit in the older, extended-window class rather than any deprioritization of ransomware risk. The decisive predictor is administrative vintage. A pre-2021 vulnerability carries a coefficient of -2.7797 (standard error 1.3424, z = -2.0706, p = 0.0384), the only coefficient significant at conventional levels. The odds ratio is 0.062, which means a pre-2021 vulnerability has roughly 94 percent lower odds of being placed on the short clock than an otherwise identical newer one. The model fit is consistent with a categorical schedule observed through a small cross-section: a McFadden pseudo R-squared of 0.226 and a log-likelihood of -11.79 on 31 observations. The hypothesis is supported. The short-clock decision is governed by the vintage rule, and CVSS severity adds nothing detectable.</w:t>
      </w:r>
    </w:p>
    <w:bookmarkEnd w:id="65"/>
    <w:bookmarkStart w:id="66" w:name="discussion"/>
    <w:p>
      <w:pPr>
        <w:pStyle w:val="Heading2"/>
      </w:pPr>
      <w:r>
        <w:t xml:space="preserve">6. Discussion</w:t>
      </w:r>
    </w:p>
    <w:p>
      <w:pPr>
        <w:pStyle w:val="FirstParagraph"/>
      </w:pPr>
      <w:r>
        <w:t xml:space="preserve">The practical implication for mission owners is direct and uncomfortable. The short remediation clock a ground-segment operator receives is not a severity verdict in disguise. It is the output of an administrative routing keyed to the age of the identifier, and a defender who reads the extended clock as evidence that a flaw is less dangerous is reading the schedule exactly backward. The extended-window entries in this sample are old, internet-facing gateway vulnerabilities with mostly critical CVSS scores, precisely the assets most likely to front a telemetry-and-command path. They are routed to the six-month clock not because they are safe but because the vintage rule sends them there. This aligns with the broader scoring-systems literature, which finds that severity scores diverge from exploitation risk and cannot by themselves order remediation</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and it reinforces the case for the risk-based prioritization that the 2026 successor directive, BOD 26-04, moves toward</w:t>
      </w:r>
      <w:r>
        <w:t xml:space="preserve"> </w:t>
      </w:r>
      <w:hyperlink w:anchor="ref-3">
        <m:oMathPara>
          <m:oMathParaPr>
            <m:jc m:val="center"/>
          </m:oMathParaPr>
          <m:oMath>
            <m:r>
              <m:t>3</m:t>
            </m:r>
          </m:oMath>
        </m:oMathPara>
      </w:hyperlink>
      <w:r>
        <w:t xml:space="preserve">.</w:t>
      </w:r>
    </w:p>
    <w:p>
      <w:pPr>
        <w:pStyle w:val="FirstParagraph"/>
      </w:pPr>
      <w:r>
        <w:t xml:space="preserve">The mission-assurance reading is that ground-segment cyber defense should not let the regulatory routing set its own tempo. Distributed and increasingly autonomous space-mission architectures multiply the number of internet-facing control surfaces that inherit this clerical clock</w:t>
      </w:r>
      <w:r>
        <w:t xml:space="preserve"> </w:t>
      </w:r>
      <w:hyperlink w:anchor="ref-7">
        <m:oMathPara>
          <m:oMathParaPr>
            <m:jc m:val="center"/>
          </m:oMathParaPr>
          <m:oMath>
            <m:r>
              <m:t>7</m:t>
            </m:r>
          </m:oMath>
        </m:oMathPara>
      </w:hyperlink>
      <w:r>
        <w:t xml:space="preserve">, and the gap between what the schedule tolerates and what the threat warrants is widest exactly where the consequence is gravest, on the aging perimeter gateways the vintage rule sends to the back of the queue. The limitations are the small cross-section, the United States civilian-agency scope, and the perfect separation that prevented identifying an asset-class effect; the companion paper complements this with the continuous window length. The contribution here is to show, on real and auditable data, that the short-clock decision is an administrative outcome, not a technical one, and that severity, the metric defenders most often invoke, does not explain it.</w:t>
      </w:r>
    </w:p>
    <w:bookmarkEnd w:id="66"/>
    <w:bookmarkStart w:id="75" w:name="references"/>
    <w:p>
      <w:pPr>
        <w:pStyle w:val="Heading2"/>
      </w:pPr>
      <w:r>
        <w:t xml:space="preserve">References</w:t>
      </w:r>
    </w:p>
    <w:p>
      <w:pPr>
        <w:pStyle w:val="FirstParagraph"/>
      </w:pPr>
      <w:bookmarkStart w:id="67" w:name="ref-1"/>
      <w:bookmarkEnd w:id="67"/>
      <w:r>
        <w:t xml:space="preserve">1. Cybersecurity and Infrastructure Security Agency,</w:t>
      </w:r>
      <w:r>
        <w:t xml:space="preserve"> </w:t>
      </w:r>
      <w:r>
        <w:t xml:space="preserve">“Binding Operational Directive 22-01: Reducing the Significant Risk of Known Exploited Vulnerabilities,”</w:t>
      </w:r>
      <w:r>
        <w:t xml:space="preserve"> </w:t>
      </w:r>
      <w:r>
        <w:t xml:space="preserve">CISA, 2021. https://www.cisa.gov/news-events/directives/bod-22-01-reducing-significant-risk-known-exploited-vulnerabilities</w:t>
      </w:r>
    </w:p>
    <w:p>
      <w:pPr>
        <w:pStyle w:val="BodyText"/>
      </w:pPr>
      <w:bookmarkStart w:id="68" w:name="ref-2"/>
      <w:bookmarkEnd w:id="68"/>
      <w:r>
        <w:t xml:space="preserve">2. Cybersecurity and Infrastructure Security Agency,</w:t>
      </w:r>
      <w:r>
        <w:t xml:space="preserve"> </w:t>
      </w:r>
      <w:r>
        <w:t xml:space="preserve">“Known Exploited Vulnerabilities Catalog,”</w:t>
      </w:r>
      <w:r>
        <w:t xml:space="preserve"> </w:t>
      </w:r>
      <w:r>
        <w:t xml:space="preserve">version 2026.06.18, released 2026-06-18. https://www.cisa.gov/known-exploited-vulnerabilities-catalog</w:t>
      </w:r>
    </w:p>
    <w:p>
      <w:pPr>
        <w:pStyle w:val="BodyText"/>
      </w:pPr>
      <w:bookmarkStart w:id="69" w:name="ref-3"/>
      <w:bookmarkEnd w:id="69"/>
      <w:r>
        <w:t xml:space="preserve">3. Cybersecurity and Infrastructure Security Agency,</w:t>
      </w:r>
      <w:r>
        <w:t xml:space="preserve"> </w:t>
      </w:r>
      <w:r>
        <w:t xml:space="preserve">“Binding Operational Directive 26-04: Prioritizing Security Updates Based on Risk,”</w:t>
      </w:r>
      <w:r>
        <w:t xml:space="preserve"> </w:t>
      </w:r>
      <w:r>
        <w:t xml:space="preserve">CISA, 2026. https://www.cisa.gov/news-events/directives/bod-26-04-prioritizing-security-updates-based-risk</w:t>
      </w:r>
    </w:p>
    <w:p>
      <w:pPr>
        <w:pStyle w:val="BodyText"/>
      </w:pPr>
      <w:bookmarkStart w:id="70" w:name="ref-4"/>
      <w:bookmarkEnd w:id="70"/>
      <w:r>
        <w:t xml:space="preserve">4. National Institute of Standards and Technology,</w:t>
      </w:r>
      <w:r>
        <w:t xml:space="preserve"> </w:t>
      </w:r>
      <w:r>
        <w:t xml:space="preserve">“National Vulnerability Database CVE API, version 2.0,”</w:t>
      </w:r>
      <w:r>
        <w:t xml:space="preserve"> </w:t>
      </w:r>
      <w:r>
        <w:t xml:space="preserve">NIST. https://services.nvd.nist.gov/rest/json/cves/2.0</w:t>
      </w:r>
    </w:p>
    <w:p>
      <w:pPr>
        <w:pStyle w:val="BodyText"/>
      </w:pPr>
      <w:bookmarkStart w:id="71" w:name="ref-5"/>
      <w:bookmarkEnd w:id="71"/>
      <w:r>
        <w:t xml:space="preserve">5. V. Koscinski, M. Nelson, A. Okutan, R. Falso, and M. Mirakhorli,</w:t>
      </w:r>
      <w:r>
        <w:t xml:space="preserve"> </w:t>
      </w:r>
      <w:r>
        <w:t xml:space="preserve">“Conflicting Scores, Confusing Signals: An Empirical Study of Vulnerability Scoring Systems,”</w:t>
      </w:r>
      <w:r>
        <w:t xml:space="preserve"> </w:t>
      </w:r>
      <w:r>
        <w:t xml:space="preserve">arXiv:2508.13644, 2025. https://arxiv.org/abs/2508.13644</w:t>
      </w:r>
    </w:p>
    <w:p>
      <w:pPr>
        <w:pStyle w:val="BodyText"/>
      </w:pPr>
      <w:bookmarkStart w:id="72" w:name="ref-6"/>
      <w:bookmarkEnd w:id="72"/>
      <w:r>
        <w:t xml:space="preserve">6. R. Parla,</w:t>
      </w:r>
      <w:r>
        <w:t xml:space="preserve"> </w:t>
      </w:r>
      <w:r>
        <w:t xml:space="preserve">“Efficacy of EPSS in High Severity CVEs found in KEV,”</w:t>
      </w:r>
      <w:r>
        <w:t xml:space="preserve"> </w:t>
      </w:r>
      <w:r>
        <w:t xml:space="preserve">arXiv:2411.02618, 2024. https://arxiv.org/abs/2411.02618</w:t>
      </w:r>
    </w:p>
    <w:p>
      <w:pPr>
        <w:pStyle w:val="BodyText"/>
      </w:pPr>
      <w:bookmarkStart w:id="73" w:name="ref-7"/>
      <w:bookmarkEnd w:id="73"/>
      <w:r>
        <w:t xml:space="preserve">7.</w:t>
      </w:r>
      <w:r>
        <w:t xml:space="preserve"> </w:t>
      </w:r>
      <w:r>
        <w:t xml:space="preserve">“Agent-based approaches for distributed space systems and mission management,”</w:t>
      </w:r>
      <w:r>
        <w:t xml:space="preserve"> </w:t>
      </w:r>
      <w:r>
        <w:t xml:space="preserve">Acta Astronautica, 2025. doi:</w:t>
      </w:r>
      <w:r>
        <w:t xml:space="preserve"> </w:t>
      </w:r>
      <w:hyperlink r:id="rId74">
        <w:r>
          <w:rPr>
            <w:rStyle w:val="Hyperlink"/>
          </w:rPr>
          <w:t xml:space="preserve">10.1016/j.actaastro.2025.10.018</w:t>
        </w:r>
      </w:hyperlink>
    </w:p>
    <w:bookmarkEnd w:id="75"/>
    <w:bookmarkStart w:id="76"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sty m:val="p"/>
                </m:rPr>
                <m:t>s</m:t>
              </m:r>
              <m:r>
                <m:rPr>
                  <m:sty m:val="p"/>
                </m:rPr>
                <m:t>h</m:t>
              </m:r>
              <m:r>
                <m:rPr>
                  <m:sty m:val="p"/>
                </m:rPr>
                <m:t>o</m:t>
              </m:r>
              <m:r>
                <m:rPr>
                  <m:sty m:val="p"/>
                </m:rPr>
                <m:t>r</m:t>
              </m:r>
              <m:r>
                <m:rPr>
                  <m:sty m:val="p"/>
                </m:rPr>
                <m:t>t</m:t>
              </m:r>
              <m:r>
                <m:rPr>
                  <m:sty m:val="p"/>
                </m:rPr>
                <m:t>_</m:t>
              </m:r>
              <m:r>
                <m:rPr>
                  <m:sty m:val="p"/>
                </m:rPr>
                <m:t>w</m:t>
              </m:r>
              <m:r>
                <m:rPr>
                  <m:sty m:val="p"/>
                </m:rPr>
                <m:t>i</m:t>
              </m:r>
              <m:r>
                <m:rPr>
                  <m:sty m:val="p"/>
                </m:rPr>
                <m:t>n</m:t>
              </m:r>
              <m:r>
                <m:rPr>
                  <m:sty m:val="p"/>
                </m:rPr>
                <m:t>d</m:t>
              </m:r>
              <m:r>
                <m:rPr>
                  <m:sty m:val="p"/>
                </m:rPr>
                <m:t>o</m:t>
              </m:r>
              <m:r>
                <m:rPr>
                  <m:sty m:val="p"/>
                </m:rPr>
                <m:t>w</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sSub>
                <m:e>
                  <m:r>
                    <m:rPr>
                      <m:sty m:val="p"/>
                    </m:rPr>
                    <m:t>c</m:t>
                  </m:r>
                  <m:r>
                    <m:rPr>
                      <m:sty m:val="p"/>
                    </m:rPr>
                    <m:t>v</m:t>
                  </m:r>
                  <m:r>
                    <m:rPr>
                      <m:sty m:val="p"/>
                    </m:rPr>
                    <m:t>s</m:t>
                  </m:r>
                  <m:r>
                    <m:rPr>
                      <m:sty m:val="p"/>
                    </m:rPr>
                    <m:t>s</m:t>
                  </m:r>
                </m:e>
                <m:sub>
                  <m:r>
                    <m:t>i</m:t>
                  </m:r>
                </m:sub>
              </m:sSub>
              <m:r>
                <m:rPr>
                  <m:sty m:val="p"/>
                </m:rPr>
                <m:t>+</m:t>
              </m:r>
              <m:sSub>
                <m:e>
                  <m:r>
                    <m:t>β</m:t>
                  </m:r>
                </m:e>
                <m:sub>
                  <m:r>
                    <m:t>2</m:t>
                  </m:r>
                </m:sub>
              </m:sSub>
              <m:r>
                <m:t> </m:t>
              </m:r>
              <m:sSub>
                <m:e>
                  <m:r>
                    <m:rPr>
                      <m:sty m:val="p"/>
                    </m:rPr>
                    <m:t>r</m:t>
                  </m:r>
                  <m:r>
                    <m:rPr>
                      <m:sty m:val="p"/>
                    </m:rPr>
                    <m:t>a</m:t>
                  </m:r>
                  <m:r>
                    <m:rPr>
                      <m:sty m:val="p"/>
                    </m:rPr>
                    <m:t>n</m:t>
                  </m:r>
                  <m:r>
                    <m:rPr>
                      <m:sty m:val="p"/>
                    </m:rPr>
                    <m:t>s</m:t>
                  </m:r>
                  <m:r>
                    <m:rPr>
                      <m:sty m:val="p"/>
                    </m:rPr>
                    <m:t>o</m:t>
                  </m:r>
                  <m:r>
                    <m:rPr>
                      <m:sty m:val="p"/>
                    </m:rPr>
                    <m:t>m</m:t>
                  </m:r>
                  <m:r>
                    <m:rPr>
                      <m:sty m:val="p"/>
                    </m:rPr>
                    <m:t>w</m:t>
                  </m:r>
                  <m:r>
                    <m:rPr>
                      <m:sty m:val="p"/>
                    </m:rPr>
                    <m:t>a</m:t>
                  </m:r>
                  <m:r>
                    <m:rPr>
                      <m:sty m:val="p"/>
                    </m:rPr>
                    <m:t>r</m:t>
                  </m:r>
                  <m:r>
                    <m:rPr>
                      <m:sty m:val="p"/>
                    </m:rPr>
                    <m:t>e</m:t>
                  </m:r>
                </m:e>
                <m:sub>
                  <m:r>
                    <m:t>i</m:t>
                  </m:r>
                </m:sub>
              </m:sSub>
              <m:r>
                <m:rPr>
                  <m:sty m:val="p"/>
                </m:rPr>
                <m:t>+</m:t>
              </m:r>
              <m:sSub>
                <m:e>
                  <m:r>
                    <m:t>β</m:t>
                  </m:r>
                </m:e>
                <m:sub>
                  <m:r>
                    <m:t>3</m:t>
                  </m:r>
                </m:sub>
              </m:sSub>
              <m:r>
                <m:t> </m:t>
              </m:r>
              <m:sSub>
                <m:e>
                  <m:r>
                    <m:rPr>
                      <m:sty m:val="p"/>
                    </m:rPr>
                    <m:t>p</m:t>
                  </m:r>
                  <m:r>
                    <m:rPr>
                      <m:sty m:val="p"/>
                    </m:rPr>
                    <m:t>r</m:t>
                  </m:r>
                  <m:r>
                    <m:rPr>
                      <m:sty m:val="p"/>
                    </m:rPr>
                    <m:t>e</m:t>
                  </m:r>
                  <m:r>
                    <m:rPr>
                      <m:sty m:val="p"/>
                    </m:rPr>
                    <m:t>2021</m:t>
                  </m:r>
                </m:e>
                <m:sub>
                  <m:r>
                    <m:t>i</m:t>
                  </m:r>
                </m:sub>
              </m:sSub>
            </m:e>
          </m:d>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3.118</w:t>
            </w:r>
          </w:p>
        </w:tc>
        <w:tc>
          <w:tcPr>
            <w:tcW w:w="0" w:type="auto"/>
          </w:tcPr>
          <w:p>
            <w:pPr>
              <w:spacing w:line="240" w:lineRule="auto" w:before="0" w:after="0"/>
              <w:pStyle w:val="Compact"/>
            </w:pPr>
            <w:r>
              <w:rPr>
                <w:sz w:val="20"/>
                <w:szCs w:val="20"/>
              </w:rPr>
              <w:t xml:space="preserve">3.2485</w:t>
            </w:r>
          </w:p>
        </w:tc>
        <w:tc>
          <w:tcPr>
            <w:tcW w:w="0" w:type="auto"/>
          </w:tcPr>
          <w:p>
            <w:pPr>
              <w:spacing w:line="240" w:lineRule="auto" w:before="0" w:after="0"/>
              <w:pStyle w:val="Compact"/>
            </w:pPr>
            <w:r>
              <w:rPr>
                <w:sz w:val="20"/>
                <w:szCs w:val="20"/>
              </w:rPr>
              <w:t xml:space="preserve">0.9598</w:t>
            </w:r>
          </w:p>
        </w:tc>
        <w:tc>
          <w:tcPr>
            <w:tcW w:w="0" w:type="auto"/>
          </w:tcPr>
          <w:p>
            <w:pPr>
              <w:spacing w:line="240" w:lineRule="auto" w:before="0" w:after="0"/>
              <w:pStyle w:val="Compact"/>
            </w:pPr>
            <w:r>
              <w:rPr>
                <w:sz w:val="20"/>
                <w:szCs w:val="20"/>
              </w:rPr>
              <w:t xml:space="preserve">0.3371</w:t>
            </w:r>
          </w:p>
        </w:tc>
        <w:tc>
          <w:tcPr>
            <w:tcW w:w="0" w:type="auto"/>
          </w:tcPr>
          <w:p>
            <w:pPr>
              <w:spacing w:line="240" w:lineRule="auto" w:before="0" w:after="0"/>
              <w:pStyle w:val="Compact"/>
            </w:pPr>
            <w:r>
              <w:rPr>
                <w:sz w:val="20"/>
                <w:szCs w:val="20"/>
              </w:rPr>
              <w:t xml:space="preserve">[-3.249, 9.4849]</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0.0444</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0.1244</w:t>
            </w:r>
          </w:p>
        </w:tc>
        <w:tc>
          <w:tcPr>
            <w:tcW w:w="0" w:type="auto"/>
          </w:tcPr>
          <w:p>
            <w:pPr>
              <w:spacing w:line="240" w:lineRule="auto" w:before="0" w:after="0"/>
              <w:pStyle w:val="Compact"/>
            </w:pPr>
            <w:r>
              <w:rPr>
                <w:sz w:val="20"/>
                <w:szCs w:val="20"/>
              </w:rPr>
              <w:t xml:space="preserve">0.901</w:t>
            </w:r>
          </w:p>
        </w:tc>
        <w:tc>
          <w:tcPr>
            <w:tcW w:w="0" w:type="auto"/>
          </w:tcPr>
          <w:p>
            <w:pPr>
              <w:spacing w:line="240" w:lineRule="auto" w:before="0" w:after="0"/>
              <w:pStyle w:val="Compact"/>
            </w:pPr>
            <w:r>
              <w:rPr>
                <w:sz w:val="20"/>
                <w:szCs w:val="20"/>
              </w:rPr>
              <w:t xml:space="preserve">[-0.6555, 0.7444]</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-1.538</w:t>
            </w:r>
          </w:p>
        </w:tc>
        <w:tc>
          <w:tcPr>
            <w:tcW w:w="0" w:type="auto"/>
          </w:tcPr>
          <w:p>
            <w:pPr>
              <w:spacing w:line="240" w:lineRule="auto" w:before="0" w:after="0"/>
              <w:pStyle w:val="Compact"/>
            </w:pPr>
            <w:r>
              <w:rPr>
                <w:sz w:val="20"/>
                <w:szCs w:val="20"/>
              </w:rPr>
              <w:t xml:space="preserve">1.3125</w:t>
            </w:r>
          </w:p>
        </w:tc>
        <w:tc>
          <w:tcPr>
            <w:tcW w:w="0" w:type="auto"/>
          </w:tcPr>
          <w:p>
            <w:pPr>
              <w:spacing w:line="240" w:lineRule="auto" w:before="0" w:after="0"/>
              <w:pStyle w:val="Compact"/>
            </w:pPr>
            <w:r>
              <w:rPr>
                <w:sz w:val="20"/>
                <w:szCs w:val="20"/>
              </w:rPr>
              <w:t xml:space="preserve">-1.1718</w:t>
            </w:r>
          </w:p>
        </w:tc>
        <w:tc>
          <w:tcPr>
            <w:tcW w:w="0" w:type="auto"/>
          </w:tcPr>
          <w:p>
            <w:pPr>
              <w:spacing w:line="240" w:lineRule="auto" w:before="0" w:after="0"/>
              <w:pStyle w:val="Compact"/>
            </w:pPr>
            <w:r>
              <w:rPr>
                <w:sz w:val="20"/>
                <w:szCs w:val="20"/>
              </w:rPr>
              <w:t xml:space="preserve">0.2413</w:t>
            </w:r>
          </w:p>
        </w:tc>
        <w:tc>
          <w:tcPr>
            <w:tcW w:w="0" w:type="auto"/>
          </w:tcPr>
          <w:p>
            <w:pPr>
              <w:spacing w:line="240" w:lineRule="auto" w:before="0" w:after="0"/>
              <w:pStyle w:val="Compact"/>
            </w:pPr>
            <w:r>
              <w:rPr>
                <w:sz w:val="20"/>
                <w:szCs w:val="20"/>
              </w:rPr>
              <w:t xml:space="preserve">[-4.1105, 1.0345]</w:t>
            </w:r>
          </w:p>
        </w:tc>
      </w:tr>
      <w:tr>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-2.7797</w:t>
            </w:r>
          </w:p>
        </w:tc>
        <w:tc>
          <w:tcPr>
            <w:tcW w:w="0" w:type="auto"/>
          </w:tcPr>
          <w:p>
            <w:pPr>
              <w:spacing w:line="240" w:lineRule="auto" w:before="0" w:after="0"/>
              <w:pStyle w:val="Compact"/>
            </w:pPr>
            <w:r>
              <w:rPr>
                <w:sz w:val="20"/>
                <w:szCs w:val="20"/>
              </w:rPr>
              <w:t xml:space="preserve">1.3424</w:t>
            </w:r>
          </w:p>
        </w:tc>
        <w:tc>
          <w:tcPr>
            <w:tcW w:w="0" w:type="auto"/>
          </w:tcPr>
          <w:p>
            <w:pPr>
              <w:spacing w:line="240" w:lineRule="auto" w:before="0" w:after="0"/>
              <w:pStyle w:val="Compact"/>
            </w:pPr>
            <w:r>
              <w:rPr>
                <w:sz w:val="20"/>
                <w:szCs w:val="20"/>
              </w:rPr>
              <w:t xml:space="preserve">-2.0706</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[-5.4109, -0.1486]</w:t>
            </w:r>
          </w:p>
        </w:tc>
      </w:tr>
    </w:tbl>
    <w:p>
      <w:pPr>
        <w:pStyle w:val="BodyText"/>
      </w:pPr>
      <w:r>
        <w:t xml:space="preserve">Fit: N = 31 pseudo_R2 = 0.2259 LL = -11.7903</w:t>
      </w:r>
    </w:p>
    <w:p>
      <w:pPr>
        <w:pStyle w:val="CaptionedFigure"/>
      </w:pPr>
      <w:r>
        <w:drawing>
          <wp:inline>
            <wp:extent cx="5669280" cy="3657600"/>
            <wp:effectExtent b="0" l="0" r="0" t="0"/>
            <wp:docPr descr="Figure 1. Short versus extended mandated window against CVSS base severity for 31 ground-segment and mission-control vulnerabilities (CISA KEV v2026.06.18, NVD CVE API 2.0)." title="" id="78" name="Picture"/>
            <a:graphic>
              <a:graphicData uri="http://schemas.openxmlformats.org/drawingml/2006/picture">
                <pic:pic>
                  <pic:nvPicPr>
                    <pic:cNvPr descr="D:\Claude_Code\brain\collegium\candidates\dissertations\CYBER_AI_01\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Short versus extended mandated window against CVSS base severity for 31 ground-segment and mission-control vulnerabilities (CISA KEV v2026.06.18, NVD CVE API 2.0).</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window_days</w:t>
            </w:r>
          </w:p>
        </w:tc>
        <w:tc>
          <w:tcPr>
            <w:tcW w:w="0" w:type="auto"/>
          </w:tcPr>
          <w:p>
            <w:pPr>
              <w:spacing w:line="240" w:lineRule="auto" w:before="0" w:after="0"/>
              <w:pStyle w:val="Compact"/>
            </w:pPr>
            <w:r>
              <w:rPr>
                <w:sz w:val="20"/>
                <w:szCs w:val="20"/>
              </w:rPr>
              <w:t xml:space="preserve">short_window</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CVE-2025-5777</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CVE-2025-5777</w:t>
            </w:r>
          </w:p>
        </w:tc>
      </w:tr>
      <w:tr>
        <w:tc>
          <w:tcPr>
            <w:tcW w:w="0" w:type="auto"/>
          </w:tcPr>
          <w:p>
            <w:pPr>
              <w:spacing w:line="240" w:lineRule="auto" w:before="0" w:after="0"/>
              <w:pStyle w:val="Compact"/>
            </w:pPr>
            <w:r>
              <w:rPr>
                <w:sz w:val="20"/>
                <w:szCs w:val="20"/>
              </w:rPr>
              <w:t xml:space="preserve">CVE-2026-35616</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CVE-2026-35616</w:t>
            </w:r>
          </w:p>
        </w:tc>
      </w:tr>
      <w:tr>
        <w:tc>
          <w:tcPr>
            <w:tcW w:w="0" w:type="auto"/>
          </w:tcPr>
          <w:p>
            <w:pPr>
              <w:spacing w:line="240" w:lineRule="auto" w:before="0" w:after="0"/>
              <w:pStyle w:val="Compact"/>
            </w:pPr>
            <w:r>
              <w:rPr>
                <w:sz w:val="20"/>
                <w:szCs w:val="20"/>
              </w:rPr>
              <w:t xml:space="preserve">CVE-2026-0257</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CVE-2026-0257</w:t>
            </w:r>
          </w:p>
        </w:tc>
      </w:tr>
      <w:tr>
        <w:tc>
          <w:tcPr>
            <w:tcW w:w="0" w:type="auto"/>
          </w:tcPr>
          <w:p>
            <w:pPr>
              <w:spacing w:line="240" w:lineRule="auto" w:before="0" w:after="0"/>
              <w:pStyle w:val="Compact"/>
            </w:pPr>
            <w:r>
              <w:rPr>
                <w:sz w:val="20"/>
                <w:szCs w:val="20"/>
              </w:rPr>
              <w:t xml:space="preserve">CVE-2023-36845</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CVE-2023-36845</w:t>
            </w:r>
          </w:p>
        </w:tc>
      </w:tr>
      <w:tr>
        <w:tc>
          <w:tcPr>
            <w:tcW w:w="0" w:type="auto"/>
          </w:tcPr>
          <w:p>
            <w:pPr>
              <w:spacing w:line="240" w:lineRule="auto" w:before="0" w:after="0"/>
              <w:pStyle w:val="Compact"/>
            </w:pPr>
            <w:r>
              <w:rPr>
                <w:sz w:val="20"/>
                <w:szCs w:val="20"/>
              </w:rPr>
              <w:t xml:space="preserve">CVE-2025-64446</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CVE-2025-64446</w:t>
            </w:r>
          </w:p>
        </w:tc>
      </w:tr>
      <w:tr>
        <w:tc>
          <w:tcPr>
            <w:tcW w:w="0" w:type="auto"/>
          </w:tcPr>
          <w:p>
            <w:pPr>
              <w:spacing w:line="240" w:lineRule="auto" w:before="0" w:after="0"/>
              <w:pStyle w:val="Compact"/>
            </w:pPr>
            <w:r>
              <w:rPr>
                <w:sz w:val="20"/>
                <w:szCs w:val="20"/>
              </w:rPr>
              <w:t xml:space="preserve">CVE-2025-59718</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CVE-2025-59718</w:t>
            </w:r>
          </w:p>
        </w:tc>
      </w:tr>
      <w:tr>
        <w:tc>
          <w:tcPr>
            <w:tcW w:w="0" w:type="auto"/>
          </w:tcPr>
          <w:p>
            <w:pPr>
              <w:spacing w:line="240" w:lineRule="auto" w:before="0" w:after="0"/>
              <w:pStyle w:val="Compact"/>
            </w:pPr>
            <w:r>
              <w:rPr>
                <w:sz w:val="20"/>
                <w:szCs w:val="20"/>
              </w:rPr>
              <w:t xml:space="preserve">CVE-2024-21887</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CVE-2024-21887</w:t>
            </w:r>
          </w:p>
        </w:tc>
      </w:tr>
      <w:tr>
        <w:tc>
          <w:tcPr>
            <w:tcW w:w="0" w:type="auto"/>
          </w:tcPr>
          <w:p>
            <w:pPr>
              <w:spacing w:line="240" w:lineRule="auto" w:before="0" w:after="0"/>
              <w:pStyle w:val="Compact"/>
            </w:pPr>
            <w:r>
              <w:rPr>
                <w:sz w:val="20"/>
                <w:szCs w:val="20"/>
              </w:rPr>
              <w:t xml:space="preserve">CVE-2021-1497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CVE-2021-1497</w:t>
            </w:r>
          </w:p>
        </w:tc>
      </w:tr>
      <w:tr>
        <w:tc>
          <w:tcPr>
            <w:tcW w:w="0" w:type="auto"/>
          </w:tcPr>
          <w:p>
            <w:pPr>
              <w:spacing w:line="240" w:lineRule="auto" w:before="0" w:after="0"/>
              <w:pStyle w:val="Compact"/>
            </w:pPr>
            <w:r>
              <w:rPr>
                <w:sz w:val="20"/>
                <w:szCs w:val="20"/>
              </w:rPr>
              <w:t xml:space="preserve">CVE-2021-22991</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CVE-2021-22991</w:t>
            </w:r>
          </w:p>
        </w:tc>
      </w:tr>
      <w:tr>
        <w:tc>
          <w:tcPr>
            <w:tcW w:w="0" w:type="auto"/>
          </w:tcPr>
          <w:p>
            <w:pPr>
              <w:spacing w:line="240" w:lineRule="auto" w:before="0" w:after="0"/>
              <w:pStyle w:val="Compact"/>
            </w:pPr>
            <w:r>
              <w:rPr>
                <w:sz w:val="20"/>
                <w:szCs w:val="20"/>
              </w:rPr>
              <w:t xml:space="preserve">CVE-2021-20023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CVE-2021-20023</w:t>
            </w:r>
          </w:p>
        </w:tc>
      </w:tr>
      <w:tr>
        <w:tc>
          <w:tcPr>
            <w:tcW w:w="0" w:type="auto"/>
          </w:tcPr>
          <w:p>
            <w:pPr>
              <w:spacing w:line="240" w:lineRule="auto" w:before="0" w:after="0"/>
              <w:pStyle w:val="Compact"/>
            </w:pPr>
            <w:r>
              <w:rPr>
                <w:sz w:val="20"/>
                <w:szCs w:val="20"/>
              </w:rPr>
              <w:t xml:space="preserve">CVE-2018-0175</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CVE-2018-0175</w:t>
            </w:r>
          </w:p>
        </w:tc>
      </w:tr>
      <w:tr>
        <w:tc>
          <w:tcPr>
            <w:tcW w:w="0" w:type="auto"/>
          </w:tcPr>
          <w:p>
            <w:pPr>
              <w:spacing w:line="240" w:lineRule="auto" w:before="0" w:after="0"/>
              <w:pStyle w:val="Compact"/>
            </w:pPr>
            <w:r>
              <w:rPr>
                <w:sz w:val="20"/>
                <w:szCs w:val="20"/>
              </w:rPr>
              <w:t xml:space="preserve">CVE-2022-20699</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CVE-2022-20699</w:t>
            </w:r>
          </w:p>
        </w:tc>
      </w:tr>
      <w:tr>
        <w:tc>
          <w:tcPr>
            <w:tcW w:w="0" w:type="auto"/>
          </w:tcPr>
          <w:p>
            <w:pPr>
              <w:spacing w:line="240" w:lineRule="auto" w:before="0" w:after="0"/>
              <w:pStyle w:val="Compact"/>
            </w:pPr>
            <w:r>
              <w:rPr>
                <w:sz w:val="20"/>
                <w:szCs w:val="20"/>
              </w:rPr>
              <w:t xml:space="preserve">CVE-2018-0151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CVE-2018-0151</w:t>
            </w:r>
          </w:p>
        </w:tc>
      </w:tr>
      <w:tr>
        <w:tc>
          <w:tcPr>
            <w:tcW w:w="0" w:type="auto"/>
          </w:tcPr>
          <w:p>
            <w:pPr>
              <w:spacing w:line="240" w:lineRule="auto" w:before="0" w:after="0"/>
              <w:pStyle w:val="Compact"/>
            </w:pPr>
            <w:r>
              <w:rPr>
                <w:sz w:val="20"/>
                <w:szCs w:val="20"/>
              </w:rPr>
              <w:t xml:space="preserve">CVE-2017-15944</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CVE-2017-15944</w:t>
            </w:r>
          </w:p>
        </w:tc>
      </w:tr>
      <w:tr>
        <w:tc>
          <w:tcPr>
            <w:tcW w:w="0" w:type="auto"/>
          </w:tcPr>
          <w:p>
            <w:pPr>
              <w:spacing w:line="240" w:lineRule="auto" w:before="0" w:after="0"/>
              <w:pStyle w:val="Compact"/>
            </w:pPr>
            <w:r>
              <w:rPr>
                <w:sz w:val="20"/>
                <w:szCs w:val="20"/>
              </w:rPr>
              <w:t xml:space="preserve">CVE-2022-40684</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CVE-2022-40684</w:t>
            </w:r>
          </w:p>
        </w:tc>
      </w:tr>
      <w:tr>
        <w:tc>
          <w:tcPr>
            <w:tcW w:w="0" w:type="auto"/>
          </w:tcPr>
          <w:p>
            <w:pPr>
              <w:spacing w:line="240" w:lineRule="auto" w:before="0" w:after="0"/>
              <w:pStyle w:val="Compact"/>
            </w:pPr>
            <w:r>
              <w:rPr>
                <w:sz w:val="20"/>
                <w:szCs w:val="20"/>
              </w:rPr>
              <w:t xml:space="preserve">CVE-2024-9463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CVE-2024-9463</w:t>
            </w:r>
          </w:p>
        </w:tc>
      </w:tr>
      <w:tr>
        <w:tc>
          <w:tcPr>
            <w:tcW w:w="0" w:type="auto"/>
          </w:tcPr>
          <w:p>
            <w:pPr>
              <w:spacing w:line="240" w:lineRule="auto" w:before="0" w:after="0"/>
              <w:pStyle w:val="Compact"/>
            </w:pPr>
            <w:r>
              <w:rPr>
                <w:sz w:val="20"/>
                <w:szCs w:val="20"/>
              </w:rPr>
              <w:t xml:space="preserve">CVE-2019-7483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CVE-2019-7483</w:t>
            </w:r>
          </w:p>
        </w:tc>
      </w:tr>
      <w:tr>
        <w:tc>
          <w:tcPr>
            <w:tcW w:w="0" w:type="auto"/>
          </w:tcPr>
          <w:p>
            <w:pPr>
              <w:spacing w:line="240" w:lineRule="auto" w:before="0" w:after="0"/>
              <w:pStyle w:val="Compact"/>
            </w:pPr>
            <w:r>
              <w:rPr>
                <w:sz w:val="20"/>
                <w:szCs w:val="20"/>
              </w:rPr>
              <w:t xml:space="preserve">CVE-2023-4966</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CVE-2023-4966</w:t>
            </w:r>
          </w:p>
        </w:tc>
      </w:tr>
      <w:tr>
        <w:tc>
          <w:tcPr>
            <w:tcW w:w="0" w:type="auto"/>
          </w:tcPr>
          <w:p>
            <w:pPr>
              <w:spacing w:line="240" w:lineRule="auto" w:before="0" w:after="0"/>
              <w:pStyle w:val="Compact"/>
            </w:pPr>
            <w:r>
              <w:rPr>
                <w:sz w:val="20"/>
                <w:szCs w:val="20"/>
              </w:rPr>
              <w:t xml:space="preserve">CVE-2004-1464</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CVE-2004-1464</w:t>
            </w:r>
          </w:p>
        </w:tc>
      </w:tr>
      <w:tr>
        <w:tc>
          <w:tcPr>
            <w:tcW w:w="0" w:type="auto"/>
          </w:tcPr>
          <w:p>
            <w:pPr>
              <w:spacing w:line="240" w:lineRule="auto" w:before="0" w:after="0"/>
              <w:pStyle w:val="Compact"/>
            </w:pPr>
            <w:r>
              <w:rPr>
                <w:sz w:val="20"/>
                <w:szCs w:val="20"/>
              </w:rPr>
              <w:t xml:space="preserve">CVE-2017-6316</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CVE-2017-6316</w:t>
            </w:r>
          </w:p>
        </w:tc>
      </w:tr>
      <w:tr>
        <w:tc>
          <w:tcPr>
            <w:tcW w:w="0" w:type="auto"/>
          </w:tcPr>
          <w:p>
            <w:pPr>
              <w:spacing w:line="240" w:lineRule="auto" w:before="0" w:after="0"/>
              <w:pStyle w:val="Compact"/>
            </w:pPr>
            <w:r>
              <w:rPr>
                <w:sz w:val="20"/>
                <w:szCs w:val="20"/>
              </w:rPr>
              <w:t xml:space="preserve">CVE-2024-8068</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CVE-2024-8068</w:t>
            </w:r>
          </w:p>
        </w:tc>
      </w:tr>
      <w:tr>
        <w:tc>
          <w:tcPr>
            <w:tcW w:w="0" w:type="auto"/>
          </w:tcPr>
          <w:p>
            <w:pPr>
              <w:spacing w:line="240" w:lineRule="auto" w:before="0" w:after="0"/>
              <w:pStyle w:val="Compact"/>
            </w:pPr>
            <w:r>
              <w:rPr>
                <w:sz w:val="20"/>
                <w:szCs w:val="20"/>
              </w:rPr>
              <w:t xml:space="preserve">CVE-2020-8193</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CVE-2020-8193</w:t>
            </w:r>
          </w:p>
        </w:tc>
      </w:tr>
      <w:tr>
        <w:tc>
          <w:tcPr>
            <w:tcW w:w="0" w:type="auto"/>
          </w:tcPr>
          <w:p>
            <w:pPr>
              <w:spacing w:line="240" w:lineRule="auto" w:before="0" w:after="0"/>
              <w:pStyle w:val="Compact"/>
            </w:pPr>
            <w:r>
              <w:rPr>
                <w:sz w:val="20"/>
                <w:szCs w:val="20"/>
              </w:rPr>
              <w:t xml:space="preserve">CVE-2020-12812</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CVE-2020-12812</w:t>
            </w:r>
          </w:p>
        </w:tc>
      </w:tr>
      <w:tr>
        <w:tc>
          <w:tcPr>
            <w:tcW w:w="0" w:type="auto"/>
          </w:tcPr>
          <w:p>
            <w:pPr>
              <w:spacing w:line="240" w:lineRule="auto" w:before="0" w:after="0"/>
              <w:pStyle w:val="Compact"/>
            </w:pPr>
            <w:r>
              <w:rPr>
                <w:sz w:val="20"/>
                <w:szCs w:val="20"/>
              </w:rPr>
              <w:t xml:space="preserve">CVE-2021-22894</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CVE-2021-22894</w:t>
            </w:r>
          </w:p>
        </w:tc>
      </w:tr>
      <w:tr>
        <w:tc>
          <w:tcPr>
            <w:tcW w:w="0" w:type="auto"/>
          </w:tcPr>
          <w:p>
            <w:pPr>
              <w:spacing w:line="240" w:lineRule="auto" w:before="0" w:after="0"/>
              <w:pStyle w:val="Compact"/>
            </w:pPr>
            <w:r>
              <w:rPr>
                <w:sz w:val="20"/>
                <w:szCs w:val="20"/>
              </w:rPr>
              <w:t xml:space="preserve">CVE-2019-1653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CVE-2019-1653</w:t>
            </w:r>
          </w:p>
        </w:tc>
      </w:tr>
      <w:tr>
        <w:tc>
          <w:tcPr>
            <w:tcW w:w="0" w:type="auto"/>
          </w:tcPr>
          <w:p>
            <w:pPr>
              <w:spacing w:line="240" w:lineRule="auto" w:before="0" w:after="0"/>
              <w:pStyle w:val="Compact"/>
            </w:pPr>
            <w:r>
              <w:rPr>
                <w:sz w:val="20"/>
                <w:szCs w:val="20"/>
              </w:rPr>
              <w:t xml:space="preserve">CVE-2020-15505</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CVE-2020-15505</w:t>
            </w:r>
          </w:p>
        </w:tc>
      </w:tr>
      <w:tr>
        <w:tc>
          <w:tcPr>
            <w:tcW w:w="0" w:type="auto"/>
          </w:tcPr>
          <w:p>
            <w:pPr>
              <w:spacing w:line="240" w:lineRule="auto" w:before="0" w:after="0"/>
              <w:pStyle w:val="Compact"/>
            </w:pPr>
            <w:r>
              <w:rPr>
                <w:sz w:val="20"/>
                <w:szCs w:val="20"/>
              </w:rPr>
              <w:t xml:space="preserve">CVE-2018-13379</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CVE-2018-13379</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CVE-2023-6448</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CVE-2021-38406</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CVE-2018-7841</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CVE-2016-8562</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short_window</w:t>
            </w:r>
          </w:p>
        </w:tc>
        <w:tc>
          <w:tcPr>
            <w:tcW w:w="0" w:type="auto"/>
          </w:tcPr>
          <w:p>
            <w:pPr>
              <w:spacing w:line="240" w:lineRule="auto" w:before="0" w:after="0"/>
              <w:pStyle w:val="Compact"/>
            </w:pPr>
            <w:r>
              <w:rPr>
                <w:sz w:val="20"/>
                <w:szCs w:val="20"/>
              </w:rPr>
              <w:t xml:space="preserve">Binary outcome: 1 if the mandated patch-latency window is a standard short window of 21 days or fewer, 0 if it is an extended window (the roughly six-month, 181-day class). The window is the CISA remediation due date minus the date the vulnerability was added to the Known Exploited Vulnerabilities catalog under Binding Operational Directive 22-01.</w:t>
            </w:r>
          </w:p>
        </w:tc>
        <w:tc>
          <w:tcPr>
            <w:tcW w:w="0" w:type="auto"/>
          </w:tcPr>
          <w:p>
            <w:pPr>
              <w:spacing w:line="240" w:lineRule="auto" w:before="0" w:after="0"/>
              <w:pStyle w:val="Compact"/>
            </w:pPr>
            <w:r>
              <w:rPr>
                <w:sz w:val="20"/>
                <w:szCs w:val="20"/>
              </w:rPr>
              <w:t xml:space="preserve">CISA KEV catalog v2026.06.18 (indicator on dueDate minus dateAdded &lt;= 21 days)</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score (severity, 0 to 10), taken from the primary v3.1 metric where present.</w:t>
            </w:r>
          </w:p>
        </w:tc>
        <w:tc>
          <w:tcPr>
            <w:tcW w:w="0" w:type="auto"/>
          </w:tcPr>
          <w:p>
            <w:pPr>
              <w:spacing w:line="240" w:lineRule="auto" w:before="0" w:after="0"/>
              <w:pStyle w:val="Compact"/>
            </w:pPr>
            <w:r>
              <w:rPr>
                <w:sz w:val="20"/>
                <w:szCs w:val="20"/>
              </w:rPr>
              <w:t xml:space="preserve">NVD CVE API 2.0 baseScore</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1 if CISA flagged the vulnerability as having known ransomware-campaign use, 0 otherwise.</w:t>
            </w:r>
          </w:p>
        </w:tc>
        <w:tc>
          <w:tcPr>
            <w:tcW w:w="0" w:type="auto"/>
          </w:tcPr>
          <w:p>
            <w:pPr>
              <w:spacing w:line="240" w:lineRule="auto" w:before="0" w:after="0"/>
              <w:pStyle w:val="Compact"/>
            </w:pPr>
            <w:r>
              <w:rPr>
                <w:sz w:val="20"/>
                <w:szCs w:val="20"/>
              </w:rPr>
              <w:t xml:space="preserve">CISA KEV knownRansomwareCampaignUse field</w:t>
            </w:r>
          </w:p>
        </w:tc>
      </w:tr>
      <w:tr>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Indicator: 1 if the CVE identifier year is earlier than 2021, 0 otherwise. BOD 22-01 assigns the extended six-month window to CVEs assigned before 2021 and a short window of two to three weeks to all others.</w:t>
            </w:r>
          </w:p>
        </w:tc>
        <w:tc>
          <w:tcPr>
            <w:tcW w:w="0" w:type="auto"/>
          </w:tcPr>
          <w:p>
            <w:pPr>
              <w:spacing w:line="240" w:lineRule="auto" w:before="0" w:after="0"/>
              <w:pStyle w:val="Compact"/>
            </w:pPr>
            <w:r>
              <w:rPr>
                <w:sz w:val="20"/>
                <w:szCs w:val="20"/>
              </w:rPr>
              <w:t xml:space="preserve">CVE identifier year (BOD 22-01 window rule)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3.118</w:t>
            </w:r>
          </w:p>
        </w:tc>
        <w:tc>
          <w:tcPr>
            <w:tcW w:w="0" w:type="auto"/>
          </w:tcPr>
          <w:p>
            <w:pPr>
              <w:spacing w:line="240" w:lineRule="auto" w:before="0" w:after="0"/>
              <w:pStyle w:val="Compact"/>
            </w:pPr>
            <w:r>
              <w:rPr>
                <w:sz w:val="20"/>
                <w:szCs w:val="20"/>
              </w:rPr>
              <w:t xml:space="preserve">3.2485</w:t>
            </w:r>
          </w:p>
        </w:tc>
        <w:tc>
          <w:tcPr>
            <w:tcW w:w="0" w:type="auto"/>
          </w:tcPr>
          <w:p>
            <w:pPr>
              <w:spacing w:line="240" w:lineRule="auto" w:before="0" w:after="0"/>
              <w:pStyle w:val="Compact"/>
            </w:pPr>
            <w:r>
              <w:rPr>
                <w:sz w:val="20"/>
                <w:szCs w:val="20"/>
              </w:rPr>
              <w:t xml:space="preserve">0.9598</w:t>
            </w:r>
          </w:p>
        </w:tc>
        <w:tc>
          <w:tcPr>
            <w:tcW w:w="0" w:type="auto"/>
          </w:tcPr>
          <w:p>
            <w:pPr>
              <w:spacing w:line="240" w:lineRule="auto" w:before="0" w:after="0"/>
              <w:pStyle w:val="Compact"/>
            </w:pPr>
            <w:r>
              <w:rPr>
                <w:sz w:val="20"/>
                <w:szCs w:val="20"/>
              </w:rPr>
              <w:t xml:space="preserve">0.3371</w:t>
            </w:r>
          </w:p>
        </w:tc>
        <w:tc>
          <w:tcPr>
            <w:tcW w:w="0" w:type="auto"/>
          </w:tcPr>
          <w:p>
            <w:pPr>
              <w:spacing w:line="240" w:lineRule="auto" w:before="0" w:after="0"/>
              <w:pStyle w:val="Compact"/>
            </w:pPr>
            <w:r>
              <w:rPr>
                <w:sz w:val="20"/>
                <w:szCs w:val="20"/>
              </w:rPr>
              <w:t xml:space="preserve">[-3.249, 9.4849]</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0.0444</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0.1244</w:t>
            </w:r>
          </w:p>
        </w:tc>
        <w:tc>
          <w:tcPr>
            <w:tcW w:w="0" w:type="auto"/>
          </w:tcPr>
          <w:p>
            <w:pPr>
              <w:spacing w:line="240" w:lineRule="auto" w:before="0" w:after="0"/>
              <w:pStyle w:val="Compact"/>
            </w:pPr>
            <w:r>
              <w:rPr>
                <w:sz w:val="20"/>
                <w:szCs w:val="20"/>
              </w:rPr>
              <w:t xml:space="preserve">0.901</w:t>
            </w:r>
          </w:p>
        </w:tc>
        <w:tc>
          <w:tcPr>
            <w:tcW w:w="0" w:type="auto"/>
          </w:tcPr>
          <w:p>
            <w:pPr>
              <w:spacing w:line="240" w:lineRule="auto" w:before="0" w:after="0"/>
              <w:pStyle w:val="Compact"/>
            </w:pPr>
            <w:r>
              <w:rPr>
                <w:sz w:val="20"/>
                <w:szCs w:val="20"/>
              </w:rPr>
              <w:t xml:space="preserve">[-0.6555, 0.7444]</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-1.538</w:t>
            </w:r>
          </w:p>
        </w:tc>
        <w:tc>
          <w:tcPr>
            <w:tcW w:w="0" w:type="auto"/>
          </w:tcPr>
          <w:p>
            <w:pPr>
              <w:spacing w:line="240" w:lineRule="auto" w:before="0" w:after="0"/>
              <w:pStyle w:val="Compact"/>
            </w:pPr>
            <w:r>
              <w:rPr>
                <w:sz w:val="20"/>
                <w:szCs w:val="20"/>
              </w:rPr>
              <w:t xml:space="preserve">1.3125</w:t>
            </w:r>
          </w:p>
        </w:tc>
        <w:tc>
          <w:tcPr>
            <w:tcW w:w="0" w:type="auto"/>
          </w:tcPr>
          <w:p>
            <w:pPr>
              <w:spacing w:line="240" w:lineRule="auto" w:before="0" w:after="0"/>
              <w:pStyle w:val="Compact"/>
            </w:pPr>
            <w:r>
              <w:rPr>
                <w:sz w:val="20"/>
                <w:szCs w:val="20"/>
              </w:rPr>
              <w:t xml:space="preserve">-1.1718</w:t>
            </w:r>
          </w:p>
        </w:tc>
        <w:tc>
          <w:tcPr>
            <w:tcW w:w="0" w:type="auto"/>
          </w:tcPr>
          <w:p>
            <w:pPr>
              <w:spacing w:line="240" w:lineRule="auto" w:before="0" w:after="0"/>
              <w:pStyle w:val="Compact"/>
            </w:pPr>
            <w:r>
              <w:rPr>
                <w:sz w:val="20"/>
                <w:szCs w:val="20"/>
              </w:rPr>
              <w:t xml:space="preserve">0.2413</w:t>
            </w:r>
          </w:p>
        </w:tc>
        <w:tc>
          <w:tcPr>
            <w:tcW w:w="0" w:type="auto"/>
          </w:tcPr>
          <w:p>
            <w:pPr>
              <w:spacing w:line="240" w:lineRule="auto" w:before="0" w:after="0"/>
              <w:pStyle w:val="Compact"/>
            </w:pPr>
            <w:r>
              <w:rPr>
                <w:sz w:val="20"/>
                <w:szCs w:val="20"/>
              </w:rPr>
              <w:t xml:space="preserve">[-4.1105, 1.0345]</w:t>
            </w:r>
          </w:p>
        </w:tc>
      </w:tr>
      <w:tr>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-2.7797</w:t>
            </w:r>
          </w:p>
        </w:tc>
        <w:tc>
          <w:tcPr>
            <w:tcW w:w="0" w:type="auto"/>
          </w:tcPr>
          <w:p>
            <w:pPr>
              <w:spacing w:line="240" w:lineRule="auto" w:before="0" w:after="0"/>
              <w:pStyle w:val="Compact"/>
            </w:pPr>
            <w:r>
              <w:rPr>
                <w:sz w:val="20"/>
                <w:szCs w:val="20"/>
              </w:rPr>
              <w:t xml:space="preserve">1.3424</w:t>
            </w:r>
          </w:p>
        </w:tc>
        <w:tc>
          <w:tcPr>
            <w:tcW w:w="0" w:type="auto"/>
          </w:tcPr>
          <w:p>
            <w:pPr>
              <w:spacing w:line="240" w:lineRule="auto" w:before="0" w:after="0"/>
              <w:pStyle w:val="Compact"/>
            </w:pPr>
            <w:r>
              <w:rPr>
                <w:sz w:val="20"/>
                <w:szCs w:val="20"/>
              </w:rPr>
              <w:t xml:space="preserve">-2.0706</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[-5.4109, -0.1486]</w:t>
            </w:r>
          </w:p>
        </w:tc>
      </w:tr>
    </w:tbl>
    <w:p>
      <w:pPr>
        <w:pStyle w:val="BodyText"/>
      </w:pPr>
      <w:r>
        <w:t xml:space="preserve">Fit: N = 31 pseudo_R2 = 0.2259 LL = -11.7903</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4" Target="https://doi.org/10.1016/j.actaastro.2025.10.018"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25.10.0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2026-06-25T14:25:49Z</dcterms:created>
  <dcterms:modified xsi:type="dcterms:W3CDTF">2026-06-25T14:25:49Z</dcterms:modified>
</cp:coreProperties>
</file>

<file path=docProps/custom.xml><?xml version="1.0" encoding="utf-8"?>
<Properties xmlns="http://schemas.openxmlformats.org/officeDocument/2006/custom-properties" xmlns:vt="http://schemas.openxmlformats.org/officeDocument/2006/docPropsVTypes"/>
</file>