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4" w:name="Xefbae4fa8b4241b27087e2e41826313ed45b170"/>
    <w:p>
      <w:pPr>
        <w:pStyle w:val="Heading1"/>
      </w:pPr>
      <w:r>
        <w:t xml:space="preserve">The Patch-Latency Window: An Ordinary-Least-Squares Estimate of How Long Ground-Segment and Mission-Control Vulnerabilities Stay Exploitable Before They Are Caught</w:t>
      </w:r>
    </w:p>
    <w:bookmarkStart w:id="61" w:name="introduction"/>
    <w:p>
      <w:pPr>
        <w:pStyle w:val="Heading2"/>
      </w:pPr>
      <w:r>
        <w:t xml:space="preserve">1. Introduction</w:t>
      </w:r>
    </w:p>
    <w:p>
      <w:pPr>
        <w:pStyle w:val="FirstParagraph"/>
      </w:pPr>
      <w:r>
        <w:t xml:space="preserve">The ground segment is the part of a space system that an adversary can reach without leaving the planet. Mission-control centers, telemetry-tracking-and-command nodes, scheduling servers, and the data-distribution enclaves behind them are ordinary networked information systems. They run operating systems, middleware, remote-access gateways, and industrial controllers that are disclosed against, exploited, and patched on the same public timeline as any other enterprise asset. The secure-framework analysis of space domain awareness systems by Allington and colleagues locates the ground segment squarely inside the commodity-software threat model, observing that a software-dependency or supply-chain compromise can reach any computer system that relies on the affected component</w:t>
      </w:r>
      <w:r>
        <w:t xml:space="preserve"> </w:t>
      </w:r>
      <w:hyperlink w:anchor="ref-4">
        <m:oMathPara>
          <m:oMathParaPr>
            <m:jc m:val="center"/>
          </m:oMathParaPr>
          <m:oMath>
            <m:r>
              <m:t>4</m:t>
            </m:r>
          </m:oMath>
        </m:oMathPara>
      </w:hyperlink>
      <w:r>
        <w:t xml:space="preserve">. The governance literature reinforces the point: the sophisticated cyber threats directed at satellite systems concentrate on the critical ground infrastructure, not solely the on-orbit asset</w:t>
      </w:r>
      <w:r>
        <w:t xml:space="preserve"> </w:t>
      </w:r>
      <w:hyperlink w:anchor="ref-2">
        <m:oMathPara>
          <m:oMathParaPr>
            <m:jc m:val="center"/>
          </m:oMathParaPr>
          <m:oMath>
            <m:r>
              <m:t>2</m:t>
            </m:r>
          </m:oMath>
        </m:oMathPara>
      </w:hyperlink>
      <w:r>
        <w:t xml:space="preserve">, and ground-based systems are a named axis of state defense strategy against hybrid threats</w:t>
      </w:r>
      <w:r>
        <w:t xml:space="preserve"> </w:t>
      </w:r>
      <w:hyperlink w:anchor="ref-3">
        <m:oMathPara>
          <m:oMathParaPr>
            <m:jc m:val="center"/>
          </m:oMathParaPr>
          <m:oMath>
            <m:r>
              <m:t>3</m:t>
            </m:r>
          </m:oMath>
        </m:oMathPara>
      </w:hyperlink>
      <w:r>
        <w:t xml:space="preserve">.</w:t>
      </w:r>
    </w:p>
    <w:p>
      <w:pPr>
        <w:pStyle w:val="FirstParagraph"/>
      </w:pPr>
      <w:r>
        <w:t xml:space="preserve">What separates the space ground segment from a generic enterprise network is not the vulnerability surface but the remediation tempo. Mission operations privilege continuity of command over configuration currency. A patch that on an enterprise file server is a routine reboot is, on a mission-control host inside a live pass schedule, a change subject to operational freeze windows, regression testing against flight-software interfaces, and an institutional reluctance to touch a system that is presently commanding a spacecraft. The concern this paper addresses is therefore temporal. Every additional day that a disclosed, exploitable vulnerability persists on ground-segment infrastructure is a day of exposure on systems whose compromise can corrupt the trusted-data flows on which space operations and their international partnerships depend</w:t>
      </w:r>
      <w:r>
        <w:t xml:space="preserve"> </w:t>
      </w:r>
      <w:hyperlink w:anchor="ref-1">
        <m:oMathPara>
          <m:oMathParaPr>
            <m:jc m:val="center"/>
          </m:oMathParaPr>
          <m:oMath>
            <m:r>
              <m:t>1</m:t>
            </m:r>
          </m:oMath>
        </m:oMathPara>
      </w:hyperlink>
      <w:r>
        <w:t xml:space="preserve">. Risk models presently treat that exposure window as an assumed parameter rather than a measured one. This paper measures it for the class of internet-reachable appliances that define the ground-segment edge, and asks which attributes of a vulnerability shorten or lengthen the window.</w:t>
      </w:r>
    </w:p>
    <w:p>
      <w:pPr>
        <w:pStyle w:val="FirstParagraph"/>
      </w:pPr>
      <w:r>
        <w:t xml:space="preserve">The paper makes one empirical contribution. Using the dates that CISA and NIST publish for every confirmed-exploited vulnerability, it estimates an ordinary-least-squares model of the patch-latency window, the interval between public disclosure and confirmed in-the-wild exploitation, on a sample of ground-segment-relevant edge gateways and industrial controllers. The estimate isolates the partial association of severity, asset class, ransomware association, and disclosure-era governance with that window. A companion paper in this dissertation treats the same window as a survival time and models the hazard of exploitation directly; the present paper estimates the conditional mean of the window under ordinary least squares, a complementary view that yields proportional-effect coefficients an operator can read off directly.</w:t>
      </w:r>
    </w:p>
    <w:bookmarkEnd w:id="61"/>
    <w:bookmarkStart w:id="62" w:name="theory-and-hypotheses"/>
    <w:p>
      <w:pPr>
        <w:pStyle w:val="Heading2"/>
      </w:pPr>
      <w:r>
        <w:t xml:space="preserve">2. Theory and Hypotheses</w:t>
      </w:r>
    </w:p>
    <w:p>
      <w:pPr>
        <w:pStyle w:val="FirstParagraph"/>
      </w:pPr>
      <w:r>
        <w:t xml:space="preserve">Three mechanisms should compress the patch-latency window, and a fourth, institutional, mechanism should compress it across the board.</w:t>
      </w:r>
    </w:p>
    <w:p>
      <w:pPr>
        <w:pStyle w:val="BodyText"/>
      </w:pPr>
      <w:r>
        <w:t xml:space="preserve">First, severity. A higher CVSS base score signals greater exploitability and impact, which concentrates both attacker attention and defender urgency. Vulnerabilities that are easy to weaponize and damaging when exploited are exploited sooner, so the observed interval from disclosure to confirmed exploitation should fall as severity rises. The secure-framework literature treats severity-ranked exposure as the organizing axis of the ground-segment threat model</w:t>
      </w:r>
      <w:r>
        <w:t xml:space="preserve"> </w:t>
      </w:r>
      <w:hyperlink w:anchor="ref-4">
        <m:oMathPara>
          <m:oMathParaPr>
            <m:jc m:val="center"/>
          </m:oMathParaPr>
          <m:oMath>
            <m:r>
              <m:t>4</m:t>
            </m:r>
          </m:oMath>
        </m:oMathPara>
      </w:hyperlink>
      <w:r>
        <w:t xml:space="preserve">.</w:t>
      </w:r>
    </w:p>
    <w:p>
      <w:pPr>
        <w:pStyle w:val="FirstParagraph"/>
      </w:pPr>
      <w:r>
        <w:t xml:space="preserve">Second, asset class. Internet-facing remote-access and VPN gateways sit at the network edge, are continuously scannable, and front the operational enclave; they are the first asset an external adversary encounters. Industrial-control and operational-technology devices, by contrast, are more often reached only after a foothold and are less uniformly internet-exposed. Edge gateways should therefore be exploited faster after disclosure than controllers, giving the edge indicator a negative association with the window. The concentration of cyber threat on the ground infrastructure that fronts the mission supports treating the internet-facing edge as the sharp end of exposure</w:t>
      </w:r>
      <w:r>
        <w:t xml:space="preserve"> </w:t>
      </w:r>
      <w:hyperlink w:anchor="ref-2">
        <m:oMathPara>
          <m:oMathParaPr>
            <m:jc m:val="center"/>
          </m:oMathParaPr>
          <m:oMath>
            <m:r>
              <m:t>2</m:t>
            </m:r>
          </m:oMath>
        </m:oMathPara>
      </w:hyperlink>
      <w:r>
        <w:t xml:space="preserve">.</w:t>
      </w:r>
    </w:p>
    <w:p>
      <w:pPr>
        <w:pStyle w:val="FirstParagraph"/>
      </w:pPr>
      <w:r>
        <w:t xml:space="preserve">Third, ransomware association. Vulnerabilities adopted into ransomware tradecraft are weaponized by financially motivated operators who move quickly and at scale, which should shorten the interval to confirmed exploitation relative to vulnerabilities without a known ransomware campaign.</w:t>
      </w:r>
    </w:p>
    <w:p>
      <w:pPr>
        <w:pStyle w:val="BodyText"/>
      </w:pPr>
      <w:r>
        <w:t xml:space="preserve">Fourth, the governance regime. CISA Binding Operational Directive 22-01 and the Known Exploited Vulnerabilities program, established in late 2021, institutionalized the rapid detection and cataloging of exploited vulnerabilities. Vulnerabilities disclosed under this regime are surfaced and confirmed faster, both because exploitation is detected sooner and because the catalog itself compresses the disclosure-to-confirmation pipeline. The post-2021 disclosure cohort should therefore exhibit a shorter measured window. This institutional reading is consistent with the strategy literature, which frames the post-2021 period as one of deliberately tightened defensive posture against space and ground-system threats</w:t>
      </w:r>
      <w:r>
        <w:t xml:space="preserve"> </w:t>
      </w:r>
      <w:hyperlink w:anchor="ref-3">
        <m:oMathPara>
          <m:oMathParaPr>
            <m:jc m:val="center"/>
          </m:oMathParaPr>
          <m:oMath>
            <m:r>
              <m:t>3</m:t>
            </m:r>
          </m:oMath>
        </m:oMathPara>
      </w:hyperlink>
      <w:r>
        <w:t xml:space="preserve">.</w:t>
      </w:r>
    </w:p>
    <w:p>
      <w:pPr>
        <w:pStyle w:val="FirstParagraph"/>
      </w:pPr>
      <w:r>
        <w:t xml:space="preserve">These mechanisms yield the paper’s hypothesis: the log patch-latency window is decreasing in severity, in edge exposure, in ransomware association, and in the post-2021 governance indicator. The null is that none of these attributes is associated with the window once the others are held constant.</w:t>
      </w:r>
    </w:p>
    <w:bookmarkEnd w:id="62"/>
    <w:bookmarkStart w:id="63" w:name="data"/>
    <w:p>
      <w:pPr>
        <w:pStyle w:val="Heading2"/>
      </w:pPr>
      <w:r>
        <w:t xml:space="preserve">3. Data</w:t>
      </w:r>
    </w:p>
    <w:p>
      <w:pPr>
        <w:pStyle w:val="FirstParagraph"/>
      </w:pPr>
      <w:r>
        <w:t xml:space="preserve">The dataset is assembled from two primary, public, version-stamped sources. The CISA Known Exploited Vulnerabilities catalog (release v2026.06.18) supplies, for every vulnerability that the United States government has confirmed to be exploited in the wild, the vendor and product strings, the date the entry was added to the catalog, and the known-ransomware-campaign flag. The NIST National Vulnerability Database (NVD CVE API 2.0) supplies, for each of those CVEs, the public-disclosure date and the CVSS base score. The patch-latency window is computed as the NVD published date subtracted from the KEV catalog-addition date, floored at one day, and entered in natural logs.</w:t>
      </w:r>
    </w:p>
    <w:p>
      <w:pPr>
        <w:pStyle w:val="BodyText"/>
      </w:pPr>
      <w:r>
        <w:t xml:space="preserve">The sample is restricted to vulnerabilities in products that are plausibly part of a space-mission ground segment or mission-control enclave. Two product classes qualify: internet-facing remote-access, VPN, and edge-gateway appliances that front ground operations, and operational-technology or industrial-control devices that sit inside them. Each retained row carries its own source string in the data file, naming the CISA KEV catalog entry and the NVD record from which its values were drawn, so that any figure in this paper can be traced to a primary record. No value is hand-entered from memory; every covariate is read directly from one of the two named APIs at the stated catalog version.</w:t>
      </w:r>
    </w:p>
    <w:bookmarkEnd w:id="63"/>
    <w:bookmarkStart w:id="64" w:name="method"/>
    <w:p>
      <w:pPr>
        <w:pStyle w:val="Heading2"/>
      </w:pPr>
      <w:r>
        <w:t xml:space="preserve">4. Method</w:t>
      </w:r>
    </w:p>
    <w:p>
      <w:pPr>
        <w:pStyle w:val="FirstParagraph"/>
      </w:pPr>
      <w:r>
        <w:t xml:space="preserve">The estimator is ordinary least squares with heteroskedasticity-robust (HC1) standard errors. The dependent variable is the natural log of the patch-latency window in days; the regressors are the CVSS base score, the edge-asset indicator, the ransomware indicator, and the post-2021 governance indicator, with a constant. The log specification accommodates the right-skew of the raw window and lets each coefficient be read as the approximate proportional change in the window associated with a one-unit change in the regressor. The post-2021 indicator functions as a disclosure-era fixed effect, absorbing the level shift in cataloging tempo introduced by the KEV program so that the severity, asset-class, and ransomware associations are estimated within rather than across governance regimes. Robust standard errors guard against the non-constant error variance expected when a duration outcome is modeled on a modest, heterogeneous cross-section. The coefficient of interest for each mechanism is its sign and significance under this single pre-stated specification.</w:t>
      </w:r>
    </w:p>
    <w:bookmarkEnd w:id="64"/>
    <w:bookmarkStart w:id="65" w:name="findings"/>
    <w:p>
      <w:pPr>
        <w:pStyle w:val="Heading2"/>
      </w:pPr>
      <w:r>
        <w:t xml:space="preserve">5. Findings</w:t>
      </w:r>
    </w:p>
    <w:p>
      <w:pPr>
        <w:pStyle w:val="FirstParagraph"/>
      </w:pPr>
      <w:r>
        <w:t xml:space="preserve">The model fits the cross-section well for a four-regressor specification on 37 confirmed-exploited vulnerabilities. It explains three-quarters of the variation in the log patch-latency window (R-squared 0.750, adjusted 0.719) and is jointly significant far beyond conventional thresholds (F equal to 32.56, p of about 7.3 times ten to the minus eleven). One regressor carries the result, and it is the institutional one.</w:t>
      </w:r>
    </w:p>
    <w:p>
      <w:pPr>
        <w:pStyle w:val="BodyText"/>
      </w:pPr>
      <w:r>
        <w:t xml:space="preserve">The governance-era indicator is the dominant and only individually significant covariate. Vulnerabilities disclosed in 2022 or later, under the CISA Binding Operational Directive 22-01 and Known Exploited Vulnerabilities regime, carry a coefficient of minus 4.76 on the log window (standard error 0.43, p below 0.001, 95 percent confidence interval minus 5.61 to minus 3.92). On the log scale this is a very large effect: exponentiating gives a multiplier of roughly 0.009, meaning the post-2021 disclosure cohort sits about two orders of magnitude lower on the exposure window than the pre-2021 cohort, holding severity, asset class, and ransomware association constant. The window does not merely shrink under the new regime; it collapses. This is the central, defensible finding of the paper, and it is consistent with the hypothesis that institutionalized cataloging compresses the disclosure-to-confirmation interval.</w:t>
      </w:r>
    </w:p>
    <w:p>
      <w:pPr>
        <w:pStyle w:val="BodyText"/>
      </w:pPr>
      <w:r>
        <w:t xml:space="preserve">The three vulnerability-intrinsic covariates point in their hypothesized directions for severity and ransomware but are not individually distinguishable from zero at this sample size. Higher severity is associated with a shorter window, with a CVSS coefficient of minus 0.19 per base-score point (standard error 0.15, p of 0.21, confidence interval minus 0.49 to 0.11); the sign matches theory, but the interval spans zero. Ransomware association is associated with a shorter window, with a coefficient of minus 0.74 (standard error 0.52, p of 0.16, confidence interval minus 1.77 to 0.29); again the sign is as predicted but the estimate is imprecise. The edge-asset indicator is the one covariate whose point estimate runs against the hypothesis, at plus 0.37 (standard error 0.48, p of 0.44), but its confidence interval is wide and centered near zero, so the data are equally consistent with no asset-class difference; the edge-weighting of the sample, 33 of 37 observations, leaves little contrast to estimate this term.</w:t>
      </w:r>
    </w:p>
    <w:p>
      <w:pPr>
        <w:pStyle w:val="BodyText"/>
      </w:pPr>
      <w:r>
        <w:t xml:space="preserve">Read together, the findings deliver one clean signal and three honest non-results. The patch-latency window for ground-segment-relevant vulnerabilities is governed first and foremost by the disclosure-era regime: once a vulnerability falls under the post-2021 cataloging apparatus, the measured interval from disclosure to confirmed exploitation is dramatically shorter, and this single factor absorbs most of the explainable variation. Severity and ransomware association push the window in the expected direction but cannot be separated from noise in a sample of this size, and the internet-facing edge contrast is not identified given the sample’s composition. The constant of 8.40 in log-days, corresponding to a baseline of several thousand days for a low-severity, non-edge, non-ransomware, pre-2021 vulnerability, anchors how long these flaws could linger before the modern regime took hold.</w:t>
      </w:r>
    </w:p>
    <w:bookmarkEnd w:id="65"/>
    <w:bookmarkStart w:id="66" w:name="discussion"/>
    <w:p>
      <w:pPr>
        <w:pStyle w:val="Heading2"/>
      </w:pPr>
      <w:r>
        <w:t xml:space="preserve">6. Discussion</w:t>
      </w:r>
    </w:p>
    <w:p>
      <w:pPr>
        <w:pStyle w:val="FirstParagraph"/>
      </w:pPr>
      <w:r>
        <w:t xml:space="preserve">The patch-latency window is the quantity that ground-segment risk models assume and that this paper measures. By estimating it on confirmed-exploited vulnerabilities in exactly the appliance classes that define the mission-control edge, the analysis converts a qualitative claim, that the ground segment is exposed and that governance is incomplete</w:t>
      </w:r>
      <w:r>
        <w:t xml:space="preserve"> </w:t>
      </w:r>
      <w:hyperlink w:anchor="ref-2">
        <m:oMathPara>
          <m:oMathParaPr>
            <m:jc m:val="center"/>
          </m:oMathParaPr>
          <m:oMath>
            <m:r>
              <m:t>2</m:t>
            </m:r>
          </m:oMath>
        </m:oMathPara>
      </w:hyperlink>
      <w:r>
        <w:t xml:space="preserve">[3][4], into a partial-association estimate that names which attributes move the window and by how much. For the space-cyber operator the practical reading is direct: the attributes that the model associates with a shorter window mark the vulnerabilities whose remediation cannot wait for the next maintenance freeze, because the interval between disclosure and confirmed exploitation on internet-facing ground infrastructure is short and, under the post-2021 cataloging regime, compressing further.</w:t>
      </w:r>
    </w:p>
    <w:p>
      <w:pPr>
        <w:pStyle w:val="FirstParagraph"/>
      </w:pPr>
      <w:r>
        <w:t xml:space="preserve">The estimate inherits the boundaries of its sources. The CISA catalog observes only vulnerabilities confirmed to be exploited in the wild, so the sample is a selected tail rather than the full population of ground-segment vulnerabilities, and the window measures time to confirmed exploitation rather than time to remediation on any specific operator’s hosts. Air-gapped and classified mission enclaves are not observable through public catalogs and lie outside the estimate’s reach. The sample is modest and edge-weighted, which limits the precision of the asset-class contrast in particular; the coefficient signs are interpretable under the single pre-stated specification, but the magnitudes should be read as indicative rather than definitive. The companion survival analysis in this dissertation addresses the censoring and tempo questions that ordinary least squares cannot, and the two estimates are meant to be read together. The contribution here is the first ordinary-least-squares, severity-conditioned estimate of how long ground-segment-relevant vulnerabilities stay exploitable, reported with a fully auditable provenance chain from primary catalog to coefficient.</w:t>
      </w:r>
    </w:p>
    <w:bookmarkEnd w:id="66"/>
    <w:bookmarkStart w:id="74" w:name="references"/>
    <w:p>
      <w:pPr>
        <w:pStyle w:val="Heading2"/>
      </w:pPr>
      <w:r>
        <w:t xml:space="preserve">References</w:t>
      </w:r>
    </w:p>
    <w:p>
      <w:pPr>
        <w:pStyle w:val="FirstParagraph"/>
      </w:pPr>
      <w:bookmarkStart w:id="67" w:name="ref-1"/>
      <w:bookmarkEnd w:id="67"/>
      <w:r>
        <w:t xml:space="preserve">1. M. Stilwell et al.,</w:t>
      </w:r>
      <w:r>
        <w:t xml:space="preserve"> </w:t>
      </w:r>
      <w:r>
        <w:t xml:space="preserve">“International Relations and Economic Dimensions of Trusted Space Data,”</w:t>
      </w:r>
      <w:r>
        <w:t xml:space="preserve"> </w:t>
      </w:r>
      <w:r>
        <w:t xml:space="preserve">Space Economy Papers corpus (source SD05).</w:t>
      </w:r>
    </w:p>
    <w:p>
      <w:pPr>
        <w:pStyle w:val="BodyText"/>
      </w:pPr>
      <w:bookmarkStart w:id="68" w:name="ref-2"/>
      <w:bookmarkEnd w:id="68"/>
      <w:r>
        <w:t xml:space="preserve">2. C. Poirier,</w:t>
      </w:r>
      <w:r>
        <w:t xml:space="preserve"> </w:t>
      </w:r>
      <w:r>
        <w:t xml:space="preserve">“Establishing a governance for cyber operations in outer space: Exploring challenges faced by space and cyber commands,”</w:t>
      </w:r>
      <w:r>
        <w:t xml:space="preserve"> </w:t>
      </w:r>
      <w:r>
        <w:rPr>
          <w:i/>
          <w:iCs/>
        </w:rPr>
        <w:t xml:space="preserve">Acta Astronautica</w:t>
      </w:r>
      <w:r>
        <w:t xml:space="preserve">, vol. 237, 2025. doi:</w:t>
      </w:r>
      <w:r>
        <w:t xml:space="preserve"> </w:t>
      </w:r>
      <w:hyperlink r:id="rId69">
        <w:r>
          <w:rPr>
            <w:rStyle w:val="Hyperlink"/>
          </w:rPr>
          <w:t xml:space="preserve">10.1016/j.actaastro.2025.08.048</w:t>
        </w:r>
      </w:hyperlink>
    </w:p>
    <w:p>
      <w:pPr>
        <w:pStyle w:val="BodyText"/>
      </w:pPr>
      <w:bookmarkStart w:id="70" w:name="ref-3"/>
      <w:bookmarkEnd w:id="70"/>
      <w:r>
        <w:t xml:space="preserve">3. J. Reis,</w:t>
      </w:r>
      <w:r>
        <w:t xml:space="preserve"> </w:t>
      </w:r>
      <w:r>
        <w:t xml:space="preserve">“European union defense and security strategy for space and ground-based systems against hybrid threats,”</w:t>
      </w:r>
      <w:r>
        <w:t xml:space="preserve"> </w:t>
      </w:r>
      <w:r>
        <w:rPr>
          <w:i/>
          <w:iCs/>
        </w:rPr>
        <w:t xml:space="preserve">Acta Astronautica</w:t>
      </w:r>
      <w:r>
        <w:t xml:space="preserve">, vol. 225, 2024. doi:</w:t>
      </w:r>
      <w:r>
        <w:t xml:space="preserve"> </w:t>
      </w:r>
      <w:hyperlink r:id="rId71">
        <w:r>
          <w:rPr>
            <w:rStyle w:val="Hyperlink"/>
          </w:rPr>
          <w:t xml:space="preserve">10.1016/j.actaastro.2024.09.003</w:t>
        </w:r>
      </w:hyperlink>
    </w:p>
    <w:p>
      <w:pPr>
        <w:pStyle w:val="BodyText"/>
      </w:pPr>
      <w:bookmarkStart w:id="72" w:name="ref-4"/>
      <w:bookmarkEnd w:id="72"/>
      <w:r>
        <w:t xml:space="preserve">4. W. Allington, A. Peterson, and K. Bowen,</w:t>
      </w:r>
      <w:r>
        <w:t xml:space="preserve"> </w:t>
      </w:r>
      <w:r>
        <w:t xml:space="preserve">“Developing a Secure Framework for Space Domain Awareness (SDA),”</w:t>
      </w:r>
      <w:r>
        <w:t xml:space="preserve"> </w:t>
      </w:r>
      <w:r>
        <w:t xml:space="preserve">in</w:t>
      </w:r>
      <w:r>
        <w:t xml:space="preserve"> </w:t>
      </w:r>
      <w:r>
        <w:rPr>
          <w:i/>
          <w:iCs/>
        </w:rPr>
        <w:t xml:space="preserve">Proc. Advanced Maui Optical and Space Surveillance Technologies (AMOS) Conference</w:t>
      </w:r>
      <w:r>
        <w:t xml:space="preserve">, 2023. doi:</w:t>
      </w:r>
      <w:r>
        <w:t xml:space="preserve"> </w:t>
      </w:r>
      <w:hyperlink r:id="rId73">
        <w:r>
          <w:rPr>
            <w:rStyle w:val="Hyperlink"/>
          </w:rPr>
          <w:t xml:space="preserve">10.64861/TRSQ4124</w:t>
        </w:r>
      </w:hyperlink>
    </w:p>
    <w:bookmarkEnd w:id="74"/>
    <w:bookmarkStart w:id="75"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exposure_days</m:t>
              </m:r>
            </m:e>
            <m:sub>
              <m:r>
                <m:t>i</m:t>
              </m:r>
            </m:sub>
          </m:sSub>
          <m:r>
            <m:rPr>
              <m:sty m:val="p"/>
            </m:rPr>
            <m:t>)</m:t>
          </m:r>
          <m:r>
            <m:rPr>
              <m:sty m:val="p"/>
            </m:rPr>
            <m:t>=</m:t>
          </m:r>
          <m:sSub>
            <m:e>
              <m:r>
                <m:t>β</m:t>
              </m:r>
            </m:e>
            <m:sub>
              <m:r>
                <m:t>0</m:t>
              </m:r>
            </m:sub>
          </m:sSub>
          <m:r>
            <m:rPr>
              <m:sty m:val="p"/>
            </m:rPr>
            <m:t>+</m:t>
          </m:r>
          <m:sSub>
            <m:e>
              <m:r>
                <m:t>β</m:t>
              </m:r>
            </m:e>
            <m:sub>
              <m:r>
                <m:t>1</m:t>
              </m:r>
            </m:sub>
          </m:sSub>
          <m:r>
            <m:t> </m:t>
          </m:r>
          <m:sSub>
            <m:e>
              <m:r>
                <m:rPr>
                  <m:nor/>
                  <m:sty m:val="p"/>
                </m:rPr>
                <m:t>cvss</m:t>
              </m:r>
            </m:e>
            <m:sub>
              <m:r>
                <m:t>i</m:t>
              </m:r>
            </m:sub>
          </m:sSub>
          <m:r>
            <m:rPr>
              <m:sty m:val="p"/>
            </m:rPr>
            <m:t>+</m:t>
          </m:r>
          <m:sSub>
            <m:e>
              <m:r>
                <m:t>β</m:t>
              </m:r>
            </m:e>
            <m:sub>
              <m:r>
                <m:t>2</m:t>
              </m:r>
            </m:sub>
          </m:sSub>
          <m:r>
            <m:t> </m:t>
          </m:r>
          <m:sSub>
            <m:e>
              <m:r>
                <m:rPr>
                  <m:nor/>
                  <m:sty m:val="p"/>
                </m:rPr>
                <m:t>is_edge</m:t>
              </m:r>
            </m:e>
            <m:sub>
              <m:r>
                <m:t>i</m:t>
              </m:r>
            </m:sub>
          </m:sSub>
          <m:r>
            <m:rPr>
              <m:sty m:val="p"/>
            </m:rPr>
            <m:t>+</m:t>
          </m:r>
          <m:sSub>
            <m:e>
              <m:r>
                <m:t>β</m:t>
              </m:r>
            </m:e>
            <m:sub>
              <m:r>
                <m:t>3</m:t>
              </m:r>
            </m:sub>
          </m:sSub>
          <m:r>
            <m:t> </m:t>
          </m:r>
          <m:sSub>
            <m:e>
              <m:r>
                <m:rPr>
                  <m:nor/>
                  <m:sty m:val="p"/>
                </m:rPr>
                <m:t>ransomware</m:t>
              </m:r>
            </m:e>
            <m:sub>
              <m:r>
                <m:t>i</m:t>
              </m:r>
            </m:sub>
          </m:sSub>
          <m:r>
            <m:rPr>
              <m:sty m:val="p"/>
            </m:rPr>
            <m:t>+</m:t>
          </m:r>
          <m:sSub>
            <m:e>
              <m:r>
                <m:t>β</m:t>
              </m:r>
            </m:e>
            <m:sub>
              <m:r>
                <m:t>4</m:t>
              </m:r>
            </m:sub>
          </m:sSub>
          <m:r>
            <m:t> </m:t>
          </m:r>
          <m:sSub>
            <m:e>
              <m:r>
                <m:rPr>
                  <m:nor/>
                  <m:sty m:val="p"/>
                </m:rPr>
                <m:t>post_bod</m:t>
              </m:r>
            </m:e>
            <m:sub>
              <m:r>
                <m:t>i</m:t>
              </m:r>
            </m:sub>
          </m:sSub>
          <m:r>
            <m:rPr>
              <m:sty m:val="p"/>
            </m:rPr>
            <m:t>+</m:t>
          </m:r>
          <m:sSub>
            <m:e>
              <m:r>
                <m:t>ε</m:t>
              </m:r>
            </m:e>
            <m:sub>
              <m:r>
                <m:t>i</m:t>
              </m:r>
            </m:sub>
          </m:sSub>
        </m:oMath>
      </m:oMathPara>
    </w:p>
    <w:bookmarkEnd w:id="75"/>
    <w:bookmarkStart w:id="7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8.4031</w:t>
            </w:r>
          </w:p>
        </w:tc>
        <w:tc>
          <w:tcPr>
            <w:tcW w:w="0" w:type="auto"/>
          </w:tcPr>
          <w:p>
            <w:pPr>
              <w:spacing w:line="240" w:lineRule="auto" w:before="0" w:after="0"/>
              <w:pStyle w:val="Compact"/>
            </w:pPr>
            <w:r>
              <w:rPr>
                <w:sz w:val="20"/>
                <w:szCs w:val="20"/>
              </w:rPr>
              <w:t xml:space="preserve">1.4056</w:t>
            </w:r>
          </w:p>
        </w:tc>
        <w:tc>
          <w:tcPr>
            <w:tcW w:w="0" w:type="auto"/>
          </w:tcPr>
          <w:p>
            <w:pPr>
              <w:spacing w:line="240" w:lineRule="auto" w:before="0" w:after="0"/>
              <w:pStyle w:val="Compact"/>
            </w:pPr>
            <w:r>
              <w:rPr>
                <w:sz w:val="20"/>
                <w:szCs w:val="20"/>
              </w:rPr>
              <w:t xml:space="preserve">5.9784</w:t>
            </w:r>
          </w:p>
        </w:tc>
        <w:tc>
          <w:tcPr>
            <w:tcW w:w="0" w:type="auto"/>
          </w:tcPr>
          <w:p>
            <w:pPr>
              <w:spacing w:line="240" w:lineRule="auto" w:before="0" w:after="0"/>
              <w:pStyle w:val="Compact"/>
            </w:pPr>
            <w:r>
              <w:rPr>
                <w:sz w:val="20"/>
                <w:szCs w:val="20"/>
              </w:rPr>
              <w:t xml:space="preserve">2.254e-09</w:t>
            </w:r>
          </w:p>
        </w:tc>
        <w:tc>
          <w:tcPr>
            <w:tcW w:w="0" w:type="auto"/>
          </w:tcPr>
          <w:p>
            <w:pPr>
              <w:spacing w:line="240" w:lineRule="auto" w:before="0" w:after="0"/>
              <w:pStyle w:val="Compact"/>
            </w:pPr>
            <w:r>
              <w:rPr>
                <w:sz w:val="20"/>
                <w:szCs w:val="20"/>
              </w:rPr>
              <w:t xml:space="preserve">[5.6482, 11.1579]</w:t>
            </w:r>
          </w:p>
        </w:tc>
      </w:tr>
      <w:tr>
        <w:tc>
          <w:tcPr>
            <w:tcW w:w="0" w:type="auto"/>
          </w:tcPr>
          <w:p>
            <w:pPr>
              <w:spacing w:line="240" w:lineRule="auto" w:before="0" w:after="0"/>
              <w:pStyle w:val="Compact"/>
            </w:pPr>
            <w:r>
              <w:rPr>
                <w:sz w:val="20"/>
                <w:szCs w:val="20"/>
              </w:rPr>
              <w:t xml:space="preserve">cvss</w:t>
            </w:r>
          </w:p>
        </w:tc>
        <w:tc>
          <w:tcPr>
            <w:tcW w:w="0" w:type="auto"/>
          </w:tcPr>
          <w:p>
            <w:pPr>
              <w:spacing w:line="240" w:lineRule="auto" w:before="0" w:after="0"/>
              <w:pStyle w:val="Compact"/>
            </w:pPr>
            <w:r>
              <w:rPr>
                <w:sz w:val="20"/>
                <w:szCs w:val="20"/>
              </w:rPr>
              <w:t xml:space="preserve">-0.1917</w:t>
            </w:r>
          </w:p>
        </w:tc>
        <w:tc>
          <w:tcPr>
            <w:tcW w:w="0" w:type="auto"/>
          </w:tcPr>
          <w:p>
            <w:pPr>
              <w:spacing w:line="240" w:lineRule="auto" w:before="0" w:after="0"/>
              <w:pStyle w:val="Compact"/>
            </w:pPr>
            <w:r>
              <w:rPr>
                <w:sz w:val="20"/>
                <w:szCs w:val="20"/>
              </w:rPr>
              <w:t xml:space="preserve">0.1516</w:t>
            </w:r>
          </w:p>
        </w:tc>
        <w:tc>
          <w:tcPr>
            <w:tcW w:w="0" w:type="auto"/>
          </w:tcPr>
          <w:p>
            <w:pPr>
              <w:spacing w:line="240" w:lineRule="auto" w:before="0" w:after="0"/>
              <w:pStyle w:val="Compact"/>
            </w:pPr>
            <w:r>
              <w:rPr>
                <w:sz w:val="20"/>
                <w:szCs w:val="20"/>
              </w:rPr>
              <w:t xml:space="preserve">-1.2648</w:t>
            </w:r>
          </w:p>
        </w:tc>
        <w:tc>
          <w:tcPr>
            <w:tcW w:w="0" w:type="auto"/>
          </w:tcPr>
          <w:p>
            <w:pPr>
              <w:spacing w:line="240" w:lineRule="auto" w:before="0" w:after="0"/>
              <w:pStyle w:val="Compact"/>
            </w:pPr>
            <w:r>
              <w:rPr>
                <w:sz w:val="20"/>
                <w:szCs w:val="20"/>
              </w:rPr>
              <w:t xml:space="preserve">0.2059</w:t>
            </w:r>
          </w:p>
        </w:tc>
        <w:tc>
          <w:tcPr>
            <w:tcW w:w="0" w:type="auto"/>
          </w:tcPr>
          <w:p>
            <w:pPr>
              <w:spacing w:line="240" w:lineRule="auto" w:before="0" w:after="0"/>
              <w:pStyle w:val="Compact"/>
            </w:pPr>
            <w:r>
              <w:rPr>
                <w:sz w:val="20"/>
                <w:szCs w:val="20"/>
              </w:rPr>
              <w:t xml:space="preserve">[-0.4888, 0.1054]</w:t>
            </w:r>
          </w:p>
        </w:tc>
      </w:tr>
      <w:tr>
        <w:tc>
          <w:tcPr>
            <w:tcW w:w="0" w:type="auto"/>
          </w:tcPr>
          <w:p>
            <w:pPr>
              <w:spacing w:line="240" w:lineRule="auto" w:before="0" w:after="0"/>
              <w:pStyle w:val="Compact"/>
            </w:pPr>
            <w:r>
              <w:rPr>
                <w:sz w:val="20"/>
                <w:szCs w:val="20"/>
              </w:rPr>
              <w:t xml:space="preserve">is_edge</w:t>
            </w:r>
          </w:p>
        </w:tc>
        <w:tc>
          <w:tcPr>
            <w:tcW w:w="0" w:type="auto"/>
          </w:tcPr>
          <w:p>
            <w:pPr>
              <w:spacing w:line="240" w:lineRule="auto" w:before="0" w:after="0"/>
              <w:pStyle w:val="Compact"/>
            </w:pPr>
            <w:r>
              <w:rPr>
                <w:sz w:val="20"/>
                <w:szCs w:val="20"/>
              </w:rPr>
              <w:t xml:space="preserve">0.3698</w:t>
            </w:r>
          </w:p>
        </w:tc>
        <w:tc>
          <w:tcPr>
            <w:tcW w:w="0" w:type="auto"/>
          </w:tcPr>
          <w:p>
            <w:pPr>
              <w:spacing w:line="240" w:lineRule="auto" w:before="0" w:after="0"/>
              <w:pStyle w:val="Compact"/>
            </w:pPr>
            <w:r>
              <w:rPr>
                <w:sz w:val="20"/>
                <w:szCs w:val="20"/>
              </w:rPr>
              <w:t xml:space="preserve">0.4789</w:t>
            </w:r>
          </w:p>
        </w:tc>
        <w:tc>
          <w:tcPr>
            <w:tcW w:w="0" w:type="auto"/>
          </w:tcPr>
          <w:p>
            <w:pPr>
              <w:spacing w:line="240" w:lineRule="auto" w:before="0" w:after="0"/>
              <w:pStyle w:val="Compact"/>
            </w:pPr>
            <w:r>
              <w:rPr>
                <w:sz w:val="20"/>
                <w:szCs w:val="20"/>
              </w:rPr>
              <w:t xml:space="preserve">0.7722</w:t>
            </w:r>
          </w:p>
        </w:tc>
        <w:tc>
          <w:tcPr>
            <w:tcW w:w="0" w:type="auto"/>
          </w:tcPr>
          <w:p>
            <w:pPr>
              <w:spacing w:line="240" w:lineRule="auto" w:before="0" w:after="0"/>
              <w:pStyle w:val="Compact"/>
            </w:pPr>
            <w:r>
              <w:rPr>
                <w:sz w:val="20"/>
                <w:szCs w:val="20"/>
              </w:rPr>
              <w:t xml:space="preserve">0.44</w:t>
            </w:r>
          </w:p>
        </w:tc>
        <w:tc>
          <w:tcPr>
            <w:tcW w:w="0" w:type="auto"/>
          </w:tcPr>
          <w:p>
            <w:pPr>
              <w:spacing w:line="240" w:lineRule="auto" w:before="0" w:after="0"/>
              <w:pStyle w:val="Compact"/>
            </w:pPr>
            <w:r>
              <w:rPr>
                <w:sz w:val="20"/>
                <w:szCs w:val="20"/>
              </w:rPr>
              <w:t xml:space="preserve">[-0.5688, 1.3084]</w:t>
            </w:r>
          </w:p>
        </w:tc>
      </w:tr>
      <w:tr>
        <w:tc>
          <w:tcPr>
            <w:tcW w:w="0" w:type="auto"/>
          </w:tcPr>
          <w:p>
            <w:pPr>
              <w:spacing w:line="240" w:lineRule="auto" w:before="0" w:after="0"/>
              <w:pStyle w:val="Compact"/>
            </w:pPr>
            <w:r>
              <w:rPr>
                <w:sz w:val="20"/>
                <w:szCs w:val="20"/>
              </w:rPr>
              <w:t xml:space="preserve">ransomware</w:t>
            </w:r>
          </w:p>
        </w:tc>
        <w:tc>
          <w:tcPr>
            <w:tcW w:w="0" w:type="auto"/>
          </w:tcPr>
          <w:p>
            <w:pPr>
              <w:spacing w:line="240" w:lineRule="auto" w:before="0" w:after="0"/>
              <w:pStyle w:val="Compact"/>
            </w:pPr>
            <w:r>
              <w:rPr>
                <w:sz w:val="20"/>
                <w:szCs w:val="20"/>
              </w:rPr>
              <w:t xml:space="preserve">-0.7406</w:t>
            </w:r>
          </w:p>
        </w:tc>
        <w:tc>
          <w:tcPr>
            <w:tcW w:w="0" w:type="auto"/>
          </w:tcPr>
          <w:p>
            <w:pPr>
              <w:spacing w:line="240" w:lineRule="auto" w:before="0" w:after="0"/>
              <w:pStyle w:val="Compact"/>
            </w:pPr>
            <w:r>
              <w:rPr>
                <w:sz w:val="20"/>
                <w:szCs w:val="20"/>
              </w:rPr>
              <w:t xml:space="preserve">0.5237</w:t>
            </w:r>
          </w:p>
        </w:tc>
        <w:tc>
          <w:tcPr>
            <w:tcW w:w="0" w:type="auto"/>
          </w:tcPr>
          <w:p>
            <w:pPr>
              <w:spacing w:line="240" w:lineRule="auto" w:before="0" w:after="0"/>
              <w:pStyle w:val="Compact"/>
            </w:pPr>
            <w:r>
              <w:rPr>
                <w:sz w:val="20"/>
                <w:szCs w:val="20"/>
              </w:rPr>
              <w:t xml:space="preserve">-1.4141</w:t>
            </w:r>
          </w:p>
        </w:tc>
        <w:tc>
          <w:tcPr>
            <w:tcW w:w="0" w:type="auto"/>
          </w:tcPr>
          <w:p>
            <w:pPr>
              <w:spacing w:line="240" w:lineRule="auto" w:before="0" w:after="0"/>
              <w:pStyle w:val="Compact"/>
            </w:pPr>
            <w:r>
              <w:rPr>
                <w:sz w:val="20"/>
                <w:szCs w:val="20"/>
              </w:rPr>
              <w:t xml:space="preserve">0.1573</w:t>
            </w:r>
          </w:p>
        </w:tc>
        <w:tc>
          <w:tcPr>
            <w:tcW w:w="0" w:type="auto"/>
          </w:tcPr>
          <w:p>
            <w:pPr>
              <w:spacing w:line="240" w:lineRule="auto" w:before="0" w:after="0"/>
              <w:pStyle w:val="Compact"/>
            </w:pPr>
            <w:r>
              <w:rPr>
                <w:sz w:val="20"/>
                <w:szCs w:val="20"/>
              </w:rPr>
              <w:t xml:space="preserve">[-1.767, 0.2859]</w:t>
            </w:r>
          </w:p>
        </w:tc>
      </w:tr>
      <w:tr>
        <w:tc>
          <w:tcPr>
            <w:tcW w:w="0" w:type="auto"/>
          </w:tcPr>
          <w:p>
            <w:pPr>
              <w:spacing w:line="240" w:lineRule="auto" w:before="0" w:after="0"/>
              <w:pStyle w:val="Compact"/>
            </w:pPr>
            <w:r>
              <w:rPr>
                <w:sz w:val="20"/>
                <w:szCs w:val="20"/>
              </w:rPr>
              <w:t xml:space="preserve">post_bod</w:t>
            </w:r>
          </w:p>
        </w:tc>
        <w:tc>
          <w:tcPr>
            <w:tcW w:w="0" w:type="auto"/>
          </w:tcPr>
          <w:p>
            <w:pPr>
              <w:spacing w:line="240" w:lineRule="auto" w:before="0" w:after="0"/>
              <w:pStyle w:val="Compact"/>
            </w:pPr>
            <w:r>
              <w:rPr>
                <w:sz w:val="20"/>
                <w:szCs w:val="20"/>
              </w:rPr>
              <w:t xml:space="preserve">-4.7637</w:t>
            </w:r>
          </w:p>
        </w:tc>
        <w:tc>
          <w:tcPr>
            <w:tcW w:w="0" w:type="auto"/>
          </w:tcPr>
          <w:p>
            <w:pPr>
              <w:spacing w:line="240" w:lineRule="auto" w:before="0" w:after="0"/>
              <w:pStyle w:val="Compact"/>
            </w:pPr>
            <w:r>
              <w:rPr>
                <w:sz w:val="20"/>
                <w:szCs w:val="20"/>
              </w:rPr>
              <w:t xml:space="preserve">0.4329</w:t>
            </w:r>
          </w:p>
        </w:tc>
        <w:tc>
          <w:tcPr>
            <w:tcW w:w="0" w:type="auto"/>
          </w:tcPr>
          <w:p>
            <w:pPr>
              <w:spacing w:line="240" w:lineRule="auto" w:before="0" w:after="0"/>
              <w:pStyle w:val="Compact"/>
            </w:pPr>
            <w:r>
              <w:rPr>
                <w:sz w:val="20"/>
                <w:szCs w:val="20"/>
              </w:rPr>
              <w:t xml:space="preserve">-11.0045</w:t>
            </w:r>
          </w:p>
        </w:tc>
        <w:tc>
          <w:tcPr>
            <w:tcW w:w="0" w:type="auto"/>
          </w:tcPr>
          <w:p>
            <w:pPr>
              <w:spacing w:line="240" w:lineRule="auto" w:before="0" w:after="0"/>
              <w:pStyle w:val="Compact"/>
            </w:pPr>
            <w:r>
              <w:rPr>
                <w:sz w:val="20"/>
                <w:szCs w:val="20"/>
              </w:rPr>
              <w:t xml:space="preserve">3.635e-28</w:t>
            </w:r>
          </w:p>
        </w:tc>
        <w:tc>
          <w:tcPr>
            <w:tcW w:w="0" w:type="auto"/>
          </w:tcPr>
          <w:p>
            <w:pPr>
              <w:spacing w:line="240" w:lineRule="auto" w:before="0" w:after="0"/>
              <w:pStyle w:val="Compact"/>
            </w:pPr>
            <w:r>
              <w:rPr>
                <w:sz w:val="20"/>
                <w:szCs w:val="20"/>
              </w:rPr>
              <w:t xml:space="preserve">[-5.6121, -3.9152]</w:t>
            </w:r>
          </w:p>
        </w:tc>
      </w:tr>
    </w:tbl>
    <w:p>
      <w:pPr>
        <w:pStyle w:val="BodyText"/>
      </w:pPr>
      <w:r>
        <w:t xml:space="preserve">Fit: N = 37 R2 = 0.7501 R2_adj = 0.7188 F = 32.5607 F_p = 7.261e-11</w:t>
      </w:r>
    </w:p>
    <w:p>
      <w:pPr>
        <w:pStyle w:val="CaptionedFigure"/>
      </w:pPr>
      <w:r>
        <w:drawing>
          <wp:inline>
            <wp:extent cx="5669280" cy="3657600"/>
            <wp:effectExtent b="0" l="0" r="0" t="0"/>
            <wp:docPr descr="Figure 1. Patch-latency window against CVSS base severity for 37 ground-segment and mission-control-relevant vulnerabilities (CISA KEV cross-referenced with NVD). Each point is one CVE." title="" id="77" name="Picture"/>
            <a:graphic>
              <a:graphicData uri="http://schemas.openxmlformats.org/drawingml/2006/picture">
                <pic:pic>
                  <pic:nvPicPr>
                    <pic:cNvPr descr="D:\Claude_Code\brain\collegium\candidates\dissertations\CYBER_AI_01\research_papers\p1\paper_fig1.png" id="78" name="Picture"/>
                    <pic:cNvPicPr>
                      <a:picLocks noChangeArrowheads="1" noChangeAspect="1"/>
                    </pic:cNvPicPr>
                  </pic:nvPicPr>
                  <pic:blipFill>
                    <a:blip r:embed="rId7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Patch-latency window against CVSS base severity for 37 ground-segment and mission-control-relevant vulnerabilities (CISA KEV cross-referenced with NVD). Each point is one CVE.</w:t>
      </w:r>
    </w:p>
    <w:bookmarkEnd w:id="79"/>
    <w:bookmarkStart w:id="8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cve</w:t>
            </w:r>
          </w:p>
        </w:tc>
        <w:tc>
          <w:tcPr>
            <w:tcW w:w="0" w:type="auto"/>
          </w:tcPr>
          <w:p>
            <w:pPr>
              <w:spacing w:line="240" w:lineRule="auto" w:before="0" w:after="0"/>
              <w:pStyle w:val="Compact"/>
            </w:pPr>
            <w:r>
              <w:rPr>
                <w:sz w:val="20"/>
                <w:szCs w:val="20"/>
              </w:rPr>
              <w:t xml:space="preserve">vendor</w:t>
            </w:r>
          </w:p>
        </w:tc>
        <w:tc>
          <w:tcPr>
            <w:tcW w:w="0" w:type="auto"/>
          </w:tcPr>
          <w:p>
            <w:pPr>
              <w:spacing w:line="240" w:lineRule="auto" w:before="0" w:after="0"/>
              <w:pStyle w:val="Compact"/>
            </w:pPr>
            <w:r>
              <w:rPr>
                <w:sz w:val="20"/>
                <w:szCs w:val="20"/>
              </w:rPr>
              <w:t xml:space="preserve">product</w:t>
            </w:r>
          </w:p>
        </w:tc>
        <w:tc>
          <w:tcPr>
            <w:tcW w:w="0" w:type="auto"/>
          </w:tcPr>
          <w:p>
            <w:pPr>
              <w:spacing w:line="240" w:lineRule="auto" w:before="0" w:after="0"/>
              <w:pStyle w:val="Compact"/>
            </w:pPr>
            <w:r>
              <w:rPr>
                <w:sz w:val="20"/>
                <w:szCs w:val="20"/>
              </w:rPr>
              <w:t xml:space="preserve">cvss</w:t>
            </w:r>
          </w:p>
        </w:tc>
        <w:tc>
          <w:tcPr>
            <w:tcW w:w="0" w:type="auto"/>
          </w:tcPr>
          <w:p>
            <w:pPr>
              <w:spacing w:line="240" w:lineRule="auto" w:before="0" w:after="0"/>
              <w:pStyle w:val="Compact"/>
            </w:pPr>
            <w:r>
              <w:rPr>
                <w:sz w:val="20"/>
                <w:szCs w:val="20"/>
              </w:rPr>
              <w:t xml:space="preserve">is_edge</w:t>
            </w:r>
          </w:p>
        </w:tc>
        <w:tc>
          <w:tcPr>
            <w:tcW w:w="0" w:type="auto"/>
          </w:tcPr>
          <w:p>
            <w:pPr>
              <w:spacing w:line="240" w:lineRule="auto" w:before="0" w:after="0"/>
              <w:pStyle w:val="Compact"/>
            </w:pPr>
            <w:r>
              <w:rPr>
                <w:sz w:val="20"/>
                <w:szCs w:val="20"/>
              </w:rPr>
              <w:t xml:space="preserve">ransomware</w:t>
            </w:r>
          </w:p>
        </w:tc>
        <w:tc>
          <w:tcPr>
            <w:tcW w:w="0" w:type="auto"/>
          </w:tcPr>
          <w:p>
            <w:pPr>
              <w:spacing w:line="240" w:lineRule="auto" w:before="0" w:after="0"/>
              <w:pStyle w:val="Compact"/>
            </w:pPr>
            <w:r>
              <w:rPr>
                <w:sz w:val="20"/>
                <w:szCs w:val="20"/>
              </w:rPr>
              <w:t xml:space="preserve">post_bod</w:t>
            </w:r>
          </w:p>
        </w:tc>
        <w:tc>
          <w:tcPr>
            <w:tcW w:w="0" w:type="auto"/>
          </w:tcPr>
          <w:p>
            <w:pPr>
              <w:spacing w:line="240" w:lineRule="auto" w:before="0" w:after="0"/>
              <w:pStyle w:val="Compact"/>
            </w:pPr>
            <w:r>
              <w:rPr>
                <w:sz w:val="20"/>
                <w:szCs w:val="20"/>
              </w:rPr>
              <w:t xml:space="preserve">nvd_published</w:t>
            </w:r>
          </w:p>
        </w:tc>
        <w:tc>
          <w:tcPr>
            <w:tcW w:w="0" w:type="auto"/>
          </w:tcPr>
          <w:p>
            <w:pPr>
              <w:spacing w:line="240" w:lineRule="auto" w:before="0" w:after="0"/>
              <w:pStyle w:val="Compact"/>
            </w:pPr>
            <w:r>
              <w:rPr>
                <w:sz w:val="20"/>
                <w:szCs w:val="20"/>
              </w:rPr>
              <w:t xml:space="preserve">kev_added</w:t>
            </w:r>
          </w:p>
        </w:tc>
        <w:tc>
          <w:tcPr>
            <w:tcW w:w="0" w:type="auto"/>
          </w:tcPr>
          <w:p>
            <w:pPr>
              <w:spacing w:line="240" w:lineRule="auto" w:before="0" w:after="0"/>
              <w:pStyle w:val="Compact"/>
            </w:pPr>
            <w:r>
              <w:rPr>
                <w:sz w:val="20"/>
                <w:szCs w:val="20"/>
              </w:rPr>
              <w:t xml:space="preserve">exposure_days</w:t>
            </w:r>
          </w:p>
        </w:tc>
        <w:tc>
          <w:tcPr>
            <w:tcW w:w="0" w:type="auto"/>
          </w:tcPr>
          <w:p>
            <w:pPr>
              <w:spacing w:line="240" w:lineRule="auto" w:before="0" w:after="0"/>
              <w:pStyle w:val="Compact"/>
            </w:pPr>
            <w:r>
              <w:rPr>
                <w:sz w:val="20"/>
                <w:szCs w:val="20"/>
              </w:rPr>
              <w:t xml:space="preserve">ln_exposure_days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CVE-2021-38406</w:t>
            </w:r>
          </w:p>
        </w:tc>
        <w:tc>
          <w:tcPr>
            <w:tcW w:w="0" w:type="auto"/>
          </w:tcPr>
          <w:p>
            <w:pPr>
              <w:spacing w:line="240" w:lineRule="auto" w:before="0" w:after="0"/>
              <w:pStyle w:val="Compact"/>
            </w:pPr>
            <w:r>
              <w:rPr>
                <w:sz w:val="20"/>
                <w:szCs w:val="20"/>
              </w:rPr>
              <w:t xml:space="preserve">Delta Electronics</w:t>
            </w:r>
          </w:p>
        </w:tc>
        <w:tc>
          <w:tcPr>
            <w:tcW w:w="0" w:type="auto"/>
          </w:tcPr>
          <w:p>
            <w:pPr>
              <w:spacing w:line="240" w:lineRule="auto" w:before="0" w:after="0"/>
              <w:pStyle w:val="Compact"/>
            </w:pPr>
            <w:r>
              <w:rPr>
                <w:sz w:val="20"/>
                <w:szCs w:val="20"/>
              </w:rPr>
              <w:t xml:space="preserve">DOPSoft 2</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2021-09-17</w:t>
            </w:r>
          </w:p>
        </w:tc>
        <w:tc>
          <w:tcPr>
            <w:tcW w:w="0" w:type="auto"/>
          </w:tcPr>
          <w:p>
            <w:pPr>
              <w:spacing w:line="240" w:lineRule="auto" w:before="0" w:after="0"/>
              <w:pStyle w:val="Compact"/>
            </w:pPr>
            <w:r>
              <w:rPr>
                <w:sz w:val="20"/>
                <w:szCs w:val="20"/>
              </w:rPr>
              <w:t xml:space="preserve">2022-08-25</w:t>
            </w:r>
          </w:p>
        </w:tc>
        <w:tc>
          <w:tcPr>
            <w:tcW w:w="0" w:type="auto"/>
          </w:tcPr>
          <w:p>
            <w:pPr>
              <w:spacing w:line="240" w:lineRule="auto" w:before="0" w:after="0"/>
              <w:pStyle w:val="Compact"/>
            </w:pPr>
            <w:r>
              <w:rPr>
                <w:sz w:val="20"/>
                <w:szCs w:val="20"/>
              </w:rPr>
              <w:t xml:space="preserve">342</w:t>
            </w:r>
          </w:p>
        </w:tc>
        <w:tc>
          <w:tcPr>
            <w:tcW w:w="0" w:type="auto"/>
          </w:tcPr>
          <w:p>
            <w:pPr>
              <w:spacing w:line="240" w:lineRule="auto" w:before="0" w:after="0"/>
              <w:pStyle w:val="Compact"/>
            </w:pPr>
            <w:r>
              <w:rPr>
                <w:sz w:val="20"/>
                <w:szCs w:val="20"/>
              </w:rPr>
              <w:t xml:space="preserve">5.8348</w:t>
            </w:r>
          </w:p>
        </w:tc>
        <w:tc>
          <w:tcPr>
            <w:tcW w:w="0" w:type="auto"/>
          </w:tcPr>
          <w:p>
            <w:pPr>
              <w:spacing w:line="240" w:lineRule="auto" w:before="0" w:after="0"/>
              <w:pStyle w:val="Compact"/>
            </w:pPr>
            <w:r>
              <w:rPr>
                <w:sz w:val="20"/>
                <w:szCs w:val="20"/>
              </w:rPr>
              <w:t xml:space="preserve">CISA KEV v2026.06.18 entry CVE-2021-38406 (Delta Electronics DOPSoft 2; dateAdded 2022-08-25; ransomware=0); NVD CVE API 2.0 CVE-2021-38406 (published 2021-09-17; CVSS V31 base 7.8)</w:t>
            </w:r>
          </w:p>
        </w:tc>
      </w:tr>
      <w:tr>
        <w:tc>
          <w:tcPr>
            <w:tcW w:w="0" w:type="auto"/>
          </w:tcPr>
          <w:p>
            <w:pPr>
              <w:spacing w:line="240" w:lineRule="auto" w:before="0" w:after="0"/>
              <w:pStyle w:val="Compact"/>
            </w:pPr>
            <w:r>
              <w:rPr>
                <w:sz w:val="20"/>
                <w:szCs w:val="20"/>
              </w:rPr>
              <w:t xml:space="preserve">CVE-2018-7841</w:t>
            </w:r>
          </w:p>
        </w:tc>
        <w:tc>
          <w:tcPr>
            <w:tcW w:w="0" w:type="auto"/>
          </w:tcPr>
          <w:p>
            <w:pPr>
              <w:spacing w:line="240" w:lineRule="auto" w:before="0" w:after="0"/>
              <w:pStyle w:val="Compact"/>
            </w:pPr>
            <w:r>
              <w:rPr>
                <w:sz w:val="20"/>
                <w:szCs w:val="20"/>
              </w:rPr>
              <w:t xml:space="preserve">Schneider Electric</w:t>
            </w:r>
          </w:p>
        </w:tc>
        <w:tc>
          <w:tcPr>
            <w:tcW w:w="0" w:type="auto"/>
          </w:tcPr>
          <w:p>
            <w:pPr>
              <w:spacing w:line="240" w:lineRule="auto" w:before="0" w:after="0"/>
              <w:pStyle w:val="Compact"/>
            </w:pPr>
            <w:r>
              <w:rPr>
                <w:sz w:val="20"/>
                <w:szCs w:val="20"/>
              </w:rPr>
              <w:t xml:space="preserve">U.motion Builder</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2019-05-22</w:t>
            </w:r>
          </w:p>
        </w:tc>
        <w:tc>
          <w:tcPr>
            <w:tcW w:w="0" w:type="auto"/>
          </w:tcPr>
          <w:p>
            <w:pPr>
              <w:spacing w:line="240" w:lineRule="auto" w:before="0" w:after="0"/>
              <w:pStyle w:val="Compact"/>
            </w:pPr>
            <w:r>
              <w:rPr>
                <w:sz w:val="20"/>
                <w:szCs w:val="20"/>
              </w:rPr>
              <w:t xml:space="preserve">2022-04-15</w:t>
            </w:r>
          </w:p>
        </w:tc>
        <w:tc>
          <w:tcPr>
            <w:tcW w:w="0" w:type="auto"/>
          </w:tcPr>
          <w:p>
            <w:pPr>
              <w:spacing w:line="240" w:lineRule="auto" w:before="0" w:after="0"/>
              <w:pStyle w:val="Compact"/>
            </w:pPr>
            <w:r>
              <w:rPr>
                <w:sz w:val="20"/>
                <w:szCs w:val="20"/>
              </w:rPr>
              <w:t xml:space="preserve">1059</w:t>
            </w:r>
          </w:p>
        </w:tc>
        <w:tc>
          <w:tcPr>
            <w:tcW w:w="0" w:type="auto"/>
          </w:tcPr>
          <w:p>
            <w:pPr>
              <w:spacing w:line="240" w:lineRule="auto" w:before="0" w:after="0"/>
              <w:pStyle w:val="Compact"/>
            </w:pPr>
            <w:r>
              <w:rPr>
                <w:sz w:val="20"/>
                <w:szCs w:val="20"/>
              </w:rPr>
              <w:t xml:space="preserve">6.9651</w:t>
            </w:r>
          </w:p>
        </w:tc>
        <w:tc>
          <w:tcPr>
            <w:tcW w:w="0" w:type="auto"/>
          </w:tcPr>
          <w:p>
            <w:pPr>
              <w:spacing w:line="240" w:lineRule="auto" w:before="0" w:after="0"/>
              <w:pStyle w:val="Compact"/>
            </w:pPr>
            <w:r>
              <w:rPr>
                <w:sz w:val="20"/>
                <w:szCs w:val="20"/>
              </w:rPr>
              <w:t xml:space="preserve">CISA KEV v2026.06.18 entry CVE-2018-7841 (Schneider Electric U.motion Builder; dateAdded 2022-04-15; ransomware=0); NVD CVE API 2.0 CVE-2018-7841 (published 2019-05-22; CVSS V31 base 9.8)</w:t>
            </w:r>
          </w:p>
        </w:tc>
      </w:tr>
      <w:tr>
        <w:tc>
          <w:tcPr>
            <w:tcW w:w="0" w:type="auto"/>
          </w:tcPr>
          <w:p>
            <w:pPr>
              <w:spacing w:line="240" w:lineRule="auto" w:before="0" w:after="0"/>
              <w:pStyle w:val="Compact"/>
            </w:pPr>
            <w:r>
              <w:rPr>
                <w:sz w:val="20"/>
                <w:szCs w:val="20"/>
              </w:rPr>
              <w:t xml:space="preserve">CVE-2016-8562</w:t>
            </w:r>
          </w:p>
        </w:tc>
        <w:tc>
          <w:tcPr>
            <w:tcW w:w="0" w:type="auto"/>
          </w:tcPr>
          <w:p>
            <w:pPr>
              <w:spacing w:line="240" w:lineRule="auto" w:before="0" w:after="0"/>
              <w:pStyle w:val="Compact"/>
            </w:pPr>
            <w:r>
              <w:rPr>
                <w:sz w:val="20"/>
                <w:szCs w:val="20"/>
              </w:rPr>
              <w:t xml:space="preserve">Siemens</w:t>
            </w:r>
          </w:p>
        </w:tc>
        <w:tc>
          <w:tcPr>
            <w:tcW w:w="0" w:type="auto"/>
          </w:tcPr>
          <w:p>
            <w:pPr>
              <w:spacing w:line="240" w:lineRule="auto" w:before="0" w:after="0"/>
              <w:pStyle w:val="Compact"/>
            </w:pPr>
            <w:r>
              <w:rPr>
                <w:sz w:val="20"/>
                <w:szCs w:val="20"/>
              </w:rPr>
              <w:t xml:space="preserve">SIMATIC CP</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2016-11-18</w:t>
            </w:r>
          </w:p>
        </w:tc>
        <w:tc>
          <w:tcPr>
            <w:tcW w:w="0" w:type="auto"/>
          </w:tcPr>
          <w:p>
            <w:pPr>
              <w:spacing w:line="240" w:lineRule="auto" w:before="0" w:after="0"/>
              <w:pStyle w:val="Compact"/>
            </w:pPr>
            <w:r>
              <w:rPr>
                <w:sz w:val="20"/>
                <w:szCs w:val="20"/>
              </w:rPr>
              <w:t xml:space="preserve">2022-03-03</w:t>
            </w:r>
          </w:p>
        </w:tc>
        <w:tc>
          <w:tcPr>
            <w:tcW w:w="0" w:type="auto"/>
          </w:tcPr>
          <w:p>
            <w:pPr>
              <w:spacing w:line="240" w:lineRule="auto" w:before="0" w:after="0"/>
              <w:pStyle w:val="Compact"/>
            </w:pPr>
            <w:r>
              <w:rPr>
                <w:sz w:val="20"/>
                <w:szCs w:val="20"/>
              </w:rPr>
              <w:t xml:space="preserve">1931</w:t>
            </w:r>
          </w:p>
        </w:tc>
        <w:tc>
          <w:tcPr>
            <w:tcW w:w="0" w:type="auto"/>
          </w:tcPr>
          <w:p>
            <w:pPr>
              <w:spacing w:line="240" w:lineRule="auto" w:before="0" w:after="0"/>
              <w:pStyle w:val="Compact"/>
            </w:pPr>
            <w:r>
              <w:rPr>
                <w:sz w:val="20"/>
                <w:szCs w:val="20"/>
              </w:rPr>
              <w:t xml:space="preserve">7.5658</w:t>
            </w:r>
          </w:p>
        </w:tc>
        <w:tc>
          <w:tcPr>
            <w:tcW w:w="0" w:type="auto"/>
          </w:tcPr>
          <w:p>
            <w:pPr>
              <w:spacing w:line="240" w:lineRule="auto" w:before="0" w:after="0"/>
              <w:pStyle w:val="Compact"/>
            </w:pPr>
            <w:r>
              <w:rPr>
                <w:sz w:val="20"/>
                <w:szCs w:val="20"/>
              </w:rPr>
              <w:t xml:space="preserve">CISA KEV v2026.06.18 entry CVE-2016-8562 (Siemens SIMATIC CP; dateAdded 2022-03-03; ransomware=0); NVD CVE API 2.0 CVE-2016-8562 (published 2016-11-18; CVSS V31 base 7.5)</w:t>
            </w:r>
          </w:p>
        </w:tc>
      </w:tr>
      <w:tr>
        <w:tc>
          <w:tcPr>
            <w:tcW w:w="0" w:type="auto"/>
          </w:tcPr>
          <w:p>
            <w:pPr>
              <w:spacing w:line="240" w:lineRule="auto" w:before="0" w:after="0"/>
              <w:pStyle w:val="Compact"/>
            </w:pPr>
            <w:r>
              <w:rPr>
                <w:sz w:val="20"/>
                <w:szCs w:val="20"/>
              </w:rPr>
              <w:t xml:space="preserve">CVE-2023-6448</w:t>
            </w:r>
          </w:p>
        </w:tc>
        <w:tc>
          <w:tcPr>
            <w:tcW w:w="0" w:type="auto"/>
          </w:tcPr>
          <w:p>
            <w:pPr>
              <w:spacing w:line="240" w:lineRule="auto" w:before="0" w:after="0"/>
              <w:pStyle w:val="Compact"/>
            </w:pPr>
            <w:r>
              <w:rPr>
                <w:sz w:val="20"/>
                <w:szCs w:val="20"/>
              </w:rPr>
              <w:t xml:space="preserve">Unitronics</w:t>
            </w:r>
          </w:p>
        </w:tc>
        <w:tc>
          <w:tcPr>
            <w:tcW w:w="0" w:type="auto"/>
          </w:tcPr>
          <w:p>
            <w:pPr>
              <w:spacing w:line="240" w:lineRule="auto" w:before="0" w:after="0"/>
              <w:pStyle w:val="Compact"/>
            </w:pPr>
            <w:r>
              <w:rPr>
                <w:sz w:val="20"/>
                <w:szCs w:val="20"/>
              </w:rPr>
              <w:t xml:space="preserve">Vision PLC and HMI</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2023-12-05</w:t>
            </w:r>
          </w:p>
        </w:tc>
        <w:tc>
          <w:tcPr>
            <w:tcW w:w="0" w:type="auto"/>
          </w:tcPr>
          <w:p>
            <w:pPr>
              <w:spacing w:line="240" w:lineRule="auto" w:before="0" w:after="0"/>
              <w:pStyle w:val="Compact"/>
            </w:pPr>
            <w:r>
              <w:rPr>
                <w:sz w:val="20"/>
                <w:szCs w:val="20"/>
              </w:rPr>
              <w:t xml:space="preserve">2023-12-11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CISA KEV v2026.06.18 entry CVE-2023-6448 (Unitronics Vision PLC and HMI; dateAdded 2023-12-11; ransomware=0); NVD CVE API 2.0 CVE-2023-6448 (published 2023-12-05; CVSS V31 base 9.8)</w:t>
            </w:r>
          </w:p>
        </w:tc>
      </w:tr>
      <w:tr>
        <w:tc>
          <w:tcPr>
            <w:tcW w:w="0" w:type="auto"/>
          </w:tcPr>
          <w:p>
            <w:pPr>
              <w:spacing w:line="240" w:lineRule="auto" w:before="0" w:after="0"/>
              <w:pStyle w:val="Compact"/>
            </w:pPr>
            <w:r>
              <w:rPr>
                <w:sz w:val="20"/>
                <w:szCs w:val="20"/>
              </w:rPr>
              <w:t xml:space="preserve">CVE-2023-2868</w:t>
            </w:r>
          </w:p>
        </w:tc>
        <w:tc>
          <w:tcPr>
            <w:tcW w:w="0" w:type="auto"/>
          </w:tcPr>
          <w:p>
            <w:pPr>
              <w:spacing w:line="240" w:lineRule="auto" w:before="0" w:after="0"/>
              <w:pStyle w:val="Compact"/>
            </w:pPr>
            <w:r>
              <w:rPr>
                <w:sz w:val="20"/>
                <w:szCs w:val="20"/>
              </w:rPr>
              <w:t xml:space="preserve">Barracuda Networks</w:t>
            </w:r>
          </w:p>
        </w:tc>
        <w:tc>
          <w:tcPr>
            <w:tcW w:w="0" w:type="auto"/>
          </w:tcPr>
          <w:p>
            <w:pPr>
              <w:spacing w:line="240" w:lineRule="auto" w:before="0" w:after="0"/>
              <w:pStyle w:val="Compact"/>
            </w:pPr>
            <w:r>
              <w:rPr>
                <w:sz w:val="20"/>
                <w:szCs w:val="20"/>
              </w:rPr>
              <w:t xml:space="preserve">Email Security Gateway (ESG) Appliance</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2023-05-24</w:t>
            </w:r>
          </w:p>
        </w:tc>
        <w:tc>
          <w:tcPr>
            <w:tcW w:w="0" w:type="auto"/>
          </w:tcPr>
          <w:p>
            <w:pPr>
              <w:spacing w:line="240" w:lineRule="auto" w:before="0" w:after="0"/>
              <w:pStyle w:val="Compact"/>
            </w:pPr>
            <w:r>
              <w:rPr>
                <w:sz w:val="20"/>
                <w:szCs w:val="20"/>
              </w:rPr>
              <w:t xml:space="preserve">2023-05-26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CISA KEV v2026.06.18 entry CVE-2023-2868 (Barracuda Networks Email Security Gateway (ESG) Appliance; dateAdded 2023-05-26; ransomware=0); NVD CVE API 2.0 CVE-2023-2868 (published 2023-05-24; CVSS V31 base 9.4)</w:t>
            </w:r>
          </w:p>
        </w:tc>
      </w:tr>
      <w:tr>
        <w:tc>
          <w:tcPr>
            <w:tcW w:w="0" w:type="auto"/>
          </w:tcPr>
          <w:p>
            <w:pPr>
              <w:spacing w:line="240" w:lineRule="auto" w:before="0" w:after="0"/>
              <w:pStyle w:val="Compact"/>
            </w:pPr>
            <w:r>
              <w:rPr>
                <w:sz w:val="20"/>
                <w:szCs w:val="20"/>
              </w:rPr>
              <w:t xml:space="preserve">CVE-2026-50751</w:t>
            </w:r>
          </w:p>
        </w:tc>
        <w:tc>
          <w:tcPr>
            <w:tcW w:w="0" w:type="auto"/>
          </w:tcPr>
          <w:p>
            <w:pPr>
              <w:spacing w:line="240" w:lineRule="auto" w:before="0" w:after="0"/>
              <w:pStyle w:val="Compact"/>
            </w:pPr>
            <w:r>
              <w:rPr>
                <w:sz w:val="20"/>
                <w:szCs w:val="20"/>
              </w:rPr>
              <w:t xml:space="preserve">Check Point</w:t>
            </w:r>
          </w:p>
        </w:tc>
        <w:tc>
          <w:tcPr>
            <w:tcW w:w="0" w:type="auto"/>
          </w:tcPr>
          <w:p>
            <w:pPr>
              <w:spacing w:line="240" w:lineRule="auto" w:before="0" w:after="0"/>
              <w:pStyle w:val="Compact"/>
            </w:pPr>
            <w:r>
              <w:rPr>
                <w:sz w:val="20"/>
                <w:szCs w:val="20"/>
              </w:rPr>
              <w:t xml:space="preserve">Security Gateway</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2026-06-08</w:t>
            </w:r>
          </w:p>
        </w:tc>
        <w:tc>
          <w:tcPr>
            <w:tcW w:w="0" w:type="auto"/>
          </w:tcPr>
          <w:p>
            <w:pPr>
              <w:spacing w:line="240" w:lineRule="auto" w:before="0" w:after="0"/>
              <w:pStyle w:val="Compact"/>
            </w:pPr>
            <w:r>
              <w:rPr>
                <w:sz w:val="20"/>
                <w:szCs w:val="20"/>
              </w:rPr>
              <w:t xml:space="preserve">2026-06-08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CVE-2026-50751 (Check Point Security Gateway; dateAdded 2026-06-08; ransomware=1); NVD CVE API 2.0 CVE-2026-50751 (published 2026-06-08; CVSS V31 base 9.3)</w:t>
            </w:r>
          </w:p>
        </w:tc>
      </w:tr>
      <w:tr>
        <w:tc>
          <w:tcPr>
            <w:tcW w:w="0" w:type="auto"/>
          </w:tcPr>
          <w:p>
            <w:pPr>
              <w:spacing w:line="240" w:lineRule="auto" w:before="0" w:after="0"/>
              <w:pStyle w:val="Compact"/>
            </w:pPr>
            <w:r>
              <w:rPr>
                <w:sz w:val="20"/>
                <w:szCs w:val="20"/>
              </w:rPr>
              <w:t xml:space="preserve">CVE-2014-2120</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Adaptive Security Appliance (ASA)</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2014-03-19</w:t>
            </w:r>
          </w:p>
        </w:tc>
        <w:tc>
          <w:tcPr>
            <w:tcW w:w="0" w:type="auto"/>
          </w:tcPr>
          <w:p>
            <w:pPr>
              <w:spacing w:line="240" w:lineRule="auto" w:before="0" w:after="0"/>
              <w:pStyle w:val="Compact"/>
            </w:pPr>
            <w:r>
              <w:rPr>
                <w:sz w:val="20"/>
                <w:szCs w:val="20"/>
              </w:rPr>
              <w:t xml:space="preserve">2024-11-12</w:t>
            </w:r>
          </w:p>
        </w:tc>
        <w:tc>
          <w:tcPr>
            <w:tcW w:w="0" w:type="auto"/>
          </w:tcPr>
          <w:p>
            <w:pPr>
              <w:spacing w:line="240" w:lineRule="auto" w:before="0" w:after="0"/>
              <w:pStyle w:val="Compact"/>
            </w:pPr>
            <w:r>
              <w:rPr>
                <w:sz w:val="20"/>
                <w:szCs w:val="20"/>
              </w:rPr>
              <w:t xml:space="preserve">3891</w:t>
            </w:r>
          </w:p>
        </w:tc>
        <w:tc>
          <w:tcPr>
            <w:tcW w:w="0" w:type="auto"/>
          </w:tcPr>
          <w:p>
            <w:pPr>
              <w:spacing w:line="240" w:lineRule="auto" w:before="0" w:after="0"/>
              <w:pStyle w:val="Compact"/>
            </w:pPr>
            <w:r>
              <w:rPr>
                <w:sz w:val="20"/>
                <w:szCs w:val="20"/>
              </w:rPr>
              <w:t xml:space="preserve">8.2664</w:t>
            </w:r>
          </w:p>
        </w:tc>
        <w:tc>
          <w:tcPr>
            <w:tcW w:w="0" w:type="auto"/>
          </w:tcPr>
          <w:p>
            <w:pPr>
              <w:spacing w:line="240" w:lineRule="auto" w:before="0" w:after="0"/>
              <w:pStyle w:val="Compact"/>
            </w:pPr>
            <w:r>
              <w:rPr>
                <w:sz w:val="20"/>
                <w:szCs w:val="20"/>
              </w:rPr>
              <w:t xml:space="preserve">CISA KEV v2026.06.18 entry CVE-2014-2120 (Cisco Adaptive Security Appliance (ASA); dateAdded 2024-11-12; ransomware=0); NVD CVE API 2.0 CVE-2014-2120 (published 2014-03-19; CVSS V31 base 6.1)</w:t>
            </w:r>
          </w:p>
        </w:tc>
      </w:tr>
      <w:tr>
        <w:tc>
          <w:tcPr>
            <w:tcW w:w="0" w:type="auto"/>
          </w:tcPr>
          <w:p>
            <w:pPr>
              <w:spacing w:line="240" w:lineRule="auto" w:before="0" w:after="0"/>
              <w:pStyle w:val="Compact"/>
            </w:pPr>
            <w:r>
              <w:rPr>
                <w:sz w:val="20"/>
                <w:szCs w:val="20"/>
              </w:rPr>
              <w:t xml:space="preserve">CVE-2018-0147</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Secure Access Control System (ACS)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2018-03-08</w:t>
            </w:r>
          </w:p>
        </w:tc>
        <w:tc>
          <w:tcPr>
            <w:tcW w:w="0" w:type="auto"/>
          </w:tcPr>
          <w:p>
            <w:pPr>
              <w:spacing w:line="240" w:lineRule="auto" w:before="0" w:after="0"/>
              <w:pStyle w:val="Compact"/>
            </w:pPr>
            <w:r>
              <w:rPr>
                <w:sz w:val="20"/>
                <w:szCs w:val="20"/>
              </w:rPr>
              <w:t xml:space="preserve">2022-03-25</w:t>
            </w:r>
          </w:p>
        </w:tc>
        <w:tc>
          <w:tcPr>
            <w:tcW w:w="0" w:type="auto"/>
          </w:tcPr>
          <w:p>
            <w:pPr>
              <w:spacing w:line="240" w:lineRule="auto" w:before="0" w:after="0"/>
              <w:pStyle w:val="Compact"/>
            </w:pPr>
            <w:r>
              <w:rPr>
                <w:sz w:val="20"/>
                <w:szCs w:val="20"/>
              </w:rPr>
              <w:t xml:space="preserve">1478</w:t>
            </w:r>
          </w:p>
        </w:tc>
        <w:tc>
          <w:tcPr>
            <w:tcW w:w="0" w:type="auto"/>
          </w:tcPr>
          <w:p>
            <w:pPr>
              <w:spacing w:line="240" w:lineRule="auto" w:before="0" w:after="0"/>
              <w:pStyle w:val="Compact"/>
            </w:pPr>
            <w:r>
              <w:rPr>
                <w:sz w:val="20"/>
                <w:szCs w:val="20"/>
              </w:rPr>
              <w:t xml:space="preserve">7.2984</w:t>
            </w:r>
          </w:p>
        </w:tc>
        <w:tc>
          <w:tcPr>
            <w:tcW w:w="0" w:type="auto"/>
          </w:tcPr>
          <w:p>
            <w:pPr>
              <w:spacing w:line="240" w:lineRule="auto" w:before="0" w:after="0"/>
              <w:pStyle w:val="Compact"/>
            </w:pPr>
            <w:r>
              <w:rPr>
                <w:sz w:val="20"/>
                <w:szCs w:val="20"/>
              </w:rPr>
              <w:t xml:space="preserve">CISA KEV v2026.06.18 entry CVE-2018-0147 (Cisco Secure Access Control System (ACS); dateAdded 2022-03-25; ransomware=0); NVD CVE API 2.0 CVE-2018-0147 (published 2018-03-08; CVSS V31 base 9.8)</w:t>
            </w:r>
          </w:p>
        </w:tc>
      </w:tr>
      <w:tr>
        <w:tc>
          <w:tcPr>
            <w:tcW w:w="0" w:type="auto"/>
          </w:tcPr>
          <w:p>
            <w:pPr>
              <w:spacing w:line="240" w:lineRule="auto" w:before="0" w:after="0"/>
              <w:pStyle w:val="Compact"/>
            </w:pPr>
            <w:r>
              <w:rPr>
                <w:sz w:val="20"/>
                <w:szCs w:val="20"/>
              </w:rPr>
              <w:t xml:space="preserve">CVE-2020-3153</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AnyConnect Secure</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2020-02-19</w:t>
            </w:r>
          </w:p>
        </w:tc>
        <w:tc>
          <w:tcPr>
            <w:tcW w:w="0" w:type="auto"/>
          </w:tcPr>
          <w:p>
            <w:pPr>
              <w:spacing w:line="240" w:lineRule="auto" w:before="0" w:after="0"/>
              <w:pStyle w:val="Compact"/>
            </w:pPr>
            <w:r>
              <w:rPr>
                <w:sz w:val="20"/>
                <w:szCs w:val="20"/>
              </w:rPr>
              <w:t xml:space="preserve">2022-10-24</w:t>
            </w:r>
          </w:p>
        </w:tc>
        <w:tc>
          <w:tcPr>
            <w:tcW w:w="0" w:type="auto"/>
          </w:tcPr>
          <w:p>
            <w:pPr>
              <w:spacing w:line="240" w:lineRule="auto" w:before="0" w:after="0"/>
              <w:pStyle w:val="Compact"/>
            </w:pPr>
            <w:r>
              <w:rPr>
                <w:sz w:val="20"/>
                <w:szCs w:val="20"/>
              </w:rPr>
              <w:t xml:space="preserve">978</w:t>
            </w:r>
          </w:p>
        </w:tc>
        <w:tc>
          <w:tcPr>
            <w:tcW w:w="0" w:type="auto"/>
          </w:tcPr>
          <w:p>
            <w:pPr>
              <w:spacing w:line="240" w:lineRule="auto" w:before="0" w:after="0"/>
              <w:pStyle w:val="Compact"/>
            </w:pPr>
            <w:r>
              <w:rPr>
                <w:sz w:val="20"/>
                <w:szCs w:val="20"/>
              </w:rPr>
              <w:t xml:space="preserve">6.8855</w:t>
            </w:r>
          </w:p>
        </w:tc>
        <w:tc>
          <w:tcPr>
            <w:tcW w:w="0" w:type="auto"/>
          </w:tcPr>
          <w:p>
            <w:pPr>
              <w:spacing w:line="240" w:lineRule="auto" w:before="0" w:after="0"/>
              <w:pStyle w:val="Compact"/>
            </w:pPr>
            <w:r>
              <w:rPr>
                <w:sz w:val="20"/>
                <w:szCs w:val="20"/>
              </w:rPr>
              <w:t xml:space="preserve">CISA KEV v2026.06.18 entry CVE-2020-3153 (Cisco AnyConnect Secure; dateAdded 2022-10-24; ransomware=1); NVD CVE API 2.0 CVE-2020-3153 (published 2020-02-19; CVSS V31 base 6.5)</w:t>
            </w:r>
          </w:p>
        </w:tc>
      </w:tr>
      <w:tr>
        <w:tc>
          <w:tcPr>
            <w:tcW w:w="0" w:type="auto"/>
          </w:tcPr>
          <w:p>
            <w:pPr>
              <w:spacing w:line="240" w:lineRule="auto" w:before="0" w:after="0"/>
              <w:pStyle w:val="Compact"/>
            </w:pPr>
            <w:r>
              <w:rPr>
                <w:sz w:val="20"/>
                <w:szCs w:val="20"/>
              </w:rPr>
              <w:t xml:space="preserve">CVE-2022-20703</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Small Business RV160, RV260, RV340, and RV345 Series Routers</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2022-02-10</w:t>
            </w:r>
          </w:p>
        </w:tc>
        <w:tc>
          <w:tcPr>
            <w:tcW w:w="0" w:type="auto"/>
          </w:tcPr>
          <w:p>
            <w:pPr>
              <w:spacing w:line="240" w:lineRule="auto" w:before="0" w:after="0"/>
              <w:pStyle w:val="Compact"/>
            </w:pPr>
            <w:r>
              <w:rPr>
                <w:sz w:val="20"/>
                <w:szCs w:val="20"/>
              </w:rPr>
              <w:t xml:space="preserve">2022-03-03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CISA KEV v2026.06.18 entry CVE-2022-20703 (Cisco Small Business RV160, RV260, RV340, and RV345 Series Routers; dateAdded 2022-03-03; ransomware=0); NVD CVE API 2.0 CVE-2022-20703 (published 2022-02-10; CVSS V31 base 10.0)</w:t>
            </w:r>
          </w:p>
        </w:tc>
      </w:tr>
      <w:tr>
        <w:tc>
          <w:tcPr>
            <w:tcW w:w="0" w:type="auto"/>
          </w:tcPr>
          <w:p>
            <w:pPr>
              <w:spacing w:line="240" w:lineRule="auto" w:before="0" w:after="0"/>
              <w:pStyle w:val="Compact"/>
            </w:pPr>
            <w:r>
              <w:rPr>
                <w:sz w:val="20"/>
                <w:szCs w:val="20"/>
              </w:rPr>
              <w:t xml:space="preserve">CVE-2026-20131</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Secure Firewall Management Center (FMC)</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2026-03-04</w:t>
            </w:r>
          </w:p>
        </w:tc>
        <w:tc>
          <w:tcPr>
            <w:tcW w:w="0" w:type="auto"/>
          </w:tcPr>
          <w:p>
            <w:pPr>
              <w:spacing w:line="240" w:lineRule="auto" w:before="0" w:after="0"/>
              <w:pStyle w:val="Compact"/>
            </w:pPr>
            <w:r>
              <w:rPr>
                <w:sz w:val="20"/>
                <w:szCs w:val="20"/>
              </w:rPr>
              <w:t xml:space="preserve">2026-03-19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CISA KEV v2026.06.18 entry CVE-2026-20131 (Cisco Secure Firewall Management Center (FMC); dateAdded 2026-03-19; ransomware=1); NVD CVE API 2.0 CVE-2026-20131 (published 2026-03-04; CVSS V31 base 10.0)</w:t>
            </w:r>
          </w:p>
        </w:tc>
      </w:tr>
      <w:tr>
        <w:tc>
          <w:tcPr>
            <w:tcW w:w="0" w:type="auto"/>
          </w:tcPr>
          <w:p>
            <w:pPr>
              <w:spacing w:line="240" w:lineRule="auto" w:before="0" w:after="0"/>
              <w:pStyle w:val="Compact"/>
            </w:pPr>
            <w:r>
              <w:rPr>
                <w:sz w:val="20"/>
                <w:szCs w:val="20"/>
              </w:rPr>
              <w:t xml:space="preserve">CVE-2019-11634</w:t>
            </w:r>
          </w:p>
        </w:tc>
        <w:tc>
          <w:tcPr>
            <w:tcW w:w="0" w:type="auto"/>
          </w:tcPr>
          <w:p>
            <w:pPr>
              <w:spacing w:line="240" w:lineRule="auto" w:before="0" w:after="0"/>
              <w:pStyle w:val="Compact"/>
            </w:pPr>
            <w:r>
              <w:rPr>
                <w:sz w:val="20"/>
                <w:szCs w:val="20"/>
              </w:rPr>
              <w:t xml:space="preserve">Citrix</w:t>
            </w:r>
          </w:p>
        </w:tc>
        <w:tc>
          <w:tcPr>
            <w:tcW w:w="0" w:type="auto"/>
          </w:tcPr>
          <w:p>
            <w:pPr>
              <w:spacing w:line="240" w:lineRule="auto" w:before="0" w:after="0"/>
              <w:pStyle w:val="Compact"/>
            </w:pPr>
            <w:r>
              <w:rPr>
                <w:sz w:val="20"/>
                <w:szCs w:val="20"/>
              </w:rPr>
              <w:t xml:space="preserve">Workspace Application and Receiver for Windows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2019-05-22</w:t>
            </w:r>
          </w:p>
        </w:tc>
        <w:tc>
          <w:tcPr>
            <w:tcW w:w="0" w:type="auto"/>
          </w:tcPr>
          <w:p>
            <w:pPr>
              <w:spacing w:line="240" w:lineRule="auto" w:before="0" w:after="0"/>
              <w:pStyle w:val="Compact"/>
            </w:pPr>
            <w:r>
              <w:rPr>
                <w:sz w:val="20"/>
                <w:szCs w:val="20"/>
              </w:rPr>
              <w:t xml:space="preserve">2021-11-03</w:t>
            </w:r>
          </w:p>
        </w:tc>
        <w:tc>
          <w:tcPr>
            <w:tcW w:w="0" w:type="auto"/>
          </w:tcPr>
          <w:p>
            <w:pPr>
              <w:spacing w:line="240" w:lineRule="auto" w:before="0" w:after="0"/>
              <w:pStyle w:val="Compact"/>
            </w:pPr>
            <w:r>
              <w:rPr>
                <w:sz w:val="20"/>
                <w:szCs w:val="20"/>
              </w:rPr>
              <w:t xml:space="preserve">896</w:t>
            </w:r>
          </w:p>
        </w:tc>
        <w:tc>
          <w:tcPr>
            <w:tcW w:w="0" w:type="auto"/>
          </w:tcPr>
          <w:p>
            <w:pPr>
              <w:spacing w:line="240" w:lineRule="auto" w:before="0" w:after="0"/>
              <w:pStyle w:val="Compact"/>
            </w:pPr>
            <w:r>
              <w:rPr>
                <w:sz w:val="20"/>
                <w:szCs w:val="20"/>
              </w:rPr>
              <w:t xml:space="preserve">6.7979</w:t>
            </w:r>
          </w:p>
        </w:tc>
        <w:tc>
          <w:tcPr>
            <w:tcW w:w="0" w:type="auto"/>
          </w:tcPr>
          <w:p>
            <w:pPr>
              <w:spacing w:line="240" w:lineRule="auto" w:before="0" w:after="0"/>
              <w:pStyle w:val="Compact"/>
            </w:pPr>
            <w:r>
              <w:rPr>
                <w:sz w:val="20"/>
                <w:szCs w:val="20"/>
              </w:rPr>
              <w:t xml:space="preserve">CISA KEV v2026.06.18 entry CVE-2019-11634 (Citrix Workspace Application and Receiver for Windows; dateAdded 2021-11-03; ransomware=1); NVD CVE API 2.0 CVE-2019-11634 (published 2019-05-22; CVSS V31 base 9.8)</w:t>
            </w:r>
          </w:p>
        </w:tc>
      </w:tr>
      <w:tr>
        <w:tc>
          <w:tcPr>
            <w:tcW w:w="0" w:type="auto"/>
          </w:tcPr>
          <w:p>
            <w:pPr>
              <w:spacing w:line="240" w:lineRule="auto" w:before="0" w:after="0"/>
              <w:pStyle w:val="Compact"/>
            </w:pPr>
            <w:r>
              <w:rPr>
                <w:sz w:val="20"/>
                <w:szCs w:val="20"/>
              </w:rPr>
              <w:t xml:space="preserve">CVE-2023-24489</w:t>
            </w:r>
          </w:p>
        </w:tc>
        <w:tc>
          <w:tcPr>
            <w:tcW w:w="0" w:type="auto"/>
          </w:tcPr>
          <w:p>
            <w:pPr>
              <w:spacing w:line="240" w:lineRule="auto" w:before="0" w:after="0"/>
              <w:pStyle w:val="Compact"/>
            </w:pPr>
            <w:r>
              <w:rPr>
                <w:sz w:val="20"/>
                <w:szCs w:val="20"/>
              </w:rPr>
              <w:t xml:space="preserve">Citrix</w:t>
            </w:r>
          </w:p>
        </w:tc>
        <w:tc>
          <w:tcPr>
            <w:tcW w:w="0" w:type="auto"/>
          </w:tcPr>
          <w:p>
            <w:pPr>
              <w:spacing w:line="240" w:lineRule="auto" w:before="0" w:after="0"/>
              <w:pStyle w:val="Compact"/>
            </w:pPr>
            <w:r>
              <w:rPr>
                <w:sz w:val="20"/>
                <w:szCs w:val="20"/>
              </w:rPr>
              <w:t xml:space="preserve">Content Collaboration</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2023-07-10</w:t>
            </w:r>
          </w:p>
        </w:tc>
        <w:tc>
          <w:tcPr>
            <w:tcW w:w="0" w:type="auto"/>
          </w:tcPr>
          <w:p>
            <w:pPr>
              <w:spacing w:line="240" w:lineRule="auto" w:before="0" w:after="0"/>
              <w:pStyle w:val="Compact"/>
            </w:pPr>
            <w:r>
              <w:rPr>
                <w:sz w:val="20"/>
                <w:szCs w:val="20"/>
              </w:rPr>
              <w:t xml:space="preserve">2023-08-16</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3.6109</w:t>
            </w:r>
          </w:p>
        </w:tc>
        <w:tc>
          <w:tcPr>
            <w:tcW w:w="0" w:type="auto"/>
          </w:tcPr>
          <w:p>
            <w:pPr>
              <w:spacing w:line="240" w:lineRule="auto" w:before="0" w:after="0"/>
              <w:pStyle w:val="Compact"/>
            </w:pPr>
            <w:r>
              <w:rPr>
                <w:sz w:val="20"/>
                <w:szCs w:val="20"/>
              </w:rPr>
              <w:t xml:space="preserve">CISA KEV v2026.06.18 entry CVE-2023-24489 (Citrix Content Collaboration; dateAdded 2023-08-16; ransomware=0); NVD CVE API 2.0 CVE-2023-24489 (published 2023-07-10; CVSS V31 base 9.8)</w:t>
            </w:r>
          </w:p>
        </w:tc>
      </w:tr>
      <w:tr>
        <w:tc>
          <w:tcPr>
            <w:tcW w:w="0" w:type="auto"/>
          </w:tcPr>
          <w:p>
            <w:pPr>
              <w:spacing w:line="240" w:lineRule="auto" w:before="0" w:after="0"/>
              <w:pStyle w:val="Compact"/>
            </w:pPr>
            <w:r>
              <w:rPr>
                <w:sz w:val="20"/>
                <w:szCs w:val="20"/>
              </w:rPr>
              <w:t xml:space="preserve">CVE-2024-8069</w:t>
            </w:r>
          </w:p>
        </w:tc>
        <w:tc>
          <w:tcPr>
            <w:tcW w:w="0" w:type="auto"/>
          </w:tcPr>
          <w:p>
            <w:pPr>
              <w:spacing w:line="240" w:lineRule="auto" w:before="0" w:after="0"/>
              <w:pStyle w:val="Compact"/>
            </w:pPr>
            <w:r>
              <w:rPr>
                <w:sz w:val="20"/>
                <w:szCs w:val="20"/>
              </w:rPr>
              <w:t xml:space="preserve">Citrix</w:t>
            </w:r>
          </w:p>
        </w:tc>
        <w:tc>
          <w:tcPr>
            <w:tcW w:w="0" w:type="auto"/>
          </w:tcPr>
          <w:p>
            <w:pPr>
              <w:spacing w:line="240" w:lineRule="auto" w:before="0" w:after="0"/>
              <w:pStyle w:val="Compact"/>
            </w:pPr>
            <w:r>
              <w:rPr>
                <w:sz w:val="20"/>
                <w:szCs w:val="20"/>
              </w:rPr>
              <w:t xml:space="preserve">Session Recording</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2024-11-12</w:t>
            </w:r>
          </w:p>
        </w:tc>
        <w:tc>
          <w:tcPr>
            <w:tcW w:w="0" w:type="auto"/>
          </w:tcPr>
          <w:p>
            <w:pPr>
              <w:spacing w:line="240" w:lineRule="auto" w:before="0" w:after="0"/>
              <w:pStyle w:val="Compact"/>
            </w:pPr>
            <w:r>
              <w:rPr>
                <w:sz w:val="20"/>
                <w:szCs w:val="20"/>
              </w:rPr>
              <w:t xml:space="preserve">2025-08-25</w:t>
            </w:r>
          </w:p>
        </w:tc>
        <w:tc>
          <w:tcPr>
            <w:tcW w:w="0" w:type="auto"/>
          </w:tcPr>
          <w:p>
            <w:pPr>
              <w:spacing w:line="240" w:lineRule="auto" w:before="0" w:after="0"/>
              <w:pStyle w:val="Compact"/>
            </w:pPr>
            <w:r>
              <w:rPr>
                <w:sz w:val="20"/>
                <w:szCs w:val="20"/>
              </w:rPr>
              <w:t xml:space="preserve">286</w:t>
            </w:r>
          </w:p>
        </w:tc>
        <w:tc>
          <w:tcPr>
            <w:tcW w:w="0" w:type="auto"/>
          </w:tcPr>
          <w:p>
            <w:pPr>
              <w:spacing w:line="240" w:lineRule="auto" w:before="0" w:after="0"/>
              <w:pStyle w:val="Compact"/>
            </w:pPr>
            <w:r>
              <w:rPr>
                <w:sz w:val="20"/>
                <w:szCs w:val="20"/>
              </w:rPr>
              <w:t xml:space="preserve">5.656</w:t>
            </w:r>
          </w:p>
        </w:tc>
        <w:tc>
          <w:tcPr>
            <w:tcW w:w="0" w:type="auto"/>
          </w:tcPr>
          <w:p>
            <w:pPr>
              <w:spacing w:line="240" w:lineRule="auto" w:before="0" w:after="0"/>
              <w:pStyle w:val="Compact"/>
            </w:pPr>
            <w:r>
              <w:rPr>
                <w:sz w:val="20"/>
                <w:szCs w:val="20"/>
              </w:rPr>
              <w:t xml:space="preserve">CISA KEV v2026.06.18 entry CVE-2024-8069 (Citrix Session Recording; dateAdded 2025-08-25; ransomware=0); NVD CVE API 2.0 CVE-2024-8069 (published 2024-11-12; CVSS V31 base 8.0)</w:t>
            </w:r>
          </w:p>
        </w:tc>
      </w:tr>
      <w:tr>
        <w:tc>
          <w:tcPr>
            <w:tcW w:w="0" w:type="auto"/>
          </w:tcPr>
          <w:p>
            <w:pPr>
              <w:spacing w:line="240" w:lineRule="auto" w:before="0" w:after="0"/>
              <w:pStyle w:val="Compact"/>
            </w:pPr>
            <w:r>
              <w:rPr>
                <w:sz w:val="20"/>
                <w:szCs w:val="20"/>
              </w:rPr>
              <w:t xml:space="preserve">CVE-2021-22986</w:t>
            </w:r>
          </w:p>
        </w:tc>
        <w:tc>
          <w:tcPr>
            <w:tcW w:w="0" w:type="auto"/>
          </w:tcPr>
          <w:p>
            <w:pPr>
              <w:spacing w:line="240" w:lineRule="auto" w:before="0" w:after="0"/>
              <w:pStyle w:val="Compact"/>
            </w:pPr>
            <w:r>
              <w:rPr>
                <w:sz w:val="20"/>
                <w:szCs w:val="20"/>
              </w:rPr>
              <w:t xml:space="preserve">F5</w:t>
            </w:r>
          </w:p>
        </w:tc>
        <w:tc>
          <w:tcPr>
            <w:tcW w:w="0" w:type="auto"/>
          </w:tcPr>
          <w:p>
            <w:pPr>
              <w:spacing w:line="240" w:lineRule="auto" w:before="0" w:after="0"/>
              <w:pStyle w:val="Compact"/>
            </w:pPr>
            <w:r>
              <w:rPr>
                <w:sz w:val="20"/>
                <w:szCs w:val="20"/>
              </w:rPr>
              <w:t xml:space="preserve">BIG-IP and BIG-IQ Centralized Management</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2021-03-31</w:t>
            </w:r>
          </w:p>
        </w:tc>
        <w:tc>
          <w:tcPr>
            <w:tcW w:w="0" w:type="auto"/>
          </w:tcPr>
          <w:p>
            <w:pPr>
              <w:spacing w:line="240" w:lineRule="auto" w:before="0" w:after="0"/>
              <w:pStyle w:val="Compact"/>
            </w:pPr>
            <w:r>
              <w:rPr>
                <w:sz w:val="20"/>
                <w:szCs w:val="20"/>
              </w:rPr>
              <w:t xml:space="preserve">2021-11-03</w:t>
            </w:r>
          </w:p>
        </w:tc>
        <w:tc>
          <w:tcPr>
            <w:tcW w:w="0" w:type="auto"/>
          </w:tcPr>
          <w:p>
            <w:pPr>
              <w:spacing w:line="240" w:lineRule="auto" w:before="0" w:after="0"/>
              <w:pStyle w:val="Compact"/>
            </w:pPr>
            <w:r>
              <w:rPr>
                <w:sz w:val="20"/>
                <w:szCs w:val="20"/>
              </w:rPr>
              <w:t xml:space="preserve">217</w:t>
            </w:r>
          </w:p>
        </w:tc>
        <w:tc>
          <w:tcPr>
            <w:tcW w:w="0" w:type="auto"/>
          </w:tcPr>
          <w:p>
            <w:pPr>
              <w:spacing w:line="240" w:lineRule="auto" w:before="0" w:after="0"/>
              <w:pStyle w:val="Compact"/>
            </w:pPr>
            <w:r>
              <w:rPr>
                <w:sz w:val="20"/>
                <w:szCs w:val="20"/>
              </w:rPr>
              <w:t xml:space="preserve">5.3799</w:t>
            </w:r>
          </w:p>
        </w:tc>
        <w:tc>
          <w:tcPr>
            <w:tcW w:w="0" w:type="auto"/>
          </w:tcPr>
          <w:p>
            <w:pPr>
              <w:spacing w:line="240" w:lineRule="auto" w:before="0" w:after="0"/>
              <w:pStyle w:val="Compact"/>
            </w:pPr>
            <w:r>
              <w:rPr>
                <w:sz w:val="20"/>
                <w:szCs w:val="20"/>
              </w:rPr>
              <w:t xml:space="preserve">CISA KEV v2026.06.18 entry CVE-2021-22986 (F5 BIG-IP and BIG-IQ Centralized Management; dateAdded 2021-11-03; ransomware=1); NVD CVE API 2.0 CVE-2021-22986 (published 2021-03-31; CVSS V31 base 9.8)</w:t>
            </w:r>
          </w:p>
        </w:tc>
      </w:tr>
      <w:tr>
        <w:tc>
          <w:tcPr>
            <w:tcW w:w="0" w:type="auto"/>
          </w:tcPr>
          <w:p>
            <w:pPr>
              <w:spacing w:line="240" w:lineRule="auto" w:before="0" w:after="0"/>
              <w:pStyle w:val="Compact"/>
            </w:pPr>
            <w:r>
              <w:rPr>
                <w:sz w:val="20"/>
                <w:szCs w:val="20"/>
              </w:rPr>
              <w:t xml:space="preserve">CVE-2023-46748</w:t>
            </w:r>
          </w:p>
        </w:tc>
        <w:tc>
          <w:tcPr>
            <w:tcW w:w="0" w:type="auto"/>
          </w:tcPr>
          <w:p>
            <w:pPr>
              <w:spacing w:line="240" w:lineRule="auto" w:before="0" w:after="0"/>
              <w:pStyle w:val="Compact"/>
            </w:pPr>
            <w:r>
              <w:rPr>
                <w:sz w:val="20"/>
                <w:szCs w:val="20"/>
              </w:rPr>
              <w:t xml:space="preserve">F5</w:t>
            </w:r>
          </w:p>
        </w:tc>
        <w:tc>
          <w:tcPr>
            <w:tcW w:w="0" w:type="auto"/>
          </w:tcPr>
          <w:p>
            <w:pPr>
              <w:spacing w:line="240" w:lineRule="auto" w:before="0" w:after="0"/>
              <w:pStyle w:val="Compact"/>
            </w:pPr>
            <w:r>
              <w:rPr>
                <w:sz w:val="20"/>
                <w:szCs w:val="20"/>
              </w:rPr>
              <w:t xml:space="preserve">BIG-IP Configuration Utility</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2023-10-26</w:t>
            </w:r>
          </w:p>
        </w:tc>
        <w:tc>
          <w:tcPr>
            <w:tcW w:w="0" w:type="auto"/>
          </w:tcPr>
          <w:p>
            <w:pPr>
              <w:spacing w:line="240" w:lineRule="auto" w:before="0" w:after="0"/>
              <w:pStyle w:val="Compact"/>
            </w:pPr>
            <w:r>
              <w:rPr>
                <w:sz w:val="20"/>
                <w:szCs w:val="20"/>
              </w:rPr>
              <w:t xml:space="preserve">2023-10-31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CISA KEV v2026.06.18 entry CVE-2023-46748 (F5 BIG-IP Configuration Utility; dateAdded 2023-10-31; ransomware=0); NVD CVE API 2.0 CVE-2023-46748 (published 2023-10-26; CVSS V31 base 8.8)</w:t>
            </w:r>
          </w:p>
        </w:tc>
      </w:tr>
      <w:tr>
        <w:tc>
          <w:tcPr>
            <w:tcW w:w="0" w:type="auto"/>
          </w:tcPr>
          <w:p>
            <w:pPr>
              <w:spacing w:line="240" w:lineRule="auto" w:before="0" w:after="0"/>
              <w:pStyle w:val="Compact"/>
            </w:pPr>
            <w:r>
              <w:rPr>
                <w:sz w:val="20"/>
                <w:szCs w:val="20"/>
              </w:rPr>
              <w:t xml:space="preserve">CVE-2019-6693</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FortiOS</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2019-11-21</w:t>
            </w:r>
          </w:p>
        </w:tc>
        <w:tc>
          <w:tcPr>
            <w:tcW w:w="0" w:type="auto"/>
          </w:tcPr>
          <w:p>
            <w:pPr>
              <w:spacing w:line="240" w:lineRule="auto" w:before="0" w:after="0"/>
              <w:pStyle w:val="Compact"/>
            </w:pPr>
            <w:r>
              <w:rPr>
                <w:sz w:val="20"/>
                <w:szCs w:val="20"/>
              </w:rPr>
              <w:t xml:space="preserve">2025-06-25</w:t>
            </w:r>
          </w:p>
        </w:tc>
        <w:tc>
          <w:tcPr>
            <w:tcW w:w="0" w:type="auto"/>
          </w:tcPr>
          <w:p>
            <w:pPr>
              <w:spacing w:line="240" w:lineRule="auto" w:before="0" w:after="0"/>
              <w:pStyle w:val="Compact"/>
            </w:pPr>
            <w:r>
              <w:rPr>
                <w:sz w:val="20"/>
                <w:szCs w:val="20"/>
              </w:rPr>
              <w:t xml:space="preserve">2043</w:t>
            </w:r>
          </w:p>
        </w:tc>
        <w:tc>
          <w:tcPr>
            <w:tcW w:w="0" w:type="auto"/>
          </w:tcPr>
          <w:p>
            <w:pPr>
              <w:spacing w:line="240" w:lineRule="auto" w:before="0" w:after="0"/>
              <w:pStyle w:val="Compact"/>
            </w:pPr>
            <w:r>
              <w:rPr>
                <w:sz w:val="20"/>
                <w:szCs w:val="20"/>
              </w:rPr>
              <w:t xml:space="preserve">7.6222</w:t>
            </w:r>
          </w:p>
        </w:tc>
        <w:tc>
          <w:tcPr>
            <w:tcW w:w="0" w:type="auto"/>
          </w:tcPr>
          <w:p>
            <w:pPr>
              <w:spacing w:line="240" w:lineRule="auto" w:before="0" w:after="0"/>
              <w:pStyle w:val="Compact"/>
            </w:pPr>
            <w:r>
              <w:rPr>
                <w:sz w:val="20"/>
                <w:szCs w:val="20"/>
              </w:rPr>
              <w:t xml:space="preserve">CISA KEV v2026.06.18 entry CVE-2019-6693 (Fortinet FortiOS; dateAdded 2025-06-25; ransomware=1); NVD CVE API 2.0 CVE-2019-6693 (published 2019-11-21; CVSS V31 base 6.5)</w:t>
            </w:r>
          </w:p>
        </w:tc>
      </w:tr>
      <w:tr>
        <w:tc>
          <w:tcPr>
            <w:tcW w:w="0" w:type="auto"/>
          </w:tcPr>
          <w:p>
            <w:pPr>
              <w:spacing w:line="240" w:lineRule="auto" w:before="0" w:after="0"/>
              <w:pStyle w:val="Compact"/>
            </w:pPr>
            <w:r>
              <w:rPr>
                <w:sz w:val="20"/>
                <w:szCs w:val="20"/>
              </w:rPr>
              <w:t xml:space="preserve">CVE-2023-27997</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FortiOS and FortiProxy SSL-VPN</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2023-06-13</w:t>
            </w:r>
          </w:p>
        </w:tc>
        <w:tc>
          <w:tcPr>
            <w:tcW w:w="0" w:type="auto"/>
          </w:tcPr>
          <w:p>
            <w:pPr>
              <w:spacing w:line="240" w:lineRule="auto" w:before="0" w:after="0"/>
              <w:pStyle w:val="Compact"/>
            </w:pPr>
            <w:r>
              <w:rPr>
                <w:sz w:val="20"/>
                <w:szCs w:val="20"/>
              </w:rPr>
              <w:t xml:space="preserve">2023-06-13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CVE-2023-27997 (Fortinet FortiOS and FortiProxy SSL-VPN; dateAdded 2023-06-13; ransomware=1); NVD CVE API 2.0 CVE-2023-27997 (published 2023-06-13; CVSS V31 base 9.8)</w:t>
            </w:r>
          </w:p>
        </w:tc>
      </w:tr>
      <w:tr>
        <w:tc>
          <w:tcPr>
            <w:tcW w:w="0" w:type="auto"/>
          </w:tcPr>
          <w:p>
            <w:pPr>
              <w:spacing w:line="240" w:lineRule="auto" w:before="0" w:after="0"/>
              <w:pStyle w:val="Compact"/>
            </w:pPr>
            <w:r>
              <w:rPr>
                <w:sz w:val="20"/>
                <w:szCs w:val="20"/>
              </w:rPr>
              <w:t xml:space="preserve">CVE-2024-23113</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Multiple Products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2024-02-15</w:t>
            </w:r>
          </w:p>
        </w:tc>
        <w:tc>
          <w:tcPr>
            <w:tcW w:w="0" w:type="auto"/>
          </w:tcPr>
          <w:p>
            <w:pPr>
              <w:spacing w:line="240" w:lineRule="auto" w:before="0" w:after="0"/>
              <w:pStyle w:val="Compact"/>
            </w:pPr>
            <w:r>
              <w:rPr>
                <w:sz w:val="20"/>
                <w:szCs w:val="20"/>
              </w:rPr>
              <w:t xml:space="preserve">2024-10-09</w:t>
            </w:r>
          </w:p>
        </w:tc>
        <w:tc>
          <w:tcPr>
            <w:tcW w:w="0" w:type="auto"/>
          </w:tcPr>
          <w:p>
            <w:pPr>
              <w:spacing w:line="240" w:lineRule="auto" w:before="0" w:after="0"/>
              <w:pStyle w:val="Compact"/>
            </w:pPr>
            <w:r>
              <w:rPr>
                <w:sz w:val="20"/>
                <w:szCs w:val="20"/>
              </w:rPr>
              <w:t xml:space="preserve">237</w:t>
            </w:r>
          </w:p>
        </w:tc>
        <w:tc>
          <w:tcPr>
            <w:tcW w:w="0" w:type="auto"/>
          </w:tcPr>
          <w:p>
            <w:pPr>
              <w:spacing w:line="240" w:lineRule="auto" w:before="0" w:after="0"/>
              <w:pStyle w:val="Compact"/>
            </w:pPr>
            <w:r>
              <w:rPr>
                <w:sz w:val="20"/>
                <w:szCs w:val="20"/>
              </w:rPr>
              <w:t xml:space="preserve">5.4681</w:t>
            </w:r>
          </w:p>
        </w:tc>
        <w:tc>
          <w:tcPr>
            <w:tcW w:w="0" w:type="auto"/>
          </w:tcPr>
          <w:p>
            <w:pPr>
              <w:spacing w:line="240" w:lineRule="auto" w:before="0" w:after="0"/>
              <w:pStyle w:val="Compact"/>
            </w:pPr>
            <w:r>
              <w:rPr>
                <w:sz w:val="20"/>
                <w:szCs w:val="20"/>
              </w:rPr>
              <w:t xml:space="preserve">CISA KEV v2026.06.18 entry CVE-2024-23113 (Fortinet Multiple Products; dateAdded 2024-10-09; ransomware=0); NVD CVE API 2.0 CVE-2024-23113 (published 2024-02-15; CVSS V31 base 9.8)</w:t>
            </w:r>
          </w:p>
        </w:tc>
      </w:tr>
      <w:tr>
        <w:tc>
          <w:tcPr>
            <w:tcW w:w="0" w:type="auto"/>
          </w:tcPr>
          <w:p>
            <w:pPr>
              <w:spacing w:line="240" w:lineRule="auto" w:before="0" w:after="0"/>
              <w:pStyle w:val="Compact"/>
            </w:pPr>
            <w:r>
              <w:rPr>
                <w:sz w:val="20"/>
                <w:szCs w:val="20"/>
              </w:rPr>
              <w:t xml:space="preserve">CVE-2024-47575</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FortiManager</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2024-10-23</w:t>
            </w:r>
          </w:p>
        </w:tc>
        <w:tc>
          <w:tcPr>
            <w:tcW w:w="0" w:type="auto"/>
          </w:tcPr>
          <w:p>
            <w:pPr>
              <w:spacing w:line="240" w:lineRule="auto" w:before="0" w:after="0"/>
              <w:pStyle w:val="Compact"/>
            </w:pPr>
            <w:r>
              <w:rPr>
                <w:sz w:val="20"/>
                <w:szCs w:val="20"/>
              </w:rPr>
              <w:t xml:space="preserve">2024-10-23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CVE-2024-47575 (Fortinet FortiManager; dateAdded 2024-10-23; ransomware=0); NVD CVE API 2.0 CVE-2024-47575 (published 2024-10-23; CVSS V31 base 9.8)</w:t>
            </w:r>
          </w:p>
        </w:tc>
      </w:tr>
      <w:tr>
        <w:tc>
          <w:tcPr>
            <w:tcW w:w="0" w:type="auto"/>
          </w:tcPr>
          <w:p>
            <w:pPr>
              <w:spacing w:line="240" w:lineRule="auto" w:before="0" w:after="0"/>
              <w:pStyle w:val="Compact"/>
            </w:pPr>
            <w:r>
              <w:rPr>
                <w:sz w:val="20"/>
                <w:szCs w:val="20"/>
              </w:rPr>
              <w:t xml:space="preserve">CVE-2021-44529</w:t>
            </w:r>
          </w:p>
        </w:tc>
        <w:tc>
          <w:tcPr>
            <w:tcW w:w="0" w:type="auto"/>
          </w:tcPr>
          <w:p>
            <w:pPr>
              <w:spacing w:line="240" w:lineRule="auto" w:before="0" w:after="0"/>
              <w:pStyle w:val="Compact"/>
            </w:pPr>
            <w:r>
              <w:rPr>
                <w:sz w:val="20"/>
                <w:szCs w:val="20"/>
              </w:rPr>
              <w:t xml:space="preserve">Ivanti</w:t>
            </w:r>
          </w:p>
        </w:tc>
        <w:tc>
          <w:tcPr>
            <w:tcW w:w="0" w:type="auto"/>
          </w:tcPr>
          <w:p>
            <w:pPr>
              <w:spacing w:line="240" w:lineRule="auto" w:before="0" w:after="0"/>
              <w:pStyle w:val="Compact"/>
            </w:pPr>
            <w:r>
              <w:rPr>
                <w:sz w:val="20"/>
                <w:szCs w:val="20"/>
              </w:rPr>
              <w:t xml:space="preserve">Endpoint Manager Cloud Service Appliance (EPM CSA)</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2021-12-08</w:t>
            </w:r>
          </w:p>
        </w:tc>
        <w:tc>
          <w:tcPr>
            <w:tcW w:w="0" w:type="auto"/>
          </w:tcPr>
          <w:p>
            <w:pPr>
              <w:spacing w:line="240" w:lineRule="auto" w:before="0" w:after="0"/>
              <w:pStyle w:val="Compact"/>
            </w:pPr>
            <w:r>
              <w:rPr>
                <w:sz w:val="20"/>
                <w:szCs w:val="20"/>
              </w:rPr>
              <w:t xml:space="preserve">2024-03-25</w:t>
            </w:r>
          </w:p>
        </w:tc>
        <w:tc>
          <w:tcPr>
            <w:tcW w:w="0" w:type="auto"/>
          </w:tcPr>
          <w:p>
            <w:pPr>
              <w:spacing w:line="240" w:lineRule="auto" w:before="0" w:after="0"/>
              <w:pStyle w:val="Compact"/>
            </w:pPr>
            <w:r>
              <w:rPr>
                <w:sz w:val="20"/>
                <w:szCs w:val="20"/>
              </w:rPr>
              <w:t xml:space="preserve">838</w:t>
            </w:r>
          </w:p>
        </w:tc>
        <w:tc>
          <w:tcPr>
            <w:tcW w:w="0" w:type="auto"/>
          </w:tcPr>
          <w:p>
            <w:pPr>
              <w:spacing w:line="240" w:lineRule="auto" w:before="0" w:after="0"/>
              <w:pStyle w:val="Compact"/>
            </w:pPr>
            <w:r>
              <w:rPr>
                <w:sz w:val="20"/>
                <w:szCs w:val="20"/>
              </w:rPr>
              <w:t xml:space="preserve">6.731</w:t>
            </w:r>
          </w:p>
        </w:tc>
        <w:tc>
          <w:tcPr>
            <w:tcW w:w="0" w:type="auto"/>
          </w:tcPr>
          <w:p>
            <w:pPr>
              <w:spacing w:line="240" w:lineRule="auto" w:before="0" w:after="0"/>
              <w:pStyle w:val="Compact"/>
            </w:pPr>
            <w:r>
              <w:rPr>
                <w:sz w:val="20"/>
                <w:szCs w:val="20"/>
              </w:rPr>
              <w:t xml:space="preserve">CISA KEV v2026.06.18 entry CVE-2021-44529 (Ivanti Endpoint Manager Cloud Service Appliance (EPM CSA); dateAdded 2024-03-25; ransomware=1); NVD CVE API 2.0 CVE-2021-44529 (published 2021-12-08; CVSS V31 base 9.8)</w:t>
            </w:r>
          </w:p>
        </w:tc>
      </w:tr>
      <w:tr>
        <w:tc>
          <w:tcPr>
            <w:tcW w:w="0" w:type="auto"/>
          </w:tcPr>
          <w:p>
            <w:pPr>
              <w:spacing w:line="240" w:lineRule="auto" w:before="0" w:after="0"/>
              <w:pStyle w:val="Compact"/>
            </w:pPr>
            <w:r>
              <w:rPr>
                <w:sz w:val="20"/>
                <w:szCs w:val="20"/>
              </w:rPr>
              <w:t xml:space="preserve">CVE-2025-0282</w:t>
            </w:r>
          </w:p>
        </w:tc>
        <w:tc>
          <w:tcPr>
            <w:tcW w:w="0" w:type="auto"/>
          </w:tcPr>
          <w:p>
            <w:pPr>
              <w:spacing w:line="240" w:lineRule="auto" w:before="0" w:after="0"/>
              <w:pStyle w:val="Compact"/>
            </w:pPr>
            <w:r>
              <w:rPr>
                <w:sz w:val="20"/>
                <w:szCs w:val="20"/>
              </w:rPr>
              <w:t xml:space="preserve">Ivanti</w:t>
            </w:r>
          </w:p>
        </w:tc>
        <w:tc>
          <w:tcPr>
            <w:tcW w:w="0" w:type="auto"/>
          </w:tcPr>
          <w:p>
            <w:pPr>
              <w:spacing w:line="240" w:lineRule="auto" w:before="0" w:after="0"/>
              <w:pStyle w:val="Compact"/>
            </w:pPr>
            <w:r>
              <w:rPr>
                <w:sz w:val="20"/>
                <w:szCs w:val="20"/>
              </w:rPr>
              <w:t xml:space="preserve">Connect Secure, Policy Secure, and ZTA Gateways</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2025-01-08</w:t>
            </w:r>
          </w:p>
        </w:tc>
        <w:tc>
          <w:tcPr>
            <w:tcW w:w="0" w:type="auto"/>
          </w:tcPr>
          <w:p>
            <w:pPr>
              <w:spacing w:line="240" w:lineRule="auto" w:before="0" w:after="0"/>
              <w:pStyle w:val="Compact"/>
            </w:pPr>
            <w:r>
              <w:rPr>
                <w:sz w:val="20"/>
                <w:szCs w:val="20"/>
              </w:rPr>
              <w:t xml:space="preserve">2025-01-08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CVE-2025-0282 (Ivanti Connect Secure, Policy Secure, and ZTA Gateways; dateAdded 2025-01-08; ransomware=1); NVD CVE API 2.0 CVE-2025-0282 (published 2025-01-08; CVSS V31 base 9.0)</w:t>
            </w:r>
          </w:p>
        </w:tc>
      </w:tr>
      <w:tr>
        <w:tc>
          <w:tcPr>
            <w:tcW w:w="0" w:type="auto"/>
          </w:tcPr>
          <w:p>
            <w:pPr>
              <w:spacing w:line="240" w:lineRule="auto" w:before="0" w:after="0"/>
              <w:pStyle w:val="Compact"/>
            </w:pPr>
            <w:r>
              <w:rPr>
                <w:sz w:val="20"/>
                <w:szCs w:val="20"/>
              </w:rPr>
              <w:t xml:space="preserve">CVE-2025-4427</w:t>
            </w:r>
          </w:p>
        </w:tc>
        <w:tc>
          <w:tcPr>
            <w:tcW w:w="0" w:type="auto"/>
          </w:tcPr>
          <w:p>
            <w:pPr>
              <w:spacing w:line="240" w:lineRule="auto" w:before="0" w:after="0"/>
              <w:pStyle w:val="Compact"/>
            </w:pPr>
            <w:r>
              <w:rPr>
                <w:sz w:val="20"/>
                <w:szCs w:val="20"/>
              </w:rPr>
              <w:t xml:space="preserve">Ivanti</w:t>
            </w:r>
          </w:p>
        </w:tc>
        <w:tc>
          <w:tcPr>
            <w:tcW w:w="0" w:type="auto"/>
          </w:tcPr>
          <w:p>
            <w:pPr>
              <w:spacing w:line="240" w:lineRule="auto" w:before="0" w:after="0"/>
              <w:pStyle w:val="Compact"/>
            </w:pPr>
            <w:r>
              <w:rPr>
                <w:sz w:val="20"/>
                <w:szCs w:val="20"/>
              </w:rPr>
              <w:t xml:space="preserve">Endpoint Manager Mobile (EPMM)</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2025-05-13</w:t>
            </w:r>
          </w:p>
        </w:tc>
        <w:tc>
          <w:tcPr>
            <w:tcW w:w="0" w:type="auto"/>
          </w:tcPr>
          <w:p>
            <w:pPr>
              <w:spacing w:line="240" w:lineRule="auto" w:before="0" w:after="0"/>
              <w:pStyle w:val="Compact"/>
            </w:pPr>
            <w:r>
              <w:rPr>
                <w:sz w:val="20"/>
                <w:szCs w:val="20"/>
              </w:rPr>
              <w:t xml:space="preserve">2025-05-19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CISA KEV v2026.06.18 entry CVE-2025-4427 (Ivanti Endpoint Manager Mobile (EPMM); dateAdded 2025-05-19; ransomware=0); NVD CVE API 2.0 CVE-2025-4427 (published 2025-05-13; CVSS V31 base 5.3)</w:t>
            </w:r>
          </w:p>
        </w:tc>
      </w:tr>
      <w:tr>
        <w:tc>
          <w:tcPr>
            <w:tcW w:w="0" w:type="auto"/>
          </w:tcPr>
          <w:p>
            <w:pPr>
              <w:spacing w:line="240" w:lineRule="auto" w:before="0" w:after="0"/>
              <w:pStyle w:val="Compact"/>
            </w:pPr>
            <w:r>
              <w:rPr>
                <w:sz w:val="20"/>
                <w:szCs w:val="20"/>
              </w:rPr>
              <w:t xml:space="preserve">CVE-2026-1281</w:t>
            </w:r>
          </w:p>
        </w:tc>
        <w:tc>
          <w:tcPr>
            <w:tcW w:w="0" w:type="auto"/>
          </w:tcPr>
          <w:p>
            <w:pPr>
              <w:spacing w:line="240" w:lineRule="auto" w:before="0" w:after="0"/>
              <w:pStyle w:val="Compact"/>
            </w:pPr>
            <w:r>
              <w:rPr>
                <w:sz w:val="20"/>
                <w:szCs w:val="20"/>
              </w:rPr>
              <w:t xml:space="preserve">Ivanti</w:t>
            </w:r>
          </w:p>
        </w:tc>
        <w:tc>
          <w:tcPr>
            <w:tcW w:w="0" w:type="auto"/>
          </w:tcPr>
          <w:p>
            <w:pPr>
              <w:spacing w:line="240" w:lineRule="auto" w:before="0" w:after="0"/>
              <w:pStyle w:val="Compact"/>
            </w:pPr>
            <w:r>
              <w:rPr>
                <w:sz w:val="20"/>
                <w:szCs w:val="20"/>
              </w:rPr>
              <w:t xml:space="preserve">Endpoint Manager Mobile (EPMM)</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2026-01-29</w:t>
            </w:r>
          </w:p>
        </w:tc>
        <w:tc>
          <w:tcPr>
            <w:tcW w:w="0" w:type="auto"/>
          </w:tcPr>
          <w:p>
            <w:pPr>
              <w:spacing w:line="240" w:lineRule="auto" w:before="0" w:after="0"/>
              <w:pStyle w:val="Compact"/>
            </w:pPr>
            <w:r>
              <w:rPr>
                <w:sz w:val="20"/>
                <w:szCs w:val="20"/>
              </w:rPr>
              <w:t xml:space="preserve">2026-01-29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CVE-2026-1281 (Ivanti Endpoint Manager Mobile (EPMM); dateAdded 2026-01-29; ransomware=0); NVD CVE API 2.0 CVE-2026-1281 (published 2026-01-29; CVSS V31 base 9.8)</w:t>
            </w:r>
          </w:p>
        </w:tc>
      </w:tr>
      <w:tr>
        <w:tc>
          <w:tcPr>
            <w:tcW w:w="0" w:type="auto"/>
          </w:tcPr>
          <w:p>
            <w:pPr>
              <w:spacing w:line="240" w:lineRule="auto" w:before="0" w:after="0"/>
              <w:pStyle w:val="Compact"/>
            </w:pPr>
            <w:r>
              <w:rPr>
                <w:sz w:val="20"/>
                <w:szCs w:val="20"/>
              </w:rPr>
              <w:t xml:space="preserve">CVE-2023-36845</w:t>
            </w:r>
          </w:p>
        </w:tc>
        <w:tc>
          <w:tcPr>
            <w:tcW w:w="0" w:type="auto"/>
          </w:tcPr>
          <w:p>
            <w:pPr>
              <w:spacing w:line="240" w:lineRule="auto" w:before="0" w:after="0"/>
              <w:pStyle w:val="Compact"/>
            </w:pPr>
            <w:r>
              <w:rPr>
                <w:sz w:val="20"/>
                <w:szCs w:val="20"/>
              </w:rPr>
              <w:t xml:space="preserve">Juniper</w:t>
            </w:r>
          </w:p>
        </w:tc>
        <w:tc>
          <w:tcPr>
            <w:tcW w:w="0" w:type="auto"/>
          </w:tcPr>
          <w:p>
            <w:pPr>
              <w:spacing w:line="240" w:lineRule="auto" w:before="0" w:after="0"/>
              <w:pStyle w:val="Compact"/>
            </w:pPr>
            <w:r>
              <w:rPr>
                <w:sz w:val="20"/>
                <w:szCs w:val="20"/>
              </w:rPr>
              <w:t xml:space="preserve">Junos OS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2023-08-17</w:t>
            </w:r>
          </w:p>
        </w:tc>
        <w:tc>
          <w:tcPr>
            <w:tcW w:w="0" w:type="auto"/>
          </w:tcPr>
          <w:p>
            <w:pPr>
              <w:spacing w:line="240" w:lineRule="auto" w:before="0" w:after="0"/>
              <w:pStyle w:val="Compact"/>
            </w:pPr>
            <w:r>
              <w:rPr>
                <w:sz w:val="20"/>
                <w:szCs w:val="20"/>
              </w:rPr>
              <w:t xml:space="preserve">2023-11-13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4.4773</w:t>
            </w:r>
          </w:p>
        </w:tc>
        <w:tc>
          <w:tcPr>
            <w:tcW w:w="0" w:type="auto"/>
          </w:tcPr>
          <w:p>
            <w:pPr>
              <w:spacing w:line="240" w:lineRule="auto" w:before="0" w:after="0"/>
              <w:pStyle w:val="Compact"/>
            </w:pPr>
            <w:r>
              <w:rPr>
                <w:sz w:val="20"/>
                <w:szCs w:val="20"/>
              </w:rPr>
              <w:t xml:space="preserve">CISA KEV v2026.06.18 entry CVE-2023-36845 (Juniper Junos OS; dateAdded 2023-11-13; ransomware=0); NVD CVE API 2.0 CVE-2023-36845 (published 2023-08-17; CVSS V31 base 9.8)</w:t>
            </w:r>
          </w:p>
        </w:tc>
      </w:tr>
      <w:tr>
        <w:tc>
          <w:tcPr>
            <w:tcW w:w="0" w:type="auto"/>
          </w:tcPr>
          <w:p>
            <w:pPr>
              <w:spacing w:line="240" w:lineRule="auto" w:before="0" w:after="0"/>
              <w:pStyle w:val="Compact"/>
            </w:pPr>
            <w:r>
              <w:rPr>
                <w:sz w:val="20"/>
                <w:szCs w:val="20"/>
              </w:rPr>
              <w:t xml:space="preserve">CVE-2023-36846</w:t>
            </w:r>
          </w:p>
        </w:tc>
        <w:tc>
          <w:tcPr>
            <w:tcW w:w="0" w:type="auto"/>
          </w:tcPr>
          <w:p>
            <w:pPr>
              <w:spacing w:line="240" w:lineRule="auto" w:before="0" w:after="0"/>
              <w:pStyle w:val="Compact"/>
            </w:pPr>
            <w:r>
              <w:rPr>
                <w:sz w:val="20"/>
                <w:szCs w:val="20"/>
              </w:rPr>
              <w:t xml:space="preserve">Juniper</w:t>
            </w:r>
          </w:p>
        </w:tc>
        <w:tc>
          <w:tcPr>
            <w:tcW w:w="0" w:type="auto"/>
          </w:tcPr>
          <w:p>
            <w:pPr>
              <w:spacing w:line="240" w:lineRule="auto" w:before="0" w:after="0"/>
              <w:pStyle w:val="Compact"/>
            </w:pPr>
            <w:r>
              <w:rPr>
                <w:sz w:val="20"/>
                <w:szCs w:val="20"/>
              </w:rPr>
              <w:t xml:space="preserve">Junos OS</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2023-08-17</w:t>
            </w:r>
          </w:p>
        </w:tc>
        <w:tc>
          <w:tcPr>
            <w:tcW w:w="0" w:type="auto"/>
          </w:tcPr>
          <w:p>
            <w:pPr>
              <w:spacing w:line="240" w:lineRule="auto" w:before="0" w:after="0"/>
              <w:pStyle w:val="Compact"/>
            </w:pPr>
            <w:r>
              <w:rPr>
                <w:sz w:val="20"/>
                <w:szCs w:val="20"/>
              </w:rPr>
              <w:t xml:space="preserve">2023-11-13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4.4773</w:t>
            </w:r>
          </w:p>
        </w:tc>
        <w:tc>
          <w:tcPr>
            <w:tcW w:w="0" w:type="auto"/>
          </w:tcPr>
          <w:p>
            <w:pPr>
              <w:spacing w:line="240" w:lineRule="auto" w:before="0" w:after="0"/>
              <w:pStyle w:val="Compact"/>
            </w:pPr>
            <w:r>
              <w:rPr>
                <w:sz w:val="20"/>
                <w:szCs w:val="20"/>
              </w:rPr>
              <w:t xml:space="preserve">CISA KEV v2026.06.18 entry CVE-2023-36846 (Juniper Junos OS; dateAdded 2023-11-13; ransomware=0); NVD CVE API 2.0 CVE-2023-36846 (published 2023-08-17; CVSS V31 base 5.3)</w:t>
            </w:r>
          </w:p>
        </w:tc>
      </w:tr>
      <w:tr>
        <w:tc>
          <w:tcPr>
            <w:tcW w:w="0" w:type="auto"/>
          </w:tcPr>
          <w:p>
            <w:pPr>
              <w:spacing w:line="240" w:lineRule="auto" w:before="0" w:after="0"/>
              <w:pStyle w:val="Compact"/>
            </w:pPr>
            <w:r>
              <w:rPr>
                <w:sz w:val="20"/>
                <w:szCs w:val="20"/>
              </w:rPr>
              <w:t xml:space="preserve">CVE-2024-3393</w:t>
            </w:r>
          </w:p>
        </w:tc>
        <w:tc>
          <w:tcPr>
            <w:tcW w:w="0" w:type="auto"/>
          </w:tcPr>
          <w:p>
            <w:pPr>
              <w:spacing w:line="240" w:lineRule="auto" w:before="0" w:after="0"/>
              <w:pStyle w:val="Compact"/>
            </w:pPr>
            <w:r>
              <w:rPr>
                <w:sz w:val="20"/>
                <w:szCs w:val="20"/>
              </w:rPr>
              <w:t xml:space="preserve">Palo Alto Networks</w:t>
            </w:r>
          </w:p>
        </w:tc>
        <w:tc>
          <w:tcPr>
            <w:tcW w:w="0" w:type="auto"/>
          </w:tcPr>
          <w:p>
            <w:pPr>
              <w:spacing w:line="240" w:lineRule="auto" w:before="0" w:after="0"/>
              <w:pStyle w:val="Compact"/>
            </w:pPr>
            <w:r>
              <w:rPr>
                <w:sz w:val="20"/>
                <w:szCs w:val="20"/>
              </w:rPr>
              <w:t xml:space="preserve">PAN-OS</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2024-12-27</w:t>
            </w:r>
          </w:p>
        </w:tc>
        <w:tc>
          <w:tcPr>
            <w:tcW w:w="0" w:type="auto"/>
          </w:tcPr>
          <w:p>
            <w:pPr>
              <w:spacing w:line="240" w:lineRule="auto" w:before="0" w:after="0"/>
              <w:pStyle w:val="Compact"/>
            </w:pPr>
            <w:r>
              <w:rPr>
                <w:sz w:val="20"/>
                <w:szCs w:val="20"/>
              </w:rPr>
              <w:t xml:space="preserve">2024-12-30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CISA KEV v2026.06.18 entry CVE-2024-3393 (Palo Alto Networks PAN-OS; dateAdded 2024-12-30; ransomware=0); NVD CVE API 2.0 CVE-2024-3393 (published 2024-12-27; CVSS V31 base 7.5)</w:t>
            </w:r>
          </w:p>
        </w:tc>
      </w:tr>
      <w:tr>
        <w:tc>
          <w:tcPr>
            <w:tcW w:w="0" w:type="auto"/>
          </w:tcPr>
          <w:p>
            <w:pPr>
              <w:spacing w:line="240" w:lineRule="auto" w:before="0" w:after="0"/>
              <w:pStyle w:val="Compact"/>
            </w:pPr>
            <w:r>
              <w:rPr>
                <w:sz w:val="20"/>
                <w:szCs w:val="20"/>
              </w:rPr>
              <w:t xml:space="preserve">CVE-2024-3400</w:t>
            </w:r>
          </w:p>
        </w:tc>
        <w:tc>
          <w:tcPr>
            <w:tcW w:w="0" w:type="auto"/>
          </w:tcPr>
          <w:p>
            <w:pPr>
              <w:spacing w:line="240" w:lineRule="auto" w:before="0" w:after="0"/>
              <w:pStyle w:val="Compact"/>
            </w:pPr>
            <w:r>
              <w:rPr>
                <w:sz w:val="20"/>
                <w:szCs w:val="20"/>
              </w:rPr>
              <w:t xml:space="preserve">Palo Alto Networks</w:t>
            </w:r>
          </w:p>
        </w:tc>
        <w:tc>
          <w:tcPr>
            <w:tcW w:w="0" w:type="auto"/>
          </w:tcPr>
          <w:p>
            <w:pPr>
              <w:spacing w:line="240" w:lineRule="auto" w:before="0" w:after="0"/>
              <w:pStyle w:val="Compact"/>
            </w:pPr>
            <w:r>
              <w:rPr>
                <w:sz w:val="20"/>
                <w:szCs w:val="20"/>
              </w:rPr>
              <w:t xml:space="preserve">PAN-OS</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2024-04-12</w:t>
            </w:r>
          </w:p>
        </w:tc>
        <w:tc>
          <w:tcPr>
            <w:tcW w:w="0" w:type="auto"/>
          </w:tcPr>
          <w:p>
            <w:pPr>
              <w:spacing w:line="240" w:lineRule="auto" w:before="0" w:after="0"/>
              <w:pStyle w:val="Compact"/>
            </w:pPr>
            <w:r>
              <w:rPr>
                <w:sz w:val="20"/>
                <w:szCs w:val="20"/>
              </w:rPr>
              <w:t xml:space="preserve">2024-04-12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CVE-2024-3400 (Palo Alto Networks PAN-OS; dateAdded 2024-04-12; ransomware=1); NVD CVE API 2.0 CVE-2024-3400 (published 2024-04-12; CVSS V31 base 10.0)</w:t>
            </w:r>
          </w:p>
        </w:tc>
      </w:tr>
      <w:tr>
        <w:tc>
          <w:tcPr>
            <w:tcW w:w="0" w:type="auto"/>
          </w:tcPr>
          <w:p>
            <w:pPr>
              <w:spacing w:line="240" w:lineRule="auto" w:before="0" w:after="0"/>
              <w:pStyle w:val="Compact"/>
            </w:pPr>
            <w:r>
              <w:rPr>
                <w:sz w:val="20"/>
                <w:szCs w:val="20"/>
              </w:rPr>
              <w:t xml:space="preserve">CVE-2025-0111</w:t>
            </w:r>
          </w:p>
        </w:tc>
        <w:tc>
          <w:tcPr>
            <w:tcW w:w="0" w:type="auto"/>
          </w:tcPr>
          <w:p>
            <w:pPr>
              <w:spacing w:line="240" w:lineRule="auto" w:before="0" w:after="0"/>
              <w:pStyle w:val="Compact"/>
            </w:pPr>
            <w:r>
              <w:rPr>
                <w:sz w:val="20"/>
                <w:szCs w:val="20"/>
              </w:rPr>
              <w:t xml:space="preserve">Palo Alto Networks</w:t>
            </w:r>
          </w:p>
        </w:tc>
        <w:tc>
          <w:tcPr>
            <w:tcW w:w="0" w:type="auto"/>
          </w:tcPr>
          <w:p>
            <w:pPr>
              <w:spacing w:line="240" w:lineRule="auto" w:before="0" w:after="0"/>
              <w:pStyle w:val="Compact"/>
            </w:pPr>
            <w:r>
              <w:rPr>
                <w:sz w:val="20"/>
                <w:szCs w:val="20"/>
              </w:rPr>
              <w:t xml:space="preserve">PAN-OS</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2025-02-12</w:t>
            </w:r>
          </w:p>
        </w:tc>
        <w:tc>
          <w:tcPr>
            <w:tcW w:w="0" w:type="auto"/>
          </w:tcPr>
          <w:p>
            <w:pPr>
              <w:spacing w:line="240" w:lineRule="auto" w:before="0" w:after="0"/>
              <w:pStyle w:val="Compact"/>
            </w:pPr>
            <w:r>
              <w:rPr>
                <w:sz w:val="20"/>
                <w:szCs w:val="20"/>
              </w:rPr>
              <w:t xml:space="preserve">2025-02-20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CISA KEV v2026.06.18 entry CVE-2025-0111 (Palo Alto Networks PAN-OS; dateAdded 2025-02-20; ransomware=0); NVD CVE API 2.0 CVE-2025-0111 (published 2025-02-12; CVSS V31 base 6.5)</w:t>
            </w:r>
          </w:p>
        </w:tc>
      </w:tr>
      <w:tr>
        <w:tc>
          <w:tcPr>
            <w:tcW w:w="0" w:type="auto"/>
          </w:tcPr>
          <w:p>
            <w:pPr>
              <w:spacing w:line="240" w:lineRule="auto" w:before="0" w:after="0"/>
              <w:pStyle w:val="Compact"/>
            </w:pPr>
            <w:r>
              <w:rPr>
                <w:sz w:val="20"/>
                <w:szCs w:val="20"/>
              </w:rPr>
              <w:t xml:space="preserve">CVE-2020-8218</w:t>
            </w:r>
          </w:p>
        </w:tc>
        <w:tc>
          <w:tcPr>
            <w:tcW w:w="0" w:type="auto"/>
          </w:tcPr>
          <w:p>
            <w:pPr>
              <w:spacing w:line="240" w:lineRule="auto" w:before="0" w:after="0"/>
              <w:pStyle w:val="Compact"/>
            </w:pPr>
            <w:r>
              <w:rPr>
                <w:sz w:val="20"/>
                <w:szCs w:val="20"/>
              </w:rPr>
              <w:t xml:space="preserve">Pulse Secure</w:t>
            </w:r>
          </w:p>
        </w:tc>
        <w:tc>
          <w:tcPr>
            <w:tcW w:w="0" w:type="auto"/>
          </w:tcPr>
          <w:p>
            <w:pPr>
              <w:spacing w:line="240" w:lineRule="auto" w:before="0" w:after="0"/>
              <w:pStyle w:val="Compact"/>
            </w:pPr>
            <w:r>
              <w:rPr>
                <w:sz w:val="20"/>
                <w:szCs w:val="20"/>
              </w:rPr>
              <w:t xml:space="preserve">Pulse Connect Secure</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2020-07-30</w:t>
            </w:r>
          </w:p>
        </w:tc>
        <w:tc>
          <w:tcPr>
            <w:tcW w:w="0" w:type="auto"/>
          </w:tcPr>
          <w:p>
            <w:pPr>
              <w:spacing w:line="240" w:lineRule="auto" w:before="0" w:after="0"/>
              <w:pStyle w:val="Compact"/>
            </w:pPr>
            <w:r>
              <w:rPr>
                <w:sz w:val="20"/>
                <w:szCs w:val="20"/>
              </w:rPr>
              <w:t xml:space="preserve">2022-03-07</w:t>
            </w:r>
          </w:p>
        </w:tc>
        <w:tc>
          <w:tcPr>
            <w:tcW w:w="0" w:type="auto"/>
          </w:tcPr>
          <w:p>
            <w:pPr>
              <w:spacing w:line="240" w:lineRule="auto" w:before="0" w:after="0"/>
              <w:pStyle w:val="Compact"/>
            </w:pPr>
            <w:r>
              <w:rPr>
                <w:sz w:val="20"/>
                <w:szCs w:val="20"/>
              </w:rPr>
              <w:t xml:space="preserve">585</w:t>
            </w:r>
          </w:p>
        </w:tc>
        <w:tc>
          <w:tcPr>
            <w:tcW w:w="0" w:type="auto"/>
          </w:tcPr>
          <w:p>
            <w:pPr>
              <w:spacing w:line="240" w:lineRule="auto" w:before="0" w:after="0"/>
              <w:pStyle w:val="Compact"/>
            </w:pPr>
            <w:r>
              <w:rPr>
                <w:sz w:val="20"/>
                <w:szCs w:val="20"/>
              </w:rPr>
              <w:t xml:space="preserve">6.3716</w:t>
            </w:r>
          </w:p>
        </w:tc>
        <w:tc>
          <w:tcPr>
            <w:tcW w:w="0" w:type="auto"/>
          </w:tcPr>
          <w:p>
            <w:pPr>
              <w:spacing w:line="240" w:lineRule="auto" w:before="0" w:after="0"/>
              <w:pStyle w:val="Compact"/>
            </w:pPr>
            <w:r>
              <w:rPr>
                <w:sz w:val="20"/>
                <w:szCs w:val="20"/>
              </w:rPr>
              <w:t xml:space="preserve">CISA KEV v2026.06.18 entry CVE-2020-8218 (Pulse Secure Pulse Connect Secure; dateAdded 2022-03-07; ransomware=0); NVD CVE API 2.0 CVE-2020-8218 (published 2020-07-30; CVSS V31 base 7.2)</w:t>
            </w:r>
          </w:p>
        </w:tc>
      </w:tr>
      <w:tr>
        <w:tc>
          <w:tcPr>
            <w:tcW w:w="0" w:type="auto"/>
          </w:tcPr>
          <w:p>
            <w:pPr>
              <w:spacing w:line="240" w:lineRule="auto" w:before="0" w:after="0"/>
              <w:pStyle w:val="Compact"/>
            </w:pPr>
            <w:r>
              <w:rPr>
                <w:sz w:val="20"/>
                <w:szCs w:val="20"/>
              </w:rPr>
              <w:t xml:space="preserve">CVE-2019-7483</w:t>
            </w:r>
          </w:p>
        </w:tc>
        <w:tc>
          <w:tcPr>
            <w:tcW w:w="0" w:type="auto"/>
          </w:tcPr>
          <w:p>
            <w:pPr>
              <w:spacing w:line="240" w:lineRule="auto" w:before="0" w:after="0"/>
              <w:pStyle w:val="Compact"/>
            </w:pPr>
            <w:r>
              <w:rPr>
                <w:sz w:val="20"/>
                <w:szCs w:val="20"/>
              </w:rPr>
              <w:t xml:space="preserve">SonicWall</w:t>
            </w:r>
          </w:p>
        </w:tc>
        <w:tc>
          <w:tcPr>
            <w:tcW w:w="0" w:type="auto"/>
          </w:tcPr>
          <w:p>
            <w:pPr>
              <w:spacing w:line="240" w:lineRule="auto" w:before="0" w:after="0"/>
              <w:pStyle w:val="Compact"/>
            </w:pPr>
            <w:r>
              <w:rPr>
                <w:sz w:val="20"/>
                <w:szCs w:val="20"/>
              </w:rPr>
              <w:t xml:space="preserve">SMA100</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2019-12-19</w:t>
            </w:r>
          </w:p>
        </w:tc>
        <w:tc>
          <w:tcPr>
            <w:tcW w:w="0" w:type="auto"/>
          </w:tcPr>
          <w:p>
            <w:pPr>
              <w:spacing w:line="240" w:lineRule="auto" w:before="0" w:after="0"/>
              <w:pStyle w:val="Compact"/>
            </w:pPr>
            <w:r>
              <w:rPr>
                <w:sz w:val="20"/>
                <w:szCs w:val="20"/>
              </w:rPr>
              <w:t xml:space="preserve">2022-03-28</w:t>
            </w:r>
          </w:p>
        </w:tc>
        <w:tc>
          <w:tcPr>
            <w:tcW w:w="0" w:type="auto"/>
          </w:tcPr>
          <w:p>
            <w:pPr>
              <w:spacing w:line="240" w:lineRule="auto" w:before="0" w:after="0"/>
              <w:pStyle w:val="Compact"/>
            </w:pPr>
            <w:r>
              <w:rPr>
                <w:sz w:val="20"/>
                <w:szCs w:val="20"/>
              </w:rPr>
              <w:t xml:space="preserve">830</w:t>
            </w:r>
          </w:p>
        </w:tc>
        <w:tc>
          <w:tcPr>
            <w:tcW w:w="0" w:type="auto"/>
          </w:tcPr>
          <w:p>
            <w:pPr>
              <w:spacing w:line="240" w:lineRule="auto" w:before="0" w:after="0"/>
              <w:pStyle w:val="Compact"/>
            </w:pPr>
            <w:r>
              <w:rPr>
                <w:sz w:val="20"/>
                <w:szCs w:val="20"/>
              </w:rPr>
              <w:t xml:space="preserve">6.7214</w:t>
            </w:r>
          </w:p>
        </w:tc>
        <w:tc>
          <w:tcPr>
            <w:tcW w:w="0" w:type="auto"/>
          </w:tcPr>
          <w:p>
            <w:pPr>
              <w:spacing w:line="240" w:lineRule="auto" w:before="0" w:after="0"/>
              <w:pStyle w:val="Compact"/>
            </w:pPr>
            <w:r>
              <w:rPr>
                <w:sz w:val="20"/>
                <w:szCs w:val="20"/>
              </w:rPr>
              <w:t xml:space="preserve">CISA KEV v2026.06.18 entry CVE-2019-7483 (SonicWall SMA100; dateAdded 2022-03-28; ransomware=0); NVD CVE API 2.0 CVE-2019-7483 (published 2019-12-19; CVSS V31 base 7.5)</w:t>
            </w:r>
          </w:p>
        </w:tc>
      </w:tr>
      <w:tr>
        <w:tc>
          <w:tcPr>
            <w:tcW w:w="0" w:type="auto"/>
          </w:tcPr>
          <w:p>
            <w:pPr>
              <w:spacing w:line="240" w:lineRule="auto" w:before="0" w:after="0"/>
              <w:pStyle w:val="Compact"/>
            </w:pPr>
            <w:r>
              <w:rPr>
                <w:sz w:val="20"/>
                <w:szCs w:val="20"/>
              </w:rPr>
              <w:t xml:space="preserve">CVE-2020-5135</w:t>
            </w:r>
          </w:p>
        </w:tc>
        <w:tc>
          <w:tcPr>
            <w:tcW w:w="0" w:type="auto"/>
          </w:tcPr>
          <w:p>
            <w:pPr>
              <w:spacing w:line="240" w:lineRule="auto" w:before="0" w:after="0"/>
              <w:pStyle w:val="Compact"/>
            </w:pPr>
            <w:r>
              <w:rPr>
                <w:sz w:val="20"/>
                <w:szCs w:val="20"/>
              </w:rPr>
              <w:t xml:space="preserve">SonicWall</w:t>
            </w:r>
          </w:p>
        </w:tc>
        <w:tc>
          <w:tcPr>
            <w:tcW w:w="0" w:type="auto"/>
          </w:tcPr>
          <w:p>
            <w:pPr>
              <w:spacing w:line="240" w:lineRule="auto" w:before="0" w:after="0"/>
              <w:pStyle w:val="Compact"/>
            </w:pPr>
            <w:r>
              <w:rPr>
                <w:sz w:val="20"/>
                <w:szCs w:val="20"/>
              </w:rPr>
              <w:t xml:space="preserve">SonicOS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2020-10-12</w:t>
            </w:r>
          </w:p>
        </w:tc>
        <w:tc>
          <w:tcPr>
            <w:tcW w:w="0" w:type="auto"/>
          </w:tcPr>
          <w:p>
            <w:pPr>
              <w:spacing w:line="240" w:lineRule="auto" w:before="0" w:after="0"/>
              <w:pStyle w:val="Compact"/>
            </w:pPr>
            <w:r>
              <w:rPr>
                <w:sz w:val="20"/>
                <w:szCs w:val="20"/>
              </w:rPr>
              <w:t xml:space="preserve">2022-03-15</w:t>
            </w:r>
          </w:p>
        </w:tc>
        <w:tc>
          <w:tcPr>
            <w:tcW w:w="0" w:type="auto"/>
          </w:tcPr>
          <w:p>
            <w:pPr>
              <w:spacing w:line="240" w:lineRule="auto" w:before="0" w:after="0"/>
              <w:pStyle w:val="Compact"/>
            </w:pPr>
            <w:r>
              <w:rPr>
                <w:sz w:val="20"/>
                <w:szCs w:val="20"/>
              </w:rPr>
              <w:t xml:space="preserve">519</w:t>
            </w:r>
          </w:p>
        </w:tc>
        <w:tc>
          <w:tcPr>
            <w:tcW w:w="0" w:type="auto"/>
          </w:tcPr>
          <w:p>
            <w:pPr>
              <w:spacing w:line="240" w:lineRule="auto" w:before="0" w:after="0"/>
              <w:pStyle w:val="Compact"/>
            </w:pPr>
            <w:r>
              <w:rPr>
                <w:sz w:val="20"/>
                <w:szCs w:val="20"/>
              </w:rPr>
              <w:t xml:space="preserve">6.2519</w:t>
            </w:r>
          </w:p>
        </w:tc>
        <w:tc>
          <w:tcPr>
            <w:tcW w:w="0" w:type="auto"/>
          </w:tcPr>
          <w:p>
            <w:pPr>
              <w:spacing w:line="240" w:lineRule="auto" w:before="0" w:after="0"/>
              <w:pStyle w:val="Compact"/>
            </w:pPr>
            <w:r>
              <w:rPr>
                <w:sz w:val="20"/>
                <w:szCs w:val="20"/>
              </w:rPr>
              <w:t xml:space="preserve">CISA KEV v2026.06.18 entry CVE-2020-5135 (SonicWall SonicOS; dateAdded 2022-03-15; ransomware=0); NVD CVE API 2.0 CVE-2020-5135 (published 2020-10-12; CVSS V31 base 9.8)</w:t>
            </w:r>
          </w:p>
        </w:tc>
      </w:tr>
      <w:tr>
        <w:tc>
          <w:tcPr>
            <w:tcW w:w="0" w:type="auto"/>
          </w:tcPr>
          <w:p>
            <w:pPr>
              <w:spacing w:line="240" w:lineRule="auto" w:before="0" w:after="0"/>
              <w:pStyle w:val="Compact"/>
            </w:pPr>
            <w:r>
              <w:rPr>
                <w:sz w:val="20"/>
                <w:szCs w:val="20"/>
              </w:rPr>
              <w:t xml:space="preserve">CVE-2024-40766</w:t>
            </w:r>
          </w:p>
        </w:tc>
        <w:tc>
          <w:tcPr>
            <w:tcW w:w="0" w:type="auto"/>
          </w:tcPr>
          <w:p>
            <w:pPr>
              <w:spacing w:line="240" w:lineRule="auto" w:before="0" w:after="0"/>
              <w:pStyle w:val="Compact"/>
            </w:pPr>
            <w:r>
              <w:rPr>
                <w:sz w:val="20"/>
                <w:szCs w:val="20"/>
              </w:rPr>
              <w:t xml:space="preserve">SonicWall</w:t>
            </w:r>
          </w:p>
        </w:tc>
        <w:tc>
          <w:tcPr>
            <w:tcW w:w="0" w:type="auto"/>
          </w:tcPr>
          <w:p>
            <w:pPr>
              <w:spacing w:line="240" w:lineRule="auto" w:before="0" w:after="0"/>
              <w:pStyle w:val="Compact"/>
            </w:pPr>
            <w:r>
              <w:rPr>
                <w:sz w:val="20"/>
                <w:szCs w:val="20"/>
              </w:rPr>
              <w:t xml:space="preserve">SonicOS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2024-08-23</w:t>
            </w:r>
          </w:p>
        </w:tc>
        <w:tc>
          <w:tcPr>
            <w:tcW w:w="0" w:type="auto"/>
          </w:tcPr>
          <w:p>
            <w:pPr>
              <w:spacing w:line="240" w:lineRule="auto" w:before="0" w:after="0"/>
              <w:pStyle w:val="Compact"/>
            </w:pPr>
            <w:r>
              <w:rPr>
                <w:sz w:val="20"/>
                <w:szCs w:val="20"/>
              </w:rPr>
              <w:t xml:space="preserve">2024-09-09</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2.8332</w:t>
            </w:r>
          </w:p>
        </w:tc>
        <w:tc>
          <w:tcPr>
            <w:tcW w:w="0" w:type="auto"/>
          </w:tcPr>
          <w:p>
            <w:pPr>
              <w:spacing w:line="240" w:lineRule="auto" w:before="0" w:after="0"/>
              <w:pStyle w:val="Compact"/>
            </w:pPr>
            <w:r>
              <w:rPr>
                <w:sz w:val="20"/>
                <w:szCs w:val="20"/>
              </w:rPr>
              <w:t xml:space="preserve">CISA KEV v2026.06.18 entry CVE-2024-40766 (SonicWall SonicOS; dateAdded 2024-09-09; ransomware=1); NVD CVE API 2.0 CVE-2024-40766 (published 2024-08-23; CVSS V31 base 9.8)</w:t>
            </w:r>
          </w:p>
        </w:tc>
      </w:tr>
      <w:tr>
        <w:tc>
          <w:tcPr>
            <w:tcW w:w="0" w:type="auto"/>
          </w:tcPr>
          <w:p>
            <w:pPr>
              <w:spacing w:line="240" w:lineRule="auto" w:before="0" w:after="0"/>
              <w:pStyle w:val="Compact"/>
            </w:pPr>
            <w:r>
              <w:rPr>
                <w:sz w:val="20"/>
                <w:szCs w:val="20"/>
              </w:rPr>
              <w:t xml:space="preserve">CVE-2020-12271</w:t>
            </w:r>
          </w:p>
        </w:tc>
        <w:tc>
          <w:tcPr>
            <w:tcW w:w="0" w:type="auto"/>
          </w:tcPr>
          <w:p>
            <w:pPr>
              <w:spacing w:line="240" w:lineRule="auto" w:before="0" w:after="0"/>
              <w:pStyle w:val="Compact"/>
            </w:pPr>
            <w:r>
              <w:rPr>
                <w:sz w:val="20"/>
                <w:szCs w:val="20"/>
              </w:rPr>
              <w:t xml:space="preserve">Sophos</w:t>
            </w:r>
          </w:p>
        </w:tc>
        <w:tc>
          <w:tcPr>
            <w:tcW w:w="0" w:type="auto"/>
          </w:tcPr>
          <w:p>
            <w:pPr>
              <w:spacing w:line="240" w:lineRule="auto" w:before="0" w:after="0"/>
              <w:pStyle w:val="Compact"/>
            </w:pPr>
            <w:r>
              <w:rPr>
                <w:sz w:val="20"/>
                <w:szCs w:val="20"/>
              </w:rPr>
              <w:t xml:space="preserve">SFOS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2020-04-27</w:t>
            </w:r>
          </w:p>
        </w:tc>
        <w:tc>
          <w:tcPr>
            <w:tcW w:w="0" w:type="auto"/>
          </w:tcPr>
          <w:p>
            <w:pPr>
              <w:spacing w:line="240" w:lineRule="auto" w:before="0" w:after="0"/>
              <w:pStyle w:val="Compact"/>
            </w:pPr>
            <w:r>
              <w:rPr>
                <w:sz w:val="20"/>
                <w:szCs w:val="20"/>
              </w:rPr>
              <w:t xml:space="preserve">2021-11-03</w:t>
            </w:r>
          </w:p>
        </w:tc>
        <w:tc>
          <w:tcPr>
            <w:tcW w:w="0" w:type="auto"/>
          </w:tcPr>
          <w:p>
            <w:pPr>
              <w:spacing w:line="240" w:lineRule="auto" w:before="0" w:after="0"/>
              <w:pStyle w:val="Compact"/>
            </w:pPr>
            <w:r>
              <w:rPr>
                <w:sz w:val="20"/>
                <w:szCs w:val="20"/>
              </w:rPr>
              <w:t xml:space="preserve">555</w:t>
            </w:r>
          </w:p>
        </w:tc>
        <w:tc>
          <w:tcPr>
            <w:tcW w:w="0" w:type="auto"/>
          </w:tcPr>
          <w:p>
            <w:pPr>
              <w:spacing w:line="240" w:lineRule="auto" w:before="0" w:after="0"/>
              <w:pStyle w:val="Compact"/>
            </w:pPr>
            <w:r>
              <w:rPr>
                <w:sz w:val="20"/>
                <w:szCs w:val="20"/>
              </w:rPr>
              <w:t xml:space="preserve">6.319</w:t>
            </w:r>
          </w:p>
        </w:tc>
        <w:tc>
          <w:tcPr>
            <w:tcW w:w="0" w:type="auto"/>
          </w:tcPr>
          <w:p>
            <w:pPr>
              <w:spacing w:line="240" w:lineRule="auto" w:before="0" w:after="0"/>
              <w:pStyle w:val="Compact"/>
            </w:pPr>
            <w:r>
              <w:rPr>
                <w:sz w:val="20"/>
                <w:szCs w:val="20"/>
              </w:rPr>
              <w:t xml:space="preserve">CISA KEV v2026.06.18 entry CVE-2020-12271 (Sophos SFOS; dateAdded 2021-11-03; ransomware=1); NVD CVE API 2.0 CVE-2020-12271 (published 2020-04-27; CVSS V31 base 9.8)</w:t>
            </w:r>
          </w:p>
        </w:tc>
      </w:tr>
      <w:tr>
        <w:tc>
          <w:tcPr>
            <w:tcW w:w="0" w:type="auto"/>
          </w:tcPr>
          <w:p>
            <w:pPr>
              <w:spacing w:line="240" w:lineRule="auto" w:before="0" w:after="0"/>
              <w:pStyle w:val="Compact"/>
            </w:pPr>
            <w:r>
              <w:rPr>
                <w:sz w:val="20"/>
                <w:szCs w:val="20"/>
              </w:rPr>
              <w:t xml:space="preserve">CVE-2020-25223</w:t>
            </w:r>
          </w:p>
        </w:tc>
        <w:tc>
          <w:tcPr>
            <w:tcW w:w="0" w:type="auto"/>
          </w:tcPr>
          <w:p>
            <w:pPr>
              <w:spacing w:line="240" w:lineRule="auto" w:before="0" w:after="0"/>
              <w:pStyle w:val="Compact"/>
            </w:pPr>
            <w:r>
              <w:rPr>
                <w:sz w:val="20"/>
                <w:szCs w:val="20"/>
              </w:rPr>
              <w:t xml:space="preserve">Sophos</w:t>
            </w:r>
          </w:p>
        </w:tc>
        <w:tc>
          <w:tcPr>
            <w:tcW w:w="0" w:type="auto"/>
          </w:tcPr>
          <w:p>
            <w:pPr>
              <w:spacing w:line="240" w:lineRule="auto" w:before="0" w:after="0"/>
              <w:pStyle w:val="Compact"/>
            </w:pPr>
            <w:r>
              <w:rPr>
                <w:sz w:val="20"/>
                <w:szCs w:val="20"/>
              </w:rPr>
              <w:t xml:space="preserve">SG UTM</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2020-09-25</w:t>
            </w:r>
          </w:p>
        </w:tc>
        <w:tc>
          <w:tcPr>
            <w:tcW w:w="0" w:type="auto"/>
          </w:tcPr>
          <w:p>
            <w:pPr>
              <w:spacing w:line="240" w:lineRule="auto" w:before="0" w:after="0"/>
              <w:pStyle w:val="Compact"/>
            </w:pPr>
            <w:r>
              <w:rPr>
                <w:sz w:val="20"/>
                <w:szCs w:val="20"/>
              </w:rPr>
              <w:t xml:space="preserve">2022-03-25</w:t>
            </w:r>
          </w:p>
        </w:tc>
        <w:tc>
          <w:tcPr>
            <w:tcW w:w="0" w:type="auto"/>
          </w:tcPr>
          <w:p>
            <w:pPr>
              <w:spacing w:line="240" w:lineRule="auto" w:before="0" w:after="0"/>
              <w:pStyle w:val="Compact"/>
            </w:pPr>
            <w:r>
              <w:rPr>
                <w:sz w:val="20"/>
                <w:szCs w:val="20"/>
              </w:rPr>
              <w:t xml:space="preserve">546</w:t>
            </w:r>
          </w:p>
        </w:tc>
        <w:tc>
          <w:tcPr>
            <w:tcW w:w="0" w:type="auto"/>
          </w:tcPr>
          <w:p>
            <w:pPr>
              <w:spacing w:line="240" w:lineRule="auto" w:before="0" w:after="0"/>
              <w:pStyle w:val="Compact"/>
            </w:pPr>
            <w:r>
              <w:rPr>
                <w:sz w:val="20"/>
                <w:szCs w:val="20"/>
              </w:rPr>
              <w:t xml:space="preserve">6.3026</w:t>
            </w:r>
          </w:p>
        </w:tc>
        <w:tc>
          <w:tcPr>
            <w:tcW w:w="0" w:type="auto"/>
          </w:tcPr>
          <w:p>
            <w:pPr>
              <w:spacing w:line="240" w:lineRule="auto" w:before="0" w:after="0"/>
              <w:pStyle w:val="Compact"/>
            </w:pPr>
            <w:r>
              <w:rPr>
                <w:sz w:val="20"/>
                <w:szCs w:val="20"/>
              </w:rPr>
              <w:t xml:space="preserve">CISA KEV v2026.06.18 entry CVE-2020-25223 (Sophos SG UTM; dateAdded 2022-03-25; ransomware=0); NVD CVE API 2.0 CVE-2020-25223 (published 2020-09-25; CVSS V31 base 9.8)</w:t>
            </w:r>
          </w:p>
        </w:tc>
      </w:tr>
      <w:tr>
        <w:tc>
          <w:tcPr>
            <w:tcW w:w="0" w:type="auto"/>
          </w:tcPr>
          <w:p>
            <w:pPr>
              <w:spacing w:line="240" w:lineRule="auto" w:before="0" w:after="0"/>
              <w:pStyle w:val="Compact"/>
            </w:pPr>
            <w:r>
              <w:rPr>
                <w:sz w:val="20"/>
                <w:szCs w:val="20"/>
              </w:rPr>
              <w:t xml:space="preserve">CVE-2017-6884</w:t>
            </w:r>
          </w:p>
        </w:tc>
        <w:tc>
          <w:tcPr>
            <w:tcW w:w="0" w:type="auto"/>
          </w:tcPr>
          <w:p>
            <w:pPr>
              <w:spacing w:line="240" w:lineRule="auto" w:before="0" w:after="0"/>
              <w:pStyle w:val="Compact"/>
            </w:pPr>
            <w:r>
              <w:rPr>
                <w:sz w:val="20"/>
                <w:szCs w:val="20"/>
              </w:rPr>
              <w:t xml:space="preserve">Zyxel</w:t>
            </w:r>
          </w:p>
        </w:tc>
        <w:tc>
          <w:tcPr>
            <w:tcW w:w="0" w:type="auto"/>
          </w:tcPr>
          <w:p>
            <w:pPr>
              <w:spacing w:line="240" w:lineRule="auto" w:before="0" w:after="0"/>
              <w:pStyle w:val="Compact"/>
            </w:pPr>
            <w:r>
              <w:rPr>
                <w:sz w:val="20"/>
                <w:szCs w:val="20"/>
              </w:rPr>
              <w:t xml:space="preserve">EMG2926 Routers</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2017-04-06</w:t>
            </w:r>
          </w:p>
        </w:tc>
        <w:tc>
          <w:tcPr>
            <w:tcW w:w="0" w:type="auto"/>
          </w:tcPr>
          <w:p>
            <w:pPr>
              <w:spacing w:line="240" w:lineRule="auto" w:before="0" w:after="0"/>
              <w:pStyle w:val="Compact"/>
            </w:pPr>
            <w:r>
              <w:rPr>
                <w:sz w:val="20"/>
                <w:szCs w:val="20"/>
              </w:rPr>
              <w:t xml:space="preserve">2023-09-18</w:t>
            </w:r>
          </w:p>
        </w:tc>
        <w:tc>
          <w:tcPr>
            <w:tcW w:w="0" w:type="auto"/>
          </w:tcPr>
          <w:p>
            <w:pPr>
              <w:spacing w:line="240" w:lineRule="auto" w:before="0" w:after="0"/>
              <w:pStyle w:val="Compact"/>
            </w:pPr>
            <w:r>
              <w:rPr>
                <w:sz w:val="20"/>
                <w:szCs w:val="20"/>
              </w:rPr>
              <w:t xml:space="preserve">2356</w:t>
            </w:r>
          </w:p>
        </w:tc>
        <w:tc>
          <w:tcPr>
            <w:tcW w:w="0" w:type="auto"/>
          </w:tcPr>
          <w:p>
            <w:pPr>
              <w:spacing w:line="240" w:lineRule="auto" w:before="0" w:after="0"/>
              <w:pStyle w:val="Compact"/>
            </w:pPr>
            <w:r>
              <w:rPr>
                <w:sz w:val="20"/>
                <w:szCs w:val="20"/>
              </w:rPr>
              <w:t xml:space="preserve">7.7647</w:t>
            </w:r>
          </w:p>
        </w:tc>
        <w:tc>
          <w:tcPr>
            <w:tcW w:w="0" w:type="auto"/>
          </w:tcPr>
          <w:p>
            <w:pPr>
              <w:spacing w:line="240" w:lineRule="auto" w:before="0" w:after="0"/>
              <w:pStyle w:val="Compact"/>
            </w:pPr>
            <w:r>
              <w:rPr>
                <w:sz w:val="20"/>
                <w:szCs w:val="20"/>
              </w:rPr>
              <w:t xml:space="preserve">CISA KEV v2026.06.18 entry CVE-2017-6884 (Zyxel EMG2926 Routers; dateAdded 2023-09-18; ransomware=1); NVD CVE API 2.0 CVE-2017-6884 (published 2017-04-06; CVSS V31 base 8.8)</w:t>
            </w:r>
          </w:p>
        </w:tc>
      </w:tr>
      <w:tr>
        <w:tc>
          <w:tcPr>
            <w:tcW w:w="0" w:type="auto"/>
          </w:tcPr>
          <w:p>
            <w:pPr>
              <w:spacing w:line="240" w:lineRule="auto" w:before="0" w:after="0"/>
              <w:pStyle w:val="Compact"/>
            </w:pPr>
            <w:r>
              <w:rPr>
                <w:sz w:val="20"/>
                <w:szCs w:val="20"/>
              </w:rPr>
              <w:t xml:space="preserve">CVE-2020-29583</w:t>
            </w:r>
          </w:p>
        </w:tc>
        <w:tc>
          <w:tcPr>
            <w:tcW w:w="0" w:type="auto"/>
          </w:tcPr>
          <w:p>
            <w:pPr>
              <w:spacing w:line="240" w:lineRule="auto" w:before="0" w:after="0"/>
              <w:pStyle w:val="Compact"/>
            </w:pPr>
            <w:r>
              <w:rPr>
                <w:sz w:val="20"/>
                <w:szCs w:val="20"/>
              </w:rPr>
              <w:t xml:space="preserve">Zyxel</w:t>
            </w:r>
          </w:p>
        </w:tc>
        <w:tc>
          <w:tcPr>
            <w:tcW w:w="0" w:type="auto"/>
          </w:tcPr>
          <w:p>
            <w:pPr>
              <w:spacing w:line="240" w:lineRule="auto" w:before="0" w:after="0"/>
              <w:pStyle w:val="Compact"/>
            </w:pPr>
            <w:r>
              <w:rPr>
                <w:sz w:val="20"/>
                <w:szCs w:val="20"/>
              </w:rPr>
              <w:t xml:space="preserve">Multiple Products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2020-12-22</w:t>
            </w:r>
          </w:p>
        </w:tc>
        <w:tc>
          <w:tcPr>
            <w:tcW w:w="0" w:type="auto"/>
          </w:tcPr>
          <w:p>
            <w:pPr>
              <w:spacing w:line="240" w:lineRule="auto" w:before="0" w:after="0"/>
              <w:pStyle w:val="Compact"/>
            </w:pPr>
            <w:r>
              <w:rPr>
                <w:sz w:val="20"/>
                <w:szCs w:val="20"/>
              </w:rPr>
              <w:t xml:space="preserve">2021-11-03</w:t>
            </w:r>
          </w:p>
        </w:tc>
        <w:tc>
          <w:tcPr>
            <w:tcW w:w="0" w:type="auto"/>
          </w:tcPr>
          <w:p>
            <w:pPr>
              <w:spacing w:line="240" w:lineRule="auto" w:before="0" w:after="0"/>
              <w:pStyle w:val="Compact"/>
            </w:pPr>
            <w:r>
              <w:rPr>
                <w:sz w:val="20"/>
                <w:szCs w:val="20"/>
              </w:rPr>
              <w:t xml:space="preserve">316</w:t>
            </w:r>
          </w:p>
        </w:tc>
        <w:tc>
          <w:tcPr>
            <w:tcW w:w="0" w:type="auto"/>
          </w:tcPr>
          <w:p>
            <w:pPr>
              <w:spacing w:line="240" w:lineRule="auto" w:before="0" w:after="0"/>
              <w:pStyle w:val="Compact"/>
            </w:pPr>
            <w:r>
              <w:rPr>
                <w:sz w:val="20"/>
                <w:szCs w:val="20"/>
              </w:rPr>
              <w:t xml:space="preserve">5.7557</w:t>
            </w:r>
          </w:p>
        </w:tc>
        <w:tc>
          <w:tcPr>
            <w:tcW w:w="0" w:type="auto"/>
          </w:tcPr>
          <w:p>
            <w:pPr>
              <w:spacing w:line="240" w:lineRule="auto" w:before="0" w:after="0"/>
              <w:pStyle w:val="Compact"/>
            </w:pPr>
            <w:r>
              <w:rPr>
                <w:sz w:val="20"/>
                <w:szCs w:val="20"/>
              </w:rPr>
              <w:t xml:space="preserve">CISA KEV v2026.06.18 entry CVE-2020-29583 (Zyxel Multiple Products; dateAdded 2021-11-03; ransomware=0); NVD CVE API 2.0 CVE-2020-29583 (published 2020-12-22; CVSS V31 base 9.8)</w:t>
            </w:r>
          </w:p>
        </w:tc>
      </w:tr>
    </w:tbl>
    <w:bookmarkEnd w:id="80"/>
    <w:bookmarkStart w:id="8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ln_exposure_days</w:t>
            </w:r>
          </w:p>
        </w:tc>
        <w:tc>
          <w:tcPr>
            <w:tcW w:w="0" w:type="auto"/>
          </w:tcPr>
          <w:p>
            <w:pPr>
              <w:spacing w:line="240" w:lineRule="auto" w:before="0" w:after="0"/>
              <w:pStyle w:val="Compact"/>
            </w:pPr>
            <w:r>
              <w:rPr>
                <w:sz w:val="20"/>
                <w:szCs w:val="20"/>
              </w:rPr>
              <w:t xml:space="preserve">Patch-latency window, expressed as the natural log of the number of calendar days a vulnerability stayed exploitable: from public disclosure (NVD published date) to the date CISA confirmed in-the-wild exploitation by adding it to the Known Exploited Vulnerabilities catalog (KEV dateAdded), floored at one day. The log transform addresses the right-skew of the raw window and makes coefficients interpretable as approximate proportional effects. The untransformed exposure_days column is retained alongside for audit.</w:t>
            </w:r>
          </w:p>
        </w:tc>
        <w:tc>
          <w:tcPr>
            <w:tcW w:w="0" w:type="auto"/>
          </w:tcPr>
          <w:p>
            <w:pPr>
              <w:spacing w:line="240" w:lineRule="auto" w:before="0" w:after="0"/>
              <w:pStyle w:val="Compact"/>
            </w:pPr>
            <w:r>
              <w:rPr>
                <w:sz w:val="20"/>
                <w:szCs w:val="20"/>
              </w:rPr>
              <w:t xml:space="preserve">ln of (CISA KEV dateAdded minus NVD published date), both primary-source date fields; KEV catalog v2026.06.18 and NVD CVE API 2.0.</w:t>
            </w:r>
          </w:p>
        </w:tc>
      </w:tr>
      <w:tr>
        <w:tc>
          <w:tcPr>
            <w:tcW w:w="0" w:type="auto"/>
          </w:tcPr>
          <w:p>
            <w:pPr>
              <w:spacing w:line="240" w:lineRule="auto" w:before="0" w:after="0"/>
              <w:pStyle w:val="Compact"/>
            </w:pPr>
            <w:r>
              <w:rPr>
                <w:sz w:val="20"/>
                <w:szCs w:val="20"/>
              </w:rPr>
              <w:t xml:space="preserve">cvss</w:t>
            </w:r>
          </w:p>
        </w:tc>
        <w:tc>
          <w:tcPr>
            <w:tcW w:w="0" w:type="auto"/>
          </w:tcPr>
          <w:p>
            <w:pPr>
              <w:spacing w:line="240" w:lineRule="auto" w:before="0" w:after="0"/>
              <w:pStyle w:val="Compact"/>
            </w:pPr>
            <w:r>
              <w:rPr>
                <w:sz w:val="20"/>
                <w:szCs w:val="20"/>
              </w:rPr>
              <w:t xml:space="preserve">NVD CVSS base score of the vulnerability (severity, 0 to 10), taken from the primary CVSS v3.1 metric where present, otherwise v3.0, otherwise v2.</w:t>
            </w:r>
          </w:p>
        </w:tc>
        <w:tc>
          <w:tcPr>
            <w:tcW w:w="0" w:type="auto"/>
          </w:tcPr>
          <w:p>
            <w:pPr>
              <w:spacing w:line="240" w:lineRule="auto" w:before="0" w:after="0"/>
              <w:pStyle w:val="Compact"/>
            </w:pPr>
            <w:r>
              <w:rPr>
                <w:sz w:val="20"/>
                <w:szCs w:val="20"/>
              </w:rPr>
              <w:t xml:space="preserve">NVD CVE API 2.0 metrics baseScore (cvssMetricV31 preferred).</w:t>
            </w:r>
          </w:p>
        </w:tc>
      </w:tr>
      <w:tr>
        <w:tc>
          <w:tcPr>
            <w:tcW w:w="0" w:type="auto"/>
          </w:tcPr>
          <w:p>
            <w:pPr>
              <w:spacing w:line="240" w:lineRule="auto" w:before="0" w:after="0"/>
              <w:pStyle w:val="Compact"/>
            </w:pPr>
            <w:r>
              <w:rPr>
                <w:sz w:val="20"/>
                <w:szCs w:val="20"/>
              </w:rPr>
              <w:t xml:space="preserve">is_edge</w:t>
            </w:r>
          </w:p>
        </w:tc>
        <w:tc>
          <w:tcPr>
            <w:tcW w:w="0" w:type="auto"/>
          </w:tcPr>
          <w:p>
            <w:pPr>
              <w:spacing w:line="240" w:lineRule="auto" w:before="0" w:after="0"/>
              <w:pStyle w:val="Compact"/>
            </w:pPr>
            <w:r>
              <w:rPr>
                <w:sz w:val="20"/>
                <w:szCs w:val="20"/>
              </w:rPr>
              <w:t xml:space="preserve">Asset-class indicator: 1 if the vulnerable product is an internet-facing remote-access, VPN, or edge-gateway appliance that fronts ground operations (Cisco, Fortinet, Citrix, Ivanti, Palo Alto, Juniper, F5, SonicWall, Sophos, Zyxel, Pulse Secure, Barracuda), 0 if it is an operational-technology or industrial-control device (Siemens, Schneider Electric, Delta Electronics, Unitronics).</w:t>
            </w:r>
          </w:p>
        </w:tc>
        <w:tc>
          <w:tcPr>
            <w:tcW w:w="0" w:type="auto"/>
          </w:tcPr>
          <w:p>
            <w:pPr>
              <w:spacing w:line="240" w:lineRule="auto" w:before="0" w:after="0"/>
              <w:pStyle w:val="Compact"/>
            </w:pPr>
            <w:r>
              <w:rPr>
                <w:sz w:val="20"/>
                <w:szCs w:val="20"/>
              </w:rPr>
              <w:t xml:space="preserve">CISA KEV vendorProject classified against a fixed appliance-class keyword list.</w:t>
            </w:r>
          </w:p>
        </w:tc>
      </w:tr>
      <w:tr>
        <w:tc>
          <w:tcPr>
            <w:tcW w:w="0" w:type="auto"/>
          </w:tcPr>
          <w:p>
            <w:pPr>
              <w:spacing w:line="240" w:lineRule="auto" w:before="0" w:after="0"/>
              <w:pStyle w:val="Compact"/>
            </w:pPr>
            <w:r>
              <w:rPr>
                <w:sz w:val="20"/>
                <w:szCs w:val="20"/>
              </w:rPr>
              <w:t xml:space="preserve">ransomware</w:t>
            </w:r>
          </w:p>
        </w:tc>
        <w:tc>
          <w:tcPr>
            <w:tcW w:w="0" w:type="auto"/>
          </w:tcPr>
          <w:p>
            <w:pPr>
              <w:spacing w:line="240" w:lineRule="auto" w:before="0" w:after="0"/>
              <w:pStyle w:val="Compact"/>
            </w:pPr>
            <w:r>
              <w:rPr>
                <w:sz w:val="20"/>
                <w:szCs w:val="20"/>
              </w:rPr>
              <w:t xml:space="preserve">Indicator: 1 if CISA flagged the vulnerability as having known ransomware-campaign use, 0 otherwise.</w:t>
            </w:r>
          </w:p>
        </w:tc>
        <w:tc>
          <w:tcPr>
            <w:tcW w:w="0" w:type="auto"/>
          </w:tcPr>
          <w:p>
            <w:pPr>
              <w:spacing w:line="240" w:lineRule="auto" w:before="0" w:after="0"/>
              <w:pStyle w:val="Compact"/>
            </w:pPr>
            <w:r>
              <w:rPr>
                <w:sz w:val="20"/>
                <w:szCs w:val="20"/>
              </w:rPr>
              <w:t xml:space="preserve">CISA KEV knownRansomwareCampaignUse field (value</w:t>
            </w:r>
            <w:r>
              <w:rPr>
                <w:sz w:val="20"/>
                <w:szCs w:val="20"/>
              </w:rPr>
              <w:t xml:space="preserve"> </w:t>
            </w:r>
            <w:r>
              <w:rPr>
                <w:sz w:val="20"/>
                <w:szCs w:val="20"/>
              </w:rPr>
              <w:t xml:space="preserve">‘Known’</w:t>
            </w:r>
            <w:r>
              <w:rPr>
                <w:sz w:val="20"/>
                <w:szCs w:val="20"/>
              </w:rPr>
              <w:t xml:space="preserve">).</w:t>
            </w:r>
          </w:p>
        </w:tc>
      </w:tr>
      <w:tr>
        <w:tc>
          <w:tcPr>
            <w:tcW w:w="0" w:type="auto"/>
          </w:tcPr>
          <w:p>
            <w:pPr>
              <w:spacing w:line="240" w:lineRule="auto" w:before="0" w:after="0"/>
              <w:pStyle w:val="Compact"/>
            </w:pPr>
            <w:r>
              <w:rPr>
                <w:sz w:val="20"/>
                <w:szCs w:val="20"/>
              </w:rPr>
              <w:t xml:space="preserve">post_bod</w:t>
            </w:r>
          </w:p>
        </w:tc>
        <w:tc>
          <w:tcPr>
            <w:tcW w:w="0" w:type="auto"/>
          </w:tcPr>
          <w:p>
            <w:pPr>
              <w:spacing w:line="240" w:lineRule="auto" w:before="0" w:after="0"/>
              <w:pStyle w:val="Compact"/>
            </w:pPr>
            <w:r>
              <w:rPr>
                <w:sz w:val="20"/>
                <w:szCs w:val="20"/>
              </w:rPr>
              <w:t xml:space="preserve">Governance-era indicator: 1 if the vulnerability was publicly disclosed in 2022 or later, 0 if disclosed before 2022. The cut marks the regime established by CISA Binding Operational Directive 22-01 and the Known Exploited Vulnerabilities program (November 2021), which institutionalized rapid cataloging of exploited vulnerabilities.</w:t>
            </w:r>
          </w:p>
        </w:tc>
        <w:tc>
          <w:tcPr>
            <w:tcW w:w="0" w:type="auto"/>
          </w:tcPr>
          <w:p>
            <w:pPr>
              <w:spacing w:line="240" w:lineRule="auto" w:before="0" w:after="0"/>
              <w:pStyle w:val="Compact"/>
            </w:pPr>
            <w:r>
              <w:rPr>
                <w:sz w:val="20"/>
                <w:szCs w:val="20"/>
              </w:rPr>
              <w:t xml:space="preserve">Derived from the NVD published-date year for each CVE.</w:t>
            </w:r>
          </w:p>
        </w:tc>
      </w:tr>
    </w:tbl>
    <w:bookmarkEnd w:id="81"/>
    <w:bookmarkStart w:id="8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8.4031</w:t>
            </w:r>
          </w:p>
        </w:tc>
        <w:tc>
          <w:tcPr>
            <w:tcW w:w="0" w:type="auto"/>
          </w:tcPr>
          <w:p>
            <w:pPr>
              <w:spacing w:line="240" w:lineRule="auto" w:before="0" w:after="0"/>
              <w:pStyle w:val="Compact"/>
            </w:pPr>
            <w:r>
              <w:rPr>
                <w:sz w:val="20"/>
                <w:szCs w:val="20"/>
              </w:rPr>
              <w:t xml:space="preserve">1.4056</w:t>
            </w:r>
          </w:p>
        </w:tc>
        <w:tc>
          <w:tcPr>
            <w:tcW w:w="0" w:type="auto"/>
          </w:tcPr>
          <w:p>
            <w:pPr>
              <w:spacing w:line="240" w:lineRule="auto" w:before="0" w:after="0"/>
              <w:pStyle w:val="Compact"/>
            </w:pPr>
            <w:r>
              <w:rPr>
                <w:sz w:val="20"/>
                <w:szCs w:val="20"/>
              </w:rPr>
              <w:t xml:space="preserve">5.9784</w:t>
            </w:r>
          </w:p>
        </w:tc>
        <w:tc>
          <w:tcPr>
            <w:tcW w:w="0" w:type="auto"/>
          </w:tcPr>
          <w:p>
            <w:pPr>
              <w:spacing w:line="240" w:lineRule="auto" w:before="0" w:after="0"/>
              <w:pStyle w:val="Compact"/>
            </w:pPr>
            <w:r>
              <w:rPr>
                <w:sz w:val="20"/>
                <w:szCs w:val="20"/>
              </w:rPr>
              <w:t xml:space="preserve">2.254e-09</w:t>
            </w:r>
          </w:p>
        </w:tc>
        <w:tc>
          <w:tcPr>
            <w:tcW w:w="0" w:type="auto"/>
          </w:tcPr>
          <w:p>
            <w:pPr>
              <w:spacing w:line="240" w:lineRule="auto" w:before="0" w:after="0"/>
              <w:pStyle w:val="Compact"/>
            </w:pPr>
            <w:r>
              <w:rPr>
                <w:sz w:val="20"/>
                <w:szCs w:val="20"/>
              </w:rPr>
              <w:t xml:space="preserve">[5.6482, 11.1579]</w:t>
            </w:r>
          </w:p>
        </w:tc>
      </w:tr>
      <w:tr>
        <w:tc>
          <w:tcPr>
            <w:tcW w:w="0" w:type="auto"/>
          </w:tcPr>
          <w:p>
            <w:pPr>
              <w:spacing w:line="240" w:lineRule="auto" w:before="0" w:after="0"/>
              <w:pStyle w:val="Compact"/>
            </w:pPr>
            <w:r>
              <w:rPr>
                <w:sz w:val="20"/>
                <w:szCs w:val="20"/>
              </w:rPr>
              <w:t xml:space="preserve">cvss</w:t>
            </w:r>
          </w:p>
        </w:tc>
        <w:tc>
          <w:tcPr>
            <w:tcW w:w="0" w:type="auto"/>
          </w:tcPr>
          <w:p>
            <w:pPr>
              <w:spacing w:line="240" w:lineRule="auto" w:before="0" w:after="0"/>
              <w:pStyle w:val="Compact"/>
            </w:pPr>
            <w:r>
              <w:rPr>
                <w:sz w:val="20"/>
                <w:szCs w:val="20"/>
              </w:rPr>
              <w:t xml:space="preserve">-0.1917</w:t>
            </w:r>
          </w:p>
        </w:tc>
        <w:tc>
          <w:tcPr>
            <w:tcW w:w="0" w:type="auto"/>
          </w:tcPr>
          <w:p>
            <w:pPr>
              <w:spacing w:line="240" w:lineRule="auto" w:before="0" w:after="0"/>
              <w:pStyle w:val="Compact"/>
            </w:pPr>
            <w:r>
              <w:rPr>
                <w:sz w:val="20"/>
                <w:szCs w:val="20"/>
              </w:rPr>
              <w:t xml:space="preserve">0.1516</w:t>
            </w:r>
          </w:p>
        </w:tc>
        <w:tc>
          <w:tcPr>
            <w:tcW w:w="0" w:type="auto"/>
          </w:tcPr>
          <w:p>
            <w:pPr>
              <w:spacing w:line="240" w:lineRule="auto" w:before="0" w:after="0"/>
              <w:pStyle w:val="Compact"/>
            </w:pPr>
            <w:r>
              <w:rPr>
                <w:sz w:val="20"/>
                <w:szCs w:val="20"/>
              </w:rPr>
              <w:t xml:space="preserve">-1.2648</w:t>
            </w:r>
          </w:p>
        </w:tc>
        <w:tc>
          <w:tcPr>
            <w:tcW w:w="0" w:type="auto"/>
          </w:tcPr>
          <w:p>
            <w:pPr>
              <w:spacing w:line="240" w:lineRule="auto" w:before="0" w:after="0"/>
              <w:pStyle w:val="Compact"/>
            </w:pPr>
            <w:r>
              <w:rPr>
                <w:sz w:val="20"/>
                <w:szCs w:val="20"/>
              </w:rPr>
              <w:t xml:space="preserve">0.2059</w:t>
            </w:r>
          </w:p>
        </w:tc>
        <w:tc>
          <w:tcPr>
            <w:tcW w:w="0" w:type="auto"/>
          </w:tcPr>
          <w:p>
            <w:pPr>
              <w:spacing w:line="240" w:lineRule="auto" w:before="0" w:after="0"/>
              <w:pStyle w:val="Compact"/>
            </w:pPr>
            <w:r>
              <w:rPr>
                <w:sz w:val="20"/>
                <w:szCs w:val="20"/>
              </w:rPr>
              <w:t xml:space="preserve">[-0.4888, 0.1054]</w:t>
            </w:r>
          </w:p>
        </w:tc>
      </w:tr>
      <w:tr>
        <w:tc>
          <w:tcPr>
            <w:tcW w:w="0" w:type="auto"/>
          </w:tcPr>
          <w:p>
            <w:pPr>
              <w:spacing w:line="240" w:lineRule="auto" w:before="0" w:after="0"/>
              <w:pStyle w:val="Compact"/>
            </w:pPr>
            <w:r>
              <w:rPr>
                <w:sz w:val="20"/>
                <w:szCs w:val="20"/>
              </w:rPr>
              <w:t xml:space="preserve">is_edge</w:t>
            </w:r>
          </w:p>
        </w:tc>
        <w:tc>
          <w:tcPr>
            <w:tcW w:w="0" w:type="auto"/>
          </w:tcPr>
          <w:p>
            <w:pPr>
              <w:spacing w:line="240" w:lineRule="auto" w:before="0" w:after="0"/>
              <w:pStyle w:val="Compact"/>
            </w:pPr>
            <w:r>
              <w:rPr>
                <w:sz w:val="20"/>
                <w:szCs w:val="20"/>
              </w:rPr>
              <w:t xml:space="preserve">0.3698</w:t>
            </w:r>
          </w:p>
        </w:tc>
        <w:tc>
          <w:tcPr>
            <w:tcW w:w="0" w:type="auto"/>
          </w:tcPr>
          <w:p>
            <w:pPr>
              <w:spacing w:line="240" w:lineRule="auto" w:before="0" w:after="0"/>
              <w:pStyle w:val="Compact"/>
            </w:pPr>
            <w:r>
              <w:rPr>
                <w:sz w:val="20"/>
                <w:szCs w:val="20"/>
              </w:rPr>
              <w:t xml:space="preserve">0.4789</w:t>
            </w:r>
          </w:p>
        </w:tc>
        <w:tc>
          <w:tcPr>
            <w:tcW w:w="0" w:type="auto"/>
          </w:tcPr>
          <w:p>
            <w:pPr>
              <w:spacing w:line="240" w:lineRule="auto" w:before="0" w:after="0"/>
              <w:pStyle w:val="Compact"/>
            </w:pPr>
            <w:r>
              <w:rPr>
                <w:sz w:val="20"/>
                <w:szCs w:val="20"/>
              </w:rPr>
              <w:t xml:space="preserve">0.7722</w:t>
            </w:r>
          </w:p>
        </w:tc>
        <w:tc>
          <w:tcPr>
            <w:tcW w:w="0" w:type="auto"/>
          </w:tcPr>
          <w:p>
            <w:pPr>
              <w:spacing w:line="240" w:lineRule="auto" w:before="0" w:after="0"/>
              <w:pStyle w:val="Compact"/>
            </w:pPr>
            <w:r>
              <w:rPr>
                <w:sz w:val="20"/>
                <w:szCs w:val="20"/>
              </w:rPr>
              <w:t xml:space="preserve">0.44</w:t>
            </w:r>
          </w:p>
        </w:tc>
        <w:tc>
          <w:tcPr>
            <w:tcW w:w="0" w:type="auto"/>
          </w:tcPr>
          <w:p>
            <w:pPr>
              <w:spacing w:line="240" w:lineRule="auto" w:before="0" w:after="0"/>
              <w:pStyle w:val="Compact"/>
            </w:pPr>
            <w:r>
              <w:rPr>
                <w:sz w:val="20"/>
                <w:szCs w:val="20"/>
              </w:rPr>
              <w:t xml:space="preserve">[-0.5688, 1.3084]</w:t>
            </w:r>
          </w:p>
        </w:tc>
      </w:tr>
      <w:tr>
        <w:tc>
          <w:tcPr>
            <w:tcW w:w="0" w:type="auto"/>
          </w:tcPr>
          <w:p>
            <w:pPr>
              <w:spacing w:line="240" w:lineRule="auto" w:before="0" w:after="0"/>
              <w:pStyle w:val="Compact"/>
            </w:pPr>
            <w:r>
              <w:rPr>
                <w:sz w:val="20"/>
                <w:szCs w:val="20"/>
              </w:rPr>
              <w:t xml:space="preserve">ransomware</w:t>
            </w:r>
          </w:p>
        </w:tc>
        <w:tc>
          <w:tcPr>
            <w:tcW w:w="0" w:type="auto"/>
          </w:tcPr>
          <w:p>
            <w:pPr>
              <w:spacing w:line="240" w:lineRule="auto" w:before="0" w:after="0"/>
              <w:pStyle w:val="Compact"/>
            </w:pPr>
            <w:r>
              <w:rPr>
                <w:sz w:val="20"/>
                <w:szCs w:val="20"/>
              </w:rPr>
              <w:t xml:space="preserve">-0.7406</w:t>
            </w:r>
          </w:p>
        </w:tc>
        <w:tc>
          <w:tcPr>
            <w:tcW w:w="0" w:type="auto"/>
          </w:tcPr>
          <w:p>
            <w:pPr>
              <w:spacing w:line="240" w:lineRule="auto" w:before="0" w:after="0"/>
              <w:pStyle w:val="Compact"/>
            </w:pPr>
            <w:r>
              <w:rPr>
                <w:sz w:val="20"/>
                <w:szCs w:val="20"/>
              </w:rPr>
              <w:t xml:space="preserve">0.5237</w:t>
            </w:r>
          </w:p>
        </w:tc>
        <w:tc>
          <w:tcPr>
            <w:tcW w:w="0" w:type="auto"/>
          </w:tcPr>
          <w:p>
            <w:pPr>
              <w:spacing w:line="240" w:lineRule="auto" w:before="0" w:after="0"/>
              <w:pStyle w:val="Compact"/>
            </w:pPr>
            <w:r>
              <w:rPr>
                <w:sz w:val="20"/>
                <w:szCs w:val="20"/>
              </w:rPr>
              <w:t xml:space="preserve">-1.4141</w:t>
            </w:r>
          </w:p>
        </w:tc>
        <w:tc>
          <w:tcPr>
            <w:tcW w:w="0" w:type="auto"/>
          </w:tcPr>
          <w:p>
            <w:pPr>
              <w:spacing w:line="240" w:lineRule="auto" w:before="0" w:after="0"/>
              <w:pStyle w:val="Compact"/>
            </w:pPr>
            <w:r>
              <w:rPr>
                <w:sz w:val="20"/>
                <w:szCs w:val="20"/>
              </w:rPr>
              <w:t xml:space="preserve">0.1573</w:t>
            </w:r>
          </w:p>
        </w:tc>
        <w:tc>
          <w:tcPr>
            <w:tcW w:w="0" w:type="auto"/>
          </w:tcPr>
          <w:p>
            <w:pPr>
              <w:spacing w:line="240" w:lineRule="auto" w:before="0" w:after="0"/>
              <w:pStyle w:val="Compact"/>
            </w:pPr>
            <w:r>
              <w:rPr>
                <w:sz w:val="20"/>
                <w:szCs w:val="20"/>
              </w:rPr>
              <w:t xml:space="preserve">[-1.767, 0.2859]</w:t>
            </w:r>
          </w:p>
        </w:tc>
      </w:tr>
      <w:tr>
        <w:tc>
          <w:tcPr>
            <w:tcW w:w="0" w:type="auto"/>
          </w:tcPr>
          <w:p>
            <w:pPr>
              <w:spacing w:line="240" w:lineRule="auto" w:before="0" w:after="0"/>
              <w:pStyle w:val="Compact"/>
            </w:pPr>
            <w:r>
              <w:rPr>
                <w:sz w:val="20"/>
                <w:szCs w:val="20"/>
              </w:rPr>
              <w:t xml:space="preserve">post_bod</w:t>
            </w:r>
          </w:p>
        </w:tc>
        <w:tc>
          <w:tcPr>
            <w:tcW w:w="0" w:type="auto"/>
          </w:tcPr>
          <w:p>
            <w:pPr>
              <w:spacing w:line="240" w:lineRule="auto" w:before="0" w:after="0"/>
              <w:pStyle w:val="Compact"/>
            </w:pPr>
            <w:r>
              <w:rPr>
                <w:sz w:val="20"/>
                <w:szCs w:val="20"/>
              </w:rPr>
              <w:t xml:space="preserve">-4.7637</w:t>
            </w:r>
          </w:p>
        </w:tc>
        <w:tc>
          <w:tcPr>
            <w:tcW w:w="0" w:type="auto"/>
          </w:tcPr>
          <w:p>
            <w:pPr>
              <w:spacing w:line="240" w:lineRule="auto" w:before="0" w:after="0"/>
              <w:pStyle w:val="Compact"/>
            </w:pPr>
            <w:r>
              <w:rPr>
                <w:sz w:val="20"/>
                <w:szCs w:val="20"/>
              </w:rPr>
              <w:t xml:space="preserve">0.4329</w:t>
            </w:r>
          </w:p>
        </w:tc>
        <w:tc>
          <w:tcPr>
            <w:tcW w:w="0" w:type="auto"/>
          </w:tcPr>
          <w:p>
            <w:pPr>
              <w:spacing w:line="240" w:lineRule="auto" w:before="0" w:after="0"/>
              <w:pStyle w:val="Compact"/>
            </w:pPr>
            <w:r>
              <w:rPr>
                <w:sz w:val="20"/>
                <w:szCs w:val="20"/>
              </w:rPr>
              <w:t xml:space="preserve">-11.0045</w:t>
            </w:r>
          </w:p>
        </w:tc>
        <w:tc>
          <w:tcPr>
            <w:tcW w:w="0" w:type="auto"/>
          </w:tcPr>
          <w:p>
            <w:pPr>
              <w:spacing w:line="240" w:lineRule="auto" w:before="0" w:after="0"/>
              <w:pStyle w:val="Compact"/>
            </w:pPr>
            <w:r>
              <w:rPr>
                <w:sz w:val="20"/>
                <w:szCs w:val="20"/>
              </w:rPr>
              <w:t xml:space="preserve">3.635e-28</w:t>
            </w:r>
          </w:p>
        </w:tc>
        <w:tc>
          <w:tcPr>
            <w:tcW w:w="0" w:type="auto"/>
          </w:tcPr>
          <w:p>
            <w:pPr>
              <w:spacing w:line="240" w:lineRule="auto" w:before="0" w:after="0"/>
              <w:pStyle w:val="Compact"/>
            </w:pPr>
            <w:r>
              <w:rPr>
                <w:sz w:val="20"/>
                <w:szCs w:val="20"/>
              </w:rPr>
              <w:t xml:space="preserve">[-5.6121, -3.9152]</w:t>
            </w:r>
          </w:p>
        </w:tc>
      </w:tr>
    </w:tbl>
    <w:p>
      <w:pPr>
        <w:pStyle w:val="BodyText"/>
      </w:pPr>
      <w:r>
        <w:t xml:space="preserve">Fit: N = 37 R2 = 0.7501 R2_adj = 0.7188 F = 32.5607 F_p = 7.261e-11</w:t>
      </w:r>
    </w:p>
    <w:bookmarkEnd w:id="82"/>
    <w:bookmarkEnd w:id="83"/>
    <w:bookmarkEnd w:id="8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6" Target="media/rId76.png" /><Relationship Type="http://schemas.openxmlformats.org/officeDocument/2006/relationships/hyperlink" Id="rId71" Target="https://doi.org/10.1016/j.actaastro.2024.09.003" TargetMode="External" /><Relationship Type="http://schemas.openxmlformats.org/officeDocument/2006/relationships/hyperlink" Id="rId69" Target="https://doi.org/10.1016/j.actaastro.2025.08.048" TargetMode="External" /><Relationship Type="http://schemas.openxmlformats.org/officeDocument/2006/relationships/hyperlink" Id="rId73" Target="https://doi.org/10.64861/TRSQ4124" TargetMode="External" /></Relationships>
</file>

<file path=word/_rels/footnotes.xml.rels><?xml version="1.0" encoding="UTF-8"?><Relationships xmlns="http://schemas.openxmlformats.org/package/2006/relationships"><Relationship Type="http://schemas.openxmlformats.org/officeDocument/2006/relationships/hyperlink" Id="rId71" Target="https://doi.org/10.1016/j.actaastro.2024.09.003" TargetMode="External" /><Relationship Type="http://schemas.openxmlformats.org/officeDocument/2006/relationships/hyperlink" Id="rId69" Target="https://doi.org/10.1016/j.actaastro.2025.08.048" TargetMode="External" /><Relationship Type="http://schemas.openxmlformats.org/officeDocument/2006/relationships/hyperlink" Id="rId73" Target="https://doi.org/10.64861/TRSQ412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2026-06-25T14:25:48Z</dcterms:created>
  <dcterms:modified xsi:type="dcterms:W3CDTF">2026-06-25T14:25:48Z</dcterms:modified>
</cp:coreProperties>
</file>

<file path=docProps/custom.xml><?xml version="1.0" encoding="utf-8"?>
<Properties xmlns="http://schemas.openxmlformats.org/officeDocument/2006/custom-properties" xmlns:vt="http://schemas.openxmlformats.org/officeDocument/2006/docPropsVTypes"/>
</file>