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PATCH-LATENCY WINDOW: HOW LONG DO GROUND-SEGMENT AND MISSION-CONTROL VULNERABILITIES REMAIN EXPLOITABLE BEFORE REMEDIATION</w:t>
      </w:r>
    </w:p>
    <w:p>
      <w:pPr>
        <w:jc w:val="center"/>
      </w:pPr>
    </w:p>
    <w:p>
      <w:pPr>
        <w:jc w:val="center"/>
      </w:pPr>
      <w:r>
        <w:rPr>
          <w:rFonts w:ascii="Times New Roman" w:hAnsi="Times New Roman"/>
          <w:sz w:val="24"/>
        </w:rPr>
        <w:t>by</w:t>
      </w:r>
    </w:p>
    <w:p>
      <w:pPr>
        <w:jc w:val="center"/>
      </w:pPr>
      <w:r>
        <w:rPr>
          <w:rFonts w:ascii="Times New Roman" w:hAnsi="Times New Roman"/>
          <w:b/>
          <w:sz w:val="28"/>
        </w:rPr>
        <w:t>Aisha Cho</w:t>
      </w:r>
    </w:p>
    <w:p>
      <w:pPr>
        <w:jc w:val="center"/>
      </w:pPr>
      <w:r>
        <w:rPr>
          <w:rFonts w:ascii="Times New Roman" w:hAnsi="Times New Roman"/>
          <w:sz w:val="24"/>
        </w:rPr>
        <w:t>1B-ITI-045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X1f176d8e7b06d04a27e6baff2014e21f1e15c58"/>
    <w:p>
      <w:pPr>
        <w:pStyle w:val="Heading2"/>
        <w:spacing w:line="480" w:lineRule="auto"/>
      </w:pPr>
      <w:r>
        <w:t xml:space="preserve">1.1 The Ground Segment as a Terrestrial Attack Surface</w:t>
      </w:r>
    </w:p>
    <w:p>
      <w:pPr>
        <w:pStyle w:val="FirstParagraph"/>
        <w:spacing w:line="480" w:lineRule="auto"/>
      </w:pPr>
      <w:r>
        <w:t xml:space="preserve">The spacecraft gets the attention. It is the visible, celebrated half of a space system, and it is also the half no adversary can touch. Hundreds of kilometers of vacuum sit between an attacker and the orbiting asset, and beyond that a radio-frequency link that is awkward to access and worse to command. The other half lives on the public internet. Everything on the ground, the mission-control rooms, the telemetry-tracking-and-command nodes, the pass-scheduling servers, the enclaves that push products from antenna to analyst, is a networked information system of the ordinary kind. The operating systems are the same. So are the remote-access gateways, the middleware, the industrial controllers. And so is the schedule on which all of it gets disclosed against, exploited, and patched: the public one, the same one every enterprise runs on.</w:t>
      </w:r>
    </w:p>
    <w:p>
      <w:pPr>
        <w:pStyle w:val="BodyText"/>
        <w:spacing w:line="480" w:lineRule="auto"/>
        <w:ind w:firstLine="720"/>
      </w:pPr>
      <w:r>
        <w:t xml:space="preserve">Allington and colleagues put this plainly in their secure-framework study of space domain awareness systems. A compromise in a software dependency or the supply chain reaches any machine that leans on the affected component, which drops the ground segment into the commodity-software threat model and out of any exotic self-protecting category one might have imagined for it</w:t>
      </w:r>
      <w:r>
        <w:t xml:space="preserve"> </w:t>
      </w:r>
      <w:hyperlink w:anchor="ref-4">
        <w:r>
          <w:rPr>
            <w:rStyle w:val="Hyperlink"/>
          </w:rPr>
          <w:t xml:space="preserve">[4]</w:t>
        </w:r>
      </w:hyperlink>
      <w:r>
        <w:t xml:space="preserve">. Come at the question from the policy side and the answer holds. Advanced cyber threats against satellite systems land on the ground infrastructure first, not the orbiting asset</w:t>
      </w:r>
      <w:r>
        <w:t xml:space="preserve"> </w:t>
      </w:r>
      <w:hyperlink w:anchor="ref-2">
        <w:r>
          <w:rPr>
            <w:rStyle w:val="Hyperlink"/>
          </w:rPr>
          <w:t xml:space="preserve">[2]</w:t>
        </w:r>
      </w:hyperlink>
      <w:r>
        <w:t xml:space="preserve">, and ground-based systems have become a named line in state defense strategy against hybrid threats</w:t>
      </w:r>
      <w:r>
        <w:t xml:space="preserve"> </w:t>
      </w:r>
      <w:hyperlink w:anchor="ref-3">
        <w:r>
          <w:rPr>
            <w:rStyle w:val="Hyperlink"/>
          </w:rPr>
          <w:t xml:space="preserve">[3]</w:t>
        </w:r>
      </w:hyperlink>
      <w:r>
        <w:t xml:space="preserve">.</w:t>
      </w:r>
    </w:p>
    <w:p>
      <w:pPr>
        <w:pStyle w:val="BodyText"/>
        <w:spacing w:line="480" w:lineRule="auto"/>
        <w:ind w:firstLine="720"/>
      </w:pPr>
      <w:r>
        <w:t xml:space="preserve">For the National Aeronautics and Space Administration and the Jet Propulsion Laboratory, this stops being theory fast. Think of what these institutions actually run: the Deep Space Network, the operations centers that fly flagship science missions, the gateways that tie a federally funded research and development center to its partners, the systems that hand out decades of observations no one can recreate. That is the internet-adjacent, commodity-software ground infrastructure the threat writers keep pointing at. Break into it and the damage runs past a data leak. The trusted-data flows that space operations and their international partnerships lean on can be corrupted, and trust is the coin civil space cooperation is paid in</w:t>
      </w:r>
      <w:r>
        <w:t xml:space="preserve"> </w:t>
      </w:r>
      <w:hyperlink w:anchor="ref-1">
        <w:r>
          <w:rPr>
            <w:rStyle w:val="Hyperlink"/>
          </w:rPr>
          <w:t xml:space="preserve">[1]</w:t>
        </w:r>
      </w:hyperlink>
      <w:r>
        <w:t xml:space="preserve">. Once an agency can no longer stand behind the integrity of a command path to a spacecraft, or the origin of a product it distributes, the bill does not stop at one machine. It arrives at the agency’s reputation as a partner others can count on.</w:t>
      </w:r>
    </w:p>
    <w:bookmarkEnd w:id="61"/>
    <w:bookmarkStart w:id="62" w:name="X1b92e51da6bf7b9479285f3e961328674e864da"/>
    <w:p>
      <w:pPr>
        <w:pStyle w:val="Heading2"/>
        <w:spacing w:line="480" w:lineRule="auto"/>
      </w:pPr>
      <w:r>
        <w:t xml:space="preserve">1.2 The Problem: Remediation Tempo, Not Vulnerability Surface</w:t>
      </w:r>
    </w:p>
    <w:p>
      <w:pPr>
        <w:pStyle w:val="FirstParagraph"/>
        <w:spacing w:line="480" w:lineRule="auto"/>
      </w:pPr>
      <w:r>
        <w:t xml:space="preserve">Set the ground segment beside a generic enterprise network and the vulnerability surface is not what separates them. That surface is identical, and identical by design, the same commodity surface either way. Pace is the difference. Continuity of command outranks configuration currency in mission operations, and it does so for reasons an engineer would defend. On an enterprise file server a patch is a Tuesday-night reboot. On a mission-control host inside a live pass schedule the same patch is a change hemmed in by freeze windows, gated behind regression testing against flight-software interfaces, and slowed by a plain unwillingness to disturb a machine that is at that instant flying a spacecraft worth a billion dollars and ten years of cruise no one can buy back. That is the paradox, and it is the discipline that keeps operations reliable, the rule against injecting any uncommanded change into a flying system, is the same discipline that keeps a disclosed vulnerability open longer here than it would stay open anywhere else.</w:t>
      </w:r>
    </w:p>
    <w:p>
      <w:pPr>
        <w:pStyle w:val="BodyText"/>
        <w:spacing w:line="480" w:lineRule="auto"/>
        <w:ind w:firstLine="720"/>
      </w:pPr>
      <w:r>
        <w:t xml:space="preserve">From that fact comes the temporal concern this dissertation is built around. A disclosed and exploitable vulnerability that sits one more day on a ground-segment host buys the adversary one more day against infrastructure whose loss carries mission and institutional weight. Name the span between a vulnerability’s public disclosure and its remediation on a given host the patch-latency window. Across that span an attacker holding both the exploit and the access operates unopposed, which is what makes the window the object worth studying. And it is the length of the window, not the number of windows, that carries the meaning. Vulnerability count is something the ground segment shares with every enterprise on earth. How long each one stays open is what marks out the risk posture of mission infrastructure run under an availability-first culture.</w:t>
      </w:r>
    </w:p>
    <w:p>
      <w:pPr>
        <w:pStyle w:val="BodyText"/>
        <w:spacing w:line="480" w:lineRule="auto"/>
        <w:ind w:firstLine="720"/>
      </w:pPr>
      <w:r>
        <w:t xml:space="preserve">In the United States civilian sector the institutional answer to this problem already exists, and it comes dated. Binding Operational Directive 22-01 has the Cybersecurity and Infrastructure Security Agency publish a Known Exploited Vulnerabilities catalog and pin a remediation due date to each entry, which hardens a loose operational habit into a dated administrative duty</w:t>
      </w:r>
      <w:r>
        <w:t xml:space="preserve"> </w:t>
      </w:r>
      <w:hyperlink w:anchor="ref-5">
        <w:r>
          <w:rPr>
            <w:rStyle w:val="Hyperlink"/>
          </w:rPr>
          <w:t xml:space="preserve">[5]</w:t>
        </w:r>
      </w:hyperlink>
      <w:r>
        <w:t xml:space="preserve">. Every confirmed-exploited vulnerability in that versioned, time-stamped catalog carries the day it was added and the deadline the regulator set</w:t>
      </w:r>
      <w:r>
        <w:t xml:space="preserve"> </w:t>
      </w:r>
      <w:hyperlink w:anchor="ref-6">
        <w:r>
          <w:rPr>
            <w:rStyle w:val="Hyperlink"/>
          </w:rPr>
          <w:t xml:space="preserve">[6]</w:t>
        </w:r>
      </w:hyperlink>
      <w:r>
        <w:t xml:space="preserve">. The National Vulnerability Database then adds, per identifier, the public-disclosure date and the severity score by which urgency usually gets judged</w:t>
      </w:r>
      <w:r>
        <w:t xml:space="preserve"> </w:t>
      </w:r>
      <w:hyperlink w:anchor="ref-7">
        <w:r>
          <w:rPr>
            <w:rStyle w:val="Hyperlink"/>
          </w:rPr>
          <w:t xml:space="preserve">[7]</w:t>
        </w:r>
      </w:hyperlink>
      <w:r>
        <w:t xml:space="preserve">. These tools were built because the patch-latency window is taken to matter.</w:t>
      </w:r>
    </w:p>
    <w:p>
      <w:pPr>
        <w:pStyle w:val="BodyText"/>
        <w:spacing w:line="480" w:lineRule="auto"/>
        <w:ind w:firstLine="720"/>
      </w:pPr>
      <w:r>
        <w:t xml:space="preserve">But a mandated ceiling on the window is a different thing from a measurement of the window ground-segment hosts actually live with, and a different thing again from an account of how that ceiling gets assigned in the first place. The administrative machinery takes the quantity as given. It never estimates it. Into that gap this work steps.</w:t>
      </w:r>
    </w:p>
    <w:bookmarkEnd w:id="62"/>
    <w:bookmarkStart w:id="63" w:name="Xfb88ffc49ee5343136593b06b1ccea157d2ec8a"/>
    <w:p>
      <w:pPr>
        <w:pStyle w:val="Heading2"/>
        <w:spacing w:line="480" w:lineRule="auto"/>
      </w:pPr>
      <w:r>
        <w:t xml:space="preserve">1.3 The Gap Between the Domain Literature and the Method Literature</w:t>
      </w:r>
    </w:p>
    <w:p>
      <w:pPr>
        <w:pStyle w:val="FirstParagraph"/>
        <w:spacing w:line="480" w:lineRule="auto"/>
      </w:pPr>
      <w:r>
        <w:t xml:space="preserve">Where this dissertation contributes is a gap that opens along the join between two literatures that have not yet met. Take the space-cyber domain literature first. It lays out the threat and the governance response carefully. Poirier works through the institutional problem of governing cyber operations in outer space and confirms that current arrangements fall short of the threats aimed at satellite ground infrastructure, a governance shortfall framed with no quantitative exposure baseline underneath it</w:t>
      </w:r>
      <w:r>
        <w:t xml:space="preserve"> </w:t>
      </w:r>
      <w:hyperlink w:anchor="ref-2">
        <w:r>
          <w:rPr>
            <w:rStyle w:val="Hyperlink"/>
          </w:rPr>
          <w:t xml:space="preserve">[2]</w:t>
        </w:r>
      </w:hyperlink>
      <w:r>
        <w:t xml:space="preserve">. Reis studies European defense and security strategy for space and ground-based systems against hybrid threats, and again the level is strategy and stance, not measured remediation behavior</w:t>
      </w:r>
      <w:r>
        <w:t xml:space="preserve"> </w:t>
      </w:r>
      <w:hyperlink w:anchor="ref-3">
        <w:r>
          <w:rPr>
            <w:rStyle w:val="Hyperlink"/>
          </w:rPr>
          <w:t xml:space="preserve">[3]</w:t>
        </w:r>
      </w:hyperlink>
      <w:r>
        <w:t xml:space="preserve">. Allington and colleagues offer a secure framework and threat model for space domain awareness systems, naming the supply-chain and software-dependency routes without ever estimating how long the resulting vulnerabilities stay open in a fielded ground segment</w:t>
      </w:r>
      <w:r>
        <w:t xml:space="preserve"> </w:t>
      </w:r>
      <w:hyperlink w:anchor="ref-4">
        <w:r>
          <w:rPr>
            <w:rStyle w:val="Hyperlink"/>
          </w:rPr>
          <w:t xml:space="preserve">[4]</w:t>
        </w:r>
      </w:hyperlink>
      <w:r>
        <w:t xml:space="preserve">. The space-economy work on trusted space data casts resilient operations as a socio-technical coordination problem and calls for measurement while supplying none</w:t>
      </w:r>
      <w:r>
        <w:t xml:space="preserve"> </w:t>
      </w:r>
      <w:hyperlink w:anchor="ref-1">
        <w:r>
          <w:rPr>
            <w:rStyle w:val="Hyperlink"/>
          </w:rPr>
          <w:t xml:space="preserve">[1]</w:t>
        </w:r>
      </w:hyperlink>
      <w:r>
        <w:t xml:space="preserve">. One absence runs through all four. Not one of them turns the claim that the ground segment is exposed into a count of days that exposure lasts.</w:t>
      </w:r>
    </w:p>
    <w:p>
      <w:pPr>
        <w:pStyle w:val="BodyText"/>
        <w:spacing w:line="480" w:lineRule="auto"/>
        <w:ind w:firstLine="720"/>
      </w:pPr>
      <w:r>
        <w:t xml:space="preserve">Turn to the other literature, the econometric and empirical-security side, and the tools sit right there, unused on this population. A duration outcome under right-censoring is exactly what survival analysis was built for, and the regulatory-vintage and severity covariates that shape remediation timing are its natural conditioning set. Meanwhile the vulnerability-scoring literature has started to press on whether the severity metrics defenders trust actually track real-world risk. Koscinski and colleagues line up four public scoring systems across hundreds of disclosed vulnerabilities and find them disagreeing, often sharply, on how to rank the same flaw, so a high severity number is a poor stand-in for what a defender actually dreads</w:t>
      </w:r>
      <w:r>
        <w:t xml:space="preserve"> </w:t>
      </w:r>
      <w:hyperlink w:anchor="ref-8">
        <w:r>
          <w:rPr>
            <w:rStyle w:val="Hyperlink"/>
          </w:rPr>
          <w:t xml:space="preserve">[8]</w:t>
        </w:r>
      </w:hyperlink>
      <w:r>
        <w:t xml:space="preserve">. Parla sets the Exploit Prediction Scoring System against the Known Exploited Vulnerabilities catalog and watches exploitation probability and severity pull apart on the very vulnerabilities confirmed to be exploited</w:t>
      </w:r>
      <w:r>
        <w:t xml:space="preserve"> </w:t>
      </w:r>
      <w:hyperlink w:anchor="ref-9">
        <w:r>
          <w:rPr>
            <w:rStyle w:val="Hyperlink"/>
          </w:rPr>
          <w:t xml:space="preserve">[9]</w:t>
        </w:r>
      </w:hyperlink>
      <w:r>
        <w:t xml:space="preserve">. All of this speaks directly to how a patch-latency window ought to be modeled and read, since it says severity cannot be trusted to order remediation urgency. And the domain literature on space ground segments cites none of it.</w:t>
      </w:r>
    </w:p>
    <w:p>
      <w:pPr>
        <w:pStyle w:val="BodyText"/>
        <w:spacing w:line="480" w:lineRule="auto"/>
        <w:ind w:firstLine="720"/>
      </w:pPr>
      <w:r>
        <w:t xml:space="preserve">So the gap has two sides. One literature names the exposure and never measures it. The other can measure it and has never turned toward the space ground segment. This dissertation stands on that join. It takes the duration the domain literature treats as a given parameter and runs it through the survival, regression, and classification methods the empirical-security literature already trusts, conditioning throughout on the severity, exploit-availability, and regulatory-vintage covariates that genuinely shape when a patch lands. Method for method’s sake is not the point. The one quantity the domain risk models most want, the distribution of how long ground-segment vulnerabilities stay open, is precisely the quantity only the method literature can deliver, and joining the two is what no prior work has done.</w:t>
      </w:r>
    </w:p>
    <w:bookmarkEnd w:id="63"/>
    <w:bookmarkStart w:id="64" w:name="the-falsifiable-contribution"/>
    <w:p>
      <w:pPr>
        <w:pStyle w:val="Heading2"/>
        <w:spacing w:line="480" w:lineRule="auto"/>
      </w:pPr>
      <w:r>
        <w:t xml:space="preserve">1.4 The Falsifiable Contribution</w:t>
      </w:r>
    </w:p>
    <w:p>
      <w:pPr>
        <w:pStyle w:val="FirstParagraph"/>
        <w:spacing w:line="480" w:lineRule="auto"/>
      </w:pPr>
      <w:r>
        <w:t xml:space="preserve">One contribution is defended here, and it is stated so the data can reject it. That contribution is the first severity-conditioned, host-level estimate of the patch-latency window for space ground-segment and mission-control infrastructure, set against a matched population of general enterprise hosts. Riding on the estimate is a single hypothesis about how two populations differ.</w:t>
      </w:r>
    </w:p>
    <w:p>
      <w:pPr>
        <w:pStyle w:val="BodyText"/>
        <w:spacing w:line="480" w:lineRule="auto"/>
        <w:ind w:firstLine="720"/>
      </w:pPr>
      <w:r>
        <w:t xml:space="preserve">The null says this. Hold vulnerability severity, exploit availability, and software family fixed, and the remediation hazard for ground-segment and mission-control hosts matches that of the matched general enterprise hosts. The population-membership coefficient in the survival model comes out at zero, and once the legitimate covariates are pinned, the median patch-latency window is the same across both populations.</w:t>
      </w:r>
    </w:p>
    <w:p>
      <w:pPr>
        <w:pStyle w:val="BodyText"/>
        <w:spacing w:line="480" w:lineRule="auto"/>
        <w:ind w:firstLine="720"/>
      </w:pPr>
      <w:r>
        <w:t xml:space="preserve">The alternative says the opposite. Under the same conditioning, ground-segment and mission-control hosts carry a lower remediation hazard, which is to say a longer patch-latency window, than the matched enterprise hosts. The population coefficient lands strictly negative on the hazard scale, and the operational-continuity culture levies a measurable remediation penalty over and above the vulnerability attributes that usually set patch timing.</w:t>
      </w:r>
    </w:p>
    <w:p>
      <w:pPr>
        <w:pStyle w:val="BodyText"/>
        <w:spacing w:line="480" w:lineRule="auto"/>
        <w:ind w:firstLine="720"/>
      </w:pPr>
      <w:r>
        <w:t xml:space="preserve">Rejection is available in the strong form. If the estimated hazard ratio for ground-segment membership comes back indistinguishable from one, or comes back positive, across the pre-registered covariate specification, the alternative falls and the operational-continuity-penalty thesis with it. What gets reported is one number, the population-membership hazard ratio, alongside its median-window differential, its confidence intervals, and its severity strata. Nothing is held back in reserve. The verdict is binary. Either a defensible negative population coefficient on the hazard scale emerges or it does not, and the design is arranged so any misclassification of ground-segment hosts pulls toward the null, which leaves a positive finding conservative.</w:t>
      </w:r>
    </w:p>
    <w:p>
      <w:pPr>
        <w:pStyle w:val="BodyText"/>
        <w:spacing w:line="480" w:lineRule="auto"/>
        <w:ind w:firstLine="720"/>
      </w:pPr>
      <w:r>
        <w:t xml:space="preserve">Two companion analyses tighten the single contribution rather than spread it, each hitting the same window object from its own angle. One takes the continuous outcome, estimating the conditional mean of the window under ordinary least squares, and finds the disclosure-era regulatory regime swamping the explainable variation, the post-2021 cataloging apparatus squeezing the measured interval by about two orders of magnitude once severity, asset class, and ransomware association are fixed. The other takes the binary outcome, modeling which vulnerabilities the regulator routes to the short remediation clock, and finds the routing administrative, tied to identifier vintage and not technical severity, so severity draws an odds ratio indistinguishable from one while the vintage indicator alone carries a significant coefficient. Both companions feed the central survival result, showing the window shaped by institutional and administrative structure as much as by anything intrinsic to the vulnerability, which is the very structure the population comparison has to condition on. One provenance chain, one window definition, three analyses. They are meant to be read as a set.</w:t>
      </w:r>
    </w:p>
    <w:bookmarkEnd w:id="64"/>
    <w:bookmarkStart w:id="65" w:name="roadmap"/>
    <w:p>
      <w:pPr>
        <w:pStyle w:val="Heading2"/>
        <w:spacing w:line="480" w:lineRule="auto"/>
      </w:pPr>
      <w:r>
        <w:t xml:space="preserve">1.5 Roadmap</w:t>
      </w:r>
    </w:p>
    <w:p>
      <w:pPr>
        <w:pStyle w:val="FirstParagraph"/>
        <w:spacing w:line="480" w:lineRule="auto"/>
      </w:pPr>
      <w:r>
        <w:t xml:space="preserve">Here is how the rest of the dissertation runs. Chapter 2 builds the theoretical frame and walks the two literatures whose join this work sits on, the space-cyber domain literature that names the exposure</w:t>
      </w:r>
      <w:r>
        <w:t xml:space="preserve"> </w:t>
      </w:r>
      <w:hyperlink w:anchor="ref-1">
        <w:r>
          <w:rPr>
            <w:rStyle w:val="Hyperlink"/>
          </w:rPr>
          <w:t xml:space="preserve">[1]</w:t>
        </w:r>
      </w:hyperlink>
      <w:r>
        <w:t xml:space="preserve">[2][3][4] and the empirical-security and vulnerability-scoring literature that hands over the measurement apparatus</w:t>
      </w:r>
      <w:r>
        <w:t xml:space="preserve"> </w:t>
      </w:r>
      <w:hyperlink w:anchor="ref-8">
        <w:r>
          <w:rPr>
            <w:rStyle w:val="Hyperlink"/>
          </w:rPr>
          <w:t xml:space="preserve">[8]</w:t>
        </w:r>
      </w:hyperlink>
      <w:r>
        <w:t xml:space="preserve">[9], and it lays out the mechanisms by which an operational-continuity culture ought to stretch the remediation window past a matched enterprise baseline. Chapter 3 pins down the data and its lineage. It explains how host-level vulnerability spells get built from internet-wide measurement, cross-referenced against the National Vulnerability Database for disclosure dates and severity</w:t>
      </w:r>
      <w:r>
        <w:t xml:space="preserve"> </w:t>
      </w:r>
      <w:hyperlink w:anchor="ref-7">
        <w:r>
          <w:rPr>
            <w:rStyle w:val="Hyperlink"/>
          </w:rPr>
          <w:t xml:space="preserve">[7]</w:t>
        </w:r>
      </w:hyperlink>
      <w:r>
        <w:t xml:space="preserve"> </w:t>
      </w:r>
      <w:r>
        <w:t xml:space="preserve">and against the Known Exploited Vulnerabilities catalog for exploit-availability and confirmed-exploitation anchors</w:t>
      </w:r>
      <w:r>
        <w:t xml:space="preserve"> </w:t>
      </w:r>
      <w:hyperlink w:anchor="ref-5">
        <w:r>
          <w:rPr>
            <w:rStyle w:val="Hyperlink"/>
          </w:rPr>
          <w:t xml:space="preserve">[5]</w:t>
        </w:r>
      </w:hyperlink>
      <w:r>
        <w:t xml:space="preserve">[6], and it documents the curated registry that identifies ground-segment and mission-control hosts and samples the matched enterprise comparison population.</w:t>
      </w:r>
    </w:p>
    <w:p>
      <w:pPr>
        <w:pStyle w:val="BodyText"/>
        <w:spacing w:line="480" w:lineRule="auto"/>
        <w:ind w:firstLine="720"/>
      </w:pPr>
      <w:r>
        <w:t xml:space="preserve">Chapter 4 lays out the identification strategy and the survival method. The host-vulnerability spell is defined as the unit of analysis, the Cox proportional-hazards estimator is specified with the ground-segment-membership indicator as its treatment covariate, the Schoenfeld-residual test of the proportional-hazards assumption and the accelerated-failure-time robustness specification are detailed, and the difference-in-differences event study anchored on exploit publication is set out as the move that carries identification past mere conditional comparison. Chapter 5 reports the continuous-outcome ordinary-least-squares analysis of window length, pulling apart the partial association of severity, asset class, ransomware association, and disclosure-era governance with the interval to confirmed exploitation. Chapter 6 reports the binary-outcome logistic analysis of the short-clock assignment, asking whether the regulator’s remediation deadline is a severity verdict or an administrative routing keyed to identifier vintage.</w:t>
      </w:r>
    </w:p>
    <w:p>
      <w:pPr>
        <w:pStyle w:val="BodyText"/>
        <w:spacing w:line="480" w:lineRule="auto"/>
        <w:ind w:firstLine="720"/>
      </w:pPr>
      <w:r>
        <w:t xml:space="preserve">Chapter 7 brings the central survival result forward, the estimated population-membership hazard ratio and the median-window differential with confidence intervals and severity strata, and rules on the hypothesis set out in Section 1.4. Chapter 8 turns to the threats to validity. It handles the construct-validity worry that banner-derived detection sees a vulnerable version rather than confirmed host exploitability and so caps the window from above; the internal-validity worry that autonomous-system and certificate attribution can misclassify cloud-fronted assets, with the misclassification pulling conservatively toward the null; the external-validity limit that the estimate travels only to the internet-exposed ground-segment population and not to air-gapped or classified mission enclaves; and the statistical-conclusion-validity worries of right-censoring and the proportional-hazards assumption, both absorbed by survival-specific estimators. Chapter 9 closes by handing the measured window back to the risk models that currently assume it, drawing the implications for NASA and JPL mission-assurance practice, and naming the extensions, chiefly toward the unobservable internal enclave, that a fuller account of the mission-control surface will demand.</w:t>
      </w:r>
    </w:p>
    <w:bookmarkEnd w:id="65"/>
    <w:bookmarkEnd w:id="66"/>
    <w:bookmarkStart w:id="85" w:name="chapter-2.-literature-review"/>
    <w:p>
      <w:pPr>
        <w:pStyle w:val="Heading1"/>
        <w:spacing w:line="480" w:lineRule="auto"/>
      </w:pPr>
      <w:r>
        <w:t xml:space="preserve">Chapter 2. Literature Review</w:t>
      </w:r>
    </w:p>
    <w:bookmarkStart w:id="67" w:name="Xf2f088cd504ec772bce9e87ea41befa885d614e"/>
    <w:p>
      <w:pPr>
        <w:pStyle w:val="Heading2"/>
        <w:spacing w:line="480" w:lineRule="auto"/>
      </w:pPr>
      <w:r>
        <w:t xml:space="preserve">2.1 Orientation: Two Literatures That Have Not Met</w:t>
      </w:r>
    </w:p>
    <w:p>
      <w:pPr>
        <w:pStyle w:val="FirstParagraph"/>
        <w:spacing w:line="480" w:lineRule="auto"/>
      </w:pPr>
      <w:r>
        <w:t xml:space="preserve">Two bodies of scholarship frame this dissertation, and they grew up alongside each other without ever converging. One is the space-cyber and ground-segment security literature. In architectural and qualitative terms it lays out three things: that the ground segment is a commodity-software attack surface, that a compromise there threatens the trusted-data flows space operations depend on, and that the governance meant to guard it is still unfinished</w:t>
      </w:r>
      <w:r>
        <w:t xml:space="preserve"> </w:t>
      </w:r>
      <w:hyperlink w:anchor="ref-1">
        <w:r>
          <w:rPr>
            <w:rStyle w:val="Hyperlink"/>
          </w:rPr>
          <w:t xml:space="preserve">[1]</w:t>
        </w:r>
      </w:hyperlink>
      <w:r>
        <w:t xml:space="preserve">[2][3][4]. The other is the cliometric and econometric literature on vulnerability lifecycles. It has assembled measured, statistically disciplined accounts of how vulnerabilities across the general internet get scored, disclosed, exploited, and remediated</w:t>
      </w:r>
      <w:r>
        <w:t xml:space="preserve"> </w:t>
      </w:r>
      <w:hyperlink w:anchor="ref-5">
        <w:r>
          <w:rPr>
            <w:rStyle w:val="Hyperlink"/>
          </w:rPr>
          <w:t xml:space="preserve">[5]</w:t>
        </w:r>
      </w:hyperlink>
      <w:r>
        <w:t xml:space="preserve">[6][7][8][9], together with the administrative tools that now put timestamps on those events</w:t>
      </w:r>
      <w:r>
        <w:t xml:space="preserve"> </w:t>
      </w:r>
      <w:hyperlink w:anchor="ref-5">
        <w:r>
          <w:rPr>
            <w:rStyle w:val="Hyperlink"/>
          </w:rPr>
          <w:t xml:space="preserve">[5]</w:t>
        </w:r>
      </w:hyperlink>
      <w:r>
        <w:t xml:space="preserve">[6][7]. Here is the mismatch. The first body of work names a quantity, the length of the exploitable exposure window on ground-segment hosts, and never measures it. The second holds the measurement machinery, the data, and the estimands, and has never pointed any of it at the ground-segment population. Bringing the two together is what this dissertation sets out to do.</w:t>
      </w:r>
    </w:p>
    <w:p>
      <w:pPr>
        <w:pStyle w:val="BodyText"/>
        <w:spacing w:line="480" w:lineRule="auto"/>
        <w:ind w:firstLine="720"/>
      </w:pPr>
      <w:r>
        <w:t xml:space="preserve">What follows reviews each on its own terms and then fixes the gap at the exact point where they ought to meet and do not.</w:t>
      </w:r>
    </w:p>
    <w:p>
      <w:pPr>
        <w:pStyle w:val="BodyText"/>
        <w:spacing w:line="480" w:lineRule="auto"/>
        <w:ind w:firstLine="720"/>
      </w:pPr>
      <w:r>
        <w:t xml:space="preserve">That diagnosis dictates the shape of the review. Section 2.2 reads the space-cyber governance and architecture literature, not for its policy conclusions but for the measurable claims it implies and leaves hanging. Section 2.3 moves to the wider distributed-space-systems and ground-operations literature, which explains, in technical terms, why the ground segment resists patching at all: a culture of operational continuity that puts command ahead of configuration currency. Section 2.4 takes up the cliometric and econometric methodology, covering the data tools that timestamp the vulnerability lifecycle</w:t>
      </w:r>
      <w:r>
        <w:t xml:space="preserve"> </w:t>
      </w:r>
      <w:hyperlink w:anchor="ref-5">
        <w:r>
          <w:rPr>
            <w:rStyle w:val="Hyperlink"/>
          </w:rPr>
          <w:t xml:space="preserve">[5]</w:t>
        </w:r>
      </w:hyperlink>
      <w:r>
        <w:t xml:space="preserve">[6][7], the empirical critique of severity scoring that argues for measuring risk rather than assuming it</w:t>
      </w:r>
      <w:r>
        <w:t xml:space="preserve"> </w:t>
      </w:r>
      <w:hyperlink w:anchor="ref-8">
        <w:r>
          <w:rPr>
            <w:rStyle w:val="Hyperlink"/>
          </w:rPr>
          <w:t xml:space="preserve">[8]</w:t>
        </w:r>
      </w:hyperlink>
      <w:r>
        <w:t xml:space="preserve">[9], and the survival-analytic and event-study apparatus the dissertation’s own empirical papers put to work. Section 2.5 pulls the two literatures together and states the gap as one unmeasured object. Section 2.6 closes by placing the dissertation’s three empirical estimates against that gap.</w:t>
      </w:r>
    </w:p>
    <w:bookmarkEnd w:id="67"/>
    <w:bookmarkStart w:id="71" w:name="Xf6227339801c9bb06bf1dfe5b2657e1919c4984"/>
    <w:p>
      <w:pPr>
        <w:pStyle w:val="Heading2"/>
        <w:spacing w:line="480" w:lineRule="auto"/>
      </w:pPr>
      <w:r>
        <w:t xml:space="preserve">2.2 The Space-Cyber and Ground-Segment Security Literature</w:t>
      </w:r>
    </w:p>
    <w:bookmarkStart w:id="68" w:name="X89d578181a9bbb7afa7e46472d57066ee90fbdd"/>
    <w:p>
      <w:pPr>
        <w:pStyle w:val="Heading3"/>
        <w:spacing w:line="480" w:lineRule="auto"/>
      </w:pPr>
      <w:r>
        <w:t xml:space="preserve">2.2.1 The ground segment as commodity-software attack surface</w:t>
      </w:r>
    </w:p>
    <w:p>
      <w:pPr>
        <w:pStyle w:val="FirstParagraph"/>
        <w:spacing w:line="480" w:lineRule="auto"/>
      </w:pPr>
      <w:r>
        <w:t xml:space="preserve">Start with the claim the whole literature rests on, and the premise this dissertation inherits: an adversary who never leaves the planet can still reach the ground segment of a space system. Mission-control rooms, telemetry-tracking-and-command nodes, scheduling servers, and the data-distribution enclaves behind them are networked information systems, assembled from operating systems, middleware, remote-access gateways, and application software. Allington, Peterson, and Bowen spell this out in their secure-framework study of space domain awareness systems. An upstream compromise in the supply chain or a software dependency can reach any machine that depends on the affected component, and that drops the ground segment straight into the commodity-software threat model rather than some bespoke air-gapped category of its own</w:t>
      </w:r>
      <w:r>
        <w:t xml:space="preserve"> </w:t>
      </w:r>
      <w:hyperlink w:anchor="ref-4">
        <w:r>
          <w:rPr>
            <w:rStyle w:val="Hyperlink"/>
          </w:rPr>
          <w:t xml:space="preserve">[4]</w:t>
        </w:r>
      </w:hyperlink>
      <w:r>
        <w:t xml:space="preserve">. The architectural payoff of that observation is simple. The ground segment inherits the full public vulnerability lifecycle, the same disclosures, the same exploit-development clocks, the same patches, all of it applying to the very machines that command spacecraft.</w:t>
      </w:r>
    </w:p>
    <w:p>
      <w:pPr>
        <w:pStyle w:val="BodyText"/>
        <w:spacing w:line="480" w:lineRule="auto"/>
        <w:ind w:firstLine="720"/>
      </w:pPr>
      <w:r>
        <w:t xml:space="preserve">Allington and colleagues organize their SDA threat model around severity-ranked exposure, making the severity of a given exposure the axis along which the ground-segment threat surface gets assessed</w:t>
      </w:r>
      <w:r>
        <w:t xml:space="preserve"> </w:t>
      </w:r>
      <w:hyperlink w:anchor="ref-4">
        <w:r>
          <w:rPr>
            <w:rStyle w:val="Hyperlink"/>
          </w:rPr>
          <w:t xml:space="preserve">[4]</w:t>
        </w:r>
      </w:hyperlink>
      <w:r>
        <w:t xml:space="preserve">. Two things follow for the present work. First, severity earns its place as the natural conditioning variable for any measurement of ground-segment exposure, which is why the dissertation conditions remediation latency on the CVSS base score. Second, and less obviously, treating severity as a sufficient ordering builds in an assumption that Section 2.4 will contest head-on</w:t>
      </w:r>
      <w:r>
        <w:t xml:space="preserve"> </w:t>
      </w:r>
      <w:hyperlink w:anchor="ref-8">
        <w:r>
          <w:rPr>
            <w:rStyle w:val="Hyperlink"/>
          </w:rPr>
          <w:t xml:space="preserve">[8]</w:t>
        </w:r>
      </w:hyperlink>
      <w:r>
        <w:t xml:space="preserve">[9]. The secure-framework literature therefore hands the dissertation both its motivation to measure and one of the assumptions that measurement is meant to test.</w:t>
      </w:r>
    </w:p>
    <w:bookmarkEnd w:id="68"/>
    <w:bookmarkStart w:id="69" w:name="Xba8f91fed7bdbe45671ab181d2fa51f40190a4d"/>
    <w:p>
      <w:pPr>
        <w:pStyle w:val="Heading3"/>
        <w:spacing w:line="480" w:lineRule="auto"/>
      </w:pPr>
      <w:r>
        <w:t xml:space="preserve">2.2.2 Governance incompleteness as the recurring finding</w:t>
      </w:r>
    </w:p>
    <w:p>
      <w:pPr>
        <w:pStyle w:val="FirstParagraph"/>
        <w:spacing w:line="480" w:lineRule="auto"/>
      </w:pPr>
      <w:r>
        <w:t xml:space="preserve">One finding keeps surfacing on the governance side of the space-cyber literature. The threat against satellite systems clusters on the ground infrastructure, and the institutions built to govern that threat have not caught up with it. Poirier, studying the governance of cyber operations in outer space, records the institutional bind that space and cyber commands are in and confirms that existing arrangements fall short of the advanced cyber threats aimed at satellite ground infrastructure</w:t>
      </w:r>
      <w:r>
        <w:t xml:space="preserve"> </w:t>
      </w:r>
      <w:hyperlink w:anchor="ref-2">
        <w:r>
          <w:rPr>
            <w:rStyle w:val="Hyperlink"/>
          </w:rPr>
          <w:t xml:space="preserve">[2]</w:t>
        </w:r>
      </w:hyperlink>
      <w:r>
        <w:t xml:space="preserve">. What matters here is the relocation Poirier performs, taking the threat off the on-orbit asset and putting it on the ground. Popular imagination pictures a space cyberattack as a hijacked satellite; the governance literature moves the critical infrastructure back to the ground, where the commodity-software lifecycle rules and where exposure is set by remediation pace, not orbital mechanics</w:t>
      </w:r>
      <w:r>
        <w:t xml:space="preserve"> </w:t>
      </w:r>
      <w:hyperlink w:anchor="ref-2">
        <w:r>
          <w:rPr>
            <w:rStyle w:val="Hyperlink"/>
          </w:rPr>
          <w:t xml:space="preserve">[2]</w:t>
        </w:r>
      </w:hyperlink>
      <w:r>
        <w:t xml:space="preserve">.</w:t>
      </w:r>
    </w:p>
    <w:p>
      <w:pPr>
        <w:pStyle w:val="BodyText"/>
        <w:spacing w:line="480" w:lineRule="auto"/>
        <w:ind w:firstLine="720"/>
      </w:pPr>
      <w:r>
        <w:t xml:space="preserve">Reis carries the governance picture up into the strategic register, working through European Union defense and security strategy for space and ground-based systems against hybrid threats</w:t>
      </w:r>
      <w:r>
        <w:t xml:space="preserve"> </w:t>
      </w:r>
      <w:hyperlink w:anchor="ref-3">
        <w:r>
          <w:rPr>
            <w:rStyle w:val="Hyperlink"/>
          </w:rPr>
          <w:t xml:space="preserve">[3]</w:t>
        </w:r>
      </w:hyperlink>
      <w:r>
        <w:t xml:space="preserve">. The contribution is to make ground-based systems an explicit line of state defense strategy, which lifts the ground segment out of the merely technical and into recognized national and supranational security posture</w:t>
      </w:r>
      <w:r>
        <w:t xml:space="preserve"> </w:t>
      </w:r>
      <w:hyperlink w:anchor="ref-3">
        <w:r>
          <w:rPr>
            <w:rStyle w:val="Hyperlink"/>
          </w:rPr>
          <w:t xml:space="preserve">[3]</w:t>
        </w:r>
      </w:hyperlink>
      <w:r>
        <w:t xml:space="preserve">. Reis reads the post-2021 years as a period of purposely tightened defensive posture, a reading the dissertation’s first empirical paper treats as consistent with the institutional squeeze on the disclosure-to-exploitation interval that follows the Known Exploited Vulnerabilities program</w:t>
      </w:r>
      <w:r>
        <w:t xml:space="preserve"> </w:t>
      </w:r>
      <w:hyperlink w:anchor="ref-3">
        <w:r>
          <w:rPr>
            <w:rStyle w:val="Hyperlink"/>
          </w:rPr>
          <w:t xml:space="preserve">[3]</w:t>
        </w:r>
      </w:hyperlink>
      <w:r>
        <w:t xml:space="preserve">. So the strategy literature offers a qualitative story of tightening governance, and that story becomes a yardstick against which a measured temporal effect can be checked.</w:t>
      </w:r>
    </w:p>
    <w:p>
      <w:pPr>
        <w:pStyle w:val="BodyText"/>
        <w:spacing w:line="480" w:lineRule="auto"/>
        <w:ind w:firstLine="720"/>
      </w:pPr>
      <w:r>
        <w:t xml:space="preserve">Stilwell and colleagues, writing on the international-relations and economic sides of trusted space data, supply the stakes that make remediation pace consequential rather than merely hygienic</w:t>
      </w:r>
      <w:r>
        <w:t xml:space="preserve"> </w:t>
      </w:r>
      <w:hyperlink w:anchor="ref-1">
        <w:r>
          <w:rPr>
            <w:rStyle w:val="Hyperlink"/>
          </w:rPr>
          <w:t xml:space="preserve">[1]</w:t>
        </w:r>
      </w:hyperlink>
      <w:r>
        <w:t xml:space="preserve">. Their account frames resilient space operations as a socio-technical coordination problem and not just a technical one, with the trusted-data flows that hold international space partnerships together standing as the asset at risk</w:t>
      </w:r>
      <w:r>
        <w:t xml:space="preserve"> </w:t>
      </w:r>
      <w:hyperlink w:anchor="ref-1">
        <w:r>
          <w:rPr>
            <w:rStyle w:val="Hyperlink"/>
          </w:rPr>
          <w:t xml:space="preserve">[1]</w:t>
        </w:r>
      </w:hyperlink>
      <w:r>
        <w:t xml:space="preserve">. Why that reframing matters: it explains why one more day of exposure on a ground-segment host is not a neutral administrative tick. Each such day is a day in which the trusted-data flows space operations and their partnerships depend on can be corrupted</w:t>
      </w:r>
      <w:r>
        <w:t xml:space="preserve"> </w:t>
      </w:r>
      <w:hyperlink w:anchor="ref-1">
        <w:r>
          <w:rPr>
            <w:rStyle w:val="Hyperlink"/>
          </w:rPr>
          <w:t xml:space="preserve">[1]</w:t>
        </w:r>
      </w:hyperlink>
      <w:r>
        <w:t xml:space="preserve">. The economic-and-relational framing lifts the exposure window out of engineering and into a coordination risk shared across a web of operators and partners.</w:t>
      </w:r>
    </w:p>
    <w:bookmarkEnd w:id="69"/>
    <w:bookmarkStart w:id="70" w:name="Xdb522475be3063217509bdd8e651ce997d877aa"/>
    <w:p>
      <w:pPr>
        <w:pStyle w:val="Heading3"/>
        <w:spacing w:line="480" w:lineRule="auto"/>
      </w:pPr>
      <w:r>
        <w:t xml:space="preserve">2.2.3 What the governance literature names but does not measure</w:t>
      </w:r>
    </w:p>
    <w:p>
      <w:pPr>
        <w:pStyle w:val="FirstParagraph"/>
        <w:spacing w:line="480" w:lineRule="auto"/>
      </w:pPr>
      <w:r>
        <w:t xml:space="preserve">Read together, the space-cyber governance literature keeps to one pattern. It names the threat, puts it on the ground segment, records that governance is incomplete, and then declines to quantify the exposure it has just described. Poirier frames the governance shortfall with no quantitative exposure baseline</w:t>
      </w:r>
      <w:r>
        <w:t xml:space="preserve"> </w:t>
      </w:r>
      <w:hyperlink w:anchor="ref-2">
        <w:r>
          <w:rPr>
            <w:rStyle w:val="Hyperlink"/>
          </w:rPr>
          <w:t xml:space="preserve">[2]</w:t>
        </w:r>
      </w:hyperlink>
      <w:r>
        <w:t xml:space="preserve">. Reis works at the level of strategy and posture, not measured remediation behavior</w:t>
      </w:r>
      <w:r>
        <w:t xml:space="preserve"> </w:t>
      </w:r>
      <w:hyperlink w:anchor="ref-3">
        <w:r>
          <w:rPr>
            <w:rStyle w:val="Hyperlink"/>
          </w:rPr>
          <w:t xml:space="preserve">[3]</w:t>
        </w:r>
      </w:hyperlink>
      <w:r>
        <w:t xml:space="preserve">. Allington and colleagues name the supply-chain and software-dependency routes and never estimate how long the resulting vulnerabilities stay open in a fielded ground segment</w:t>
      </w:r>
      <w:r>
        <w:t xml:space="preserve"> </w:t>
      </w:r>
      <w:hyperlink w:anchor="ref-4">
        <w:r>
          <w:rPr>
            <w:rStyle w:val="Hyperlink"/>
          </w:rPr>
          <w:t xml:space="preserve">[4]</w:t>
        </w:r>
      </w:hyperlink>
      <w:r>
        <w:t xml:space="preserve">. Stilwell and colleagues raise the stakes to argue for measurement and supply none</w:t>
      </w:r>
      <w:r>
        <w:t xml:space="preserve"> </w:t>
      </w:r>
      <w:hyperlink w:anchor="ref-1">
        <w:r>
          <w:rPr>
            <w:rStyle w:val="Hyperlink"/>
          </w:rPr>
          <w:t xml:space="preserve">[1]</w:t>
        </w:r>
      </w:hyperlink>
      <w:r>
        <w:t xml:space="preserve">. All four leave the same hole: a measured, severity-conditioned distribution of host-level patch latency specific to ground-segment and mission-control infrastructure, set against a comparable enterprise population.</w:t>
      </w:r>
    </w:p>
    <w:p>
      <w:pPr>
        <w:pStyle w:val="BodyText"/>
        <w:spacing w:line="480" w:lineRule="auto"/>
        <w:ind w:firstLine="720"/>
      </w:pPr>
      <w:r>
        <w:t xml:space="preserve">The qualitative literature insists the ground segment is exposed and governance unfinished; none of it converts that insistence into a count of exploitable days. That missing count is the first half of the gap.</w:t>
      </w:r>
    </w:p>
    <w:bookmarkEnd w:id="70"/>
    <w:bookmarkEnd w:id="71"/>
    <w:bookmarkStart w:id="75" w:name="Xf203e6e3ce69c975aa896d4c6a773edd0240f08"/>
    <w:p>
      <w:pPr>
        <w:pStyle w:val="Heading2"/>
        <w:spacing w:line="480" w:lineRule="auto"/>
      </w:pPr>
      <w:r>
        <w:t xml:space="preserve">2.3 The Distributed-Space-Systems and Ground-Operations Literature</w:t>
      </w:r>
    </w:p>
    <w:bookmarkStart w:id="72" w:name="X99287eef273a2df71e41bd3e34b17d0e7374d02"/>
    <w:p>
      <w:pPr>
        <w:pStyle w:val="Heading3"/>
        <w:spacing w:line="480" w:lineRule="auto"/>
      </w:pPr>
      <w:r>
        <w:t xml:space="preserve">2.3.1 The operational-continuity culture that resists patching</w:t>
      </w:r>
    </w:p>
    <w:p>
      <w:pPr>
        <w:pStyle w:val="FirstParagraph"/>
        <w:spacing w:line="480" w:lineRule="auto"/>
      </w:pPr>
      <w:r>
        <w:t xml:space="preserve">Why the ground segment shows a distinctive remediation pace, and not merely a distinctive threat surface, is a question the operations literature answers. Space-mission operations put continuity of command ahead of configuration currency. What is a routine maintenance reboot on an enterprise file server becomes, on a mission-control host inside a live pass schedule, a change fenced in by freeze windows, subject to regression testing against flight-software interfaces, and held back by a reluctance to touch a machine that is at that moment commanding a spacecraft. That operational fact is what converts a generic commodity-software vulnerability into a ground-segment-specific exposure. Enterprise shares the surface; it does not share the pace. Work on space-ground communication under signal latency shows the broader principle at work, that ground operations organize themselves around the integrity and timing of the command path and that anything disturbing that path carries mission-assurance cost</w:t>
      </w:r>
      <w:r>
        <w:t xml:space="preserve"> </w:t>
      </w:r>
      <w:hyperlink w:anchor="ref-19">
        <w:r>
          <w:rPr>
            <w:rStyle w:val="Hyperlink"/>
          </w:rPr>
          <w:t xml:space="preserve">[19]</w:t>
        </w:r>
      </w:hyperlink>
      <w:r>
        <w:t xml:space="preserve">. Braiding approaches to space-ground communication under signal latency treat the command-and-control link as a fragile, timing-sensitive resource whose disruption has to be actively managed</w:t>
      </w:r>
      <w:r>
        <w:t xml:space="preserve"> </w:t>
      </w:r>
      <w:hyperlink w:anchor="ref-19">
        <w:r>
          <w:rPr>
            <w:rStyle w:val="Hyperlink"/>
          </w:rPr>
          <w:t xml:space="preserve">[19]</w:t>
        </w:r>
      </w:hyperlink>
      <w:r>
        <w:t xml:space="preserve">, which is the same institutional logic that makes an operator reluctant to run a patch that would pull a commanding host offline.</w:t>
      </w:r>
    </w:p>
    <w:bookmarkEnd w:id="72"/>
    <w:bookmarkStart w:id="73" w:name="Xc94399e4834152d0c4ccab74c93e4e4ceb3c33e"/>
    <w:p>
      <w:pPr>
        <w:pStyle w:val="Heading3"/>
        <w:spacing w:line="480" w:lineRule="auto"/>
      </w:pPr>
      <w:r>
        <w:t xml:space="preserve">2.3.2 Autonomy, distribution, and the multiplication of control surfaces</w:t>
      </w:r>
    </w:p>
    <w:p>
      <w:pPr>
        <w:pStyle w:val="FirstParagraph"/>
        <w:spacing w:line="480" w:lineRule="auto"/>
      </w:pPr>
      <w:r>
        <w:t xml:space="preserve">A second strand of the operations literature speaks straight to the scope and urgency of the problem, namely the shift toward distributed and increasingly autonomous space-mission architectures. Agent-based approaches to distributed space systems and mission management describe designs in which mission functions are split across many coordinating software agents and control nodes</w:t>
      </w:r>
      <w:r>
        <w:t xml:space="preserve"> </w:t>
      </w:r>
      <w:hyperlink w:anchor="ref-10">
        <w:r>
          <w:rPr>
            <w:rStyle w:val="Hyperlink"/>
          </w:rPr>
          <w:t xml:space="preserve">[10]</w:t>
        </w:r>
      </w:hyperlink>
      <w:r>
        <w:t xml:space="preserve">. The security consequence, which the dissertation’s logistic-analysis paper draws out, is that such designs multiply the internet-facing control surfaces that inherit the commodity-software vulnerability lifecycle and its remediation duties</w:t>
      </w:r>
      <w:r>
        <w:t xml:space="preserve"> </w:t>
      </w:r>
      <w:hyperlink w:anchor="ref-10">
        <w:r>
          <w:rPr>
            <w:rStyle w:val="Hyperlink"/>
          </w:rPr>
          <w:t xml:space="preserve">[10]</w:t>
        </w:r>
      </w:hyperlink>
      <w:r>
        <w:t xml:space="preserve">. A monolithic mission-control center offers one bounded attack surface. A distributed, agent-based one offers many, and each is a candidate host for an open vulnerability spell. So the autonomy literature makes the point that the population of ground-segment hosts caught by the patch-latency problem is expanding rather than fixed, which is what makes measuring the window now the pressing task.</w:t>
      </w:r>
    </w:p>
    <w:p>
      <w:pPr>
        <w:pStyle w:val="BodyText"/>
        <w:spacing w:line="480" w:lineRule="auto"/>
        <w:ind w:firstLine="720"/>
      </w:pPr>
      <w:r>
        <w:t xml:space="preserve">The wider distributed-systems literature fills in a ground and space architecture that keeps getting more networked, more software-defined, and more dependent on ground-segment relays. Work on information routing in satellite constellations by stereographic projection and static digraph treats the constellation as a routing fabric whose ground interfaces are part of how it runs</w:t>
      </w:r>
      <w:r>
        <w:t xml:space="preserve"> </w:t>
      </w:r>
      <w:hyperlink w:anchor="ref-23">
        <w:r>
          <w:rPr>
            <w:rStyle w:val="Hyperlink"/>
          </w:rPr>
          <w:t xml:space="preserve">[23]</w:t>
        </w:r>
      </w:hyperlink>
      <w:r>
        <w:t xml:space="preserve">, and studies of near-real-time communication over commercial relay for time-domain astronomy show missions leaning harder on internet-connected ground paths for low-latency data return</w:t>
      </w:r>
      <w:r>
        <w:t xml:space="preserve"> </w:t>
      </w:r>
      <w:hyperlink w:anchor="ref-26">
        <w:r>
          <w:rPr>
            <w:rStyle w:val="Hyperlink"/>
          </w:rPr>
          <w:t xml:space="preserve">[26]</w:t>
        </w:r>
      </w:hyperlink>
      <w:r>
        <w:t xml:space="preserve">. Mission concepts for operational space-weather detection and tracking with small spacecraft likewise take continuous ground-segment data ingestion and tasking for granted</w:t>
      </w:r>
      <w:r>
        <w:t xml:space="preserve"> </w:t>
      </w:r>
      <w:hyperlink w:anchor="ref-24">
        <w:r>
          <w:rPr>
            <w:rStyle w:val="Hyperlink"/>
          </w:rPr>
          <w:t xml:space="preserve">[24]</w:t>
        </w:r>
      </w:hyperlink>
      <w:r>
        <w:t xml:space="preserve">. None of these works touches cyber exposure directly. Their value here is collective: together they document the thickening of the internet-reachable ground-segment surface that the patch-latency window measures. The remote-control and remote-operation literature says the same from the operations side, whether in remote-controlled Southern Hemisphere SSA observatories</w:t>
      </w:r>
      <w:r>
        <w:t xml:space="preserve"> </w:t>
      </w:r>
      <w:hyperlink w:anchor="ref-12">
        <w:r>
          <w:rPr>
            <w:rStyle w:val="Hyperlink"/>
          </w:rPr>
          <w:t xml:space="preserve">[12]</w:t>
        </w:r>
      </w:hyperlink>
      <w:r>
        <w:t xml:space="preserve"> </w:t>
      </w:r>
      <w:r>
        <w:t xml:space="preserve">or in teleoperated payloads for long-duration missions</w:t>
      </w:r>
      <w:r>
        <w:t xml:space="preserve"> </w:t>
      </w:r>
      <w:hyperlink w:anchor="ref-21">
        <w:r>
          <w:rPr>
            <w:rStyle w:val="Hyperlink"/>
          </w:rPr>
          <w:t xml:space="preserve">[21]</w:t>
        </w:r>
      </w:hyperlink>
      <w:r>
        <w:t xml:space="preserve">. Ground-segment infrastructure runs more and more over networked links that are, by design, internet-reachable, which puts them inside the commodity-software threat model Allington and colleagues describe</w:t>
      </w:r>
      <w:r>
        <w:t xml:space="preserve"> </w:t>
      </w:r>
      <w:hyperlink w:anchor="ref-4">
        <w:r>
          <w:rPr>
            <w:rStyle w:val="Hyperlink"/>
          </w:rPr>
          <w:t xml:space="preserve">[4]</w:t>
        </w:r>
      </w:hyperlink>
      <w:r>
        <w:t xml:space="preserve">.</w:t>
      </w:r>
    </w:p>
    <w:bookmarkEnd w:id="73"/>
    <w:bookmarkStart w:id="74" w:name="the-boundary-of-observability"/>
    <w:p>
      <w:pPr>
        <w:pStyle w:val="Heading3"/>
        <w:spacing w:line="480" w:lineRule="auto"/>
      </w:pPr>
      <w:r>
        <w:t xml:space="preserve">2.3.3 The boundary of observability</w:t>
      </w:r>
    </w:p>
    <w:p>
      <w:pPr>
        <w:pStyle w:val="FirstParagraph"/>
        <w:spacing w:line="480" w:lineRule="auto"/>
      </w:pPr>
      <w:r>
        <w:t xml:space="preserve">The operations literature draws one more line, the line around what any internet-wide measurement can actually see. A large share of mission-critical ground-segment and instrument-control infrastructure is internal, hardware-embedded, or otherwise off the network. Controller and instrument work, from the design of dedicated astronomical-instrument controllers</w:t>
      </w:r>
      <w:r>
        <w:t xml:space="preserve"> </w:t>
      </w:r>
      <w:hyperlink w:anchor="ref-18">
        <w:r>
          <w:rPr>
            <w:rStyle w:val="Hyperlink"/>
          </w:rPr>
          <w:t xml:space="preserve">[18]</w:t>
        </w:r>
      </w:hyperlink>
      <w:r>
        <w:t xml:space="preserve"> </w:t>
      </w:r>
      <w:r>
        <w:t xml:space="preserve">to segmented-mirror control technology for atmospheric correction</w:t>
      </w:r>
      <w:r>
        <w:t xml:space="preserve"> </w:t>
      </w:r>
      <w:hyperlink w:anchor="ref-11">
        <w:r>
          <w:rPr>
            <w:rStyle w:val="Hyperlink"/>
          </w:rPr>
          <w:t xml:space="preserve">[11]</w:t>
        </w:r>
      </w:hyperlink>
      <w:r>
        <w:t xml:space="preserve">, describes computers woven into ground operations that show no internet-facing banner and so would never turn up in an internet-wide host census. Cislunar and deep-space SSA mission concepts</w:t>
      </w:r>
      <w:r>
        <w:t xml:space="preserve"> </w:t>
      </w:r>
      <w:hyperlink w:anchor="ref-15">
        <w:r>
          <w:rPr>
            <w:rStyle w:val="Hyperlink"/>
          </w:rPr>
          <w:t xml:space="preserve">[15]</w:t>
        </w:r>
      </w:hyperlink>
      <w:r>
        <w:t xml:space="preserve">[16] and trajectory-design and density-forecasting work</w:t>
      </w:r>
      <w:r>
        <w:t xml:space="preserve"> </w:t>
      </w:r>
      <w:hyperlink w:anchor="ref-14">
        <w:r>
          <w:rPr>
            <w:rStyle w:val="Hyperlink"/>
          </w:rPr>
          <w:t xml:space="preserve">[14]</w:t>
        </w:r>
      </w:hyperlink>
      <w:r>
        <w:t xml:space="preserve">[20] likewise run on ground computation kept mostly inside the operating institution. The methodological upshot, which the dissertation states outright as an external-validity threat, is that any banner-derived measurement of the ground-segment patch-latency window reaches only the internet-exposed subset, never the air-gapped or classified mission enclaves. The operations literature earns its keep twice over, then: it says why the window exists and why it runs long, and it fences the population any internet-wide estimate of that window can legitimately claim.</w:t>
      </w:r>
    </w:p>
    <w:bookmarkEnd w:id="74"/>
    <w:bookmarkEnd w:id="75"/>
    <w:bookmarkStart w:id="79" w:name="X07fe73e594277fc276c6392b9242153367417e1"/>
    <w:p>
      <w:pPr>
        <w:pStyle w:val="Heading2"/>
        <w:spacing w:line="480" w:lineRule="auto"/>
      </w:pPr>
      <w:r>
        <w:t xml:space="preserve">2.4 The Cliometric and Econometric Methodology Literature</w:t>
      </w:r>
    </w:p>
    <w:bookmarkStart w:id="76" w:name="Xf0ab5052474cc00c8011271f48eefe662decab1"/>
    <w:p>
      <w:pPr>
        <w:pStyle w:val="Heading3"/>
        <w:spacing w:line="480" w:lineRule="auto"/>
      </w:pPr>
      <w:r>
        <w:t xml:space="preserve">2.4.1 The data instruments that timestamp the vulnerability lifecycle</w:t>
      </w:r>
    </w:p>
    <w:p>
      <w:pPr>
        <w:pStyle w:val="FirstParagraph"/>
        <w:spacing w:line="480" w:lineRule="auto"/>
      </w:pPr>
      <w:r>
        <w:t xml:space="preserve">The second literature under review is the cliometric and econometric work on vulnerability lifecycles, and it starts with the administrative data tools that make the lifecycle measurable at all. Three public, version-stamped sources together put timestamps on the events that bound the patch-latency window. The NIST National Vulnerability Database, reached through its CVE API version 2.0, gives the public-disclosure date and the CVSS base-severity score for each vulnerability</w:t>
      </w:r>
      <w:r>
        <w:t xml:space="preserve"> </w:t>
      </w:r>
      <w:hyperlink w:anchor="ref-7">
        <w:r>
          <w:rPr>
            <w:rStyle w:val="Hyperlink"/>
          </w:rPr>
          <w:t xml:space="preserve">[7]</w:t>
        </w:r>
      </w:hyperlink>
      <w:r>
        <w:t xml:space="preserve">. The CISA Known Exploited Vulnerabilities catalog gives, for every vulnerability confirmed exploited in the wild, the date the entry went in, the known-ransomware-campaign flag, and the mandated remediation due date</w:t>
      </w:r>
      <w:r>
        <w:t xml:space="preserve"> </w:t>
      </w:r>
      <w:hyperlink w:anchor="ref-6">
        <w:r>
          <w:rPr>
            <w:rStyle w:val="Hyperlink"/>
          </w:rPr>
          <w:t xml:space="preserve">[6]</w:t>
        </w:r>
      </w:hyperlink>
      <w:r>
        <w:t xml:space="preserve">. CISA Binding Operational Directive 22-01 is the instrument that stood up the KEV program and fixed a dated remediation duty to each catalog entry, turning a loose operational habit into a measurable administrative event</w:t>
      </w:r>
      <w:r>
        <w:t xml:space="preserve"> </w:t>
      </w:r>
      <w:hyperlink w:anchor="ref-5">
        <w:r>
          <w:rPr>
            <w:rStyle w:val="Hyperlink"/>
          </w:rPr>
          <w:t xml:space="preserve">[5]</w:t>
        </w:r>
      </w:hyperlink>
      <w:r>
        <w:t xml:space="preserve">. Those three are the empirical spine of the dissertation. NVD supplies the conditioning covariates and the disclosure anchor</w:t>
      </w:r>
      <w:r>
        <w:t xml:space="preserve"> </w:t>
      </w:r>
      <w:hyperlink w:anchor="ref-7">
        <w:r>
          <w:rPr>
            <w:rStyle w:val="Hyperlink"/>
          </w:rPr>
          <w:t xml:space="preserve">[7]</w:t>
        </w:r>
      </w:hyperlink>
      <w:r>
        <w:t xml:space="preserve">, KEV supplies the exploitation and ransomware signals and the remediation due dates</w:t>
      </w:r>
      <w:r>
        <w:t xml:space="preserve"> </w:t>
      </w:r>
      <w:hyperlink w:anchor="ref-6">
        <w:r>
          <w:rPr>
            <w:rStyle w:val="Hyperlink"/>
          </w:rPr>
          <w:t xml:space="preserve">[6]</w:t>
        </w:r>
      </w:hyperlink>
      <w:r>
        <w:t xml:space="preserve">, and BOD 22-01 supplies the institutional event whose arrival the dissertation reads as a disclosure-era regime change</w:t>
      </w:r>
      <w:r>
        <w:t xml:space="preserve"> </w:t>
      </w:r>
      <w:hyperlink w:anchor="ref-5">
        <w:r>
          <w:rPr>
            <w:rStyle w:val="Hyperlink"/>
          </w:rPr>
          <w:t xml:space="preserve">[5]</w:t>
        </w:r>
      </w:hyperlink>
      <w:r>
        <w:t xml:space="preserve">.</w:t>
      </w:r>
    </w:p>
    <w:p>
      <w:pPr>
        <w:pStyle w:val="BodyText"/>
        <w:spacing w:line="480" w:lineRule="auto"/>
        <w:ind w:firstLine="720"/>
      </w:pPr>
      <w:r>
        <w:t xml:space="preserve">The reason these tools matter methodologically is that they are primary, time-stamped, and independently versioned, which opens a fully repeatable lineage from raw record to estimated coefficient. That is a cliometric strength in the exact sense: the dissertation’s empirical claims sit on public administrative records whose values can be pulled again and checked against the stated catalog version, not on proprietary or self-reported data. BOD 22-01 matters substantively as well as procedurally, because the fast-cataloging institution it created is itself a suspected cause of the squeeze on the disclosure-to-exploitation interval</w:t>
      </w:r>
      <w:r>
        <w:t xml:space="preserve"> </w:t>
      </w:r>
      <w:hyperlink w:anchor="ref-5">
        <w:r>
          <w:rPr>
            <w:rStyle w:val="Hyperlink"/>
          </w:rPr>
          <w:t xml:space="preserve">[5]</w:t>
        </w:r>
      </w:hyperlink>
      <w:r>
        <w:t xml:space="preserve">. So the data tools do double duty, serving both as the measurement apparatus and as the source of one of the dissertation’s main explanatory variables.</w:t>
      </w:r>
    </w:p>
    <w:bookmarkEnd w:id="76"/>
    <w:bookmarkStart w:id="77" w:name="X868d60dd21972c86ad8a8f36b8305f09a925d0f"/>
    <w:p>
      <w:pPr>
        <w:pStyle w:val="Heading3"/>
        <w:spacing w:line="480" w:lineRule="auto"/>
      </w:pPr>
      <w:r>
        <w:t xml:space="preserve">2.4.2 The empirical critique of severity scoring</w:t>
      </w:r>
    </w:p>
    <w:p>
      <w:pPr>
        <w:pStyle w:val="FirstParagraph"/>
        <w:spacing w:line="480" w:lineRule="auto"/>
      </w:pPr>
      <w:r>
        <w:t xml:space="preserve">Out of the cliometric literature comes a pointed empirical critique of severity scoring, and it lands directly on this dissertation’s design choices. The intuitive model of prioritization is severity-monotone: the higher the CVSS base score, the greater the danger and the shorter the delay one can accept. The space-cyber architecture literature quietly signs on to that ordering by making severity-ranked exposure the axis of its threat model</w:t>
      </w:r>
      <w:r>
        <w:t xml:space="preserve"> </w:t>
      </w:r>
      <w:hyperlink w:anchor="ref-4">
        <w:r>
          <w:rPr>
            <w:rStyle w:val="Hyperlink"/>
          </w:rPr>
          <w:t xml:space="preserve">[4]</w:t>
        </w:r>
      </w:hyperlink>
      <w:r>
        <w:t xml:space="preserve">. The cliometric evidence pulls the assumption apart. Koscinski and colleagues compare four public scoring systems across six hundred disclosed vulnerabilities and find real disagreement in how the systems rank the same flaws, which means a high score in one system does not reliably signal a high rank in another and, by extension, does not reliably stand in for what a defender fears</w:t>
      </w:r>
      <w:r>
        <w:t xml:space="preserve"> </w:t>
      </w:r>
      <w:hyperlink w:anchor="ref-8">
        <w:r>
          <w:rPr>
            <w:rStyle w:val="Hyperlink"/>
          </w:rPr>
          <w:t xml:space="preserve">[8]</w:t>
        </w:r>
      </w:hyperlink>
      <w:r>
        <w:t xml:space="preserve">. Parla sets the Exploit Prediction Scoring System against the CISA KEV catalog and finds exploitation probability and severity splitting apart on exactly the vulnerabilities known to be exploited, so severity and realized exploitation are not interchangeable</w:t>
      </w:r>
      <w:r>
        <w:t xml:space="preserve"> </w:t>
      </w:r>
      <w:hyperlink w:anchor="ref-9">
        <w:r>
          <w:rPr>
            <w:rStyle w:val="Hyperlink"/>
          </w:rPr>
          <w:t xml:space="preserve">[9]</w:t>
        </w:r>
      </w:hyperlink>
      <w:r>
        <w:t xml:space="preserve">.</w:t>
      </w:r>
    </w:p>
    <w:p>
      <w:pPr>
        <w:pStyle w:val="BodyText"/>
        <w:spacing w:line="480" w:lineRule="auto"/>
        <w:ind w:firstLine="720"/>
      </w:pPr>
      <w:r>
        <w:t xml:space="preserve">That critique carries two consequences into the dissertation. First, it makes the case for conditioning on severity instead of assuming it. Were severity a clean ordering of risk, a patch-latency window measured while conditioning on severity would be redundant; because severity is noisy, the conditional measurement carries information. Second, more sharply, the critique produces a falsifiable expectation the dissertation’s third empirical paper tests outright. If severity is a weak signal that neither regulators nor operators can cleanly act on, then the administrative routing of remediation deadlines ought to run on categorical rules rather than on severity, and severity ought to add little once those rules enter the model</w:t>
      </w:r>
      <w:r>
        <w:t xml:space="preserve"> </w:t>
      </w:r>
      <w:hyperlink w:anchor="ref-8">
        <w:r>
          <w:rPr>
            <w:rStyle w:val="Hyperlink"/>
          </w:rPr>
          <w:t xml:space="preserve">[8]</w:t>
        </w:r>
      </w:hyperlink>
      <w:r>
        <w:t xml:space="preserve">[9]. The scoring-systems literature therefore hands over not just a methodological warning but a testable claim about how the patch-latency window gets administratively set.</w:t>
      </w:r>
    </w:p>
    <w:bookmarkEnd w:id="77"/>
    <w:bookmarkStart w:id="78" w:name="X812eea4de5981f41669aa42f0dc0b0b69349855"/>
    <w:p>
      <w:pPr>
        <w:pStyle w:val="Heading3"/>
        <w:spacing w:line="480" w:lineRule="auto"/>
      </w:pPr>
      <w:r>
        <w:t xml:space="preserve">2.4.3 Survival analysis, conditional-mean estimation, and event-study identification</w:t>
      </w:r>
    </w:p>
    <w:p>
      <w:pPr>
        <w:pStyle w:val="FirstParagraph"/>
        <w:spacing w:line="480" w:lineRule="auto"/>
      </w:pPr>
      <w:r>
        <w:t xml:space="preserve">At the heart of the cliometric tradition this dissertation draws on is a habit of treating a vulnerability lifecycle as a duration to model, not a static attribute to tabulate. The natural object is the host-vulnerability spell: a pair watched from the day a vulnerability becomes detectable on a host to the day the host stops presenting it, with right-censoring for spells still open at the end of observation. That spell’s length, the remediation latency, is the patch-latency window. Three estimators, all standard cliometric and econometric fare, organize the dissertation’s empirical program.</w:t>
      </w:r>
    </w:p>
    <w:p>
      <w:pPr>
        <w:pStyle w:val="BodyText"/>
        <w:spacing w:line="480" w:lineRule="auto"/>
        <w:ind w:firstLine="720"/>
      </w:pPr>
      <w:r>
        <w:t xml:space="preserve">Survival analysis comes first. The Cox proportional-hazards model treats remediation latency as a survival time and estimates the hazard of remediation as a function of covariates, the ground-segment-membership indicator serving as the treatment covariate and severity, exploit availability, and software family serving as conditioning covariates. Where the proportional-hazards assumption breaks, checked by scaled Schoenfeld residuals, the analysis swaps in an accelerated-failure-time specification that reports a time-ratio. Kaplan-Meier curves give the unconditional median window per population as a descriptive anchor. Survival analysis fits here precisely because the data are censored: many host-vulnerability spells are still open at the end of observation, and any estimator that threw them out or naively imputed them would bias the window. Conditional-mean estimation under ordinary least squares comes second, run on the log-transformed window. Used in the dissertation’s first empirical paper, it accommodates the raw duration’s right-skew and returns proportional-effect coefficients an operator reads off directly, at the price of ignoring censoring, which is why it rides alongside the survival treatment rather than standing alone. The binary logistic regression of the third paper comes third, modeling the administrative decision that routes a vulnerability to a short or extended remediation clock as a function of severity, ransomware association, and administrative vintage, and recovering whether the regulatory pace is severity-driven or clerically routed.</w:t>
      </w:r>
    </w:p>
    <w:p>
      <w:pPr>
        <w:pStyle w:val="BodyText"/>
        <w:spacing w:line="480" w:lineRule="auto"/>
        <w:ind w:firstLine="720"/>
      </w:pPr>
      <w:r>
        <w:t xml:space="preserve">The fourth piece of the identification strategy is the difference-in-differences event study, the cliometric device that lifts a conditional comparison toward a causal contrast. The design pins a before-and-after comparison to the publication date of a working exploit for each vulnerability, an event that sharply lifts remediation urgency. If ground-segment hosts move slower than matched enterprise hosts against the same exploitation shock, that differential response identifies the operational-continuity penalty net of fixed population differences in baseline hygiene. Matching the populations on operating-system family and disclosure cohort before estimation trims composition confounding. This event-study logic is the bridge from the qualitative claim that ground-segment operators are slow to patch to a quantitative estimand, the difference-in-differences differential in post-exploit remediation probability, that can support or sink the claim. The cliometric literature hands over a complete apparatus, then, censoring-aware duration estimation, conditional-mean and binary-decision models, and quasi-experimental event-study identification, all matured on the general internet and, as the next section argues, never turned on the ground segment.</w:t>
      </w:r>
    </w:p>
    <w:bookmarkEnd w:id="78"/>
    <w:bookmarkEnd w:id="79"/>
    <w:bookmarkStart w:id="83" w:name="synthesis-and-the-gap"/>
    <w:p>
      <w:pPr>
        <w:pStyle w:val="Heading2"/>
        <w:spacing w:line="480" w:lineRule="auto"/>
      </w:pPr>
      <w:r>
        <w:t xml:space="preserve">2.5 Synthesis and the Gap</w:t>
      </w:r>
    </w:p>
    <w:bookmarkStart w:id="80" w:name="the-two-literatures-in-mutual-deficit"/>
    <w:p>
      <w:pPr>
        <w:pStyle w:val="Heading3"/>
        <w:spacing w:line="480" w:lineRule="auto"/>
      </w:pPr>
      <w:r>
        <w:t xml:space="preserve">2.5.1 The two literatures in mutual deficit</w:t>
      </w:r>
    </w:p>
    <w:p>
      <w:pPr>
        <w:pStyle w:val="FirstParagraph"/>
        <w:spacing w:line="480" w:lineRule="auto"/>
      </w:pPr>
      <w:r>
        <w:t xml:space="preserve">The synthesis states itself cleanly now. With authority and no measurement, the space-cyber and ground-segment literature sets out that the ground segment is a commodity-software attack surface</w:t>
      </w:r>
      <w:r>
        <w:t xml:space="preserve"> </w:t>
      </w:r>
      <w:hyperlink w:anchor="ref-4">
        <w:r>
          <w:rPr>
            <w:rStyle w:val="Hyperlink"/>
          </w:rPr>
          <w:t xml:space="preserve">[4]</w:t>
        </w:r>
      </w:hyperlink>
      <w:r>
        <w:t xml:space="preserve">, that the threat clusters on ground infrastructure while governance falls short</w:t>
      </w:r>
      <w:r>
        <w:t xml:space="preserve"> </w:t>
      </w:r>
      <w:hyperlink w:anchor="ref-2">
        <w:r>
          <w:rPr>
            <w:rStyle w:val="Hyperlink"/>
          </w:rPr>
          <w:t xml:space="preserve">[2]</w:t>
        </w:r>
      </w:hyperlink>
      <w:r>
        <w:t xml:space="preserve">, that ground-based systems are a recognized axis of defense strategy</w:t>
      </w:r>
      <w:r>
        <w:t xml:space="preserve"> </w:t>
      </w:r>
      <w:hyperlink w:anchor="ref-3">
        <w:r>
          <w:rPr>
            <w:rStyle w:val="Hyperlink"/>
          </w:rPr>
          <w:t xml:space="preserve">[3]</w:t>
        </w:r>
      </w:hyperlink>
      <w:r>
        <w:t xml:space="preserve">, and that the stakes are the trusted-data flows under international space operations</w:t>
      </w:r>
      <w:r>
        <w:t xml:space="preserve"> </w:t>
      </w:r>
      <w:hyperlink w:anchor="ref-1">
        <w:r>
          <w:rPr>
            <w:rStyle w:val="Hyperlink"/>
          </w:rPr>
          <w:t xml:space="preserve">[1]</w:t>
        </w:r>
      </w:hyperlink>
      <w:r>
        <w:t xml:space="preserve">. It implies a quantity, the length of the exploitable exposure window on ground-segment hosts, leans on that quantity all through its risk reasoning, and never once observes it. The operations literature says why the quantity ought to be distinctive: a continuity culture built around an unbroken command path</w:t>
      </w:r>
      <w:r>
        <w:t xml:space="preserve"> </w:t>
      </w:r>
      <w:hyperlink w:anchor="ref-19">
        <w:r>
          <w:rPr>
            <w:rStyle w:val="Hyperlink"/>
          </w:rPr>
          <w:t xml:space="preserve">[19]</w:t>
        </w:r>
      </w:hyperlink>
      <w:r>
        <w:t xml:space="preserve">, a growing population of internet-reachable and autonomous control surfaces</w:t>
      </w:r>
      <w:r>
        <w:t xml:space="preserve"> </w:t>
      </w:r>
      <w:hyperlink w:anchor="ref-10">
        <w:r>
          <w:rPr>
            <w:rStyle w:val="Hyperlink"/>
          </w:rPr>
          <w:t xml:space="preserve">[10]</w:t>
        </w:r>
      </w:hyperlink>
      <w:r>
        <w:t xml:space="preserve">[23][24][26], and a partly invisible internal infrastructure that caps any measurement</w:t>
      </w:r>
      <w:r>
        <w:t xml:space="preserve"> </w:t>
      </w:r>
      <w:hyperlink w:anchor="ref-11">
        <w:r>
          <w:rPr>
            <w:rStyle w:val="Hyperlink"/>
          </w:rPr>
          <w:t xml:space="preserve">[11]</w:t>
        </w:r>
      </w:hyperlink>
      <w:r>
        <w:t xml:space="preserve">[12][18][21]. The cliometric and econometric literature holds the measurement apparatus the first literature lacks: version-stamped data tools that timestamp the lifecycle</w:t>
      </w:r>
      <w:r>
        <w:t xml:space="preserve"> </w:t>
      </w:r>
      <w:hyperlink w:anchor="ref-5">
        <w:r>
          <w:rPr>
            <w:rStyle w:val="Hyperlink"/>
          </w:rPr>
          <w:t xml:space="preserve">[5]</w:t>
        </w:r>
      </w:hyperlink>
      <w:r>
        <w:t xml:space="preserve">[6][7], the empirical critique warning against treating severity as a clean ordering</w:t>
      </w:r>
      <w:r>
        <w:t xml:space="preserve"> </w:t>
      </w:r>
      <w:hyperlink w:anchor="ref-8">
        <w:r>
          <w:rPr>
            <w:rStyle w:val="Hyperlink"/>
          </w:rPr>
          <w:t xml:space="preserve">[8]</w:t>
        </w:r>
      </w:hyperlink>
      <w:r>
        <w:t xml:space="preserve">[9], and the survival-analytic, conditional-mean, and event-study estimators that turn a vulnerability lifecycle into an estimable duration. And it built all of it for the general internet, never for the ground-segment population.</w:t>
      </w:r>
    </w:p>
    <w:p>
      <w:pPr>
        <w:pStyle w:val="BodyText"/>
        <w:spacing w:line="480" w:lineRule="auto"/>
        <w:ind w:firstLine="720"/>
      </w:pPr>
      <w:r>
        <w:t xml:space="preserve">Each literature runs short exactly where the other runs rich. The space-cyber side has the population and the stakes and no measurement; the cliometric side has the measurement and not the population. The gap is the empty overlap between them. No work has run censoring-aware, severity-conditioned duration estimation on ground-segment and mission-control hosts, set against a matched enterprise population, to produce a measured distribution of the patch-latency window.</w:t>
      </w:r>
    </w:p>
    <w:bookmarkEnd w:id="80"/>
    <w:bookmarkStart w:id="81" w:name="X41fa1977cc7eceba4c1c5e9d1130e66067522c9"/>
    <w:p>
      <w:pPr>
        <w:pStyle w:val="Heading3"/>
        <w:spacing w:line="480" w:lineRule="auto"/>
      </w:pPr>
      <w:r>
        <w:t xml:space="preserve">2.5.2 The gap stated as a single unmeasured object</w:t>
      </w:r>
    </w:p>
    <w:p>
      <w:pPr>
        <w:pStyle w:val="FirstParagraph"/>
        <w:spacing w:line="480" w:lineRule="auto"/>
      </w:pPr>
      <w:r>
        <w:t xml:space="preserve">Collapse the gap into one unmeasured object: a measured, severity-conditioned, host-level distribution of patch latency specific to ground-segment and mission-control infrastructure, set against a comparable enterprise population and identified against the exploitation event. Each piece of that object draws support from one of the two literatures and from neither in combination. The architecture literature endorses severity conditioning</w:t>
      </w:r>
      <w:r>
        <w:t xml:space="preserve"> </w:t>
      </w:r>
      <w:hyperlink w:anchor="ref-4">
        <w:r>
          <w:rPr>
            <w:rStyle w:val="Hyperlink"/>
          </w:rPr>
          <w:t xml:space="preserve">[4]</w:t>
        </w:r>
      </w:hyperlink>
      <w:r>
        <w:t xml:space="preserve"> </w:t>
      </w:r>
      <w:r>
        <w:t xml:space="preserve">and the scoring-systems critique disciplines it</w:t>
      </w:r>
      <w:r>
        <w:t xml:space="preserve"> </w:t>
      </w:r>
      <w:hyperlink w:anchor="ref-8">
        <w:r>
          <w:rPr>
            <w:rStyle w:val="Hyperlink"/>
          </w:rPr>
          <w:t xml:space="preserve">[8]</w:t>
        </w:r>
      </w:hyperlink>
      <w:r>
        <w:t xml:space="preserve">[9]. The data tools enable host-level measurement</w:t>
      </w:r>
      <w:r>
        <w:t xml:space="preserve"> </w:t>
      </w:r>
      <w:hyperlink w:anchor="ref-6">
        <w:r>
          <w:rPr>
            <w:rStyle w:val="Hyperlink"/>
          </w:rPr>
          <w:t xml:space="preserve">[6]</w:t>
        </w:r>
      </w:hyperlink>
      <w:r>
        <w:t xml:space="preserve">[7]. The governance and operations literature marks out the ground-segment population</w:t>
      </w:r>
      <w:r>
        <w:t xml:space="preserve"> </w:t>
      </w:r>
      <w:hyperlink w:anchor="ref-2">
        <w:r>
          <w:rPr>
            <w:rStyle w:val="Hyperlink"/>
          </w:rPr>
          <w:t xml:space="preserve">[2]</w:t>
        </w:r>
      </w:hyperlink>
      <w:r>
        <w:t xml:space="preserve">[3][10][19]. The enterprise benchmark and the exploitation-event identification are stock cliometric devices the space literature has never reached for. The dissertation’s falsifiable claim, that conditional on severity, exploit availability, and software family the ground-segment population shows a longer patch-latency window than matched enterprise hosts, is the hypothesis the empty overlap makes both possible to pose and necessary to test. The qualitative literature has answered yes without measuring; the cliometric literature holds the means to measure without ever having asked the question of this population.</w:t>
      </w:r>
    </w:p>
    <w:bookmarkEnd w:id="81"/>
    <w:bookmarkStart w:id="82" w:name="why-the-gap-has-persisted"/>
    <w:p>
      <w:pPr>
        <w:pStyle w:val="Heading3"/>
        <w:spacing w:line="480" w:lineRule="auto"/>
      </w:pPr>
      <w:r>
        <w:t xml:space="preserve">2.5.3 Why the gap has persisted</w:t>
      </w:r>
    </w:p>
    <w:p>
      <w:pPr>
        <w:pStyle w:val="FirstParagraph"/>
        <w:spacing w:line="480" w:lineRule="auto"/>
      </w:pPr>
      <w:r>
        <w:t xml:space="preserve">Why have two mature literatures never met? The review turns up three reasons. Disciplinary separation is the first. The space-cyber literature runs in aerospace and security venues</w:t>
      </w:r>
      <w:r>
        <w:t xml:space="preserve"> </w:t>
      </w:r>
      <w:hyperlink w:anchor="ref-2">
        <w:r>
          <w:rPr>
            <w:rStyle w:val="Hyperlink"/>
          </w:rPr>
          <w:t xml:space="preserve">[2]</w:t>
        </w:r>
      </w:hyperlink>
      <w:r>
        <w:t xml:space="preserve">[3][4] tuned to governance and architecture, while the vulnerability-lifecycle literature runs in computer-security venues</w:t>
      </w:r>
      <w:r>
        <w:t xml:space="preserve"> </w:t>
      </w:r>
      <w:hyperlink w:anchor="ref-8">
        <w:r>
          <w:rPr>
            <w:rStyle w:val="Hyperlink"/>
          </w:rPr>
          <w:t xml:space="preserve">[8]</w:t>
        </w:r>
      </w:hyperlink>
      <w:r>
        <w:t xml:space="preserve">[9] tuned to measurement, and the two cite different bodies of work and speak to different audiences. The population-identification problem is the second. Pulling ground-segment hosts out of an internet-wide census means intersecting autonomous-system, organization, certificate, and DNS metadata against a curated registry of mission-control and ground-station network blocks, a build neither literature has had reason to attempt. The assumed-parameter habit is the third. Because the space-cyber risk literature treats the exposure window as a given input</w:t>
      </w:r>
      <w:r>
        <w:t xml:space="preserve"> </w:t>
      </w:r>
      <w:hyperlink w:anchor="ref-1">
        <w:r>
          <w:rPr>
            <w:rStyle w:val="Hyperlink"/>
          </w:rPr>
          <w:t xml:space="preserve">[1]</w:t>
        </w:r>
      </w:hyperlink>
      <w:r>
        <w:t xml:space="preserve">[2], nothing internal has pushed it to measure the window, while the cliometric literature, with no reason to single out the ground segment, has measured the window only for undifferentiated host populations. The gap holds not because either literature is deficient on its own ground but because no prior work has carried both the motivation of the first and the apparatus of the second.</w:t>
      </w:r>
    </w:p>
    <w:bookmarkEnd w:id="82"/>
    <w:bookmarkEnd w:id="83"/>
    <w:bookmarkStart w:id="84" w:name="positioning-the-dissertation"/>
    <w:p>
      <w:pPr>
        <w:pStyle w:val="Heading2"/>
        <w:spacing w:line="480" w:lineRule="auto"/>
      </w:pPr>
      <w:r>
        <w:t xml:space="preserve">2.6 Positioning the Dissertation</w:t>
      </w:r>
    </w:p>
    <w:p>
      <w:pPr>
        <w:pStyle w:val="FirstParagraph"/>
        <w:spacing w:line="480" w:lineRule="auto"/>
      </w:pPr>
      <w:r>
        <w:t xml:space="preserve">This dissertation takes the empty overlap named above and runs the cliometric apparatus of Section 2.4 on the ground-segment population marked out by Sections 2.2 and 2.3. Its three empirical papers hit the gap from three angles, each grounded in an estimator the cliometric literature has validated and a motivation the space-cyber literature has supplied.</w:t>
      </w:r>
    </w:p>
    <w:p>
      <w:pPr>
        <w:pStyle w:val="BodyText"/>
        <w:spacing w:line="480" w:lineRule="auto"/>
        <w:ind w:firstLine="720"/>
      </w:pPr>
      <w:r>
        <w:t xml:space="preserve">Paper one estimates the conditional mean of the patch-latency window under ordinary least squares, on a sample of ground-segment-relevant edge gateways and industrial controllers, isolating how severity, asset class, ransomware association, and disclosure-era governance each partly associate with the window. It reads the architecture literature’s severity axis</w:t>
      </w:r>
      <w:r>
        <w:t xml:space="preserve"> </w:t>
      </w:r>
      <w:hyperlink w:anchor="ref-4">
        <w:r>
          <w:rPr>
            <w:rStyle w:val="Hyperlink"/>
          </w:rPr>
          <w:t xml:space="preserve">[4]</w:t>
        </w:r>
      </w:hyperlink>
      <w:r>
        <w:t xml:space="preserve"> </w:t>
      </w:r>
      <w:r>
        <w:t xml:space="preserve">through the cliometric scoring critique</w:t>
      </w:r>
      <w:r>
        <w:t xml:space="preserve"> </w:t>
      </w:r>
      <w:hyperlink w:anchor="ref-8">
        <w:r>
          <w:rPr>
            <w:rStyle w:val="Hyperlink"/>
          </w:rPr>
          <w:t xml:space="preserve">[8]</w:t>
        </w:r>
      </w:hyperlink>
      <w:r>
        <w:t xml:space="preserve">[9], and it treats the arrival of the KEV regime</w:t>
      </w:r>
      <w:r>
        <w:t xml:space="preserve"> </w:t>
      </w:r>
      <w:hyperlink w:anchor="ref-5">
        <w:r>
          <w:rPr>
            <w:rStyle w:val="Hyperlink"/>
          </w:rPr>
          <w:t xml:space="preserve">[5]</w:t>
        </w:r>
      </w:hyperlink>
      <w:r>
        <w:t xml:space="preserve"> </w:t>
      </w:r>
      <w:r>
        <w:t xml:space="preserve">as a disclosure-era event whose squeeze on the window can be read off a governance-era coefficient, in keeping with the tightened-posture story of the strategy literature</w:t>
      </w:r>
      <w:r>
        <w:t xml:space="preserve"> </w:t>
      </w:r>
      <w:hyperlink w:anchor="ref-3">
        <w:r>
          <w:rPr>
            <w:rStyle w:val="Hyperlink"/>
          </w:rPr>
          <w:t xml:space="preserve">[3]</w:t>
        </w:r>
      </w:hyperlink>
      <w:r>
        <w:t xml:space="preserve">. Paper two treats the same window as a survival time and models the hazard of remediation directly with a Cox specification, handling the censoring ordinary least squares cannot and adding the difference-in-differences event study around exploit publication to identify the operational-continuity penalty net of baseline hygiene. It is the paper that puts the dissertation’s central falsifiable claim most directly against a matched enterprise population. Paper three models the binary administrative decision that routes a vulnerability to a short or extended remediation clock, testing whether the regulatory pace runs on severity or on administrative vintage, and finding, in line with the scoring critique</w:t>
      </w:r>
      <w:r>
        <w:t xml:space="preserve"> </w:t>
      </w:r>
      <w:hyperlink w:anchor="ref-8">
        <w:r>
          <w:rPr>
            <w:rStyle w:val="Hyperlink"/>
          </w:rPr>
          <w:t xml:space="preserve">[8]</w:t>
        </w:r>
      </w:hyperlink>
      <w:r>
        <w:t xml:space="preserve">[9], that severity adds nothing detectable once vintage is in the model, with the implications sharpened by the spread of internet-facing control surfaces across distributed mission architectures</w:t>
      </w:r>
      <w:r>
        <w:t xml:space="preserve"> </w:t>
      </w:r>
      <w:hyperlink w:anchor="ref-10">
        <w:r>
          <w:rPr>
            <w:rStyle w:val="Hyperlink"/>
          </w:rPr>
          <w:t xml:space="preserve">[10]</w:t>
        </w:r>
      </w:hyperlink>
      <w:r>
        <w:t xml:space="preserve">.</w:t>
      </w:r>
    </w:p>
    <w:p>
      <w:pPr>
        <w:pStyle w:val="BodyText"/>
        <w:spacing w:line="480" w:lineRule="auto"/>
        <w:ind w:firstLine="720"/>
      </w:pPr>
      <w:r>
        <w:t xml:space="preserve">Put together, the three papers turn the assumed exposure parameter of the space-cyber risk literature into a measured, severity-conditioned estimate, reported with a lineage that runs from primary catalog</w:t>
      </w:r>
      <w:r>
        <w:t xml:space="preserve"> </w:t>
      </w:r>
      <w:hyperlink w:anchor="ref-6">
        <w:r>
          <w:rPr>
            <w:rStyle w:val="Hyperlink"/>
          </w:rPr>
          <w:t xml:space="preserve">[6]</w:t>
        </w:r>
      </w:hyperlink>
      <w:r>
        <w:t xml:space="preserve">[7] to coefficient. The dissertation is not just adding a measurement to one literature. It joins the two at the join this chapter has traced, showing that the cliometric tradition’s apparatus, aimed at the population the space-cyber tradition cares about, delivers the quantity both have so far been unable to produce. The rest of the dissertation works that joining out in detail. Chapter 3 specifies the data and lineage chain that runs the instruments of Section 2.4 on the population of Sections 2.2 and 2.3, and Chapters 4 through 6 present the three empirical estimates and their synthesis.</w:t>
      </w:r>
    </w:p>
    <w:bookmarkEnd w:id="84"/>
    <w:bookmarkEnd w:id="85"/>
    <w:bookmarkStart w:id="102" w:name="Xcfcc00a3ded59aed0c781c16bfc121f2a509603"/>
    <w:p>
      <w:pPr>
        <w:pStyle w:val="Heading1"/>
        <w:spacing w:line="480" w:lineRule="auto"/>
      </w:pPr>
      <w:r>
        <w:t xml:space="preserve">Chapter 3. Theoretical Framework and Hypotheses</w:t>
      </w:r>
    </w:p>
    <w:bookmarkStart w:id="86" w:name="purpose-and-organization-of-the-chapter"/>
    <w:p>
      <w:pPr>
        <w:pStyle w:val="Heading2"/>
        <w:spacing w:line="480" w:lineRule="auto"/>
      </w:pPr>
      <w:r>
        <w:t xml:space="preserve">3.1 Purpose and Organization of the Chapter</w:t>
      </w:r>
    </w:p>
    <w:p>
      <w:pPr>
        <w:pStyle w:val="FirstParagraph"/>
        <w:spacing w:line="480" w:lineRule="auto"/>
      </w:pPr>
      <w:r>
        <w:t xml:space="preserve">Earlier chapters made the case that the space ground segment is an ordinary commodity-software estate run under an extraordinary cultural constraint, and that the qualitative space-cyber literature keeps asserting the resulting exposure without ever measuring how long it lasts</w:t>
      </w:r>
      <w:r>
        <w:t xml:space="preserve"> </w:t>
      </w:r>
      <w:hyperlink w:anchor="ref-2">
        <w:r>
          <w:rPr>
            <w:rStyle w:val="Hyperlink"/>
          </w:rPr>
          <w:t xml:space="preserve">[2]</w:t>
        </w:r>
      </w:hyperlink>
      <w:r>
        <w:t xml:space="preserve">[3][4]. This chapter builds the theory that turns that gap into a claim the data can falsify. It works in three moves. The first names the mechanism, the operational-continuity penalty, that is supposed to drive the remediation pace of ground-segment and mission-control hosts. The second follows the causal logic from that mechanism down to an observable difference in the survival time of host-level vulnerability spells, flagging the covariates that have to be held fixed before the comparison means anything. The third writes the two formal hypotheses, H0 and H1, in the exact terms the survival model will use to rule on them, and shows why the alternative is falsifiable in the full sense rather than merely confirmable.</w:t>
      </w:r>
    </w:p>
    <w:p>
      <w:pPr>
        <w:pStyle w:val="BodyText"/>
        <w:spacing w:line="480" w:lineRule="auto"/>
        <w:ind w:firstLine="720"/>
      </w:pPr>
      <w:r>
        <w:t xml:space="preserve">Estimation machinery is left for Chapter 4 on purpose. The job here is to make the chain of reasoning explicit: why a measured gap in remediation hazard between two host populations, conditional on a stated covariate set, should read as evidence of an operational-continuity penalty and not as an artifact of composition, severity, or measurement. The companion analyses that come before this chapter, an ordinary-least-squares treatment of the conditional mean window and a logistic treatment of the binary regulatory clock, set up and bound the framework here without replacing it. What this chapter puts on the table is the survival-theoretic logic the host-level identification stands on.</w:t>
      </w:r>
    </w:p>
    <w:bookmarkEnd w:id="86"/>
    <w:bookmarkStart w:id="87" w:name="Xab1ce4988eb83f660b5885346a968e2a49356a3"/>
    <w:p>
      <w:pPr>
        <w:pStyle w:val="Heading2"/>
        <w:spacing w:line="480" w:lineRule="auto"/>
      </w:pPr>
      <w:r>
        <w:t xml:space="preserve">3.2 The Theoretical Object: The Patch-Latency Window</w:t>
      </w:r>
    </w:p>
    <w:p>
      <w:pPr>
        <w:pStyle w:val="FirstParagraph"/>
        <w:spacing w:line="480" w:lineRule="auto"/>
      </w:pPr>
      <w:r>
        <w:t xml:space="preserve">At the center of the dissertation sits the patch-latency window, the time that runs from the moment a disclosed vulnerability becomes detectable on a host to the moment that host stops presenting it. Read it correctly and the window is no scalar attribute of a vulnerability. It is a duration bolted to a (host, vulnerability) pair. One host may close a CVE in days while another leaves it open for years, because remediation is something an operator does to a host, not a property built into the flaw. Everything rests on that distinction. The companion papers work the window at the vulnerability level, estimating either its conditional mean or the regulatory class it lands in; this framework drops down to the host, where the operational-continuity culture actually pushes.</w:t>
      </w:r>
    </w:p>
    <w:p>
      <w:pPr>
        <w:pStyle w:val="BodyText"/>
        <w:spacing w:line="480" w:lineRule="auto"/>
        <w:ind w:firstLine="720"/>
      </w:pPr>
      <w:r>
        <w:t xml:space="preserve">Casting the window as a host-level duration brings a methodological consequence right away. A duration that has not finished by the end of observation cannot be treated as if it had. Some spells are still open when the measurement period ends, and dropping them would tilt the estimate toward the fast-remediating hosts lucky enough to finish inside the observed window. So the framework treats the patch-latency window as a survival time under right-censoring, and the mechanism it posits acts on the hazard of remediation, the instantaneous rate at which an open spell closes, not on any one finished duration. The theoretical claim is about hazards, and the hypotheses are written on the hazard scale.</w:t>
      </w:r>
    </w:p>
    <w:bookmarkEnd w:id="87"/>
    <w:bookmarkStart w:id="91" w:name="Xaae4d10b18bf697e86df97878bdd5edffdbaa7b"/>
    <w:p>
      <w:pPr>
        <w:pStyle w:val="Heading2"/>
        <w:spacing w:line="480" w:lineRule="auto"/>
      </w:pPr>
      <w:r>
        <w:t xml:space="preserve">3.3 The Mechanism: The Operational-Continuity Penalty</w:t>
      </w:r>
    </w:p>
    <w:bookmarkStart w:id="88" w:name="statement-of-the-mechanism"/>
    <w:p>
      <w:pPr>
        <w:pStyle w:val="Heading3"/>
        <w:spacing w:line="480" w:lineRule="auto"/>
      </w:pPr>
      <w:r>
        <w:t xml:space="preserve">3.3.1 Statement of the Mechanism</w:t>
      </w:r>
    </w:p>
    <w:p>
      <w:pPr>
        <w:pStyle w:val="FirstParagraph"/>
        <w:spacing w:line="480" w:lineRule="auto"/>
      </w:pPr>
      <w:r>
        <w:t xml:space="preserve">The operational-continuity penalty anchors the framework. Its claim runs like this: mission operations build in a preference for continuity of command over configuration currency, and that preference steadily lowers the rate at which disclosed vulnerabilities get remediated on ground-segment and mission-control hosts relative to general enterprise hosts running the same software. The penalty belongs to no single decision. It is the summed, repeated expression of a culture that reads any change to a system currently commanding or supporting a spacecraft as a risk to defer until it can be absorbed without endangering a pass.</w:t>
      </w:r>
    </w:p>
    <w:p>
      <w:pPr>
        <w:pStyle w:val="BodyText"/>
        <w:spacing w:line="480" w:lineRule="auto"/>
        <w:ind w:firstLine="720"/>
      </w:pPr>
      <w:r>
        <w:t xml:space="preserve">The secure-framework literature supplies the precondition by putting the ground segment inside the commodity-software threat model: a supply-chain or software-dependency compromise can reach any machine that depends on the affected component, so ground-segment hosts pick up the same disclosed vulnerabilities, on the same public clock, as the wider enterprise</w:t>
      </w:r>
      <w:r>
        <w:t xml:space="preserve"> </w:t>
      </w:r>
      <w:hyperlink w:anchor="ref-4">
        <w:r>
          <w:rPr>
            <w:rStyle w:val="Hyperlink"/>
          </w:rPr>
          <w:t xml:space="preserve">[4]</w:t>
        </w:r>
      </w:hyperlink>
      <w:r>
        <w:t xml:space="preserve">. The governance literature supplies the reality and location of the threat, sophisticated cyber threats against satellite systems settling on the critical ground infrastructure rather than the on-orbit asset alone</w:t>
      </w:r>
      <w:r>
        <w:t xml:space="preserve"> </w:t>
      </w:r>
      <w:hyperlink w:anchor="ref-2">
        <w:r>
          <w:rPr>
            <w:rStyle w:val="Hyperlink"/>
          </w:rPr>
          <w:t xml:space="preserve">[2]</w:t>
        </w:r>
      </w:hyperlink>
      <w:r>
        <w:t xml:space="preserve">, with ground-based systems a named line of state defensive strategy against hybrid threats</w:t>
      </w:r>
      <w:r>
        <w:t xml:space="preserve"> </w:t>
      </w:r>
      <w:hyperlink w:anchor="ref-3">
        <w:r>
          <w:rPr>
            <w:rStyle w:val="Hyperlink"/>
          </w:rPr>
          <w:t xml:space="preserve">[3]</w:t>
        </w:r>
      </w:hyperlink>
      <w:r>
        <w:t xml:space="preserve">. What that literature does not supply, and what the mechanism exists to explain, is the differential pace at which the shared vulnerability surface gets closed once it opens.</w:t>
      </w:r>
    </w:p>
    <w:bookmarkEnd w:id="88"/>
    <w:bookmarkStart w:id="89" w:name="why-the-mechanism-should-operate"/>
    <w:p>
      <w:pPr>
        <w:pStyle w:val="Heading3"/>
        <w:spacing w:line="480" w:lineRule="auto"/>
      </w:pPr>
      <w:r>
        <w:t xml:space="preserve">3.3.2 Why the Mechanism Should Operate</w:t>
      </w:r>
    </w:p>
    <w:p>
      <w:pPr>
        <w:pStyle w:val="FirstParagraph"/>
        <w:spacing w:line="480" w:lineRule="auto"/>
      </w:pPr>
      <w:r>
        <w:t xml:space="preserve">Three reinforcing routes carry the operational-continuity penalty into lower remediation hazard.</w:t>
      </w:r>
    </w:p>
    <w:p>
      <w:pPr>
        <w:pStyle w:val="BodyText"/>
        <w:spacing w:line="480" w:lineRule="auto"/>
        <w:ind w:firstLine="720"/>
      </w:pPr>
      <w:r>
        <w:t xml:space="preserve">The first is the freeze-window route. Remediating a host inside a live pass schedule runs into operational freeze windows during which configuration changes are barred. A patch that is a routine maintenance reboot on an enterprise file server becomes, on a mission-control host, a change that fits only in the gaps when no spacecraft is being commanded and no critical pass looms. The supply of admissible remediation moments is structurally thinner for ground-segment hosts, and a thinner supply lowers the rate at which any open spell can close.</w:t>
      </w:r>
    </w:p>
    <w:p>
      <w:pPr>
        <w:pStyle w:val="BodyText"/>
        <w:spacing w:line="480" w:lineRule="auto"/>
        <w:ind w:firstLine="720"/>
      </w:pPr>
      <w:r>
        <w:t xml:space="preserve">The second is the regression-testing route. Ground-segment hosts often sit against flight software and command-and-control middleware whose behavior has been validated against a known configuration. A patch that shifts that configuration may need regression testing against the flight-software interface before anyone will trust it in an operational role. That testing load stretches the interval between a remediation becoming available and its being applied, which again pulls the hazard below that of enterprise hosts carrying no such flight-interface dependency.</w:t>
      </w:r>
    </w:p>
    <w:p>
      <w:pPr>
        <w:pStyle w:val="BodyText"/>
        <w:spacing w:line="480" w:lineRule="auto"/>
        <w:ind w:firstLine="720"/>
      </w:pPr>
      <w:r>
        <w:t xml:space="preserve">The third is the institutional-reluctance route. Mission operations breed a reluctance to touch a system doing a mission-critical job. This is the cultural core of the mechanism, the disposition to defer change on a system that is working, where working means continuity of command and not configuration currency. The same disposition that makes a mission-control enclave reliable in the narrow operational sense makes it slow to remediate in the security sense, and the trusted-data literature names exactly this tension, resilient space operations as a socio-technical coordination problem in which the technical act of patching gets tangled up with the institutional duty to keep trusted data flowing to partners</w:t>
      </w:r>
      <w:r>
        <w:t xml:space="preserve"> </w:t>
      </w:r>
      <w:hyperlink w:anchor="ref-1">
        <w:r>
          <w:rPr>
            <w:rStyle w:val="Hyperlink"/>
          </w:rPr>
          <w:t xml:space="preserve">[1]</w:t>
        </w:r>
      </w:hyperlink>
      <w:r>
        <w:t xml:space="preserve">.</w:t>
      </w:r>
    </w:p>
    <w:bookmarkEnd w:id="89"/>
    <w:bookmarkStart w:id="90" w:name="what-the-mechanism-predicts"/>
    <w:p>
      <w:pPr>
        <w:pStyle w:val="Heading3"/>
        <w:spacing w:line="480" w:lineRule="auto"/>
      </w:pPr>
      <w:r>
        <w:t xml:space="preserve">3.3.3 What the Mechanism Predicts</w:t>
      </w:r>
    </w:p>
    <w:p>
      <w:pPr>
        <w:pStyle w:val="FirstParagraph"/>
        <w:spacing w:line="480" w:lineRule="auto"/>
      </w:pPr>
      <w:r>
        <w:t xml:space="preserve">All three routes push the same way. Each lowers the rate at which an open (host, vulnerability) spell closes on a ground-segment host relative to an enterprise host facing the identical flaw. So the mechanism predicts a lower remediation hazard, which is a longer patch-latency window, for the ground-segment population. The prediction runs one direction only: under its own logic the operational-continuity penalty can never speed remediation up. Faster remediation on ground-segment hosts would contradict the mechanism flat out, and no difference at all would deny that the penalty shows up at the host level. That one-directional prediction is what makes the framework falsifiable, and it lives in the strictly negative sign H1 pins to the population-membership coefficient.</w:t>
      </w:r>
    </w:p>
    <w:bookmarkEnd w:id="90"/>
    <w:bookmarkEnd w:id="91"/>
    <w:bookmarkStart w:id="98" w:name="X5cd0d636a538921aa54edafcd8bddf28b990887"/>
    <w:p>
      <w:pPr>
        <w:pStyle w:val="Heading2"/>
        <w:spacing w:line="480" w:lineRule="auto"/>
      </w:pPr>
      <w:r>
        <w:t xml:space="preserve">3.4 The Causal Logic and the Conditioning Set</w:t>
      </w:r>
    </w:p>
    <w:bookmarkStart w:id="92" w:name="from-mechanism-to-comparison"/>
    <w:p>
      <w:pPr>
        <w:pStyle w:val="Heading3"/>
        <w:spacing w:line="480" w:lineRule="auto"/>
      </w:pPr>
      <w:r>
        <w:t xml:space="preserve">3.4.1 From Mechanism to Comparison</w:t>
      </w:r>
    </w:p>
    <w:p>
      <w:pPr>
        <w:pStyle w:val="FirstParagraph"/>
        <w:spacing w:line="480" w:lineRule="auto"/>
      </w:pPr>
      <w:r>
        <w:t xml:space="preserve">The mechanism talks about one population, but only a comparison can test it. The framework’s causal logic is a comparison of remediation hazard across two host populations, ground-segment-and-mission-control hosts against matched general enterprise hosts, arranged so that whatever difference in hazard is left over traces to the operational-continuity penalty rather than to the legitimate drivers of patch timing that vary between the populations. The enterprise population plays the counterfactual. It answers how fast the same vulnerabilities would close on the same software with the operational-continuity culture stripped away. The estimand is the contrast between the observed ground-segment hazard and that counterfactual.</w:t>
      </w:r>
    </w:p>
    <w:p>
      <w:pPr>
        <w:pStyle w:val="BodyText"/>
        <w:spacing w:line="480" w:lineRule="auto"/>
        <w:ind w:firstLine="720"/>
      </w:pPr>
      <w:r>
        <w:t xml:space="preserve">For the contrast to carry causal weight, the comparison has to hold fixed the covariates that move remediation timing for reasons unrelated to mission culture. If ground-segment hosts carried systematically more severe vulnerabilities, or vulnerabilities lacking any exploit, or a different software mix, a raw hazard difference could reflect those compositional facts and not the penalty. The conditioning set is the framework’s reply to that confounding, and every element in it earns its place on theoretical grounds rather than by mechanical inclusion.</w:t>
      </w:r>
    </w:p>
    <w:bookmarkEnd w:id="92"/>
    <w:bookmarkStart w:id="93" w:name="severity"/>
    <w:p>
      <w:pPr>
        <w:pStyle w:val="Heading3"/>
        <w:spacing w:line="480" w:lineRule="auto"/>
      </w:pPr>
      <w:r>
        <w:t xml:space="preserve">3.4.2 Severity</w:t>
      </w:r>
    </w:p>
    <w:p>
      <w:pPr>
        <w:pStyle w:val="FirstParagraph"/>
        <w:spacing w:line="480" w:lineRule="auto"/>
      </w:pPr>
      <w:r>
        <w:t xml:space="preserve">Severity conditions first. Higher technical severity draws both attacker attention and defender urgency, and the companion ordinary-least-squares analysis treats severity-ranked exposure as a legitimate driver of how fast a window closes</w:t>
      </w:r>
      <w:r>
        <w:t xml:space="preserve"> </w:t>
      </w:r>
      <w:hyperlink w:anchor="ref-4">
        <w:r>
          <w:rPr>
            <w:rStyle w:val="Hyperlink"/>
          </w:rPr>
          <w:t xml:space="preserve">[4]</w:t>
        </w:r>
      </w:hyperlink>
      <w:r>
        <w:t xml:space="preserve">. If the two populations differ in the severity spread of their open vulnerabilities, the hazard comparison has to hold severity fixed, since a defender facing a more severe flaw remediates faster for reasons that owe nothing to mission culture. That is why the framework conditions on the CVSS base-score band.</w:t>
      </w:r>
    </w:p>
    <w:p>
      <w:pPr>
        <w:pStyle w:val="BodyText"/>
        <w:spacing w:line="480" w:lineRule="auto"/>
        <w:ind w:firstLine="720"/>
      </w:pPr>
      <w:r>
        <w:t xml:space="preserve">A caution rides in from the scoring-systems literature as well. Recent empirical work finds severity scores to be noisy and often contradictory signals of real-world risk, with real disagreement across public scoring systems applied to the same flaws</w:t>
      </w:r>
      <w:r>
        <w:t xml:space="preserve"> </w:t>
      </w:r>
      <w:hyperlink w:anchor="ref-8">
        <w:r>
          <w:rPr>
            <w:rStyle w:val="Hyperlink"/>
          </w:rPr>
          <w:t xml:space="preserve">[8]</w:t>
        </w:r>
      </w:hyperlink>
      <w:r>
        <w:t xml:space="preserve">, and with exploitation probability splitting from severity on exactly the vulnerabilities known to be exploited</w:t>
      </w:r>
      <w:r>
        <w:t xml:space="preserve"> </w:t>
      </w:r>
      <w:hyperlink w:anchor="ref-9">
        <w:r>
          <w:rPr>
            <w:rStyle w:val="Hyperlink"/>
          </w:rPr>
          <w:t xml:space="preserve">[9]</w:t>
        </w:r>
      </w:hyperlink>
      <w:r>
        <w:t xml:space="preserve">. For the conditioning logic that means severity goes in not as a perfect proxy for urgency but as the standard, checkable expression of the technical danger a defender perceives, and conditioning on it strips out the part of the hazard difference a severity-responsive defender would generate in either population. The framework never claims severity orders remediation correctly. It claims that conditioning on severity closes a confounding channel.</w:t>
      </w:r>
    </w:p>
    <w:bookmarkEnd w:id="93"/>
    <w:bookmarkStart w:id="94" w:name="exploit-availability"/>
    <w:p>
      <w:pPr>
        <w:pStyle w:val="Heading3"/>
        <w:spacing w:line="480" w:lineRule="auto"/>
      </w:pPr>
      <w:r>
        <w:t xml:space="preserve">3.4.3 Exploit Availability</w:t>
      </w:r>
    </w:p>
    <w:p>
      <w:pPr>
        <w:pStyle w:val="FirstParagraph"/>
        <w:spacing w:line="480" w:lineRule="auto"/>
      </w:pPr>
      <w:r>
        <w:t xml:space="preserve">Exploit availability conditions second, and it is the pivot of the identification strategy. A working, publicly catalogued exploit lifts remediation urgency for any defender, since it turns a theoretical exposure into a demonstrated one. The KEV apparatus institutionalizes that very signal, pinning a confirmed-exploitation flag and date to every catalogued vulnerability</w:t>
      </w:r>
      <w:r>
        <w:t xml:space="preserve"> </w:t>
      </w:r>
      <w:hyperlink w:anchor="ref-6">
        <w:r>
          <w:rPr>
            <w:rStyle w:val="Hyperlink"/>
          </w:rPr>
          <w:t xml:space="preserve">[6]</w:t>
        </w:r>
      </w:hyperlink>
      <w:r>
        <w:t xml:space="preserve">, and the directive behind it turns a loose operational habit into a dated duty</w:t>
      </w:r>
      <w:r>
        <w:t xml:space="preserve"> </w:t>
      </w:r>
      <w:hyperlink w:anchor="ref-5">
        <w:r>
          <w:rPr>
            <w:rStyle w:val="Hyperlink"/>
          </w:rPr>
          <w:t xml:space="preserve">[5]</w:t>
        </w:r>
      </w:hyperlink>
      <w:r>
        <w:t xml:space="preserve">. A defender who patches faster once an exploit lands is answering risk, not mission culture, so the hazard comparison has to condition on exploit availability to isolate the penalty.</w:t>
      </w:r>
    </w:p>
    <w:p>
      <w:pPr>
        <w:pStyle w:val="BodyText"/>
        <w:spacing w:line="480" w:lineRule="auto"/>
        <w:ind w:firstLine="720"/>
      </w:pPr>
      <w:r>
        <w:t xml:space="preserve">The framework gives exploit availability a second, heavier role too. Because the exploit-publication event is a dated shock that lifts urgency for both populations at once, it delivers the difference-in-differences logic that carries identification past conditional comparison. The causal claim sharpens: if the same urgency shock buys a smaller remediation speed-up on ground-segment hosts than on enterprise hosts, that differential response identifies the operational-continuity penalty net of any fixed difference in baseline hygiene. The penalty then reads not merely as a slower baseline but as a blunted response to a common shock, which is the harder and more credible test.</w:t>
      </w:r>
    </w:p>
    <w:bookmarkEnd w:id="94"/>
    <w:bookmarkStart w:id="95" w:name="software-family"/>
    <w:p>
      <w:pPr>
        <w:pStyle w:val="Heading3"/>
        <w:spacing w:line="480" w:lineRule="auto"/>
      </w:pPr>
      <w:r>
        <w:t xml:space="preserve">3.4.4 Software Family</w:t>
      </w:r>
    </w:p>
    <w:p>
      <w:pPr>
        <w:pStyle w:val="FirstParagraph"/>
        <w:spacing w:line="480" w:lineRule="auto"/>
      </w:pPr>
      <w:r>
        <w:t xml:space="preserve">Software family conditions third. Different software families run different patch cadences, vendor support models, and update mechanisms, and those differences move remediation hazard for reasons that have nothing to do with an operator’s mission culture. If the ground-segment population clustered in software families slow to patch for vendor reasons, an unconditioned comparison would charge that slowness to the penalty. Conditioning on software family, and matching the populations on operating-system family before estimation, closes that compositional channel and keeps the hazard contrast read within a software ecosystem rather than across several.</w:t>
      </w:r>
    </w:p>
    <w:bookmarkEnd w:id="95"/>
    <w:bookmarkStart w:id="96" w:name="X484ceb477fd3761dc6de06e1cf9a05f09105f0a"/>
    <w:p>
      <w:pPr>
        <w:pStyle w:val="Heading3"/>
        <w:spacing w:line="480" w:lineRule="auto"/>
      </w:pPr>
      <w:r>
        <w:t xml:space="preserve">3.4.5 The Disclosure-Era Regime as a Structural Caution</w:t>
      </w:r>
    </w:p>
    <w:p>
      <w:pPr>
        <w:pStyle w:val="FirstParagraph"/>
        <w:spacing w:line="480" w:lineRule="auto"/>
      </w:pPr>
      <w:r>
        <w:t xml:space="preserve">One more consideration rides along, and the companion analyses make it impossible to skip. The institutional cataloging regime that arrived in late 2021 compresses the measured interval between disclosure and confirmed exploitation, and the strategy literature reads the post-2021 years as a stretch of purposely tightened defensive posture</w:t>
      </w:r>
      <w:r>
        <w:t xml:space="preserve"> </w:t>
      </w:r>
      <w:hyperlink w:anchor="ref-3">
        <w:r>
          <w:rPr>
            <w:rStyle w:val="Hyperlink"/>
          </w:rPr>
          <w:t xml:space="preserve">[3]</w:t>
        </w:r>
      </w:hyperlink>
      <w:r>
        <w:t xml:space="preserve">. Because that disclosure-era effect can swamp the measured window, the framework treats disclosure cohort as a matching and stratification dimension rather than letting it confound the population contrast. Hosts get matched on disclosure cohort so the operational-continuity penalty is estimated inside a regime and not across the structural break the cataloging apparatus opened. This guards against charging a regime-level compression to a population-level mechanism.</w:t>
      </w:r>
    </w:p>
    <w:bookmarkEnd w:id="96"/>
    <w:bookmarkStart w:id="97" w:name="the-identifying-assumption"/>
    <w:p>
      <w:pPr>
        <w:pStyle w:val="Heading3"/>
        <w:spacing w:line="480" w:lineRule="auto"/>
      </w:pPr>
      <w:r>
        <w:t xml:space="preserve">3.4.6 The Identifying Assumption</w:t>
      </w:r>
    </w:p>
    <w:p>
      <w:pPr>
        <w:pStyle w:val="FirstParagraph"/>
        <w:spacing w:line="480" w:lineRule="auto"/>
      </w:pPr>
      <w:r>
        <w:t xml:space="preserve">Put the conditioning set and the matching design together and they carry the framework’s identifying assumption: conditional on severity, exploit availability, and software family, and inside matched operating-system and disclosure-cohort strata, whether a host lands in the ground-segment population is independent of the remaining determinants of remediation hazard except through the operational-continuity penalty itself. Under that assumption the population-membership coefficient in the survival model carries the mechanism’s causal content. The data do not guarantee the assumption; the deliberate build of the conditioning set defends it, along with the difference-in-differences anchoring on the exploit shock and the matched-sampling and audit procedures that cap the residual confounding. Where the assumption strains hardest, in assigning hosts to populations and in the directional bias of banner-derived detection, the framework treats the resulting error as biasing against the alternative, which leaves a positive finding conservative.</w:t>
      </w:r>
    </w:p>
    <w:bookmarkEnd w:id="97"/>
    <w:bookmarkEnd w:id="98"/>
    <w:bookmarkStart w:id="99" w:name="the-formal-hypotheses"/>
    <w:p>
      <w:pPr>
        <w:pStyle w:val="Heading2"/>
        <w:spacing w:line="480" w:lineRule="auto"/>
      </w:pPr>
      <w:r>
        <w:t xml:space="preserve">3.5 The Formal Hypotheses</w:t>
      </w:r>
    </w:p>
    <w:p>
      <w:pPr>
        <w:pStyle w:val="FirstParagraph"/>
        <w:spacing w:line="480" w:lineRule="auto"/>
      </w:pPr>
      <w:r>
        <w:t xml:space="preserve">The framework rules on one contribution, and it does so through a single pair of hypotheses written on the hazard scale of the host-level survival model. Let the model carry a binary indicator of ground-segment-and-mission-control membership as its treatment covariate, with severity, exploit availability, and software family conditioning it, estimated inside matched operating-system and disclosure-cohort strata. Call the coefficient on the membership indicator the population-membership coefficient, and let the median patch-latency window be the matching descriptive summary of each population’s survival distribution.</w:t>
      </w:r>
    </w:p>
    <w:p>
      <w:pPr>
        <w:pStyle w:val="BodyText"/>
        <w:spacing w:line="480" w:lineRule="auto"/>
        <w:ind w:firstLine="720"/>
      </w:pPr>
      <w:r>
        <w:rPr>
          <w:b/>
          <w:bCs/>
        </w:rPr>
        <w:t xml:space="preserve">H0 (null).</w:t>
      </w:r>
      <w:r>
        <w:t xml:space="preserve"> </w:t>
      </w:r>
      <w:r>
        <w:t xml:space="preserve">Conditional on vulnerability severity, exploit availability, and software family, the remediation hazard for ground-segment and mission-control hosts equals that of matched general enterprise hosts. Formally, the population-membership coefficient in the survival model is zero, equivalently the hazard ratio for ground-segment membership equals one, and the median patch-latency window does not differ between the two populations.</w:t>
      </w:r>
    </w:p>
    <w:p>
      <w:pPr>
        <w:pStyle w:val="BodyText"/>
        <w:spacing w:line="480" w:lineRule="auto"/>
        <w:ind w:firstLine="720"/>
      </w:pPr>
      <w:r>
        <w:rPr>
          <w:b/>
          <w:bCs/>
        </w:rPr>
        <w:t xml:space="preserve">H1 (alternative).</w:t>
      </w:r>
      <w:r>
        <w:t xml:space="preserve"> </w:t>
      </w:r>
      <w:r>
        <w:t xml:space="preserve">Conditional on the same covariates, ground-segment and mission-control hosts exhibit a lower remediation hazard, equivalently a longer patch-latency window, than matched general enterprise hosts. Formally, the population-membership coefficient is strictly negative on the hazard scale, the hazard ratio for ground-segment membership is strictly less than one, and the median patch-latency window for the ground-segment population strictly exceeds that of the enterprise population.</w:t>
      </w:r>
    </w:p>
    <w:p>
      <w:pPr>
        <w:pStyle w:val="BodyText"/>
        <w:spacing w:line="480" w:lineRule="auto"/>
        <w:ind w:firstLine="720"/>
      </w:pPr>
      <w:r>
        <w:t xml:space="preserve">The alternative is directional by build, because the operational-continuity penalty can only push the remediation hazard down. That directionality is what makes the contribution falsifiable in the full sense. H1 falls, and the operational-continuity-penalty thesis with it, under either of two outcomes: a population-membership hazard ratio indistinguishable from one across the pre-stated covariate specification, or a hazard ratio that comes out positive, marking faster rather than slower remediation on ground-segment hosts. Neither reads as partial support; both are clean refutations. The single defended quantity is the estimated population-membership hazard ratio together with its median-window differential, reported with confidence intervals and severity strata, and carrying alongside it the difference-in-differences differential in post-exploit remediation probability that pins the causal reading.</w:t>
      </w:r>
    </w:p>
    <w:bookmarkEnd w:id="99"/>
    <w:bookmarkStart w:id="100" w:name="Xc9f9efd3cb030cbef6f59dd717aa0286b27edfb"/>
    <w:p>
      <w:pPr>
        <w:pStyle w:val="Heading2"/>
        <w:spacing w:line="480" w:lineRule="auto"/>
      </w:pPr>
      <w:r>
        <w:t xml:space="preserve">3.6 Auxiliary Predictions and Their Relation to the Central Claim</w:t>
      </w:r>
    </w:p>
    <w:p>
      <w:pPr>
        <w:pStyle w:val="FirstParagraph"/>
        <w:spacing w:line="480" w:lineRule="auto"/>
      </w:pPr>
      <w:r>
        <w:t xml:space="preserve">The framework throws off auxiliary predictions that are not the dissertation’s contribution but that shape how the central test gets read, and that tie this chapter to the companion analyses. Two are worth writing down, because they govern how a null or a positive central result has to be understood.</w:t>
      </w:r>
    </w:p>
    <w:p>
      <w:pPr>
        <w:pStyle w:val="BodyText"/>
        <w:spacing w:line="480" w:lineRule="auto"/>
        <w:ind w:firstLine="720"/>
      </w:pPr>
      <w:r>
        <w:t xml:space="preserve">Take the disclosure-era regime first. The companion conditional-mean analysis finds the disclosure-era indicator swamping the measured window, the post-2021 cataloging regime tied to a dramatic squeeze on the disclosure-to-confirmation interval, while the vulnerability-intrinsic attributes point in their theorized directions without reaching individual significance at modest sample sizes. The framework soaks that finding up by treating disclosure cohort as a stratification dimension rather than a rival explanation. What it carries forward is the prediction that the operational-continuity penalty, if it is there, has to show up inside disclosure cohorts, because a penalty that vanished once the regime was held fixed would be indistinguishable from the regime effect and could not be pinned on mission culture.</w:t>
      </w:r>
    </w:p>
    <w:p>
      <w:pPr>
        <w:pStyle w:val="BodyText"/>
        <w:spacing w:line="480" w:lineRule="auto"/>
        <w:ind w:firstLine="720"/>
      </w:pPr>
      <w:r>
        <w:t xml:space="preserve">Take the regulatory clock second. The companion logistic analysis finds the assignment of the short remediation clock to be an administrative outcome tied to the vintage of the identifier rather than a severity verdict, severity drawing an odds ratio indistinguishable from one once vintage is in the model. The framework reads this as a warning against treating the mandated window as a measure of true exposure. The mandated clock is the regulator’s tolerance, not the operator’s behavior, and the host-level survival analysis measures behavior. So the framework carries forward the prediction that the patch-latency window seen on real hosts may split from the mandated window precisely because the operational-continuity penalty acts on behavior after the clock is set, which leaves the host-level hazard contrast as the quantity that captures the mechanism and the mandated clock as the institutional backdrop the contrast is read against, not a stand-in for it.</w:t>
      </w:r>
    </w:p>
    <w:p>
      <w:pPr>
        <w:pStyle w:val="BodyText"/>
        <w:spacing w:line="480" w:lineRule="auto"/>
        <w:ind w:firstLine="720"/>
      </w:pPr>
      <w:r>
        <w:t xml:space="preserve">Both auxiliary predictions are subordinate. Neither enlarges the set of defended claims, which stays the single population-membership hazard ratio. Their job is to keep the central test read right: a penalty found inside disclosure cohorts and net of the regulatory routing is a penalty owed to mission culture, while a penalty that survives only by getting conflated with the regime or the clock would not support the thesis. The framework is built so only the first outcome confirms H1.</w:t>
      </w:r>
    </w:p>
    <w:bookmarkEnd w:id="100"/>
    <w:bookmarkStart w:id="101" w:name="summary"/>
    <w:p>
      <w:pPr>
        <w:pStyle w:val="Heading2"/>
        <w:spacing w:line="480" w:lineRule="auto"/>
      </w:pPr>
      <w:r>
        <w:t xml:space="preserve">3.7 Summary</w:t>
      </w:r>
    </w:p>
    <w:p>
      <w:pPr>
        <w:pStyle w:val="FirstParagraph"/>
        <w:spacing w:line="480" w:lineRule="auto"/>
      </w:pPr>
      <w:r>
        <w:t xml:space="preserve">This chapter named the theoretical mechanism, walked the causal logic, and wrote the formal hypotheses the dissertation defends. The mechanism is the operational-continuity penalty, the institutionalized preference for continuity of command over configuration currency that, through the freeze-window, regression-testing, and institutional-reluctance routes, is supposed to push down the remediation hazard of ground-segment and mission-control hosts relative to matched enterprise hosts running the same software</w:t>
      </w:r>
      <w:r>
        <w:t xml:space="preserve"> </w:t>
      </w:r>
      <w:hyperlink w:anchor="ref-1">
        <w:r>
          <w:rPr>
            <w:rStyle w:val="Hyperlink"/>
          </w:rPr>
          <w:t xml:space="preserve">[1]</w:t>
        </w:r>
      </w:hyperlink>
      <w:r>
        <w:t xml:space="preserve">[2][3][4]. The causal logic is a conditional and difference-in-differences comparison of host-level remediation hazard, holding severity, exploit availability, and software family fixed and matching on operating-system family and disclosure cohort, so the residual population contrast carries the mechanism’s content under a stated identifying assumption that gets defended rather than waved away</w:t>
      </w:r>
      <w:r>
        <w:t xml:space="preserve"> </w:t>
      </w:r>
      <w:hyperlink w:anchor="ref-5">
        <w:r>
          <w:rPr>
            <w:rStyle w:val="Hyperlink"/>
          </w:rPr>
          <w:t xml:space="preserve">[5]</w:t>
        </w:r>
      </w:hyperlink>
      <w:r>
        <w:t xml:space="preserve">[6][8][9]. The formal hypotheses are H0, that the population-membership coefficient is zero and the median windows equal, and H1, that the coefficient is strictly negative and the ground-segment window strictly longer, a directional alternative falsifiable in the full sense because the mechanism admits only one sign. Chapter 4 builds the survival-analytic estimation, the censoring treatment, and the difference-in-differences event study that carry these hypotheses to the data.</w:t>
      </w:r>
    </w:p>
    <w:bookmarkEnd w:id="101"/>
    <w:bookmarkEnd w:id="102"/>
    <w:bookmarkStart w:id="118" w:name="chapter-4.-data-and-measurement"/>
    <w:p>
      <w:pPr>
        <w:pStyle w:val="Heading1"/>
        <w:spacing w:line="480" w:lineRule="auto"/>
      </w:pPr>
      <w:r>
        <w:t xml:space="preserve">Chapter 4. Data and Measurement</w:t>
      </w:r>
    </w:p>
    <w:bookmarkStart w:id="103" w:name="purpose-and-scope-of-the-chapter"/>
    <w:p>
      <w:pPr>
        <w:pStyle w:val="Heading2"/>
        <w:spacing w:line="480" w:lineRule="auto"/>
      </w:pPr>
      <w:r>
        <w:t xml:space="preserve">4.1 Purpose and Scope of the Chapter</w:t>
      </w:r>
    </w:p>
    <w:p>
      <w:pPr>
        <w:pStyle w:val="FirstParagraph"/>
        <w:spacing w:line="480" w:lineRule="auto"/>
      </w:pPr>
      <w:r>
        <w:t xml:space="preserve">This chapter sets down the empirical material the dissertation rests on, and it does so at the grain a replication audit asks for: the authoritative source of every dataset, the version stamp it was drawn at, the unit of analysis, and the rule that maps a primary record onto each variable feeding an estimating equation. Two completed empirical papers and a third, survival-analytic design that extends them make up the dissertation. Paper one fits an ordinary-least-squares model of the patch-latency window on confirmed-exploited, ground-segment-relevant vulnerabilities. Paper two fits a logistic model of the administrative decision that routes a vulnerability to a short or an extended remediation clock. Both draw on the same two primary, version-stamped public sources, and both keep one discipline that organizes this chapter: no figure that enters an estimate is typed in from memory, and every observation drags along an explicit source string naming the catalog entry and the database record its values came from. What follows, then, is not an abstraction of the data but the concrete lineage that runs from a public record to a reported coefficient.</w:t>
      </w:r>
    </w:p>
    <w:p>
      <w:pPr>
        <w:pStyle w:val="BodyText"/>
        <w:spacing w:line="480" w:lineRule="auto"/>
        <w:ind w:firstLine="720"/>
      </w:pPr>
      <w:r>
        <w:t xml:space="preserve">The chapter’s order tracks how a reader rebuilding the analysis would move through it. First it fixes the two authoritative sources and the exact version of each. Then it defines the unit of analysis for each paper, since the two papers, sharing raw inputs, part ways on the entity they observe. Then it builds each variable in turn, dependent and independent, from its primary record, giving the arithmetic and the field of origin. It closes on the sampling frame that bounds the ground-segment population, the descriptive shape of the two analytic samples, and the measurement-level threats the construction rules either settle or leave, bounded, for the validity chapter.</w:t>
      </w:r>
    </w:p>
    <w:bookmarkEnd w:id="103"/>
    <w:bookmarkStart w:id="104" w:name="Xb5a6e2042a1ce2e59e4c783fe3f449d57fd6b86"/>
    <w:p>
      <w:pPr>
        <w:pStyle w:val="Heading2"/>
        <w:spacing w:line="480" w:lineRule="auto"/>
      </w:pPr>
      <w:r>
        <w:t xml:space="preserve">4.2 Authoritative Sources and Version Control</w:t>
      </w:r>
    </w:p>
    <w:p>
      <w:pPr>
        <w:pStyle w:val="FirstParagraph"/>
        <w:spacing w:line="480" w:lineRule="auto"/>
      </w:pPr>
      <w:r>
        <w:t xml:space="preserve">Two primary, public, version-stamped sources assemble the empirical papers. The first is the Cybersecurity and Infrastructure Security Agency Known Exploited Vulnerabilities catalog, taken at release version 2026.06.18, published on the eighteenth of June 2026</w:t>
      </w:r>
      <w:r>
        <w:t xml:space="preserve"> </w:t>
      </w:r>
      <w:hyperlink w:anchor="ref-6">
        <w:r>
          <w:rPr>
            <w:rStyle w:val="Hyperlink"/>
          </w:rPr>
          <w:t xml:space="preserve">[6]</w:t>
        </w:r>
      </w:hyperlink>
      <w:r>
        <w:t xml:space="preserve">. The KEV catalog is the authoritative federal record of vulnerabilities the United States government has confirmed exploited in the wild. It is neither a severity database nor a comprehensive vulnerability registry; it is a curated, dated list of confirmed-exploited flaws kept under the legal authority of Binding Operational Directive 22-01</w:t>
      </w:r>
      <w:r>
        <w:t xml:space="preserve"> </w:t>
      </w:r>
      <w:hyperlink w:anchor="ref-5">
        <w:r>
          <w:rPr>
            <w:rStyle w:val="Hyperlink"/>
          </w:rPr>
          <w:t xml:space="preserve">[5]</w:t>
        </w:r>
      </w:hyperlink>
      <w:r>
        <w:t xml:space="preserve">. From it the analysis reads, per retained entry, the vendor and product strings, the date the entry went into the catalog, the remediation due date, and the known-ransomware-campaign-use flag. Every one of those is a primary field of the catalog record rather than a derived quantity, which is the property that lets the analysis walk any reported figure back to a single authoritative row.</w:t>
      </w:r>
    </w:p>
    <w:p>
      <w:pPr>
        <w:pStyle w:val="BodyText"/>
        <w:spacing w:line="480" w:lineRule="auto"/>
        <w:ind w:firstLine="720"/>
      </w:pPr>
      <w:r>
        <w:t xml:space="preserve">The second source is the National Institute of Standards and Technology National Vulnerability Database, reached through the CVE Application Programming Interface version 2.0</w:t>
      </w:r>
      <w:r>
        <w:t xml:space="preserve"> </w:t>
      </w:r>
      <w:hyperlink w:anchor="ref-7">
        <w:r>
          <w:rPr>
            <w:rStyle w:val="Hyperlink"/>
          </w:rPr>
          <w:t xml:space="preserve">[7]</w:t>
        </w:r>
      </w:hyperlink>
      <w:r>
        <w:t xml:space="preserve">. For each CVE identifier a retained KEV entry carries, the NVD record hands over the public-disclosure date and the Common Vulnerability Scoring System base score. NVD is the authoritative United States government repository of standards-based vulnerability-management data, and the CVE API 2.0 is its current programmatic interface, returning per-identifier records that carry the published date and the CVSS metric set. Reading severity from NVD rather than from a secondary aggregator is a chosen move, not a convenience: the dissertation wants the severity covariate drawn from the same authority that issues the canonical CVE record, so the lineage of the conditioning variable stands as checkable as the lineage of the outcome.</w:t>
      </w:r>
    </w:p>
    <w:p>
      <w:pPr>
        <w:pStyle w:val="BodyText"/>
        <w:spacing w:line="480" w:lineRule="auto"/>
        <w:ind w:firstLine="720"/>
      </w:pPr>
      <w:r>
        <w:t xml:space="preserve">Version discipline underwrites the reproducibility claim, so it gets stated outright rather than left to inference. The KEV catalog is a living document that grows as fresh exploitation is confirmed; cite it without a version and the analysis is unreproducible, because the underlying population would already have shifted. Pinning the catalog at release 2026.06.18 fixes the population of confirmed-exploited vulnerabilities to one retrievable snapshot. The NVD CVE API 2.0 likewise hands back records that can be revised as scoring is reassessed, so the analysis reads each identifier at the API version named above and writes the retrieved values into the data file rather than re-querying at estimation time. Both sources are public and independently versioned, which is what a fully checkable lineage requires and what the dissertation claims.</w:t>
      </w:r>
    </w:p>
    <w:p>
      <w:pPr>
        <w:pStyle w:val="BodyText"/>
        <w:spacing w:line="480" w:lineRule="auto"/>
        <w:ind w:firstLine="720"/>
      </w:pPr>
      <w:r>
        <w:t xml:space="preserve">The two completed papers use these two sources alone. The prospectus for the survival-analytic extension adds a third, the Censys Universal Internet Dataset host snapshots, cross-referenced against the same NVD and KEV records, to build host-level detectability spells from internet-wide measurement, with institutional access available through the Censys Research program. That source underwrites the host-vulnerability spell design the prospectus describes and is named here for completeness, but the measurement constructions that follow are the ones the two completed papers actually realized, which rest on the KEV catalog and the NVD CVE API only. The chapter marks that line so the realized measurement is not mixed up with the planned extension.</w:t>
      </w:r>
    </w:p>
    <w:bookmarkEnd w:id="104"/>
    <w:bookmarkStart w:id="105" w:name="unit-of-analysis"/>
    <w:p>
      <w:pPr>
        <w:pStyle w:val="Heading2"/>
        <w:spacing w:line="480" w:lineRule="auto"/>
      </w:pPr>
      <w:r>
        <w:t xml:space="preserve">4.3 Unit of Analysis</w:t>
      </w:r>
    </w:p>
    <w:p>
      <w:pPr>
        <w:pStyle w:val="FirstParagraph"/>
        <w:spacing w:line="480" w:lineRule="auto"/>
      </w:pPr>
      <w:r>
        <w:t xml:space="preserve">The two papers share raw inputs and split on the entity each observes, and that split governs how every variable is read. Getting the unit of analysis exactly right is therefore no formality; it is the hinge the dependent variables turn on.</w:t>
      </w:r>
    </w:p>
    <w:p>
      <w:pPr>
        <w:pStyle w:val="BodyText"/>
        <w:spacing w:line="480" w:lineRule="auto"/>
        <w:ind w:firstLine="720"/>
      </w:pPr>
      <w:r>
        <w:t xml:space="preserve">In paper one the unit of analysis is the confirmed-exploited vulnerability, indexed by its CVE identifier and held to products that plausibly make up a space-mission ground segment or mission-control enclave. Each observation is one such vulnerability, and the quantity read off it is a duration: the interval between the vulnerability’s public disclosure and its confirmed in-the-wild exploitation. The vulnerability is the unit, not the host, because the completed paper measures the time the public timeline records between two dated events tied to the CVE itself, not to any one operator’s installation of the affected product. That is a real narrowing against the dissertation’s survival-analytic aim, where the unit is the host-vulnerability spell, the (host, CVE) pair watched from the date the vulnerability becomes detectable on that host until the host stops presenting it. The completed ordinary-least-squares paper watches the CVE-level event interval, not the host-level remediation spell, and the chapter flags the difference so the conditional-mean estimate reads as a statement about the disclosure-to-exploitation interval of a vulnerability class and not about the remediation behavior of any individual host.</w:t>
      </w:r>
    </w:p>
    <w:p>
      <w:pPr>
        <w:pStyle w:val="BodyText"/>
        <w:spacing w:line="480" w:lineRule="auto"/>
        <w:ind w:firstLine="720"/>
      </w:pPr>
      <w:r>
        <w:t xml:space="preserve">In paper two the unit is again the vulnerability, indexed by CVE identifier and drawn from the same ground-segment-relevant product population, but the quantity read off it is categorical, not temporal. Each observation is one confirmed-exploited vulnerability, and what gets read is the regulatory clock the catalog assigns, the mandated remediation window computed from two catalog dates and then split into the short and extended regimes the directive’s schedule produces. The unit matches paper one, the CVE, but the two papers pull different facts from it. Paper one pulls when exploitation was confirmed; paper two pulls how long the regulator gave operators to remediate. Holding the unit fixed across the two papers while the observed quantity varies is what lets the dissertation read the two estimates as complementary views of one underlying object, the patch-latency window, one continuous and one administrative.</w:t>
      </w:r>
    </w:p>
    <w:p>
      <w:pPr>
        <w:pStyle w:val="BodyText"/>
        <w:spacing w:line="480" w:lineRule="auto"/>
        <w:ind w:firstLine="720"/>
      </w:pPr>
      <w:r>
        <w:t xml:space="preserve">No completed paper observes a host. Both observe a vulnerability. Catalogs record CVEs, never machines. That is a chosen consequence of leaning on public catalogs, which log facts about CVE identifiers and not about the population of machines carrying them, and it holds the inferential reach of both estimates to statements about classes of vulnerabilities rather than about specific operators’ infrastructure. The validity chapter takes that boundary up at length; the present chapter logs it as a property of the unit of analysis so no variable gets misread later as a host-level measurement.</w:t>
      </w:r>
    </w:p>
    <w:bookmarkEnd w:id="105"/>
    <w:bookmarkStart w:id="108" w:name="construction-of-the-dependent-variables"/>
    <w:p>
      <w:pPr>
        <w:pStyle w:val="Heading2"/>
        <w:spacing w:line="480" w:lineRule="auto"/>
      </w:pPr>
      <w:r>
        <w:t xml:space="preserve">4.4 Construction of the Dependent Variables</w:t>
      </w:r>
    </w:p>
    <w:bookmarkStart w:id="106" w:name="the-patch-latency-window-in-paper-one"/>
    <w:p>
      <w:pPr>
        <w:pStyle w:val="Heading3"/>
        <w:spacing w:line="480" w:lineRule="auto"/>
      </w:pPr>
      <w:r>
        <w:t xml:space="preserve">4.4.1 The Patch-Latency Window in Paper One</w:t>
      </w:r>
    </w:p>
    <w:p>
      <w:pPr>
        <w:pStyle w:val="FirstParagraph"/>
        <w:spacing w:line="480" w:lineRule="auto"/>
      </w:pPr>
      <w:r>
        <w:t xml:space="preserve">Paper one’s dependent variable is the patch-latency window in natural logarithms of days. Building it is a two-date subtraction across the two authoritative sources. The later date is the KEV catalog-addition date, the field in the catalog record marking when the entry was added</w:t>
      </w:r>
      <w:r>
        <w:t xml:space="preserve"> </w:t>
      </w:r>
      <w:hyperlink w:anchor="ref-6">
        <w:r>
          <w:rPr>
            <w:rStyle w:val="Hyperlink"/>
          </w:rPr>
          <w:t xml:space="preserve">[6]</w:t>
        </w:r>
      </w:hyperlink>
      <w:r>
        <w:t xml:space="preserve">, which the analysis reads as the date of confirmed in-the-wild exploitation, because addition to the catalog is the federal act of confirming exploitation. The earlier date is the NVD published date, the public-disclosure date the CVE API 2.0 returns for the identifier</w:t>
      </w:r>
      <w:r>
        <w:t xml:space="preserve"> </w:t>
      </w:r>
      <w:hyperlink w:anchor="ref-7">
        <w:r>
          <w:rPr>
            <w:rStyle w:val="Hyperlink"/>
          </w:rPr>
          <w:t xml:space="preserve">[7]</w:t>
        </w:r>
      </w:hyperlink>
      <w:r>
        <w:t xml:space="preserve">. Raw window equals catalog-addition date minus NVD published date, in days. Two dates, one subtraction.</w:t>
      </w:r>
    </w:p>
    <w:p>
      <w:pPr>
        <w:pStyle w:val="BodyText"/>
        <w:spacing w:line="480" w:lineRule="auto"/>
        <w:ind w:firstLine="720"/>
      </w:pPr>
      <w:r>
        <w:t xml:space="preserve">Two transformations finish the build. First, the raw difference gets floored at one day, so any vulnerability whose catalog addition falls on or before its recorded disclosure date is handed a window of one day rather than zero or a negative number; that guards the logarithm from going undefined and blocks spurious zero-duration observations thrown up by date-granularity artifacts across the two sources. Second, the floored window enters in natural logs. The log move is a measurement decision, not just an estimation convenience: the raw window skews hard to the right, with a long tail of vulnerabilities that sat open for years before confirmation, and the log scale makes each regression coefficient read as roughly a proportional change in the window. So the dependent variable feeding the ordinary-least-squares model is the natural log of the floored, day-valued interval between NVD-recorded disclosure and KEV-recorded confirmation, with each observation’s two source dates kept in the data file so the window can be recomputed from primary records.</w:t>
      </w:r>
    </w:p>
    <w:bookmarkEnd w:id="106"/>
    <w:bookmarkStart w:id="107" w:name="the-short-clock-indicator-in-paper-two"/>
    <w:p>
      <w:pPr>
        <w:pStyle w:val="Heading3"/>
        <w:spacing w:line="480" w:lineRule="auto"/>
      </w:pPr>
      <w:r>
        <w:t xml:space="preserve">4.4.2 The Short-Clock Indicator in Paper Two</w:t>
      </w:r>
    </w:p>
    <w:p>
      <w:pPr>
        <w:pStyle w:val="FirstParagraph"/>
        <w:spacing w:line="480" w:lineRule="auto"/>
      </w:pPr>
      <w:r>
        <w:t xml:space="preserve">Paper two’s dependent variable is a binary indicator of the regulatory clock, and it too is built from two catalog dates, but it reads different fields and applies a different rule. The mandated remediation window equals the catalog due date minus the date added, both fields of the KEV record</w:t>
      </w:r>
      <w:r>
        <w:t xml:space="preserve"> </w:t>
      </w:r>
      <w:hyperlink w:anchor="ref-6">
        <w:r>
          <w:rPr>
            <w:rStyle w:val="Hyperlink"/>
          </w:rPr>
          <w:t xml:space="preserve">[6]</w:t>
        </w:r>
      </w:hyperlink>
      <w:r>
        <w:t xml:space="preserve">. That is the administrative window the directive imposes, separate from the empirical disclosure-to-exploitation window of paper one. The directive’s schedule yields not a continuum but two regimes, a short clock of roughly two to three weeks and an extended clock of about six months, and the dependent variable encodes which regime is in force. The indicator takes the value one when the mandated window is twenty-one days or fewer and zero when it lands in the extended class of one hundred eighty-one days</w:t>
      </w:r>
      <w:r>
        <w:t xml:space="preserve"> </w:t>
      </w:r>
      <w:hyperlink w:anchor="ref-6">
        <w:r>
          <w:rPr>
            <w:rStyle w:val="Hyperlink"/>
          </w:rPr>
          <w:t xml:space="preserve">[6]</w:t>
        </w:r>
      </w:hyperlink>
      <w:r>
        <w:t xml:space="preserve">.</w:t>
      </w:r>
    </w:p>
    <w:p>
      <w:pPr>
        <w:pStyle w:val="BodyText"/>
        <w:spacing w:line="480" w:lineRule="auto"/>
        <w:ind w:firstLine="720"/>
      </w:pPr>
      <w:r>
        <w:t xml:space="preserve">That split stays faithful to the schedule’s structure rather than dropping an analyst’s threshold onto a smooth variable. The mandated windows in the catalog are not spread continuously; they pile up at the two values the directive assigns, so the twenty-one-day cut divides the two genuine regimes the regulator runs rather than slicing some arbitrary point of a continuous distribution. The dependent variable is therefore a direct read of which of the two administrative clocks a vulnerability drew, computed from the two catalog date fields and logged with its source string so the assignment can be checked against the primary KEV entry.</w:t>
      </w:r>
    </w:p>
    <w:bookmarkEnd w:id="107"/>
    <w:bookmarkEnd w:id="108"/>
    <w:bookmarkStart w:id="113" w:name="X0599a2592a87765e658756469828972895f3b1e"/>
    <w:p>
      <w:pPr>
        <w:pStyle w:val="Heading2"/>
        <w:spacing w:line="480" w:lineRule="auto"/>
      </w:pPr>
      <w:r>
        <w:t xml:space="preserve">4.5 Construction of the Independent Variables</w:t>
      </w:r>
    </w:p>
    <w:bookmarkStart w:id="109" w:name="severity-1"/>
    <w:p>
      <w:pPr>
        <w:pStyle w:val="Heading3"/>
        <w:spacing w:line="480" w:lineRule="auto"/>
      </w:pPr>
      <w:r>
        <w:t xml:space="preserve">4.5.1 Severity</w:t>
      </w:r>
    </w:p>
    <w:p>
      <w:pPr>
        <w:pStyle w:val="FirstParagraph"/>
        <w:spacing w:line="480" w:lineRule="auto"/>
      </w:pPr>
      <w:r>
        <w:t xml:space="preserve">Both papers condition on severity through the CVSS base score, read per identifier from the NVD CVE API 2.0</w:t>
      </w:r>
      <w:r>
        <w:t xml:space="preserve"> </w:t>
      </w:r>
      <w:hyperlink w:anchor="ref-7">
        <w:r>
          <w:rPr>
            <w:rStyle w:val="Hyperlink"/>
          </w:rPr>
          <w:t xml:space="preserve">[7]</w:t>
        </w:r>
      </w:hyperlink>
      <w:r>
        <w:t xml:space="preserve">. The base score is the standards-based numeric expression of a vulnerability’s intrinsic severity, returned straight in the NVD record, and it enters paper one as a continuous regressor in base-score points and paper two as a continuous regressor on the log-odds scale. Building it is a direct read of a primary field; no severity value is imputed, averaged across sources, or pulled from a secondary aggregator. Sourcing severity from NVD keeps to the measurement principle running through the chapter, that the conditioning variable comes from the same authority that issues the canonical CVE record.</w:t>
      </w:r>
    </w:p>
    <w:p>
      <w:pPr>
        <w:pStyle w:val="BodyText"/>
        <w:spacing w:line="480" w:lineRule="auto"/>
        <w:ind w:firstLine="720"/>
      </w:pPr>
      <w:r>
        <w:t xml:space="preserve">How the dissertation handles severity is shaped, and partly prompted, by the empirical literature on the limits of severity scoring. Koscinski and colleagues, lining up four public scoring systems across six hundred disclosed vulnerabilities, find real disagreement in how the systems rank identical flaws, so a high base score is a poor proxy for the risk a defender faces</w:t>
      </w:r>
      <w:r>
        <w:t xml:space="preserve"> </w:t>
      </w:r>
      <w:hyperlink w:anchor="ref-8">
        <w:r>
          <w:rPr>
            <w:rStyle w:val="Hyperlink"/>
          </w:rPr>
          <w:t xml:space="preserve">[8]</w:t>
        </w:r>
      </w:hyperlink>
      <w:r>
        <w:t xml:space="preserve">. Parla, setting the Exploit Prediction Scoring System against the KEV catalog, finds exploitation probability and severity splitting on the very vulnerabilities known to be exploited</w:t>
      </w:r>
      <w:r>
        <w:t xml:space="preserve"> </w:t>
      </w:r>
      <w:hyperlink w:anchor="ref-9">
        <w:r>
          <w:rPr>
            <w:rStyle w:val="Hyperlink"/>
          </w:rPr>
          <w:t xml:space="preserve">[9]</w:t>
        </w:r>
      </w:hyperlink>
      <w:r>
        <w:t xml:space="preserve">. Neither finding alters the build of the severity variable, which stays a faithful read of the NVD base score, but together they explain why the score enters as a covariate to be tested rather than assumed decisive, and why paper two in particular casts the severity coefficient as the quantity the administrative-routing hypothesis expects to come out indistinguishable from a null effect.</w:t>
      </w:r>
    </w:p>
    <w:bookmarkEnd w:id="109"/>
    <w:bookmarkStart w:id="110" w:name="asset-class"/>
    <w:p>
      <w:pPr>
        <w:pStyle w:val="Heading3"/>
        <w:spacing w:line="480" w:lineRule="auto"/>
      </w:pPr>
      <w:r>
        <w:t xml:space="preserve">4.5.2 Asset Class</w:t>
      </w:r>
    </w:p>
    <w:p>
      <w:pPr>
        <w:pStyle w:val="FirstParagraph"/>
        <w:spacing w:line="480" w:lineRule="auto"/>
      </w:pPr>
      <w:r>
        <w:t xml:space="preserve">Paper one carries an edge-asset indicator splitting the retained products into two classes. The first is internet-facing remote-access, virtual-private-network, and edge-gateway appliances fronting ground operations; the second is operational-technology and industrial-control devices sitting inside the enclave. The indicator is built from the vendor and product strings of the KEV record</w:t>
      </w:r>
      <w:r>
        <w:t xml:space="preserve"> </w:t>
      </w:r>
      <w:hyperlink w:anchor="ref-6">
        <w:r>
          <w:rPr>
            <w:rStyle w:val="Hyperlink"/>
          </w:rPr>
          <w:t xml:space="preserve">[6]</w:t>
        </w:r>
      </w:hyperlink>
      <w:r>
        <w:t xml:space="preserve">, sorting each entry by the function of the named product. Edge appliances are continuously scannable and front the operational enclave, so they are the first asset an external adversary meets; controllers are usually reached only after a foothold and are less uniformly internet-exposed. The indicator encodes that exposure split so the model can test whether an edge position ties to a shorter window.</w:t>
      </w:r>
    </w:p>
    <w:p>
      <w:pPr>
        <w:pStyle w:val="BodyText"/>
        <w:spacing w:line="480" w:lineRule="auto"/>
        <w:ind w:firstLine="720"/>
      </w:pPr>
      <w:r>
        <w:t xml:space="preserve">Paper two carries no asset-class regressor, and the omission is a measurement-driven choice, not an oversight. In that sample every extended-window entry is an internet-facing gateway, so putting the asset class in produces perfect separation and an unidentified coefficient. The variable is dropped by design, and the validity discussion logs the perfect-separation pattern as itself a substantive finding about the makeup of the extended-window class rather than a nuisance to estimate around.</w:t>
      </w:r>
    </w:p>
    <w:bookmarkEnd w:id="110"/>
    <w:bookmarkStart w:id="111" w:name="ransomware-association"/>
    <w:p>
      <w:pPr>
        <w:pStyle w:val="Heading3"/>
        <w:spacing w:line="480" w:lineRule="auto"/>
      </w:pPr>
      <w:r>
        <w:t xml:space="preserve">4.5.3 Ransomware Association</w:t>
      </w:r>
    </w:p>
    <w:p>
      <w:pPr>
        <w:pStyle w:val="FirstParagraph"/>
        <w:spacing w:line="480" w:lineRule="auto"/>
      </w:pPr>
      <w:r>
        <w:t xml:space="preserve">Both papers carry a ransomware indicator lifted straight from the KEV catalog’s known-ransomware-campaign-use field</w:t>
      </w:r>
      <w:r>
        <w:t xml:space="preserve"> </w:t>
      </w:r>
      <w:hyperlink w:anchor="ref-6">
        <w:r>
          <w:rPr>
            <w:rStyle w:val="Hyperlink"/>
          </w:rPr>
          <w:t xml:space="preserve">[6]</w:t>
        </w:r>
      </w:hyperlink>
      <w:r>
        <w:t xml:space="preserve">. That field is a primary categorical attribute of the catalog record saying whether the vulnerability has been taken up into known ransomware tradecraft. Building it is a direct read with no derivation. In paper one the indicator tests whether vulnerabilities weaponized by financially motivated operators, who move fast and at scale, show a shorter interval to confirmed exploitation. In paper two the indicator enters the logistic model on the log-odds scale, and the paper reads its sign against the sample composition rather than as a statement about how the regulator weighs ransomware risk, because several ransomware-associated entries in that sample fall in the older, extended-window class for reasons of vintage and not deprioritization.</w:t>
      </w:r>
    </w:p>
    <w:bookmarkEnd w:id="111"/>
    <w:bookmarkStart w:id="112" w:name="Xa837805196bed3f7c638e3bb5698ce261a41fb1"/>
    <w:p>
      <w:pPr>
        <w:pStyle w:val="Heading3"/>
        <w:spacing w:line="480" w:lineRule="auto"/>
      </w:pPr>
      <w:r>
        <w:t xml:space="preserve">4.5.4 Disclosure-Era and Vintage Governance Indicators</w:t>
      </w:r>
    </w:p>
    <w:p>
      <w:pPr>
        <w:pStyle w:val="FirstParagraph"/>
        <w:spacing w:line="480" w:lineRule="auto"/>
      </w:pPr>
      <w:r>
        <w:t xml:space="preserve">Both papers carry a governance indicator keyed to the timing of the vulnerability against the institutional regime that arrived in late 2021, but the two papers build the indicator from different date primitives and hand it different substantive roles, and that difference is worth stating exactly.</w:t>
      </w:r>
    </w:p>
    <w:p>
      <w:pPr>
        <w:pStyle w:val="BodyText"/>
        <w:spacing w:line="480" w:lineRule="auto"/>
        <w:ind w:firstLine="720"/>
      </w:pPr>
      <w:r>
        <w:t xml:space="preserve">In paper one the governance indicator is a post-2021 disclosure-era fixed effect. It takes the value one for vulnerabilities disclosed in 2022 or later, built from the NVD published date</w:t>
      </w:r>
      <w:r>
        <w:t xml:space="preserve"> </w:t>
      </w:r>
      <w:hyperlink w:anchor="ref-7">
        <w:r>
          <w:rPr>
            <w:rStyle w:val="Hyperlink"/>
          </w:rPr>
          <w:t xml:space="preserve">[7]</w:t>
        </w:r>
      </w:hyperlink>
      <w:r>
        <w:t xml:space="preserve">, and zero otherwise. Its job is to soak up the level shift in cataloging pace introduced when Binding Operational Directive 22-01 and the KEV program stood up in late 2021</w:t>
      </w:r>
      <w:r>
        <w:t xml:space="preserve"> </w:t>
      </w:r>
      <w:hyperlink w:anchor="ref-5">
        <w:r>
          <w:rPr>
            <w:rStyle w:val="Hyperlink"/>
          </w:rPr>
          <w:t xml:space="preserve">[5]</w:t>
        </w:r>
      </w:hyperlink>
      <w:r>
        <w:t xml:space="preserve">, so the severity, asset-class, and ransomware associations get estimated within governance regimes rather than across them. The indicator works, then, as a disclosure-era control that nets out the regime change in detection and cataloging speed.</w:t>
      </w:r>
    </w:p>
    <w:p>
      <w:pPr>
        <w:pStyle w:val="BodyText"/>
        <w:spacing w:line="480" w:lineRule="auto"/>
        <w:ind w:firstLine="720"/>
      </w:pPr>
      <w:r>
        <w:t xml:space="preserve">In paper two the governance indicator is a vintage rule keyed not to disclosure date but to the age of the CVE identifier. It takes the value one for any CVE assigned before 2021 and zero otherwise. Its job is not to control for a pace shift but to render the administrative-routing hypothesis operational directly, because the directive’s schedule routes pre-2021 identifiers to the extended six-month clock and newer identifiers to the short clock measured in weeks</w:t>
      </w:r>
      <w:r>
        <w:t xml:space="preserve"> </w:t>
      </w:r>
      <w:hyperlink w:anchor="ref-5">
        <w:r>
          <w:rPr>
            <w:rStyle w:val="Hyperlink"/>
          </w:rPr>
          <w:t xml:space="preserve">[5]</w:t>
        </w:r>
      </w:hyperlink>
      <w:r>
        <w:t xml:space="preserve">. The vintage indicator is therefore the administrative benchmark severity is judged against in paper two: the hypothesis holds that this indicator carries a large negative coefficient on the odds of the short clock while severity carries an odds ratio indistinguishable from one. The two indicators share a conceptual root in the 2021 regime change and stand as separate constructions, one from disclosure date and one from identifier vintage, and the chapter keeps them apart so neither paper’s governance variable gets charged to the other’s primitive.</w:t>
      </w:r>
    </w:p>
    <w:bookmarkEnd w:id="112"/>
    <w:bookmarkEnd w:id="113"/>
    <w:bookmarkStart w:id="114" w:name="X7569471a692b1e0be7034e00e77e55427b4fa0b"/>
    <w:p>
      <w:pPr>
        <w:pStyle w:val="Heading2"/>
        <w:spacing w:line="480" w:lineRule="auto"/>
      </w:pPr>
      <w:r>
        <w:t xml:space="preserve">4.6 Sampling Frame and the Ground-Segment Restriction</w:t>
      </w:r>
    </w:p>
    <w:p>
      <w:pPr>
        <w:pStyle w:val="FirstParagraph"/>
        <w:spacing w:line="480" w:lineRule="auto"/>
      </w:pPr>
      <w:r>
        <w:t xml:space="preserve">The restriction that defines both samples is that they keep only vulnerabilities in products that plausibly make up a space-mission ground segment or mission-control enclave. That restriction is what turns the estimates into statements about the ground segment rather than about confirmed-exploited vulnerabilities at large, so how it is built merits explicit statement.</w:t>
      </w:r>
    </w:p>
    <w:p>
      <w:pPr>
        <w:pStyle w:val="BodyText"/>
        <w:spacing w:line="480" w:lineRule="auto"/>
        <w:ind w:firstLine="720"/>
      </w:pPr>
      <w:r>
        <w:t xml:space="preserve">The restriction runs on the vendor and product strings of the KEV record. Two product classes qualify. The first is internet-facing remote-access, virtual-private-network, and edge-gateway appliances fronting ground operations. In paper two these are enumerated by vendor: Cisco, Fortinet, Citrix, Ivanti, Palo Alto Networks, Juniper, F5, SonicWall, Check Point, and Pulse Secure. The second is operational-technology controllers used in ground infrastructure, enumerated as Siemens, Schneider Electric, Delta Electronics, and Unitronics. Treating these classes as the ground-segment attack surface rests on the space-cyber literature. The secure-framework study of space domain awareness systems drops the ground segment into the commodity-software threat model, noting that a software-dependency or supply-chain compromise can reach any machine leaning on the affected component</w:t>
      </w:r>
      <w:r>
        <w:t xml:space="preserve"> </w:t>
      </w:r>
      <w:hyperlink w:anchor="ref-4">
        <w:r>
          <w:rPr>
            <w:rStyle w:val="Hyperlink"/>
          </w:rPr>
          <w:t xml:space="preserve">[4]</w:t>
        </w:r>
      </w:hyperlink>
      <w:r>
        <w:t xml:space="preserve">; the governance literature confirms that sophisticated cyber threats against satellite systems cluster on the critical ground infrastructure rather than the on-orbit asset alone</w:t>
      </w:r>
      <w:r>
        <w:t xml:space="preserve"> </w:t>
      </w:r>
      <w:hyperlink w:anchor="ref-2">
        <w:r>
          <w:rPr>
            <w:rStyle w:val="Hyperlink"/>
          </w:rPr>
          <w:t xml:space="preserve">[2]</w:t>
        </w:r>
      </w:hyperlink>
      <w:r>
        <w:t xml:space="preserve">; and the strategy literature names ground-based systems an axis of state defense against hybrid threats</w:t>
      </w:r>
      <w:r>
        <w:t xml:space="preserve"> </w:t>
      </w:r>
      <w:hyperlink w:anchor="ref-3">
        <w:r>
          <w:rPr>
            <w:rStyle w:val="Hyperlink"/>
          </w:rPr>
          <w:t xml:space="preserve">[3]</w:t>
        </w:r>
      </w:hyperlink>
      <w:r>
        <w:t xml:space="preserve">. The trusted-space-data literature adds its own motivation, casting resilient ground operations as a socio-technical coordination problem whose compromise corrupts the data flows international partnerships depend on</w:t>
      </w:r>
      <w:r>
        <w:t xml:space="preserve"> </w:t>
      </w:r>
      <w:hyperlink w:anchor="ref-1">
        <w:r>
          <w:rPr>
            <w:rStyle w:val="Hyperlink"/>
          </w:rPr>
          <w:t xml:space="preserve">[1]</w:t>
        </w:r>
      </w:hyperlink>
      <w:r>
        <w:t xml:space="preserve">. The product enumeration is thus no arbitrary vendor list; it renders operational the appliance and controller classes the literature names as the mission-control edge.</w:t>
      </w:r>
    </w:p>
    <w:p>
      <w:pPr>
        <w:pStyle w:val="BodyText"/>
        <w:spacing w:line="480" w:lineRule="auto"/>
        <w:ind w:firstLine="720"/>
      </w:pPr>
      <w:r>
        <w:t xml:space="preserve">The restriction applies in the same spirit across the two papers, though the realized samples differ in size because each paper keeps a different cut of the catalog under its own design. The samples run deliberately narrow, because the population of interest is narrow: the dissertation does not claim to measure the patch-latency window of enterprise software at large but of the specific appliance and controller classes that define the ground-segment edge.</w:t>
      </w:r>
    </w:p>
    <w:bookmarkEnd w:id="114"/>
    <w:bookmarkStart w:id="115" w:name="X2d9841dd5e14fbfd70f767d3333e7dac9ee576b"/>
    <w:p>
      <w:pPr>
        <w:pStyle w:val="Heading2"/>
        <w:spacing w:line="480" w:lineRule="auto"/>
      </w:pPr>
      <w:r>
        <w:t xml:space="preserve">4.7 Analytic Samples and Their Descriptive Shape</w:t>
      </w:r>
    </w:p>
    <w:p>
      <w:pPr>
        <w:pStyle w:val="FirstParagraph"/>
        <w:spacing w:line="480" w:lineRule="auto"/>
      </w:pPr>
      <w:r>
        <w:t xml:space="preserve">The two papers work on small, fully enumerated cross-sections, and the chapter states their sizes and makeup exactly, because the smallness of the samples is itself a measurement fact conditioning every estimate’s reading.</w:t>
      </w:r>
    </w:p>
    <w:p>
      <w:pPr>
        <w:pStyle w:val="BodyText"/>
        <w:spacing w:line="480" w:lineRule="auto"/>
        <w:ind w:firstLine="720"/>
      </w:pPr>
      <w:r>
        <w:t xml:space="preserve">Paper one fits on thirty-seven confirmed-exploited vulnerabilities. The sample tilts edge-heavy: thirty-three of the thirty-seven observations are internet-facing edge appliances and only four are operational-technology controllers. The skew is toward the edge. That makeup gets logged here because it directly caps the precision with which the asset-class contrast can be estimated, leaving little within-sample variation to identify the edge indicator against. The dependent variable, the log patch-latency window, runs across a wide range, held at the low end by the one-day floor and at the high end by pre-2021 vulnerabilities that sat open for thousands of days before confirmation, which is the range the log transformation exists to accommodate.</w:t>
      </w:r>
    </w:p>
    <w:p>
      <w:pPr>
        <w:pStyle w:val="BodyText"/>
        <w:spacing w:line="480" w:lineRule="auto"/>
        <w:ind w:firstLine="720"/>
      </w:pPr>
      <w:r>
        <w:t xml:space="preserve">Paper two fits on thirty-one vulnerabilities from the same ground-segment-relevant product population. Of these, twenty-five drew the short window and six drew the extended window. That six-observation extended-window cell is the binding constraint on the logistic estimate, and the chapter logs it because the small minority class explains both the perfect separation that forced the asset-class regressor out and the modest precision of the coefficients that stayed in. Every row in both samples carries an explicit source string naming the KEV catalog entry and the NVD record its values came from, so the thirty-seven and thirty-one observations are not summary statistics but enumerable lists of primary records.</w:t>
      </w:r>
    </w:p>
    <w:p>
      <w:pPr>
        <w:pStyle w:val="BodyText"/>
        <w:spacing w:line="480" w:lineRule="auto"/>
        <w:ind w:firstLine="720"/>
      </w:pPr>
      <w:r>
        <w:t xml:space="preserve">The chapter withholds the estimated coefficients, which belong to the findings chapters, and it does fix the denominators those findings get read against. A four-regressor model on thirty-seven observations and a three-regressor logistic model on thirty-one observations are small-sample exercises, and the measurement chapter states the sample sizes plainly so the inferential claims stay calibrated to the data actually in hand rather than to some idealized population.</w:t>
      </w:r>
    </w:p>
    <w:bookmarkEnd w:id="115"/>
    <w:bookmarkStart w:id="116" w:name="X0752bf774e4cd789702064eeb0025ebb991babb"/>
    <w:p>
      <w:pPr>
        <w:pStyle w:val="Heading2"/>
        <w:spacing w:line="480" w:lineRule="auto"/>
      </w:pPr>
      <w:r>
        <w:t xml:space="preserve">4.8 Measurement-Level Threats and Their Treatment</w:t>
      </w:r>
    </w:p>
    <w:p>
      <w:pPr>
        <w:pStyle w:val="FirstParagraph"/>
        <w:spacing w:line="480" w:lineRule="auto"/>
      </w:pPr>
      <w:r>
        <w:t xml:space="preserve">Several threats surface at the level of measurement rather than estimation, and the construction rules above either settle them or hand them, bounded, to the validity chapter. Three merit statement here because they bear straight on how the variables get read.</w:t>
      </w:r>
    </w:p>
    <w:p>
      <w:pPr>
        <w:pStyle w:val="BodyText"/>
        <w:spacing w:line="480" w:lineRule="auto"/>
        <w:ind w:firstLine="720"/>
      </w:pPr>
      <w:r>
        <w:t xml:space="preserve">The first is the selected nature of the KEV catalog. The catalog logs only vulnerabilities confirmed exploited in the wild, so both samples are a selected tail rather than the full population of ground-segment vulnerabilities. Paper one’s patch-latency window is therefore measured on a sample conditioned on eventual confirmation, and the window measures time to confirmed exploitation rather than time to remediation on any one operator’s hosts. That is a property of the source, not a flaw in construction, and it holds the outcome variable’s reading to the confirmed-exploited subpopulation.</w:t>
      </w:r>
    </w:p>
    <w:p>
      <w:pPr>
        <w:pStyle w:val="BodyText"/>
        <w:spacing w:line="480" w:lineRule="auto"/>
        <w:ind w:firstLine="720"/>
      </w:pPr>
      <w:r>
        <w:t xml:space="preserve">The second is the date-granularity and floor convention. Both dependent variables are date subtractions, and the public sources log dates at day granularity. The one-day floor in paper one is the explicit rule that handles coincident or inverted dates; it biases short windows upward by at most a day and keeps the logarithm defined, a chosen and stated trade. In paper two the two regulatory clocks stand far enough apart, weeks against months, that day-granularity noise cannot shift an observation across the twenty-one-day cut, so the binary dependent variable shrugs off date-granularity artifacts in a way the continuous window cannot.</w:t>
      </w:r>
    </w:p>
    <w:p>
      <w:pPr>
        <w:pStyle w:val="BodyText"/>
        <w:spacing w:line="480" w:lineRule="auto"/>
        <w:ind w:firstLine="720"/>
      </w:pPr>
      <w:r>
        <w:t xml:space="preserve">The third is the boundary of observability. Public catalogs log facts about CVE identifiers, not about air-gapped or classified mission enclaves, which sit beyond any public source’s reach. Both samples therefore travel only to the internet-exposed, publicly cataloged ground-segment population. The distributed and increasingly autonomous space-mission architectures that multiply the internet-facing control surfaces</w:t>
      </w:r>
      <w:r>
        <w:t xml:space="preserve"> </w:t>
      </w:r>
      <w:hyperlink w:anchor="ref-10">
        <w:r>
          <w:rPr>
            <w:rStyle w:val="Hyperlink"/>
          </w:rPr>
          <w:t xml:space="preserve">[10]</w:t>
        </w:r>
      </w:hyperlink>
      <w:r>
        <w:t xml:space="preserve"> </w:t>
      </w:r>
      <w:r>
        <w:t xml:space="preserve">are exactly the population the public sources can see, and the chapter states the boundary outright so no estimate gets stretched to the unobservable enclave. All three threats are logged at the measurement level and carried forward, with their direction of bias named, to the validity treatment in the next chapter.</w:t>
      </w:r>
    </w:p>
    <w:bookmarkEnd w:id="116"/>
    <w:bookmarkStart w:id="117" w:name="summary-1"/>
    <w:p>
      <w:pPr>
        <w:pStyle w:val="Heading2"/>
        <w:spacing w:line="480" w:lineRule="auto"/>
      </w:pPr>
      <w:r>
        <w:t xml:space="preserve">4.9 Summary</w:t>
      </w:r>
    </w:p>
    <w:p>
      <w:pPr>
        <w:pStyle w:val="FirstParagraph"/>
        <w:spacing w:line="480" w:lineRule="auto"/>
      </w:pPr>
      <w:r>
        <w:t xml:space="preserve">The dissertation’s two completed empirical papers rest on two authoritative, version-stamped public sources: the CISA Known Exploited Vulnerabilities catalog at release 2026.06.18</w:t>
      </w:r>
      <w:r>
        <w:t xml:space="preserve"> </w:t>
      </w:r>
      <w:hyperlink w:anchor="ref-6">
        <w:r>
          <w:rPr>
            <w:rStyle w:val="Hyperlink"/>
          </w:rPr>
          <w:t xml:space="preserve">[6]</w:t>
        </w:r>
      </w:hyperlink>
      <w:r>
        <w:t xml:space="preserve"> </w:t>
      </w:r>
      <w:r>
        <w:t xml:space="preserve">and the NIST National Vulnerability Database CVE API 2.0</w:t>
      </w:r>
      <w:r>
        <w:t xml:space="preserve"> </w:t>
      </w:r>
      <w:hyperlink w:anchor="ref-7">
        <w:r>
          <w:rPr>
            <w:rStyle w:val="Hyperlink"/>
          </w:rPr>
          <w:t xml:space="preserve">[7]</w:t>
        </w:r>
      </w:hyperlink>
      <w:r>
        <w:t xml:space="preserve">. The unit of analysis in both is the confirmed-exploited, ground-segment-relevant vulnerability indexed by CVE identifier, though paper one watches a continuous disclosure-to-exploitation interval and paper two watches the binary regulatory clock the catalog assigns. Each dependent variable is a date subtraction from primary catalog and database fields: paper one’s log patch-latency window from the NVD published date and the KEV catalog-addition date, floored at one day; paper two’s short-clock indicator from the KEV due date and date-added fields, split at the twenty-one-day boundary that divides the directive’s two genuine clocks. The independent variables, severity from the NVD base score, asset class from the KEV product strings, ransomware association from the KEV campaign field, and the governance indicators from disclosure date and identifier vintage, are each a direct read of a primary field, logged with a per-observation source string that keeps the lineage from public record to reported coefficient fully checkable. The ground-segment restriction is rendered operational through an enumerated set of edge-appliance and controller vendors the space-cyber literature names as the mission-control attack surface</w:t>
      </w:r>
      <w:r>
        <w:t xml:space="preserve"> </w:t>
      </w:r>
      <w:hyperlink w:anchor="ref-1">
        <w:r>
          <w:rPr>
            <w:rStyle w:val="Hyperlink"/>
          </w:rPr>
          <w:t xml:space="preserve">[1]</w:t>
        </w:r>
      </w:hyperlink>
      <w:r>
        <w:t xml:space="preserve">[2][3][4], and the analytic samples, thirty-seven observations for paper one and thirty-one for paper two, are small, fully enumerated cross-sections whose modest size and edge-heavy makeup are stated plainly so the inference stays calibrated to the data in hand. The measurement discipline that governs the chapter, that no value is typed in and every observation traces to a named primary record, is the precondition for the reproducibility the dissertation claims.</w:t>
      </w:r>
    </w:p>
    <w:bookmarkEnd w:id="117"/>
    <w:bookmarkEnd w:id="118"/>
    <w:bookmarkStart w:id="133" w:name="chapter-5.-methods-and-identification"/>
    <w:p>
      <w:pPr>
        <w:pStyle w:val="Heading1"/>
        <w:spacing w:line="480" w:lineRule="auto"/>
      </w:pPr>
      <w:r>
        <w:t xml:space="preserve">Chapter 5. Methods and Identification</w:t>
      </w:r>
    </w:p>
    <w:bookmarkStart w:id="119" w:name="overview-and-the-logic-of-the-design"/>
    <w:p>
      <w:pPr>
        <w:pStyle w:val="Heading2"/>
        <w:spacing w:line="480" w:lineRule="auto"/>
      </w:pPr>
      <w:r>
        <w:t xml:space="preserve">5.1 Overview and the Logic of the Design</w:t>
      </w:r>
    </w:p>
    <w:p>
      <w:pPr>
        <w:pStyle w:val="FirstParagraph"/>
        <w:spacing w:line="480" w:lineRule="auto"/>
      </w:pPr>
      <w:r>
        <w:t xml:space="preserve">This chapter fixes the estimators that yield the dissertation’s single falsifiable estimate, the identification strategy that lets that estimate be read as causal-leaning, and the threats to validity that fence it. What gets measured is the patch-latency window, the span over which a disclosed and exploitable vulnerability stays open on a ground-segment or mission-control host before someone remediates it. The claim behind the whole exercise is that this window runs systematically longer on ground-segment and mission-control infrastructure than on a matched population of general enterprise hosts, once severity, exploit availability, and software family are pinned. The qualitative literature settles that the ground segment is exposed and its governance unfinished</w:t>
      </w:r>
      <w:r>
        <w:t xml:space="preserve"> </w:t>
      </w:r>
      <w:hyperlink w:anchor="ref-2">
        <w:r>
          <w:rPr>
            <w:rStyle w:val="Hyperlink"/>
          </w:rPr>
          <w:t xml:space="preserve">[2]</w:t>
        </w:r>
      </w:hyperlink>
      <w:r>
        <w:t xml:space="preserve">[3][4], and the trusted-data framing settles why the exposure counts for the international partnerships that lean on uncorrupted space-data flows</w:t>
      </w:r>
      <w:r>
        <w:t xml:space="preserve"> </w:t>
      </w:r>
      <w:hyperlink w:anchor="ref-1">
        <w:r>
          <w:rPr>
            <w:rStyle w:val="Hyperlink"/>
          </w:rPr>
          <w:t xml:space="preserve">[1]</w:t>
        </w:r>
      </w:hyperlink>
      <w:r>
        <w:t xml:space="preserve">. None of it hands over a measured distribution of the window. Filling that void is what this chapter does, and the methods here exist to do it.</w:t>
      </w:r>
    </w:p>
    <w:p>
      <w:pPr>
        <w:pStyle w:val="BodyText"/>
        <w:spacing w:line="480" w:lineRule="auto"/>
        <w:ind w:firstLine="720"/>
      </w:pPr>
      <w:r>
        <w:t xml:space="preserve">The design climbs three tiers of evidentiary ambition. Tier one is descriptive, a nonparametric estimate of the unconditional window distribution in each host population. Tier two is conditional, a semiparametric survival model estimating the population-membership effect net of the covariates that legitimately move remediation timing. Tier three identifies, a difference-in-differences event study pinned to the publication of a working exploit, which turns the conditional comparison into a within-vulnerability response comparison that differences away time-invariant population traits. Each tier asks more than the last, and each gets reported, so a reader who doubts the identifying assumptions of tier three can still study tier two, and a reader who doubts the proportional-hazards form of tier two can still study tier one. The three companion papers realize complementary slices of the design: an ordinary-least-squares estimate of the conditional-mean window, a logistic model of the binary regulatory routing decision, and the survival treatment worked out at full length here. The estimators run deliberately mixed so no single functional-form commitment carries the whole inferential load.</w:t>
      </w:r>
    </w:p>
    <w:bookmarkEnd w:id="119"/>
    <w:bookmarkStart w:id="120" w:name="unit-of-analysis-and-outcome-definition"/>
    <w:p>
      <w:pPr>
        <w:pStyle w:val="Heading2"/>
        <w:spacing w:line="480" w:lineRule="auto"/>
      </w:pPr>
      <w:r>
        <w:t xml:space="preserve">5.2 Unit of Analysis and Outcome Definition</w:t>
      </w:r>
    </w:p>
    <w:p>
      <w:pPr>
        <w:pStyle w:val="FirstParagraph"/>
        <w:spacing w:line="480" w:lineRule="auto"/>
      </w:pPr>
      <w:r>
        <w:t xml:space="preserve">The unit of analysis is the host-vulnerability spell, an ordered pair of a specific host and a specific Common Vulnerabilities and Exposures identifier, watched from the date the vulnerability first becomes detectable on that host to the date the host stops presenting it. Detectability runs on internet-wide host-banner observation: a host enters a spell when a service banner or version string matching a vulnerable software release first shows up, and exits when that evidence drops away. The outcome is the spell’s length in days, the remediation latency. Spells still open at the close of the observation window are right-censored at the last observation date and feed partial information into the likelihood rather than getting thrown out, which is the standard and necessary handling for duration data where the event has not fired for every subject by the end of follow-up.</w:t>
      </w:r>
    </w:p>
    <w:p>
      <w:pPr>
        <w:pStyle w:val="BodyText"/>
        <w:spacing w:line="480" w:lineRule="auto"/>
        <w:ind w:firstLine="720"/>
      </w:pPr>
      <w:r>
        <w:t xml:space="preserve">Two definitional commitments earn emphasis, because the validity discussion in Section 5.6 comes back to them. First, banner-derived detection sees the presence of a vulnerable version, not the confirmed exploitability of that particular host. So the measured window is an upper bound on true exploitable exposure rather than a point estimate of it, and the analysis reports it that way. Second, a vulnerable banner disappearing gets read as remediation, though it can also mean decommissioning, re-addressing, or the host slipping behind a proxy. The estimator does not demand that every exit be a patch; it demands that the rate of non-remediation exits not vary systematically across the two host populations in a way tied to the treatment, an assumption Section 5.6 makes checkable through a manual-audit subsample.</w:t>
      </w:r>
    </w:p>
    <w:bookmarkEnd w:id="120"/>
    <w:bookmarkStart w:id="124" w:name="the-estimators"/>
    <w:p>
      <w:pPr>
        <w:pStyle w:val="Heading2"/>
        <w:spacing w:line="480" w:lineRule="auto"/>
      </w:pPr>
      <w:r>
        <w:t xml:space="preserve">5.3 The Estimators</w:t>
      </w:r>
    </w:p>
    <w:bookmarkStart w:id="121" w:name="nonparametric-description"/>
    <w:p>
      <w:pPr>
        <w:pStyle w:val="Heading3"/>
        <w:spacing w:line="480" w:lineRule="auto"/>
      </w:pPr>
      <w:r>
        <w:t xml:space="preserve">5.3.1 Nonparametric Description</w:t>
      </w:r>
    </w:p>
    <w:p>
      <w:pPr>
        <w:pStyle w:val="FirstParagraph"/>
        <w:spacing w:line="480" w:lineRule="auto"/>
      </w:pPr>
      <w:r>
        <w:t xml:space="preserve">The first estimator is the Kaplan-Meier product-limit estimator of the survival function, run separately for the ground-segment population and the matched enterprise population. It returns the unconditional median window and the full survival curve for each population without forcing any parametric form on the baseline. This estimate is descriptive and makes no claim of conditional comparability; it pins the magnitude of the window and lays bare the gross between-population difference the later, conditioned estimators have to explain or explain away. Pointwise confidence bands get reported, and the log-rank statistic gives a nonparametric test of equality between the two survival functions as a first, covariate-free read of the null.</w:t>
      </w:r>
    </w:p>
    <w:bookmarkEnd w:id="121"/>
    <w:bookmarkStart w:id="122" w:name="the-primary-semiparametric-estimator"/>
    <w:p>
      <w:pPr>
        <w:pStyle w:val="Heading3"/>
        <w:spacing w:line="480" w:lineRule="auto"/>
      </w:pPr>
      <w:r>
        <w:t xml:space="preserve">5.3.2 The Primary Semiparametric Estimator</w:t>
      </w:r>
    </w:p>
    <w:p>
      <w:pPr>
        <w:pStyle w:val="FirstParagraph"/>
        <w:spacing w:line="480" w:lineRule="auto"/>
      </w:pPr>
      <w:r>
        <w:t xml:space="preserve">The primary estimator is a Cox proportional-hazards model. The hazard of remediation for spell</w:t>
      </w:r>
      <w:r>
        <w:t xml:space="preserve"> </w:t>
      </w:r>
      <w:r>
        <w:rPr>
          <w:i/>
          <w:iCs/>
        </w:rPr>
        <w:t xml:space="preserve">i</w:t>
      </w:r>
      <w:r>
        <w:t xml:space="preserve"> </w:t>
      </w:r>
      <w:r>
        <w:t xml:space="preserve">at duration</w:t>
      </w:r>
      <w:r>
        <w:t xml:space="preserve"> </w:t>
      </w:r>
      <w:r>
        <w:rPr>
          <w:i/>
          <w:iCs/>
        </w:rPr>
        <w:t xml:space="preserve">t</w:t>
      </w:r>
      <w:r>
        <w:t xml:space="preserve"> </w:t>
      </w:r>
      <w:r>
        <w:t xml:space="preserve">is written as a baseline hazard, common to all spells and left unspecified, times an exponential function of a linear index in the covariates. The treatment covariate is a binary indicator for ground-segment or mission-control population membership. The conditioning covariates are vulnerability severity, entered as the CVSS base-score band; exploit availability, entered as a binary indicator of presence in the CISA Known Exploited Vulnerabilities catalog</w:t>
      </w:r>
      <w:r>
        <w:t xml:space="preserve"> </w:t>
      </w:r>
      <w:hyperlink w:anchor="ref-6">
        <w:r>
          <w:rPr>
            <w:rStyle w:val="Hyperlink"/>
          </w:rPr>
          <w:t xml:space="preserve">[6]</w:t>
        </w:r>
      </w:hyperlink>
      <w:r>
        <w:t xml:space="preserve">; and software family, entered as a set of indicators. CVE publication dates and CVSS base scores come from the NIST National Vulnerability Database CVE API version 2.0</w:t>
      </w:r>
      <w:r>
        <w:t xml:space="preserve"> </w:t>
      </w:r>
      <w:hyperlink w:anchor="ref-7">
        <w:r>
          <w:rPr>
            <w:rStyle w:val="Hyperlink"/>
          </w:rPr>
          <w:t xml:space="preserve">[7]</w:t>
        </w:r>
      </w:hyperlink>
      <w:r>
        <w:t xml:space="preserve">, and the exploit-availability and known-exploitation timing come from the KEV catalog at its stated version</w:t>
      </w:r>
      <w:r>
        <w:t xml:space="preserve"> </w:t>
      </w:r>
      <w:hyperlink w:anchor="ref-6">
        <w:r>
          <w:rPr>
            <w:rStyle w:val="Hyperlink"/>
          </w:rPr>
          <w:t xml:space="preserve">[6]</w:t>
        </w:r>
      </w:hyperlink>
      <w:r>
        <w:t xml:space="preserve">, in keeping with the directive that made the catalog the federal instrument for surfacing exploited vulnerabilities</w:t>
      </w:r>
      <w:r>
        <w:t xml:space="preserve"> </w:t>
      </w:r>
      <w:hyperlink w:anchor="ref-5">
        <w:r>
          <w:rPr>
            <w:rStyle w:val="Hyperlink"/>
          </w:rPr>
          <w:t xml:space="preserve">[5]</w:t>
        </w:r>
      </w:hyperlink>
      <w:r>
        <w:t xml:space="preserve">.</w:t>
      </w:r>
    </w:p>
    <w:p>
      <w:pPr>
        <w:pStyle w:val="BodyText"/>
        <w:spacing w:line="480" w:lineRule="auto"/>
        <w:ind w:firstLine="720"/>
      </w:pPr>
      <w:r>
        <w:t xml:space="preserve">The coefficient in question is the population-membership coefficient. Under the null it is zero, so the membership hazard ratio is one and both populations remediate at the same conditional rate. Under the alternative it is strictly negative, so the membership hazard ratio drops below one, the ground-segment population remediates more slowly, and the patch-latency window comes out conditionally longer. What gets reported is this hazard ratio with its confidence interval, alongside the implied median-window differential read off the fitted survival functions at the covariate means. The Cox form is chosen over a fully parametric duration model on purpose, because it leaves the baseline hazard unspecified and so spares the analyst from asserting a shape, monotone or single-peaked or anything else, for a remediation-timing process the literature gives no warrant for shaping any particular way.</w:t>
      </w:r>
    </w:p>
    <w:p>
      <w:pPr>
        <w:pStyle w:val="BodyText"/>
        <w:spacing w:line="480" w:lineRule="auto"/>
        <w:ind w:firstLine="720"/>
      </w:pPr>
      <w:r>
        <w:t xml:space="preserve">Picking the CVSS band as the severity conditioner is done clear-eyed about the limits of severity scoring. The scoring-systems literature records that public severity scores disagree with one another and split from real-world exploitation risk on exactly the exploited vulnerabilities filling the KEV catalog</w:t>
      </w:r>
      <w:r>
        <w:t xml:space="preserve"> </w:t>
      </w:r>
      <w:hyperlink w:anchor="ref-8">
        <w:r>
          <w:rPr>
            <w:rStyle w:val="Hyperlink"/>
          </w:rPr>
          <w:t xml:space="preserve">[8]</w:t>
        </w:r>
      </w:hyperlink>
      <w:r>
        <w:t xml:space="preserve">[9]. The covariate goes in not because CVSS is a clean measure of danger but because it is the standard administrative signal both attacker attention and defender prioritization are usually organized around, and conditioning on it strips out the most obvious composition difference between the populations. Its measurement weakness is treated as a bounded confounding worry in Section 5.6 rather than a reason to drop it, since dropping it would leave the comparison more exposed to severity-composition imbalance, not less.</w:t>
      </w:r>
    </w:p>
    <w:bookmarkEnd w:id="122"/>
    <w:bookmarkStart w:id="123" w:name="the-robustness-estimator"/>
    <w:p>
      <w:pPr>
        <w:pStyle w:val="Heading3"/>
        <w:spacing w:line="480" w:lineRule="auto"/>
      </w:pPr>
      <w:r>
        <w:t xml:space="preserve">5.3.3 The Robustness Estimator</w:t>
      </w:r>
    </w:p>
    <w:p>
      <w:pPr>
        <w:pStyle w:val="FirstParagraph"/>
        <w:spacing w:line="480" w:lineRule="auto"/>
      </w:pPr>
      <w:r>
        <w:t xml:space="preserve">The proportional-hazards assumption, that covariate effects scale the baseline hazard by a constant across all durations, is testable and gets tested. Scaled Schoenfeld residuals are regressed on a function of time for each covariate; a nonzero slope flags a time-varying effect and a break in proportionality. Where proportionality holds, the Cox estimate stands as primary. Where it breaks for the treatment covariate, the analysis brings in an accelerated-failure-time specification, which models the log of the window directly as a linear function of the covariates with a parametric error and reports a time ratio rather than a hazard ratio. The time ratio answers the same substantive question on the duration scale: a time ratio above one for ground-segment membership says the window is multiplicatively longer. Reporting both the hazard-ratio and the time-ratio reading guards against the failure mode in which a single functional form gets mistaken for the finding.</w:t>
      </w:r>
    </w:p>
    <w:bookmarkEnd w:id="123"/>
    <w:bookmarkEnd w:id="124"/>
    <w:bookmarkStart w:id="125" w:name="the-identification-strategy"/>
    <w:p>
      <w:pPr>
        <w:pStyle w:val="Heading2"/>
        <w:spacing w:line="480" w:lineRule="auto"/>
      </w:pPr>
      <w:r>
        <w:t xml:space="preserve">5.4 The Identification Strategy</w:t>
      </w:r>
    </w:p>
    <w:p>
      <w:pPr>
        <w:pStyle w:val="FirstParagraph"/>
        <w:spacing w:line="480" w:lineRule="auto"/>
      </w:pPr>
      <w:r>
        <w:t xml:space="preserve">Conditioning on observed covariates, which the Cox model does, identifies the population-membership effect only if the populations do not differ on unobserved determinants of remediation pace. That is a strong assumption. Standing alone it is not credible: ground-segment operators may differ from enterprise operators in baseline security culture, regulatory exposure, staffing, or sector, in ways no available covariate catches and that could throw off a between-population window difference having nothing to do with the operational-continuity penalty the dissertation theorizes. So the conditional estimate gets reported honestly as an association, and a second design tier gets added to push toward identification.</w:t>
      </w:r>
    </w:p>
    <w:p>
      <w:pPr>
        <w:pStyle w:val="BodyText"/>
        <w:spacing w:line="480" w:lineRule="auto"/>
        <w:ind w:firstLine="720"/>
      </w:pPr>
      <w:r>
        <w:t xml:space="preserve">The identifying design is a difference-in-differences event study pinned to the publication date of a working exploit for each CVE, which the KEV catalog timestamps as the known-exploitation or catalog-addition date</w:t>
      </w:r>
      <w:r>
        <w:t xml:space="preserve"> </w:t>
      </w:r>
      <w:hyperlink w:anchor="ref-6">
        <w:r>
          <w:rPr>
            <w:rStyle w:val="Hyperlink"/>
          </w:rPr>
          <w:t xml:space="preserve">[6]</w:t>
        </w:r>
      </w:hyperlink>
      <w:r>
        <w:t xml:space="preserve">. Exploit publication is a sharp, externally dated shock that raises remediation urgency on every host carrying the vulnerability, whatever its population. The logic runs like this: before the shock, both populations face the same disclosed-but-not-yet-weaponized vulnerability, and after it both face the same weaponized one. If the ground-segment population answers the identical shock more slowly than the enterprise population, that differential post-shock remediation response identifies the operational-continuity penalty net of any time-invariant difference in baseline hygiene between the populations. First difference: before versus after the exploit-publication event. Second difference: ground-segment versus enterprise. The interaction of the two is the estimand. The shock strikes both populations at once.</w:t>
      </w:r>
    </w:p>
    <w:p>
      <w:pPr>
        <w:pStyle w:val="BodyText"/>
        <w:spacing w:line="480" w:lineRule="auto"/>
        <w:ind w:firstLine="720"/>
      </w:pPr>
      <w:r>
        <w:t xml:space="preserve">The identifying assumption is parallel trends in the counterfactual: absent the exploit-publication shock, the gap in remediation propensity between the two populations would have moved in parallel. That assumption is not directly testable, and its plausibility gets supported and probed three ways. First, hosts are matched across populations on operating-system family and disclosure cohort before estimation, so the compared spells share the software substrate and the calendar era and part mainly on population membership, which clears out the most obvious sources of divergent baseline trends. Second, a pre-event placebo window gets examined: the difference-in-differences interaction is re-estimated on a fake event date set before the true exploit publication, where the true treatment effect has to be zero; a nonzero placebo interaction would flag a pre-existing divergent trend and undercut the parallel-trends premise. Third, the event-study coefficients get reported at multiple leads and lags around the true event so the timing of any divergence can be inspected directly rather than boiled into a single average. The estimand from this tier is the difference-in-differences interaction, the differential change in post-exploit remediation probability for the ground-segment population, reported next to the Cox hazard ratio so the conditional and the identifying estimates can be read against each other.</w:t>
      </w:r>
    </w:p>
    <w:p>
      <w:pPr>
        <w:pStyle w:val="BodyText"/>
        <w:spacing w:line="480" w:lineRule="auto"/>
        <w:ind w:firstLine="720"/>
      </w:pPr>
      <w:r>
        <w:t xml:space="preserve">The exploit-publication anchor is also where the dissertation’s two governing regimes become legible. The companion analyses show the post-2021 cataloging apparatus squeezing the disclosure-to-confirmation interval and the regulatory routing of the remediation clock keyed to identifier vintage rather than to severity</w:t>
      </w:r>
      <w:r>
        <w:t xml:space="preserve"> </w:t>
      </w:r>
      <w:hyperlink w:anchor="ref-5">
        <w:r>
          <w:rPr>
            <w:rStyle w:val="Hyperlink"/>
          </w:rPr>
          <w:t xml:space="preserve">[5]</w:t>
        </w:r>
      </w:hyperlink>
      <w:r>
        <w:t xml:space="preserve">[6]. Because the difference-in-differences design times its shock to the exploit-publication event and not to the disclosure date, it estimates the population-differential response to weaponization inside the prevailing governance regime, and the disclosure-cohort matching soaks up the regime-level shift so the membership effect is not confounded by the era the vulnerability happened to be disclosed in.</w:t>
      </w:r>
    </w:p>
    <w:bookmarkEnd w:id="125"/>
    <w:bookmarkStart w:id="126" w:name="Xaac16cd7593b268bfc1ddc5a7f63bbb6e597c78"/>
    <w:p>
      <w:pPr>
        <w:pStyle w:val="Heading2"/>
        <w:spacing w:line="480" w:lineRule="auto"/>
      </w:pPr>
      <w:r>
        <w:t xml:space="preserve">5.5 Estimation, Inference, and Pre-Registration</w:t>
      </w:r>
    </w:p>
    <w:p>
      <w:pPr>
        <w:pStyle w:val="FirstParagraph"/>
        <w:spacing w:line="480" w:lineRule="auto"/>
      </w:pPr>
      <w:r>
        <w:t xml:space="preserve">Standard errors for the Cox model come from the robust sandwich estimator, clustered at the operator-organization level, because spells on hosts belonging to the same operator share unobserved remediation policy and are not independent. The difference-in-differences interaction is estimated with standard errors clustered on the same dimension, since the parallel-trends break most likely to threaten the design works at the operator level. Inference gets reported as confidence intervals rather than bare significance verdicts, in keeping with the falsifiability standard the dissertation adopts: H1 falls if the population-membership hazard ratio comes out indistinguishable from one or greater than one across the pre-stated covariate specification, and the confidence interval is the instrument that rejection or non-rejection gets read from.</w:t>
      </w:r>
    </w:p>
    <w:p>
      <w:pPr>
        <w:pStyle w:val="BodyText"/>
        <w:spacing w:line="480" w:lineRule="auto"/>
        <w:ind w:firstLine="720"/>
      </w:pPr>
      <w:r>
        <w:t xml:space="preserve">The covariate specification, the severity banding, the software-family grouping, the matching variables, the placebo-event placement, and the clustering level are all fixed before estimation and stated in advance, so the reported hazard ratio is the output of one pre-stated analysis rather than the survivor of a hunt across specifications. Severity strata get reported separately as pre-registered subgroups, because the operational-continuity penalty may itself move with severity, and a penalty concentrated in low-severity vulnerabilities carries a different operational meaning than one spread evenly across the severity range. No covariate value in the analysis is typed in; every severity score, publication date, and exploitation timestamp is read straight from the named NVD and KEV records at their stated versions</w:t>
      </w:r>
      <w:r>
        <w:t xml:space="preserve"> </w:t>
      </w:r>
      <w:hyperlink w:anchor="ref-6">
        <w:r>
          <w:rPr>
            <w:rStyle w:val="Hyperlink"/>
          </w:rPr>
          <w:t xml:space="preserve">[6]</w:t>
        </w:r>
      </w:hyperlink>
      <w:r>
        <w:t xml:space="preserve">[7], holding a repeatable chain from primary record to estimated hazard ratio.</w:t>
      </w:r>
    </w:p>
    <w:bookmarkEnd w:id="126"/>
    <w:bookmarkStart w:id="131" w:name="threats-to-validity-and-their-bounds"/>
    <w:p>
      <w:pPr>
        <w:pStyle w:val="Heading2"/>
        <w:spacing w:line="480" w:lineRule="auto"/>
      </w:pPr>
      <w:r>
        <w:t xml:space="preserve">5.6 Threats to Validity and Their Bounds</w:t>
      </w:r>
    </w:p>
    <w:p>
      <w:pPr>
        <w:pStyle w:val="FirstParagraph"/>
        <w:spacing w:line="480" w:lineRule="auto"/>
      </w:pPr>
      <w:r>
        <w:t xml:space="preserve">The estimate’s credibility comes from naming its threats and bounding each, not from claiming none applies. The four classical validity categories organize the discussion.</w:t>
      </w:r>
    </w:p>
    <w:bookmarkStart w:id="127" w:name="construct-validity"/>
    <w:p>
      <w:pPr>
        <w:pStyle w:val="Heading3"/>
        <w:spacing w:line="480" w:lineRule="auto"/>
      </w:pPr>
      <w:r>
        <w:t xml:space="preserve">5.6.1 Construct Validity</w:t>
      </w:r>
    </w:p>
    <w:p>
      <w:pPr>
        <w:pStyle w:val="FirstParagraph"/>
        <w:spacing w:line="480" w:lineRule="auto"/>
      </w:pPr>
      <w:r>
        <w:t xml:space="preserve">The central construct threat is that banner-derived detection sees a vulnerable software version rather than a confirmed-exploitable host, so the measured window overstates true exploitable exposure. That bias has a known direction: the window is an upper bound, and the analysis reports it directionally and holds the primary specification to network-reachable services where banner evidence is strongest and the version-to-vulnerability mapping least ambiguous. A second construct threat is that a banner disappearing conflates remediation with decommissioning or re-addressing. This gets bounded by the manual-audit subsample below, which estimates the share of exits that are genuine remediations in each population, and by the design’s requirement that the non-remediation exit rate not vary across populations in a treatment-correlated way. A third construct threat is that CVSS is a weak proxy for danger</w:t>
      </w:r>
      <w:r>
        <w:t xml:space="preserve"> </w:t>
      </w:r>
      <w:hyperlink w:anchor="ref-8">
        <w:r>
          <w:rPr>
            <w:rStyle w:val="Hyperlink"/>
          </w:rPr>
          <w:t xml:space="preserve">[8]</w:t>
        </w:r>
      </w:hyperlink>
      <w:r>
        <w:t xml:space="preserve">[9]; because CVSS enters only as a conditioning covariate and not as the outcome, its measurement error degrades the precision of the severity adjustment rather than biasing the treatment coefficient under classical-error assumptions, and the severity-strata reporting lets a reader see whether the membership effect holds across the score range.</w:t>
      </w:r>
    </w:p>
    <w:bookmarkEnd w:id="127"/>
    <w:bookmarkStart w:id="128" w:name="internal-validity"/>
    <w:p>
      <w:pPr>
        <w:pStyle w:val="Heading3"/>
        <w:spacing w:line="480" w:lineRule="auto"/>
      </w:pPr>
      <w:r>
        <w:t xml:space="preserve">5.6.2 Internal Validity</w:t>
      </w:r>
    </w:p>
    <w:p>
      <w:pPr>
        <w:pStyle w:val="FirstParagraph"/>
        <w:spacing w:line="480" w:lineRule="auto"/>
      </w:pPr>
      <w:r>
        <w:t xml:space="preserve">The main internal threat is misattributing a host to the ground-segment population. Attribution leans on autonomous-system and organization metadata, DNS, and certificate evidence intersected against a curated registry of mission-control and ground-station network blocks, and that machinery can misclassify shared-hosting and cloud-fronted assets. The misclassification is signed in the dissertation’s favor: randomly dropping true enterprise hosts into the ground-segment population dilutes the contrast and pulls the estimate toward the null, so a negative membership coefficient is conservative under that error. A matched-sampling and manual-audit subsample measures the misclassification rate directly and opens a bias-adjusted re-estimate as a robustness check. Unobserved confounders on remediation pace, such as regulatory regime or sector, are not wiped out but are partly soaked up by software-family and disclosure-cohort matching in the Cox stage and, more decisively, differenced away to the extent they are time-invariant by the difference-in-differences design in the identifying stage. The placebo-event test covers the residual worry that the populations were already on divergent remediation trends before weaponization.</w:t>
      </w:r>
    </w:p>
    <w:bookmarkEnd w:id="128"/>
    <w:bookmarkStart w:id="129" w:name="external-validity"/>
    <w:p>
      <w:pPr>
        <w:pStyle w:val="Heading3"/>
        <w:spacing w:line="480" w:lineRule="auto"/>
      </w:pPr>
      <w:r>
        <w:t xml:space="preserve">5.6.3 External Validity</w:t>
      </w:r>
    </w:p>
    <w:p>
      <w:pPr>
        <w:pStyle w:val="FirstParagraph"/>
        <w:spacing w:line="480" w:lineRule="auto"/>
      </w:pPr>
      <w:r>
        <w:t xml:space="preserve">The heaviest boundary is that internet-wide banner measurement sees only externally reachable hosts, so air-gapped and classified mission enclaves sit entirely outside the data. The estimate therefore travels to the internet-exposed ground-segment population and not to the full mission-control surface, and the dissertation states that boundary outright rather than stretching across it. This is a real limit on the scope of the claim and gets treated as one; the contribution is a measured window for the observable perimeter, which is also the surface an external adversary meets first</w:t>
      </w:r>
      <w:r>
        <w:t xml:space="preserve"> </w:t>
      </w:r>
      <w:hyperlink w:anchor="ref-2">
        <w:r>
          <w:rPr>
            <w:rStyle w:val="Hyperlink"/>
          </w:rPr>
          <w:t xml:space="preserve">[2]</w:t>
        </w:r>
      </w:hyperlink>
      <w:r>
        <w:t xml:space="preserve">, not a census of every mission host. A secondary external-validity worry is that the curated registry of ground-station network blocks reflects the operators and ground-station-as-a-service providers visible in public registrations at assembly time, so the population is the observable commercial and civil ground segment rather than the universe of operators; the estimate is read accordingly.</w:t>
      </w:r>
    </w:p>
    <w:bookmarkEnd w:id="129"/>
    <w:bookmarkStart w:id="130" w:name="statistical-conclusion-validity"/>
    <w:p>
      <w:pPr>
        <w:pStyle w:val="Heading3"/>
        <w:spacing w:line="480" w:lineRule="auto"/>
      </w:pPr>
      <w:r>
        <w:t xml:space="preserve">5.6.4 Statistical-Conclusion Validity</w:t>
      </w:r>
    </w:p>
    <w:p>
      <w:pPr>
        <w:pStyle w:val="FirstParagraph"/>
        <w:spacing w:line="480" w:lineRule="auto"/>
      </w:pPr>
      <w:r>
        <w:t xml:space="preserve">Right-censoring of still-open spells is the first statistical threat, handled by construction, since the survival estimators fold censored spells in through the partial likelihood rather than dropping them, which would bias the window downward by throwing out exactly the longest-latency cases. The proportional-hazards assumption is the second, tested through scaled Schoenfeld residuals and answered by the accelerated-failure-time robustness specification where it breaks, so a proportionality break degrades to an alternative reported estimate rather than to an unstated error. Modest and mixed samples threaten precision; the companion ordinary-least-squares and logistic analyses run on small confirmed-exploited cross-sections, and the survival design eases the precision worry by drawing on the full host-level spell population rather than the confirmed-exploited tail alone, while clustered robust inference covers the non-independence and non-constant error variance expected of host-level duration data. Multiplicity across the pre-registered severity strata gets acknowledged, and the subgroup results are read as exploratory refinements of the single primary estimand rather than as independent confirmatory tests.</w:t>
      </w:r>
    </w:p>
    <w:bookmarkEnd w:id="130"/>
    <w:bookmarkEnd w:id="131"/>
    <w:bookmarkStart w:id="132" w:name="summary-2"/>
    <w:p>
      <w:pPr>
        <w:pStyle w:val="Heading2"/>
        <w:spacing w:line="480" w:lineRule="auto"/>
      </w:pPr>
      <w:r>
        <w:t xml:space="preserve">5.7 Summary</w:t>
      </w:r>
    </w:p>
    <w:p>
      <w:pPr>
        <w:pStyle w:val="FirstParagraph"/>
        <w:spacing w:line="480" w:lineRule="auto"/>
      </w:pPr>
      <w:r>
        <w:t xml:space="preserve">The chapter fixed a three-tier estimation strategy that runs from nonparametric description through a conditioned semiparametric hazard model to an exploit-anchored difference-in-differences identification, with an accelerated-failure-time fallback for proportionality break. The identifying assumption is parallel trends in counterfactual remediation, supported by pre-estimation matching on operating-system family and disclosure cohort, probed by a placebo-event test, and reported through event-study leads and lags. Every threat to validity has been named and signed: the construct bias from banner detection is an upper bound and gets reported directionally; the internal misclassification bias runs toward the null and is therefore conservative; the external boundary at the internet-exposed perimeter gets stated rather than crossed; and the statistical threats from censoring and proportionality get absorbed by survival-specific estimators and a robustness specification. The estimand that comes out is the population-membership hazard ratio with its median-window differential and difference-in-differences interaction, reported with clustered confidence intervals and severity strata, and it is the quantity the dissertation’s single falsifiable hypothesis stands or falls on.</w:t>
      </w:r>
    </w:p>
    <w:bookmarkEnd w:id="132"/>
    <w:bookmarkEnd w:id="133"/>
    <w:bookmarkStart w:id="148" w:name="chapter-6.-results"/>
    <w:p>
      <w:pPr>
        <w:pStyle w:val="Heading1"/>
        <w:spacing w:line="480" w:lineRule="auto"/>
      </w:pPr>
      <w:r>
        <w:t xml:space="preserve">Chapter 6. Results</w:t>
      </w:r>
    </w:p>
    <w:bookmarkStart w:id="134" w:name="orientation"/>
    <w:p>
      <w:pPr>
        <w:pStyle w:val="Heading2"/>
        <w:spacing w:line="480" w:lineRule="auto"/>
      </w:pPr>
      <w:r>
        <w:t xml:space="preserve">6.1 Orientation</w:t>
      </w:r>
    </w:p>
    <w:p>
      <w:pPr>
        <w:pStyle w:val="FirstParagraph"/>
        <w:spacing w:line="480" w:lineRule="auto"/>
      </w:pPr>
      <w:r>
        <w:t xml:space="preserve">This chapter lays out and reads the empirical findings of the two estimating studies that anchor the dissertation. Both studies chase one object, the patch-latency window for ground-segment and mission-control vulnerabilities, and each opens that object along a different methodological seam. Study one models the window’s length as a continuous quantity under ordinary least squares, asking which attributes of a confirmed-exploited vulnerability stretch or compress the interval between public disclosure and confirmed in-the-wild exploitation. Study two recasts the window as a binary regulatory decision, asking which attributes settle whether a flaw gets routed to the short remediation clock rather than the extended one under the governing federal directive. Set side by side, the two studies pull the measured duration of exposure apart from the administrative apparatus that nominally bounds it, and they land on the dissertation’s central empirical claim: the patch-latency window for this class of infrastructure runs not on the technical severity of the flaw but on the disclosure-era and vintage regime the flaw gets processed under.</w:t>
      </w:r>
    </w:p>
    <w:p>
      <w:pPr>
        <w:pStyle w:val="BodyText"/>
        <w:spacing w:line="480" w:lineRule="auto"/>
        <w:ind w:firstLine="720"/>
      </w:pPr>
      <w:r>
        <w:t xml:space="preserve">The presentation ahead reports the estimator output in full for each study, reads each coefficient against the hypothesis it was built to test, and sets the two fits against one another. The tables, formulas, charts, and underlying data behind these numbers live in Appendix A and are not repeated here; the discussion below stays with the estimated quantities and their meaning. No quantity appears in this chapter that is absent from the estimator output the study configurations and data files generated. Where a coefficient is imprecise or falls short of conventional significance, the chapter says so flatly, because an honest tally of the non-results is as much a part of the contribution as the one large effect the data hand over cleanly.</w:t>
      </w:r>
    </w:p>
    <w:bookmarkEnd w:id="134"/>
    <w:bookmarkStart w:id="140" w:name="Xbd3898f14d12b04935d4f66f6382db1456ef85d"/>
    <w:p>
      <w:pPr>
        <w:pStyle w:val="Heading2"/>
        <w:spacing w:line="480" w:lineRule="auto"/>
      </w:pPr>
      <w:r>
        <w:t xml:space="preserve">6.2 Study One: The Ordinary-Least-Squares Estimate of Window Length</w:t>
      </w:r>
    </w:p>
    <w:bookmarkStart w:id="135" w:name="specification-and-overall-fit"/>
    <w:p>
      <w:pPr>
        <w:pStyle w:val="Heading3"/>
        <w:spacing w:line="480" w:lineRule="auto"/>
      </w:pPr>
      <w:r>
        <w:t xml:space="preserve">6.2.1 Specification and overall fit</w:t>
      </w:r>
    </w:p>
    <w:p>
      <w:pPr>
        <w:pStyle w:val="FirstParagraph"/>
        <w:spacing w:line="480" w:lineRule="auto"/>
      </w:pPr>
      <w:r>
        <w:t xml:space="preserve">Study one fits an ordinary-least-squares model of the natural logarithm of the patch-latency window in days, computed as the catalog-addition date of the confirmed-exploited vulnerability minus its public-disclosure date, floored at one day and entered in logs. That window outcome is the temporal quantity the prospectus names as the literature’s unmeasured object, the count of days a disclosed and exploitable flaw stays open before it is caught</w:t>
      </w:r>
      <w:r>
        <w:t xml:space="preserve"> </w:t>
      </w:r>
      <w:hyperlink w:anchor="ref-2">
        <w:r>
          <w:rPr>
            <w:rStyle w:val="Hyperlink"/>
          </w:rPr>
          <w:t xml:space="preserve">[2]</w:t>
        </w:r>
      </w:hyperlink>
      <w:r>
        <w:t xml:space="preserve">[4]. The regressors are the CVSS base score, an indicator for internet-facing edge-gateway assets, an indicator for known ransomware association, and an indicator for the post-2021 governance regime the Known Exploited Vulnerabilities program introduced, fit against a constant. Standard errors are heteroskedasticity-robust of the HC1 form, a fitting guard against the non-constant error variance one expects when a right-skewed duration outcome is modeled on a modest and mixed cross-section.</w:t>
      </w:r>
    </w:p>
    <w:p>
      <w:pPr>
        <w:pStyle w:val="BodyText"/>
        <w:spacing w:line="480" w:lineRule="auto"/>
        <w:ind w:firstLine="720"/>
      </w:pPr>
      <w:r>
        <w:t xml:space="preserve">The model runs on thirty-seven confirmed-exploited vulnerabilities from the ground-segment-relevant appliance and controller classes. For a four-regressor specification on a sample this size, the fit is strong. The model reaches an R-squared of 0.7500 and an adjusted R-squared of 0.7188, which says the four regressors together carry roughly three-quarters of the variation in the log window and that, after the penalty for the degrees of freedom spent, better than seventy percent of the variation stays explained. Joint significance lands far past any conventional threshold, with an F statistic of 32.56 and an associated p-value of approximately 7.26 times ten to the minus eleven. The joint test says the regressor set carries real explanatory content rather than riding on chance; the live question is which of the four regressors does the work. One does most of it.</w:t>
      </w:r>
    </w:p>
    <w:bookmarkEnd w:id="135"/>
    <w:bookmarkStart w:id="136" w:name="the-governance-era-coefficient"/>
    <w:p>
      <w:pPr>
        <w:pStyle w:val="Heading3"/>
        <w:spacing w:line="480" w:lineRule="auto"/>
      </w:pPr>
      <w:r>
        <w:t xml:space="preserve">6.2.2 The governance-era coefficient</w:t>
      </w:r>
    </w:p>
    <w:p>
      <w:pPr>
        <w:pStyle w:val="FirstParagraph"/>
        <w:spacing w:line="480" w:lineRule="auto"/>
      </w:pPr>
      <w:r>
        <w:t xml:space="preserve">The leading result is the coefficient on the post-2021 governance indicator. Vulnerabilities disclosed in the era of CISA Binding Operational Directive 22-01 and the Known Exploited Vulnerabilities catalog carry an estimated coefficient of minus 4.7637 on the log window, with a robust standard error of 0.4329 and a p-value that rounds to zero at four decimal places, well under the 0.001 level. On the log scale that is a very large effect. Exponentiate the coefficient and it becomes a multiplier of roughly 0.0085, which says that, holding severity, asset class, and ransomware association fixed, the measured window for the post-2021 disclosure cohort sits roughly two orders of magnitude below that of the pre-2021 cohort. The window does not merely contract under the new regime; it collapses. The standard error runs small against the point estimate, so the effect is estimated with a precision rare for a sample of thirty-seven observations, and the magnitude is no artifact of one outlier given the joint and individual significance reported together.</w:t>
      </w:r>
    </w:p>
    <w:p>
      <w:pPr>
        <w:pStyle w:val="BodyText"/>
        <w:spacing w:line="480" w:lineRule="auto"/>
        <w:ind w:firstLine="720"/>
      </w:pPr>
      <w:r>
        <w:t xml:space="preserve">The reading the study advances is institutional, not behavioral. The directive and its catalog did two things at once. They sped the detection and confirmation of exploitation, and they compressed the administrative pipeline that turns a disclosure into a cataloged, dated entry. Both mechanisms shorten the measured interval between disclosure and confirmed exploitation, and the model neither can nor does pull them apart; what it settles is that the disclosure-era regime is the single largest driver of the window in the data. That squares with the strategy literature framing the post-2021 period as one of purposely tightened defensive posture against space and ground-system threats</w:t>
      </w:r>
      <w:r>
        <w:t xml:space="preserve"> </w:t>
      </w:r>
      <w:hyperlink w:anchor="ref-3">
        <w:r>
          <w:rPr>
            <w:rStyle w:val="Hyperlink"/>
          </w:rPr>
          <w:t xml:space="preserve">[3]</w:t>
        </w:r>
      </w:hyperlink>
      <w:r>
        <w:t xml:space="preserve">, and it turns that qualitative framing into a measured coefficient on the actual exposure interval.</w:t>
      </w:r>
    </w:p>
    <w:bookmarkEnd w:id="136"/>
    <w:bookmarkStart w:id="137" w:name="the-vulnerability-intrinsic-coefficients"/>
    <w:p>
      <w:pPr>
        <w:pStyle w:val="Heading3"/>
        <w:spacing w:line="480" w:lineRule="auto"/>
      </w:pPr>
      <w:r>
        <w:t xml:space="preserve">6.2.3 The vulnerability-intrinsic coefficients</w:t>
      </w:r>
    </w:p>
    <w:p>
      <w:pPr>
        <w:pStyle w:val="FirstParagraph"/>
        <w:spacing w:line="480" w:lineRule="auto"/>
      </w:pPr>
      <w:r>
        <w:t xml:space="preserve">The three vulnerability-intrinsic covariates tell a quieter story. The CVSS base score carries a coefficient of minus 0.1917 per base-score point, with a robust standard error of 0.1516 and a p-value of 0.2059. The sign runs as theory predicts: higher severity ties to a shorter window, matching the expectation that more weaponizable and more damaging flaws draw both attacker attention and defender urgency and so get exploited sooner after disclosure</w:t>
      </w:r>
      <w:r>
        <w:t xml:space="preserve"> </w:t>
      </w:r>
      <w:hyperlink w:anchor="ref-4">
        <w:r>
          <w:rPr>
            <w:rStyle w:val="Hyperlink"/>
          </w:rPr>
          <w:t xml:space="preserve">[4]</w:t>
        </w:r>
      </w:hyperlink>
      <w:r>
        <w:t xml:space="preserve">. But the estimate does not separate from zero at conventional levels. The standard error runs large against the point estimate, so although a one-point rise in the CVSS score ties to a window shorter by roughly nineteen percent on the log scale, the confidence interval the standard error implies comfortably crosses zero. The data agree with a severity effect of the hypothesized sign, and they do not establish one. The honest reading is that severity nudges the window the predicted way without statistical confirmation at this sample size.</w:t>
      </w:r>
    </w:p>
    <w:p>
      <w:pPr>
        <w:pStyle w:val="BodyText"/>
        <w:spacing w:line="480" w:lineRule="auto"/>
        <w:ind w:firstLine="720"/>
      </w:pPr>
      <w:r>
        <w:t xml:space="preserve">The ransomware indicator does much the same. Vulnerabilities with a known ransomware association carry a coefficient of minus 0.7406 on the log window, with a robust standard error of 0.5237 and a p-value of 0.1573. The point estimate is sizable, implying that ransomware-associated flaws get exploited materially sooner after disclosure, which fits the theory that financially motivated operators weaponize fast and at scale. Yet again the standard error runs large against the coefficient, the p-value sits well above conventional thresholds, and the estimate will not separate from noise. The sign is right; the precision is not there.</w:t>
      </w:r>
    </w:p>
    <w:p>
      <w:pPr>
        <w:pStyle w:val="BodyText"/>
        <w:spacing w:line="480" w:lineRule="auto"/>
        <w:ind w:firstLine="720"/>
      </w:pPr>
      <w:r>
        <w:t xml:space="preserve">The edge-asset indicator is the one covariate whose point estimate runs against its hypothesis. Internet-facing edge gateways carry a coefficient of plus 0.3698, with a robust standard error of 0.4789 and a p-value of 0.44. The hypothesis called for a negative sign, on the theory that continuously scannable, internet-fronting gateways are the first asset an external adversary meets and so should be exploited faster than controllers reached only after a foothold</w:t>
      </w:r>
      <w:r>
        <w:t xml:space="preserve"> </w:t>
      </w:r>
      <w:hyperlink w:anchor="ref-2">
        <w:r>
          <w:rPr>
            <w:rStyle w:val="Hyperlink"/>
          </w:rPr>
          <w:t xml:space="preserve">[2]</w:t>
        </w:r>
      </w:hyperlink>
      <w:r>
        <w:t xml:space="preserve">. The estimate points weakly the other way instead, its standard error larger than the coefficient itself and its p-value nowhere near significance, so the interval runs wide and sits near zero. The data fit no asset-class difference as easily as one of either sign. The study’s explanation is compositional. The sample tilts hard toward the edge, with the overwhelming majority of observations in the edge class, which leaves little within-sample contrast to estimate the controller-versus-edge differential against. The term simply is not identified by this sample, and the study reports it that way rather than reading the wrong-signed point estimate as a substantive reversal of the hypothesis.</w:t>
      </w:r>
    </w:p>
    <w:bookmarkEnd w:id="137"/>
    <w:bookmarkStart w:id="138" w:name="the-constant-and-the-implied-baseline"/>
    <w:p>
      <w:pPr>
        <w:pStyle w:val="Heading3"/>
        <w:spacing w:line="480" w:lineRule="auto"/>
      </w:pPr>
      <w:r>
        <w:t xml:space="preserve">6.2.4 The constant and the implied baseline</w:t>
      </w:r>
    </w:p>
    <w:p>
      <w:pPr>
        <w:pStyle w:val="FirstParagraph"/>
        <w:spacing w:line="480" w:lineRule="auto"/>
      </w:pPr>
      <w:r>
        <w:t xml:space="preserve">The constant comes in at 8.4031 on the log-days scale, with a robust standard error of 1.4056 and a p-value that rounds to zero, so the intercept is precisely estimated. Substantively it anchors the implied baseline window for the reference vulnerability, one low in severity, not an edge asset, not ransomware-associated, and disclosed before the post-2021 regime. Exponentiate a log value of 8.4031 and it lands on a window of several thousand days. So the constant quantifies how long these flaws could sit open before the modern cataloging regime took hold, and it puts the governance-era coefficient in perspective: the minus 4.7637 shift is the distance between a baseline measured in thousands of days and a post-regime window roughly two orders of magnitude shorter. The intercept is no nuisance parameter in this specification; it is the empirical statement of the pre-regime exposure the directive went on to collapse.</w:t>
      </w:r>
    </w:p>
    <w:bookmarkEnd w:id="138"/>
    <w:bookmarkStart w:id="139" w:name="synthesis-of-study-one"/>
    <w:p>
      <w:pPr>
        <w:pStyle w:val="Heading3"/>
        <w:spacing w:line="480" w:lineRule="auto"/>
      </w:pPr>
      <w:r>
        <w:t xml:space="preserve">6.2.5 Synthesis of Study One</w:t>
      </w:r>
    </w:p>
    <w:p>
      <w:pPr>
        <w:pStyle w:val="FirstParagraph"/>
        <w:spacing w:line="480" w:lineRule="auto"/>
      </w:pPr>
      <w:r>
        <w:t xml:space="preserve">Study one hands over one clean signal and three honest non-results. The signal is institutional. The patch-latency window for ground-segment-relevant vulnerabilities runs first and foremost on the disclosure-era regime, and that one factor soaks up most of the explainable variation in the cross-section. Severity and ransomware association nudge the window the directions theory predicts, neither separates from noise at thirty-seven observations, and the internet-facing edge contrast is not identified given the edge-heavy makeup of the sample. The pattern hangs together: a model explaining three-quarters of the variance while loading nearly all its identified effect onto one regressor is telling the analyst that the window is, at first order, a function of the regime the flaw got processed under and not of the flaw’s intrinsic technical attributes. That reading sets up study two, which goes at the administrative apparatus directly.</w:t>
      </w:r>
    </w:p>
    <w:bookmarkEnd w:id="139"/>
    <w:bookmarkEnd w:id="140"/>
    <w:bookmarkStart w:id="146" w:name="Xf54baa07142e9553be060fbf8b9e038ede8de06"/>
    <w:p>
      <w:pPr>
        <w:pStyle w:val="Heading2"/>
        <w:spacing w:line="480" w:lineRule="auto"/>
      </w:pPr>
      <w:r>
        <w:t xml:space="preserve">6.3 Study Two: The Logistic Analysis of the Short-Clock Decision</w:t>
      </w:r>
    </w:p>
    <w:bookmarkStart w:id="141" w:name="specification-and-overall-fit-1"/>
    <w:p>
      <w:pPr>
        <w:pStyle w:val="Heading3"/>
        <w:spacing w:line="480" w:lineRule="auto"/>
      </w:pPr>
      <w:r>
        <w:t xml:space="preserve">6.3.1 Specification and overall fit</w:t>
      </w:r>
    </w:p>
    <w:p>
      <w:pPr>
        <w:pStyle w:val="FirstParagraph"/>
        <w:spacing w:line="480" w:lineRule="auto"/>
      </w:pPr>
      <w:r>
        <w:t xml:space="preserve">Study two recasts the window from a continuous duration into the binary regulatory decision that produces the two remediation regimes the governing catalog shows. Under the federal directive, mandated remediation windows are not a smooth continuum; they split into a short clock of roughly two to three weeks and an extended clock of about six months</w:t>
      </w:r>
      <w:r>
        <w:t xml:space="preserve"> </w:t>
      </w:r>
      <w:hyperlink w:anchor="ref-5">
        <w:r>
          <w:rPr>
            <w:rStyle w:val="Hyperlink"/>
          </w:rPr>
          <w:t xml:space="preserve">[5]</w:t>
        </w:r>
      </w:hyperlink>
      <w:r>
        <w:t xml:space="preserve">[6]. The dependent variable is one when the mandated window, computed as the catalog due date minus the date added, runs twenty-one days or fewer, and zero when it lands in the extended class. The study fits a binary logistic regression of this short-clock indicator on the CVSS base score, the ransomware indicator, and an indicator for pre-2021 administrative vintage, against a constant. The asset-class indicator was dropped by design, because in this sample every extended-window entry is an internet-facing gateway, which would force perfect separation and an unidentified coefficient; the study is explicit that the exclusion is a property of the data and not a free modeling choice.</w:t>
      </w:r>
    </w:p>
    <w:p>
      <w:pPr>
        <w:pStyle w:val="BodyText"/>
        <w:spacing w:line="480" w:lineRule="auto"/>
        <w:ind w:firstLine="720"/>
      </w:pPr>
      <w:r>
        <w:t xml:space="preserve">The model runs on thirty-one ground-segment-relevant vulnerabilities, the great majority drawing the short window and a small minority the extended one. The maximum-likelihood fit converged. The model reaches a McFadden pseudo R-squared of 0.2259 and a log-likelihood of minus 11.7903. A pseudo R-squared of that size is substantial for a logistic model of a categorical administrative decision seen through a small cross-section, and it fits the study’s thesis that the short-clock outcome is the product of a categorical schedule rather than a continuous risk calculation. The fit need not run high to make the study’s point; what counts is which predictor carries the identified effect.</w:t>
      </w:r>
    </w:p>
    <w:bookmarkEnd w:id="141"/>
    <w:bookmarkStart w:id="142" w:name="Xce68f7a5ad21c26add67be2f4c1883991eefa3f"/>
    <w:p>
      <w:pPr>
        <w:pStyle w:val="Heading3"/>
        <w:spacing w:line="480" w:lineRule="auto"/>
      </w:pPr>
      <w:r>
        <w:t xml:space="preserve">6.3.2 The severity coefficient and the central hypothesis</w:t>
      </w:r>
    </w:p>
    <w:p>
      <w:pPr>
        <w:pStyle w:val="FirstParagraph"/>
        <w:spacing w:line="480" w:lineRule="auto"/>
      </w:pPr>
      <w:r>
        <w:t xml:space="preserve">The hypothesis under test holds that the short-clock decision is administrative and not severity-driven, which means the CVSS coefficient should come out indistinguishable from zero on the log-odds scale, an odds ratio indistinguishable from one. The data back the hypothesis directly. The coefficient on CVSS severity is 0.0444 on the log-odds scale, with a standard error of 0.3571, a z statistic of 0.1244, and a p-value of 0.901. The odds ratio it implies is approximately 1.045, meaning a one-point rise in the CVSS base score ties to a change in the odds of drawing the short window of roughly four percent. That estimate is indistinguishable from no effect by any conventional standard; the p-value of 0.901 sits about as far from significance as a coefficient can. Severity, the metric defenders reach for most when they reason about remediation priority, does not decide who gets the short clock.</w:t>
      </w:r>
    </w:p>
    <w:p>
      <w:pPr>
        <w:pStyle w:val="BodyText"/>
        <w:spacing w:line="480" w:lineRule="auto"/>
        <w:ind w:firstLine="720"/>
      </w:pPr>
      <w:r>
        <w:t xml:space="preserve">This is the falsifiable proposition the study was built to test, and the result sits squarely with the administrative model and against the severity-monotone one. It draws support from the independent scoring-systems literature, which finds severity scores splitting from real-world exploitation risk and unable on their own to order remediation</w:t>
      </w:r>
      <w:r>
        <w:t xml:space="preserve"> </w:t>
      </w:r>
      <w:hyperlink w:anchor="ref-8">
        <w:r>
          <w:rPr>
            <w:rStyle w:val="Hyperlink"/>
          </w:rPr>
          <w:t xml:space="preserve">[8]</w:t>
        </w:r>
      </w:hyperlink>
      <w:r>
        <w:t xml:space="preserve">[9].</w:t>
      </w:r>
    </w:p>
    <w:bookmarkEnd w:id="142"/>
    <w:bookmarkStart w:id="143" w:name="the-ransomware-coefficient"/>
    <w:p>
      <w:pPr>
        <w:pStyle w:val="Heading3"/>
        <w:spacing w:line="480" w:lineRule="auto"/>
      </w:pPr>
      <w:r>
        <w:t xml:space="preserve">6.3.3 The ransomware coefficient</w:t>
      </w:r>
    </w:p>
    <w:p>
      <w:pPr>
        <w:pStyle w:val="FirstParagraph"/>
        <w:spacing w:line="480" w:lineRule="auto"/>
      </w:pPr>
      <w:r>
        <w:t xml:space="preserve">The ransomware indicator comes out negative and not significant. Ransomware-associated flaws carry a coefficient of minus 1.538 on the log-odds scale, with a standard error of 1.3125, a z statistic of minus 1.1718, and a p-value of 0.2413. The odds ratio it implies is approximately 0.215, which on its face would say ransomware-associated flaws are substantially less likely to draw the short clock. The study is careful not to read that as a deprioritization of ransomware risk, and the data give no license to: the standard error matches the coefficient in size, the z statistic falls well short of significance, and the p-value sits far above conventional thresholds, so the estimate will not separate from zero. The negative sign is best read as a composition effect inside this small sample, a reflection that several of the ransomware-associated entries happen to fall in the older, extended-window vintage class rather than any policy decision to tolerate ransomware-linked flaws longer. The coefficient is reported for completeness and transparency, and it is not a finding the study leans on.</w:t>
      </w:r>
    </w:p>
    <w:bookmarkEnd w:id="143"/>
    <w:bookmarkStart w:id="144" w:name="X300fab3f2d3222ef52bc3f4227cde6a753fe1d4"/>
    <w:p>
      <w:pPr>
        <w:pStyle w:val="Heading3"/>
        <w:spacing w:line="480" w:lineRule="auto"/>
      </w:pPr>
      <w:r>
        <w:t xml:space="preserve">6.3.4 The vintage coefficient: the decisive predictor</w:t>
      </w:r>
    </w:p>
    <w:p>
      <w:pPr>
        <w:pStyle w:val="FirstParagraph"/>
        <w:spacing w:line="480" w:lineRule="auto"/>
      </w:pPr>
      <w:r>
        <w:t xml:space="preserve">The administrative benchmark severity gets judged against is the pre-2021 vintage indicator, and it is the decisive predictor in the model. A vulnerability whose identifier was assigned before 2021 carries a coefficient of minus 2.7797 on the log-odds scale, with a standard error of 1.3424, a z statistic of minus 2.0706, and a p-value of 0.0384. That is the only coefficient in the model significant at conventional levels. The odds ratio it implies is approximately 0.062, which means a pre-2021 vulnerability holds on the order of ninety-four percent lower odds of landing on the short clock than an otherwise identical newer one. The contrast with the severity coefficient is the substance of the study. The administrative attribute, the age of the identifier, swings the short-clock odds enormously and significantly, while the technical attribute, the severity score, swings them a few percent and not significantly. The directive assigns the clock by a categorical rule keyed to vintage, and the estimated coefficients recover exactly that structure from real, sourced data. The constant comes in at 3.118 with a standard error of 3.2485 and a p-value of 0.3371; it is not individually significant and works here as the baseline log-odds the vintage and severity contrasts get read against rather than a quantity of independent interest.</w:t>
      </w:r>
    </w:p>
    <w:bookmarkEnd w:id="144"/>
    <w:bookmarkStart w:id="145" w:name="synthesis-of-study-two"/>
    <w:p>
      <w:pPr>
        <w:pStyle w:val="Heading3"/>
        <w:spacing w:line="480" w:lineRule="auto"/>
      </w:pPr>
      <w:r>
        <w:t xml:space="preserve">6.3.5 Synthesis of Study Two</w:t>
      </w:r>
    </w:p>
    <w:p>
      <w:pPr>
        <w:pStyle w:val="FirstParagraph"/>
        <w:spacing w:line="480" w:lineRule="auto"/>
      </w:pPr>
      <w:r>
        <w:t xml:space="preserve">Study two recovers the administrative model of the short-clock decision cleanly. The hypothesis holds: the odds of the short window run on administrative vintage, with a large and significant negative coefficient on the pre-2021 indicator, while CVSS severity carries an odds ratio indistinguishable from one. The practical reading is the awkward one the discussion of the study draws out. The short remediation clock a ground-segment operator receives is no severity verdict in disguise; it is the output of a clerical routing keyed to the age of the identifier. A defender who infers from an extended clock that a flaw is less dangerous is reading the schedule exactly backward, because the extended-window entries in this sample are precisely the old, internet-facing gateway vulnerabilities most likely to front a telemetry-and-command path. The finding strengthens the case for the risk-based prioritization the 2026 successor directive moves toward and ties straight to the worry that distributed and increasingly autonomous space-mission architectures multiply the internet-facing control surfaces that inherit this clerical clock</w:t>
      </w:r>
      <w:r>
        <w:t xml:space="preserve"> </w:t>
      </w:r>
      <w:hyperlink w:anchor="ref-7">
        <w:r>
          <w:rPr>
            <w:rStyle w:val="Hyperlink"/>
          </w:rPr>
          <w:t xml:space="preserve">[7]</w:t>
        </w:r>
      </w:hyperlink>
      <w:r>
        <w:t xml:space="preserve">.</w:t>
      </w:r>
    </w:p>
    <w:bookmarkEnd w:id="145"/>
    <w:bookmarkEnd w:id="146"/>
    <w:bookmarkStart w:id="147" w:name="reading-the-two-studies-together"/>
    <w:p>
      <w:pPr>
        <w:pStyle w:val="Heading2"/>
        <w:spacing w:line="480" w:lineRule="auto"/>
      </w:pPr>
      <w:r>
        <w:t xml:space="preserve">6.4 Reading the Two Studies Together</w:t>
      </w:r>
    </w:p>
    <w:p>
      <w:pPr>
        <w:pStyle w:val="FirstParagraph"/>
        <w:spacing w:line="480" w:lineRule="auto"/>
      </w:pPr>
      <w:r>
        <w:t xml:space="preserve">The two studies were built as complementary cuts at one object, and their results knit into a single account. Study one, estimating window length as a continuous quantity, finds the measured exposure interval driven by the disclosure-era regime, a governance coefficient of minus 4.7637 collapsing the post-2021 window by roughly two orders of magnitude against the pre-2021 baseline the constant of 8.4031 log-days anchors, while severity, ransomware association, and asset class each miss significance. Study two, modeling the binary short-clock decision, finds the regulatory routing of a flaw driven by administrative vintage, a significant pre-2021 coefficient of minus 2.7797 with an odds ratio near 0.062, while severity carries a coefficient of 0.0444 and an odds ratio of 1.045 indistinguishable from one.</w:t>
      </w:r>
    </w:p>
    <w:p>
      <w:pPr>
        <w:pStyle w:val="BodyText"/>
        <w:spacing w:line="480" w:lineRule="auto"/>
        <w:ind w:firstLine="720"/>
      </w:pPr>
      <w:r>
        <w:t xml:space="preserve">The convergence is the contribution. In the continuous framing and the binary framing both, the temporal exposure of ground-segment and mission-control vulnerabilities runs on the era and vintage regime the flaw gets processed under, and in neither framing does technical severity carry an identified effect. Study one shows the measured window collapsing when the modern cataloging apparatus came online; study two shows the administrative clock that nominally bounds the window assigned by the age of the identifier rather than the danger the flaw poses. Both studies report their non-results honestly: the severity and ransomware signs are interpretable and imprecise in the ordinary-least-squares fit, and the ransomware and severity coefficients are not significant in the logistic fit, so the magnitudes outside the dominant regime variable read as indicative rather than definitive. The studies take on the boundaries of their public-catalog sources, which see only confirmed-exploited or cataloged vulnerabilities and cannot reach air-gapped or classified mission enclaves</w:t>
      </w:r>
      <w:r>
        <w:t xml:space="preserve"> </w:t>
      </w:r>
      <w:hyperlink w:anchor="ref-2">
        <w:r>
          <w:rPr>
            <w:rStyle w:val="Hyperlink"/>
          </w:rPr>
          <w:t xml:space="preserve">[2]</w:t>
        </w:r>
      </w:hyperlink>
      <w:r>
        <w:t xml:space="preserve">[3][4], and the modest, edge-heavy samples cap the precision of the asset-class contrast in particular. Inside those boundaries, the data hand over one robust, repeated, policy-relevant signal: for the internet-exposed ground-segment surface, the patch-latency window is a creature of the regime that processes the flaw and not of the flaw’s measured severity. That is the empirical core the remaining chapters build on.</w:t>
      </w:r>
    </w:p>
    <w:bookmarkEnd w:id="147"/>
    <w:bookmarkEnd w:id="148"/>
    <w:bookmarkStart w:id="155" w:name="X21322cb5e29cbf4eb576afddcad42f86ace4e0d"/>
    <w:p>
      <w:pPr>
        <w:pStyle w:val="Heading1"/>
        <w:spacing w:line="480" w:lineRule="auto"/>
      </w:pPr>
      <w:r>
        <w:t xml:space="preserve">Chapter 7. Discussion and Governance Implications</w:t>
      </w:r>
    </w:p>
    <w:bookmarkStart w:id="149" w:name="what-the-findings-mean"/>
    <w:p>
      <w:pPr>
        <w:pStyle w:val="Heading2"/>
        <w:spacing w:line="480" w:lineRule="auto"/>
      </w:pPr>
      <w:r>
        <w:t xml:space="preserve">7.1 What the Findings Mean</w:t>
      </w:r>
    </w:p>
    <w:p>
      <w:pPr>
        <w:pStyle w:val="FirstParagraph"/>
        <w:spacing w:line="480" w:lineRule="auto"/>
      </w:pPr>
      <w:r>
        <w:t xml:space="preserve">The earlier chapters turned a qualitative claim into measured quantities. Long-standing in the space-cyber governance literature is the assertion that the ground segment is exposed and that the institutions defending it are incomplete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What that literature has offered is posture and threat description, not a measured distribution of how long ground-segment vulnerabilities stay exploitable. Estimating that distribution and naming the attributes that move it is what this dissertation set out to do. The two empirical analyses, the ordinary-least-squares estimate of the conditional mean of the patch-latency window and the logistic estimate of which vulnerabilities draw the short regulatory clock, land on one conclusion that is consequential and a little counterintuitive. The patch-latency window for ground-segment-relevant vulnerabilities runs first on administrative regime and only weakly, if at all, on the technical severity of the flaw.</w:t>
      </w:r>
    </w:p>
    <w:p>
      <w:pPr>
        <w:pStyle w:val="BodyText"/>
        <w:spacing w:line="480" w:lineRule="auto"/>
        <w:ind w:firstLine="720"/>
      </w:pPr>
      <w:r>
        <w:t xml:space="preserve">The linear analysis singled out the disclosure-era governance regime as the leading covariate. Vulnerabilities surfaced under the Binding Operational Directive 22-01 and Known Exploited Vulnerabilities apparatus that stood up in late 2021 carried a coefficient of roughly minus 4.76 on the log window, an effect so large that exponentiating it drops the post-2021 cohort about two orders of magnitude below the pre-2021 cohort on the exposure window, holding severity, asset class, and ransomware association fixed</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window did not merely shrink under the new regime; it collapsed. The regime moved the number, not the flaw. The three vulnerability-intrinsic covariates, severity, edge exposure, and ransomware association, pointed the hypothesized directions for severity and ransomware yet would not separate from noise at the sample size in hand, and the internet-facing edge contrast went unidentified given the edge-heavy makeup of the sample. The signal was institutional; the vulnerability-intrinsic attributes were honest non-results.</w:t>
      </w:r>
    </w:p>
    <w:p>
      <w:pPr>
        <w:pStyle w:val="BodyText"/>
        <w:spacing w:line="480" w:lineRule="auto"/>
        <w:ind w:firstLine="720"/>
      </w:pPr>
      <w:r>
        <w:t xml:space="preserve">The logistic analysis drove the same lesson home from another angle. Modeling the binary regulatory decision of who draws the short remediation clock, the analysis recovered an administrative model rather than a severity-driven one. The Common Vulnerability Scoring System base score carried an odds ratio of about 1.045, indistinguishable from no effect, while administrative vintage carried an odds ratio of about 0.062, meaning a pre-2021 vulnerability held roughly 94 percent lower odds of drawing the short clock than an otherwise identical newer one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Severity, the metric defenders reach for most when they argue for an emergency patch, did not explain who drew the short clock. Vintage did. So the two analyses agree: the clock that runs ground-segment remediation pace is set by categorical administrative rules, and technical severity is a weak signal of the delay tolerated.</w:t>
      </w:r>
    </w:p>
    <w:p>
      <w:pPr>
        <w:pStyle w:val="BodyText"/>
        <w:spacing w:line="480" w:lineRule="auto"/>
        <w:ind w:firstLine="720"/>
      </w:pPr>
      <w:r>
        <w:t xml:space="preserve">That is the central finding the rest of the chapter reads for the audiences that have to act on it. For a NASA program manager or a JPL mission-assurance lead, the result recasts a problem long understood as technical-severity triage into what it actually is, a problem of administrative routing whose pace is cut loose from the danger of the underlying flaw.</w:t>
      </w:r>
    </w:p>
    <w:bookmarkEnd w:id="149"/>
    <w:bookmarkStart w:id="150" w:name="implications-for-nasa-program-management"/>
    <w:p>
      <w:pPr>
        <w:pStyle w:val="Heading2"/>
        <w:spacing w:line="480" w:lineRule="auto"/>
      </w:pPr>
      <w:r>
        <w:t xml:space="preserve">7.2 Implications for NASA Program Management</w:t>
      </w:r>
    </w:p>
    <w:p>
      <w:pPr>
        <w:pStyle w:val="FirstParagraph"/>
        <w:spacing w:line="480" w:lineRule="auto"/>
      </w:pPr>
      <w:r>
        <w:t xml:space="preserve">NASA program management works at the crossing of mission assurance, schedule, and cost, and it takes on from the wider federal cybersecurity regime a set of remediation duties whose internal logic the program manager rarely has cause to open up. The findings here argue that the logic deserves opening up, because it does not line remediation urgency up with mission risk the way a program manager would assume.</w:t>
      </w:r>
    </w:p>
    <w:p>
      <w:pPr>
        <w:pStyle w:val="BodyText"/>
        <w:spacing w:line="480" w:lineRule="auto"/>
        <w:ind w:firstLine="720"/>
      </w:pPr>
      <w:r>
        <w:t xml:space="preserve">Start with the clearest implication: the program manager cannot read the regulatory clock as a danger signal. The intuitive reading, that a short mandated remediation window flags a dangerous flaw and an extended window a tolerable one, is the reading the logistic analysis falsifies. A vulnerability sent to the extended six-month clock in the studied sample was not less dangerous; it was older, and the extended-window entries ran disproportionately to aging, internet-facing gateway vulnerabilities carrying mostly critical severity scores, precisely the assets most likely to front a telemetry-tracking-and-command path into a mission-control enclave. A program manager who spends patching effort by the mandated due date will therefore hold back the oldest perimeter vulnerabilities, which is backward from a mission-risk standpoint. The governance literature framing sophisticated cyber threats as clustering on critical ground infrastructure rather than the on-orbit asset</w:t>
      </w:r>
      <w:r>
        <w:t xml:space="preserve"> </w:t>
      </w:r>
      <w:hyperlink w:anchor="ref-2">
        <w:r>
          <w:rPr>
            <w:rStyle w:val="Hyperlink"/>
          </w:rPr>
          <w:t xml:space="preserve">[2]</w:t>
        </w:r>
      </w:hyperlink>
      <w:r>
        <w:t xml:space="preserve"> </w:t>
      </w:r>
      <w:r>
        <w:t xml:space="preserve">sharpens the stakes of the inversion: the assets the vintage rule shoves to the back of the queue are the assets the threat literature names as the primary target.</w:t>
      </w:r>
    </w:p>
    <w:p>
      <w:pPr>
        <w:pStyle w:val="BodyText"/>
        <w:spacing w:line="480" w:lineRule="auto"/>
        <w:ind w:firstLine="720"/>
      </w:pPr>
      <w:r>
        <w:t xml:space="preserve">The second implication runs to the operational-continuity culture that sets the space ground segment apart from a generic enterprise network. This dissertation’s motivating premise was that mission operations put continuity of command ahead of configuration currency, subjecting patches to operational freeze windows, regression testing against flight-software interfaces, and a reluctance to touch a host presently commanding a spacecraft. The findings leave that premise intact and recast its consequence. If remediation pace on ground-segment hosts is already dragged down by the continuity culture, and if the regulatory clock meant to discipline that pace is keyed to identifier age rather than danger, then the two slowdowns pile up on exactly the wrong vulnerabilities. The aging perimeter gateway, slow to patch because it is load-bearing and inside a freeze window, is also the vulnerability the schedule routes to the six-month clock. A program manager who means to break the pileup has to override the regulatory routing with a mission-risk judgment rather than defer to it.</w:t>
      </w:r>
    </w:p>
    <w:p>
      <w:pPr>
        <w:pStyle w:val="BodyText"/>
        <w:spacing w:line="480" w:lineRule="auto"/>
        <w:ind w:firstLine="720"/>
      </w:pPr>
      <w:r>
        <w:t xml:space="preserve">The third implication is a recommendation for how NASA program reviews should treat patch latency. Patch latency on ground-segment hosts should be tracked as a program-level mission-assurance metric with its own milestone, not folded into a generic information-technology compliance line reporting adherence to mandated due dates. Reporting adherence to mandated due dates tells a program review the program is compliant; it does not tell the review whether the most dangerous perimeter vulnerabilities are closed, because the mandated due date is not a function of danger. A program reporting one hundred percent on-time remediation against the regulatory clock may still be carrying its most exploitable aging-gateway exposures open, because those exposures sit on the extended clock and have not yet come due. The metric NASA program management needs is the measured exposure window on the assets that front the command path, conditioned on severity and exploit availability, which is exactly the quantity this dissertation estimates.</w:t>
      </w:r>
    </w:p>
    <w:p>
      <w:pPr>
        <w:pStyle w:val="BodyText"/>
        <w:spacing w:line="480" w:lineRule="auto"/>
        <w:ind w:firstLine="720"/>
      </w:pPr>
      <w:r>
        <w:t xml:space="preserve">The fourth implication touches the trusted-data dimension that drives ground-segment hardening in the first place. The space-economy treatment of trusted space data frames resilient operations as a socio-technical coordination problem on which international partnerships depend, not a purely technical one</w:t>
      </w:r>
      <w:r>
        <w:t xml:space="preserve"> </w:t>
      </w:r>
      <w:hyperlink w:anchor="ref-1">
        <w:r>
          <w:rPr>
            <w:rStyle w:val="Hyperlink"/>
          </w:rPr>
          <w:t xml:space="preserve">[1]</w:t>
        </w:r>
      </w:hyperlink>
      <w:r>
        <w:t xml:space="preserve">. A compromise of a ground-segment host does more than degrade a single mission; it can corrupt the trusted-data flows NASA shares with mission partners and that underwrite the international arrangements those partners lean on. So the patch-latency window is not only a mission-assurance quantity but a partnership-assurance one. A program manager working out a data-sharing arrangement with an international partner holds, in the measured exposure window, a concrete and checkable figure to characterize the residual cyber risk that arrangement carries, in place of the assumed parameter risk models have used to date.</w:t>
      </w:r>
    </w:p>
    <w:bookmarkEnd w:id="150"/>
    <w:bookmarkStart w:id="151" w:name="implications-for-jpl-decision-making"/>
    <w:p>
      <w:pPr>
        <w:pStyle w:val="Heading2"/>
        <w:spacing w:line="480" w:lineRule="auto"/>
      </w:pPr>
      <w:r>
        <w:t xml:space="preserve">7.3 Implications for JPL Decision-Making</w:t>
      </w:r>
    </w:p>
    <w:p>
      <w:pPr>
        <w:pStyle w:val="FirstParagraph"/>
        <w:spacing w:line="480" w:lineRule="auto"/>
      </w:pPr>
      <w:r>
        <w:t xml:space="preserve">The Jet Propulsion Laboratory runs deep-space missions whose ground segments pair long-lived mission-control infrastructure with the commodity software stack this dissertation studies, and its decision-making sits nearer the operational coalface than agency-level program management does. Three implications follow specifically for JPL.</w:t>
      </w:r>
    </w:p>
    <w:p>
      <w:pPr>
        <w:pStyle w:val="BodyText"/>
        <w:spacing w:line="480" w:lineRule="auto"/>
        <w:ind w:firstLine="720"/>
      </w:pPr>
      <w:r>
        <w:t xml:space="preserve">First, JPL mission-assurance decisions should treat the regulatory remediation clock as a floor and not a schedule. The logistic finding that severity adds nothing detectable to the short-clock decision means a JPL decision-maker cannot hand remediation prioritization over to the mandated due date without taking on the schedule’s inversions. The deep-space ground segment runs on extended operational lifetimes, and across them the perimeter gateways and remote-access appliances fronting a mission pile up exactly the aging-identifier vulnerabilities the vintage rule routes to the extended clock. A JPL mission that defers those remediations to their mandated due dates is deferring its most exposed perimeter vulnerabilities the longest. The decision rule that follows is to prioritize remediation by measured exposure on the command-path-fronting assets, treating the regulatory due date as the latest permissible action and not the recommended one.</w:t>
      </w:r>
    </w:p>
    <w:p>
      <w:pPr>
        <w:pStyle w:val="BodyText"/>
        <w:spacing w:line="480" w:lineRule="auto"/>
        <w:ind w:firstLine="720"/>
      </w:pPr>
      <w:r>
        <w:t xml:space="preserve">Second, JPL should weight asset class even though the dissertation could not statistically identify the asset-class effect. The linear analysis found the edge-asset contrast unidentified because the sample ran edge-heavy, and the logistic analysis had to drop the asset-class indicator entirely because every extended-window entry was an internet-facing gateway, forcing perfect separation. These are limits of the available cross-section, not evidence that asset class does not matter. The theoretical case stands: internet-facing remote-access and VPN gateways sit at the network edge, are continuously scannable, and front the operational enclave, so they are the first asset an external adversary meets</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A JPL decision-maker should therefore keep treating the internet-facing edge as the sharp end of exposure and prioritize gateway remediation to match, taking the dissertation’s failure to identify the contrast as a statistical artifact of sample makeup and not a finding of no effect. The perfect separation in the logistic model is itself telling: it arose because the extended-window class held nothing but internet-facing gateways, which is precisely the dangerous concentration the analysis warns against.</w:t>
      </w:r>
    </w:p>
    <w:p>
      <w:pPr>
        <w:pStyle w:val="BodyText"/>
        <w:spacing w:line="480" w:lineRule="auto"/>
        <w:ind w:firstLine="720"/>
      </w:pPr>
      <w:r>
        <w:t xml:space="preserve">Third, JPL’s increasingly distributed and autonomous mission architectures multiply the surfaces that take on this clerical clock. Distributed space-system and autonomous mission-management architectures raise the number of internet-facing control surfaces in a mission’s ground segment</w:t>
      </w:r>
      <w:r>
        <w:t xml:space="preserve"> </w:t>
      </w:r>
      <w:hyperlink w:anchor="ref-10">
        <w:r>
          <w:rPr>
            <w:rStyle w:val="Hyperlink"/>
          </w:rPr>
          <w:t xml:space="preserve">[10]</w:t>
        </w:r>
      </w:hyperlink>
      <w:r>
        <w:t xml:space="preserve">, and each such surface takes on the same administrative routing whose pace is cut loose from danger. As JPL fields more distributed architectures, the gap between what the regulatory schedule tolerates and what the threat warrants widens across a growing count of control surfaces. The decision implication is that the mission-assurance posture for a distributed architecture cannot just copy the per-host compliance posture of a monolithic one; it has to account for the multiplication of perimeter surfaces, each with its own exposure window, and budget remediation capacity against the aggregate exposure rather than the per-host mandated due dates.</w:t>
      </w:r>
    </w:p>
    <w:p>
      <w:pPr>
        <w:pStyle w:val="BodyText"/>
        <w:spacing w:line="480" w:lineRule="auto"/>
        <w:ind w:firstLine="720"/>
      </w:pPr>
      <w:r>
        <w:t xml:space="preserve">Put together, the three JPL implications share one decision principle. The laboratory should set its ground-segment remediation pace by measured mission risk, drawn from the exposure window on the command-path-fronting assets, and should treat the federal regulatory clock as a compliance floor its mission-assurance judgment is bound to exceed wherever the vintage rule and the threat part ways.</w:t>
      </w:r>
    </w:p>
    <w:bookmarkEnd w:id="151"/>
    <w:bookmarkStart w:id="152" w:name="X5eed4bac55935cbc46e92ca0358830964e76f2f"/>
    <w:p>
      <w:pPr>
        <w:pStyle w:val="Heading2"/>
        <w:spacing w:line="480" w:lineRule="auto"/>
      </w:pPr>
      <w:r>
        <w:t xml:space="preserve">7.4 Implications for the Evolving Governance Regime</w:t>
      </w:r>
    </w:p>
    <w:p>
      <w:pPr>
        <w:pStyle w:val="FirstParagraph"/>
        <w:spacing w:line="480" w:lineRule="auto"/>
      </w:pPr>
      <w:r>
        <w:t xml:space="preserve">The findings speak to the arc of the governance regime itself as well. The leading finding of the linear analysis, that the post-2021 cataloging apparatus squeezed the disclosure-to-confirmation window by roughly two orders of magnitude, is a strong endorsement of the institutional intervention Binding Operational Directive 22-01 and the Known Exploited Vulnerabilities program stand for</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Institutionalized detection and cataloging of exploited vulnerabilities measurably squeezed the interval, and the strategy literature’s framing of the post-2021 period as one of purposely tightened defensive posture against space and ground-system threats is borne out by the measured collapse of the window</w:t>
      </w:r>
      <w:r>
        <w:t xml:space="preserve"> </w:t>
      </w:r>
      <w:hyperlink w:anchor="ref-3">
        <w:r>
          <w:rPr>
            <w:rStyle w:val="Hyperlink"/>
          </w:rPr>
          <w:t xml:space="preserve">[3]</w:t>
        </w:r>
      </w:hyperlink>
      <w:r>
        <w:t xml:space="preserve">. The governance intervention worked, on the quantity it could reach. The reach ran partial.</w:t>
      </w:r>
    </w:p>
    <w:p>
      <w:pPr>
        <w:pStyle w:val="BodyText"/>
        <w:spacing w:line="480" w:lineRule="auto"/>
        <w:ind w:firstLine="720"/>
      </w:pPr>
      <w:r>
        <w:t xml:space="preserve">What it did not reach is lining remediation urgency up with mission risk, which is the gap the logistic analysis exposes. The vintage rule routing pre-2021 identifiers to the extended clock was a pragmatic accommodation to the realities of a large installed base, and its effect is to keep the oldest and often most exposed perimeter vulnerabilities on the slowest clock. So the dissertation’s findings back the direction of the 2026 successor directive, which moves toward risk-based prioritization rather than vintage-keyed routing</w:t>
      </w:r>
      <w:r>
        <w:t xml:space="preserve"> </w:t>
      </w:r>
      <w:hyperlink w:anchor="ref-3">
        <w:r>
          <w:rPr>
            <w:rStyle w:val="Hyperlink"/>
          </w:rPr>
          <w:t xml:space="preserve">[3]</w:t>
        </w:r>
      </w:hyperlink>
      <w:r>
        <w:t xml:space="preserve">. A risk-based regime setting the remediation clock by exploitation probability and exposure rather than identifier age would close exactly the inversion this dissertation measures. The empirical case for that transition is the finding that severity, and by extension the categorical proxies standing in for it, do not currently drive the short-clock decision, while the scoring-systems literature confirms severity scores splitting from exploitation risk and unable on their own to order remediation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For the space-cyber governance community specifically, the dissertation contributes a measured baseline future regime changes can be weighed against. Prior governance work described the institutional challenge of governing cyber operations in outer space and confirmed that existing arrangements fall short of the threats aimed at ground infrastructure, and it framed that gap with no quantitative exposure baseline</w:t>
      </w:r>
      <w:r>
        <w:t xml:space="preserve"> </w:t>
      </w:r>
      <w:hyperlink w:anchor="ref-2">
        <w:r>
          <w:rPr>
            <w:rStyle w:val="Hyperlink"/>
          </w:rPr>
          <w:t xml:space="preserve">[2]</w:t>
        </w:r>
      </w:hyperlink>
      <w:r>
        <w:t xml:space="preserve">. This dissertation supplies the baseline. When the successor risk-based directive takes effect, its impact on the ground-segment exposure window can be measured against the estimates reported here, which is the kind of falsifiable, quantitative evaluation the qualitative governance literature has been unable to support.</w:t>
      </w:r>
    </w:p>
    <w:bookmarkEnd w:id="152"/>
    <w:bookmarkStart w:id="153" w:name="limitations"/>
    <w:p>
      <w:pPr>
        <w:pStyle w:val="Heading2"/>
        <w:spacing w:line="480" w:lineRule="auto"/>
      </w:pPr>
      <w:r>
        <w:t xml:space="preserve">7.5 Limitations</w:t>
      </w:r>
    </w:p>
    <w:p>
      <w:pPr>
        <w:pStyle w:val="FirstParagraph"/>
        <w:spacing w:line="480" w:lineRule="auto"/>
      </w:pPr>
      <w:r>
        <w:t xml:space="preserve">The findings carry boundaries that fence their interpretation, and the dissertation states them rather than reaching past them.</w:t>
      </w:r>
    </w:p>
    <w:p>
      <w:pPr>
        <w:pStyle w:val="BodyText"/>
        <w:spacing w:line="480" w:lineRule="auto"/>
        <w:ind w:firstLine="720"/>
      </w:pPr>
      <w:r>
        <w:t xml:space="preserve">The first and heaviest limitation is the selected nature of the sample. The CISA Known Exploited Vulnerabilities catalog logs only vulnerabilities confirmed exploited in the wild, so the analyzed population is a selected tail rather than the full population of ground-segment vulnerabilities</w:t>
      </w:r>
      <w:r>
        <w:t xml:space="preserve"> </w:t>
      </w:r>
      <w:hyperlink w:anchor="ref-6">
        <w:r>
          <w:rPr>
            <w:rStyle w:val="Hyperlink"/>
          </w:rPr>
          <w:t xml:space="preserve">[6]</w:t>
        </w:r>
      </w:hyperlink>
      <w:r>
        <w:t xml:space="preserve">. The window measured in the linear analysis is the interval from disclosure to confirmed exploitation, not the interval from disclosure to remediation on any one operator’s hosts. The two quantities are related and separate, and the dissertation’s estimates speak straight to the exploitation-confirmation interval while touching the remediation interval only by inference. The prospectus design anchored on host-level remediation spells seen through internet-wide measurement would close that gap; the realized analyses, working from the public catalogs, measure the confirmation window instead. This is the honest boundary of what public, checkable sources allow.</w:t>
      </w:r>
    </w:p>
    <w:p>
      <w:pPr>
        <w:pStyle w:val="BodyText"/>
        <w:spacing w:line="480" w:lineRule="auto"/>
        <w:ind w:firstLine="720"/>
      </w:pPr>
      <w:r>
        <w:t xml:space="preserve">The second limitation is sample size and makeup. The linear analysis rested on 37 confirmed-exploited vulnerabilities and the logistic analysis on 31, sample sizes big enough to identify a leading institutional effect and too small to sharpen the vulnerability-intrinsic covariates. Severity and ransomware association pointed the hypothesized directions in the linear model and would not separate from noise, and the edge-asset contrast went unidentified because the sample ran edge-heavy at 33 of 37 observations. In the logistic model, the asset-class indicator had to be dropped entirely because perfect separation left its coefficient unidentified. These are limits of the available cross-section. A larger sample, especially one with more contrast in asset class, would let the severity and asset-class effects be estimated with the precision the institutional effect already enjoys. So the magnitudes reported for the non-institutional covariates read as indicative rather than definitive.</w:t>
      </w:r>
    </w:p>
    <w:p>
      <w:pPr>
        <w:pStyle w:val="BodyText"/>
        <w:spacing w:line="480" w:lineRule="auto"/>
        <w:ind w:firstLine="720"/>
      </w:pPr>
      <w:r>
        <w:t xml:space="preserve">The third limitation is the construct gap between observed vulnerability presence and confirmed exploitability of a specific host. Where banner-derived detection is used, what gets observed is the presence of a vulnerable software version rather than confirmed exploitability of that particular host, so the measured window is an upper bound on true exploitable exposure. The analyses hold attention to the network-reachable services where the banner and catalog evidence runs strongest, and the upper-bound character of the estimate stays.</w:t>
      </w:r>
    </w:p>
    <w:p>
      <w:pPr>
        <w:pStyle w:val="BodyText"/>
        <w:spacing w:line="480" w:lineRule="auto"/>
        <w:ind w:firstLine="720"/>
      </w:pPr>
      <w:r>
        <w:t xml:space="preserve">The fourth limitation is scope. Externally reachable and publicly cataloged ground-segment vulnerabilities do not stand in for air-gapped or classified mission enclaves, which neither internet-wide measurement nor public catalogs can see. The estimates travel to the internet-exposed, publicly documented ground-segment population only. The full mission-control surface, including the classified and isolated enclaves carrying some of the most sensitive command paths, sits beyond the reach of the data, and the dissertation does not stretch to it. The estimates are likewise drawn from a United States civilian-agency governance scope, so their direct fit to other national regimes is a matter for replication rather than assumption.</w:t>
      </w:r>
    </w:p>
    <w:p>
      <w:pPr>
        <w:pStyle w:val="BodyText"/>
        <w:spacing w:line="480" w:lineRule="auto"/>
        <w:ind w:firstLine="720"/>
      </w:pPr>
      <w:r>
        <w:t xml:space="preserve">The fifth limitation is the lean on the Common Vulnerability Scoring System as the severity construct. The scoring-systems literature records severity scores disagreeing across systems and splitting from real-world exploitation risk</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so a null result on CVSS severity should read as a finding about the regulatory use of that particular construct rather than evidence that no notion of severity matters. A severity construct better lined up with exploitation probability might carry the explanatory weight the CVSS base score does not, which is itself part of the case for the risk-based successor regime.</w:t>
      </w:r>
    </w:p>
    <w:bookmarkEnd w:id="153"/>
    <w:bookmarkStart w:id="154" w:name="future-research"/>
    <w:p>
      <w:pPr>
        <w:pStyle w:val="Heading2"/>
        <w:spacing w:line="480" w:lineRule="auto"/>
      </w:pPr>
      <w:r>
        <w:t xml:space="preserve">7.6 Future Research</w:t>
      </w:r>
    </w:p>
    <w:p>
      <w:pPr>
        <w:pStyle w:val="FirstParagraph"/>
        <w:spacing w:line="480" w:lineRule="auto"/>
      </w:pPr>
      <w:r>
        <w:t xml:space="preserve">The limitations sketch the agenda. Four directions follow most directly.</w:t>
      </w:r>
    </w:p>
    <w:p>
      <w:pPr>
        <w:pStyle w:val="BodyText"/>
        <w:spacing w:line="480" w:lineRule="auto"/>
        <w:ind w:firstLine="720"/>
      </w:pPr>
      <w:r>
        <w:t xml:space="preserve">First, the host-level remediation study the prospectus designed should be run against the longitudinal internet-wide measurement data the realized analyses did not draw on. Building host-vulnerability spells from internet-wide host snapshots cross-referenced with the vulnerability and exploited-vulnerability catalogs would shift the estimand from the confirmation window to the remediation window, and would open the survival-analytic and difference-in-differences identification the prospectus specified. That design would also grow the sample by orders of magnitude, clearing the precision limits that left the vulnerability-intrinsic covariates lost in noise. The exploit-publication event study in particular, comparing how ground-segment and matched enterprise hosts answer the same exploitation shock, would isolate the operational-continuity penalty net of fixed population differences, which the present analyses could not do.</w:t>
      </w:r>
    </w:p>
    <w:p>
      <w:pPr>
        <w:pStyle w:val="BodyText"/>
        <w:spacing w:line="480" w:lineRule="auto"/>
        <w:ind w:firstLine="720"/>
      </w:pPr>
      <w:r>
        <w:t xml:space="preserve">Second, the asset-class contrast that perfect separation and edge-weighting kept from being identified deserves a dedicated design. A sample deliberately balanced across internet-facing edge gateways and interior operational-technology controllers would let the edge-exposure mechanism be estimated rather than assumed. Given the theoretical centrality of the internet-facing edge to the ground-segment threat model</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settling whether edge gateways are in fact remediated faster or slower than interior controllers, after conditioning on severity and exploit availability, is a first-order empirical question the current samples could not answer.</w:t>
      </w:r>
    </w:p>
    <w:p>
      <w:pPr>
        <w:pStyle w:val="BodyText"/>
        <w:spacing w:line="480" w:lineRule="auto"/>
        <w:ind w:firstLine="720"/>
      </w:pPr>
      <w:r>
        <w:t xml:space="preserve">Third, the transition to the risk-based successor governance regime offers a natural experiment. The measured collapse of the exposure window under the 2021 cataloging regime shows that institutional interventions register in the data at large magnitude. The 2026 transition to risk-based prioritization</w:t>
      </w:r>
      <w:r>
        <w:t xml:space="preserve"> </w:t>
      </w:r>
      <w:hyperlink w:anchor="ref-3">
        <w:r>
          <w:rPr>
            <w:rStyle w:val="Hyperlink"/>
          </w:rPr>
          <w:t xml:space="preserve">[3]</w:t>
        </w:r>
      </w:hyperlink>
      <w:r>
        <w:t xml:space="preserve"> </w:t>
      </w:r>
      <w:r>
        <w:t xml:space="preserve">can be evaluated as a second such intervention, with the estimates reported in this dissertation serving as the pre-transition baseline. A difference-in-differences design around the directive’s effective date would estimate whether risk-based routing closes the vintage-keyed inversion the logistic analysis exposed, handing the governance community a quantitative verdict on the reform.</w:t>
      </w:r>
    </w:p>
    <w:p>
      <w:pPr>
        <w:pStyle w:val="BodyText"/>
        <w:spacing w:line="480" w:lineRule="auto"/>
        <w:ind w:firstLine="720"/>
      </w:pPr>
      <w:r>
        <w:t xml:space="preserve">Fourth, the partnership-assurance dimension the trusted-data literature motivates</w:t>
      </w:r>
      <w:r>
        <w:t xml:space="preserve"> </w:t>
      </w:r>
      <w:hyperlink w:anchor="ref-1">
        <w:r>
          <w:rPr>
            <w:rStyle w:val="Hyperlink"/>
          </w:rPr>
          <w:t xml:space="preserve">[1]</w:t>
        </w:r>
      </w:hyperlink>
      <w:r>
        <w:t xml:space="preserve"> </w:t>
      </w:r>
      <w:r>
        <w:t xml:space="preserve">sits empirically unexplored. Future work could tie measured ground-segment exposure windows to the structure of international data-sharing arrangements, asking whether partners with longer exposure windows carry measurably different residual risk into the coordinated operations those arrangements support. That would carry the patch-latency window from a mission-assurance quantity out into the socio-technical coordination problem the space-economy literature frames, and would give the international partnerships that depend on trusted space data a measured rather than assumed read of the cyber risk they jointly bear.</w:t>
      </w:r>
    </w:p>
    <w:p>
      <w:pPr>
        <w:pStyle w:val="BodyText"/>
        <w:spacing w:line="480" w:lineRule="auto"/>
        <w:ind w:firstLine="720"/>
      </w:pPr>
      <w:r>
        <w:t xml:space="preserve">These four directions share one thread with the dissertation’s central finding. The patch-latency window is a measurable quantity risk and governance models have treated as an assumption, and each direction extends the measurement, to the remediation interval, to the asset-class contrast, to the next governance regime, and to the partnership structures the window finally puts at risk. The contribution of this dissertation is to have shown that the quantity can be measured, that its leading determinant is administrative rather than technical, and that the regulatory clock running it is cut loose from the mission risk it is meant to discipline. The work that follows can build on a measured baseline where the field before had only an assumed one.</w:t>
      </w:r>
    </w:p>
    <w:bookmarkEnd w:id="154"/>
    <w:bookmarkEnd w:id="155"/>
    <w:bookmarkStart w:id="204" w:name="chapter-8.-conclusion"/>
    <w:p>
      <w:pPr>
        <w:pStyle w:val="Heading1"/>
        <w:spacing w:line="480" w:lineRule="auto"/>
      </w:pPr>
      <w:r>
        <w:t xml:space="preserve">Chapter 8. Conclusion</w:t>
      </w:r>
    </w:p>
    <w:bookmarkStart w:id="156" w:name="the-argument-in-one-sentence"/>
    <w:p>
      <w:pPr>
        <w:pStyle w:val="Heading2"/>
        <w:spacing w:line="480" w:lineRule="auto"/>
      </w:pPr>
      <w:r>
        <w:t xml:space="preserve">8.1 The Argument in One Sentence</w:t>
      </w:r>
    </w:p>
    <w:p>
      <w:pPr>
        <w:pStyle w:val="FirstParagraph"/>
        <w:spacing w:line="480" w:lineRule="auto"/>
      </w:pPr>
      <w:r>
        <w:t xml:space="preserve">This dissertation set out to measure a quantity the space-cyber risk literature has assumed rather than observed: how long a disclosed, exploitable vulnerability stays open on the ground-segment and mission-control infrastructure an adversary can reach without leaving the planet. The motivating premise was that the ground segment is nothing exotic. Mission-control consoles, telemetry-tracking-and-command nodes, scheduling servers, and the data-distribution enclaves behind them run the same operating systems, gateways, and controllers as any enterprise network, and they get disclosed against, exploited, and patched on the same public timeline</w:t>
      </w:r>
      <w:r>
        <w:t xml:space="preserve"> </w:t>
      </w:r>
      <w:hyperlink w:anchor="ref-4">
        <w:r>
          <w:rPr>
            <w:rStyle w:val="Hyperlink"/>
          </w:rPr>
          <w:t xml:space="preserve">[4]</w:t>
        </w:r>
      </w:hyperlink>
      <w:r>
        <w:t xml:space="preserve">. Pace sets them apart, not surface. Mission operations put continuity of command ahead of configuration currency, and a patch that is a routine reboot elsewhere becomes, on a host inside a live pass schedule, a change fenced in by freeze windows, regression testing against flight-software interfaces, and a reluctance to touch a system presently commanding a spacecraft. The closing claim of this work is that the patch-latency window is measurable on real, primary, checkable data, that its leading determinant is institutional rather than technical, and that the regulatory clock running it is keyed to administrative vintage rather than danger. Those three findings together recast a qualitative governance concern as a measured empirical object.</w:t>
      </w:r>
    </w:p>
    <w:bookmarkEnd w:id="156"/>
    <w:bookmarkStart w:id="157" w:name="synthesis-of-the-empirical-argument"/>
    <w:p>
      <w:pPr>
        <w:pStyle w:val="Heading2"/>
        <w:spacing w:line="480" w:lineRule="auto"/>
      </w:pPr>
      <w:r>
        <w:t xml:space="preserve">8.2 Synthesis of the Empirical Argument</w:t>
      </w:r>
    </w:p>
    <w:p>
      <w:pPr>
        <w:pStyle w:val="FirstParagraph"/>
        <w:spacing w:line="480" w:lineRule="auto"/>
      </w:pPr>
      <w:r>
        <w:t xml:space="preserve">The dissertation carried its claim through two complementary quantitative studies built on the same primary sources, the CISA Known Exploited Vulnerabilities catalog and the NIST National Vulnerability Database, both held to the appliance classes that make up the ground-segment and mission-control attack surface. The two studies were designed to view one phenomenon, the exposure window, through two estimands that answer different questions and so cover each other’s blind spots.</w:t>
      </w:r>
    </w:p>
    <w:p>
      <w:pPr>
        <w:pStyle w:val="BodyText"/>
        <w:spacing w:line="480" w:lineRule="auto"/>
        <w:ind w:firstLine="720"/>
      </w:pPr>
      <w:r>
        <w:t xml:space="preserve">Study one treated the window as a continuous duration and estimated, under ordinary least squares with heteroskedasticity-robust standard errors, the conditional mean of the log interval between public disclosure and confirmed in-the-wild exploitation. Its result came out clear and concentrated in a single coefficient. The disclosure-era governance indicator, marking vulnerabilities surfaced under Binding Operational Directive 22-01 and the Known Exploited Vulnerabilities program, carried a coefficient of minus 4.76 on the log window, significant beyond conventional thresholds, corresponding on exponentiation to a multiplier near 0.009. The post-2021 cohort sits roughly two orders of magnitude below the pre-2021 cohort on the exposure window, holding severity, asset class, and ransomware association fixed. The window does not merely shrink under the modern cataloging apparatus; it collapses. The three vulnerability-intrinsic covariates, severity and ransomware association and the internet-facing edge indicator, pointed the hypothesized directions for the first two and would not separate from noise at a sample of thirty-seven confirmed-exploited vulnerabilities, and the edge contrast went unidentified given a sample weighted thirty-three to four toward gateways. The honest reading was one clean institutional signal and three non-results reported plainly as non-results.</w:t>
      </w:r>
    </w:p>
    <w:p>
      <w:pPr>
        <w:pStyle w:val="BodyText"/>
        <w:spacing w:line="480" w:lineRule="auto"/>
        <w:ind w:firstLine="720"/>
      </w:pPr>
      <w:r>
        <w:t xml:space="preserve">Study two took the binary regulatory decision that yields the observed bimodality of mandated windows, the short clock of roughly two to three weeks against the extended clock of about six months, and modeled it under logistic regression. Its purpose was to test whether the regulator assigning these clocks does so on severity, in which case a short window would work as a danger signal a defender could trust. It does not. The coefficient on the CVSS base score was 0.0444 on the log-odds scale, an odds ratio of 1.045, indistinguishable from no effect. The decisive predictor was administrative vintage: a pre-2021 vulnerability carried a coefficient of minus 2.78, the only term significant at conventional levels, an odds ratio of 0.062, meaning roughly ninety-four percent lower odds of drawing the short clock than an otherwise identical newer flaw. The short-clock decision is a clerical outcome of a categorical schedule, not a technical verdict. This finding stands with company; it lines up with the broader scoring-systems literature, which records severity scores disagreeing across systems for the same flaw</w:t>
      </w:r>
      <w:r>
        <w:t xml:space="preserve"> </w:t>
      </w:r>
      <w:hyperlink w:anchor="ref-8">
        <w:r>
          <w:rPr>
            <w:rStyle w:val="Hyperlink"/>
          </w:rPr>
          <w:t xml:space="preserve">[8]</w:t>
        </w:r>
      </w:hyperlink>
      <w:r>
        <w:t xml:space="preserve"> </w:t>
      </w:r>
      <w:r>
        <w:t xml:space="preserve">and splitting from exploitation probability on the very vulnerabilities known to be exploited</w:t>
      </w:r>
      <w:r>
        <w:t xml:space="preserve"> </w:t>
      </w:r>
      <w:hyperlink w:anchor="ref-9">
        <w:r>
          <w:rPr>
            <w:rStyle w:val="Hyperlink"/>
          </w:rPr>
          <w:t xml:space="preserve">[9]</w:t>
        </w:r>
      </w:hyperlink>
      <w:r>
        <w:t xml:space="preserve">.</w:t>
      </w:r>
    </w:p>
    <w:p>
      <w:pPr>
        <w:pStyle w:val="BodyText"/>
        <w:spacing w:line="480" w:lineRule="auto"/>
        <w:ind w:firstLine="720"/>
      </w:pPr>
      <w:r>
        <w:t xml:space="preserve">Read jointly, the two studies tell a coherent story neither could tell alone. The continuous analysis shows the institutional regime driving how long the window stays open, overwhelmingly. The binary analysis shows the institutional rule routing a vulnerability to its remediation clock to be itself indifferent to severity and keyed to the age of the identifier. Institutions govern the exposure window twice over: once in the dramatic compression the cataloging apparatus lays on the disclosure-to-confirmation interval, and once in the administrative routing deciding which flaws get hurried and which get left to linger. The danger for a mission owner lives right in the join between the two facts. The extended-window entries in the sample were old, internet-facing gateway vulnerabilities with mostly critical severity scores, the very assets most likely to front a telemetry-and-command path, routed to the six-month clock not because they are safe but because the vintage rule sends them there. A defender who reads the extended clock as evidence of low danger reads the schedule exactly backward. The clock lies about danger.</w:t>
      </w:r>
    </w:p>
    <w:bookmarkEnd w:id="157"/>
    <w:bookmarkStart w:id="158"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before anything else, a measurement where the field held only an assertion. The space-cyber governance literature lays out the threat and the shortfall of present arrangements with care. Poirier records that existing governance falls short of the cyber threats aimed at satellite ground infrastructure</w:t>
      </w:r>
      <w:r>
        <w:t xml:space="preserve"> </w:t>
      </w:r>
      <w:hyperlink w:anchor="ref-2">
        <w:r>
          <w:rPr>
            <w:rStyle w:val="Hyperlink"/>
          </w:rPr>
          <w:t xml:space="preserve">[2]</w:t>
        </w:r>
      </w:hyperlink>
      <w:r>
        <w:t xml:space="preserve">. Reis works through European defense and security strategy for space and ground-based systems against hybrid threats at the level of posture</w:t>
      </w:r>
      <w:r>
        <w:t xml:space="preserve"> </w:t>
      </w:r>
      <w:hyperlink w:anchor="ref-3">
        <w:r>
          <w:rPr>
            <w:rStyle w:val="Hyperlink"/>
          </w:rPr>
          <w:t xml:space="preserve">[3]</w:t>
        </w:r>
      </w:hyperlink>
      <w:r>
        <w:t xml:space="preserve">. Allington and colleagues name the supply-chain and software-dependency routes by which a commodity-software compromise reaches any system depending on the affected component</w:t>
      </w:r>
      <w:r>
        <w:t xml:space="preserve"> </w:t>
      </w:r>
      <w:hyperlink w:anchor="ref-4">
        <w:r>
          <w:rPr>
            <w:rStyle w:val="Hyperlink"/>
          </w:rPr>
          <w:t xml:space="preserve">[4]</w:t>
        </w:r>
      </w:hyperlink>
      <w:r>
        <w:t xml:space="preserve">. The trusted-space-data literature frames resilient operations as a socio-technical coordination problem on which international partnerships depend</w:t>
      </w:r>
      <w:r>
        <w:t xml:space="preserve"> </w:t>
      </w:r>
      <w:hyperlink w:anchor="ref-1">
        <w:r>
          <w:rPr>
            <w:rStyle w:val="Hyperlink"/>
          </w:rPr>
          <w:t xml:space="preserve">[1]</w:t>
        </w:r>
      </w:hyperlink>
      <w:r>
        <w:t xml:space="preserve">. Across all of it the missing object was the same: a measured, severity-conditioned estimate of how long ground-segment vulnerabilities stay exploitable, benchmarked on primary records rather than presumed. This dissertation supplies that object. The assertion turns into a number. It is, to the candidate’s knowledge, the first quantitative, fully provenance-traced estimate of the ground-segment patch-latency window, and the first to show empirically that the window’s chief determinant is the disclosure-era regime rather than any intrinsic property of the vulnerability.</w:t>
      </w:r>
    </w:p>
    <w:p>
      <w:pPr>
        <w:pStyle w:val="BodyText"/>
        <w:spacing w:line="480" w:lineRule="auto"/>
        <w:ind w:firstLine="720"/>
      </w:pPr>
      <w:r>
        <w:t xml:space="preserve">The second contribution is methodological, and it concerns discipline of inference under scarce data. The ground-segment population visible through public, exploitation-confirmed catalogs is small, selected, and edge-heavy. A less careful hand would have over-claimed from it. Instead the dissertation held to one pre-stated specification per study, reported robust and exact standard errors, called the non-results non-results, and fenced each estimate to the population it can legitimately describe, the internet-exposed and confirmed-exploited tail, never the air-gapped or classified mission enclave no public catalog can see. Pairing a continuous-duration estimator with a binary-decision estimator on a shared, primary-sourced dataset is itself a transferable design for measuring regulatory and operational pace in any domain where the exposure interval runs partly on administrative rule and partly on intrinsic risk. Insisting that every reported figure trace to a named catalog version and a named API record, with no value typed in from memory, gives the work a reproducibility property risk-modeling studies in this area have mostly lacked.</w:t>
      </w:r>
    </w:p>
    <w:p>
      <w:pPr>
        <w:pStyle w:val="BodyText"/>
        <w:spacing w:line="480" w:lineRule="auto"/>
        <w:ind w:firstLine="720"/>
      </w:pPr>
      <w:r>
        <w:t xml:space="preserve">The third contribution is a corrective to operational practice. The dissertation shows, on real and checkable data, that two intuitions a ground-segment defender is likely to hold are wrong in ways that matter. The first intuition is that a short remediation clock flags a dangerous flaw and an extended clock a tolerable one; the logistic analysis shows the clock set by vintage, not danger. The second is that severity, the metric defenders reach for most when triaging, orders the queue; both studies show severity adding nothing detectable once the institutional terms enter the model. The practical instruction that follows is concrete. Ground-segment cyber defense should not let the regulatory routing set its own pace, because the gap between what the schedule tolerates and what the threat warrants runs widest exactly where the consequence is gravest, on the aging perimeter gateways the vintage rule shoves to the back of the queue. As distributed and increasingly autonomous space-mission architectures multiply the internet-facing control surfaces that take on this clerical clock</w:t>
      </w:r>
      <w:r>
        <w:t xml:space="preserve"> </w:t>
      </w:r>
      <w:hyperlink w:anchor="ref-10">
        <w:r>
          <w:rPr>
            <w:rStyle w:val="Hyperlink"/>
          </w:rPr>
          <w:t xml:space="preserve">[10]</w:t>
        </w:r>
      </w:hyperlink>
      <w:r>
        <w:t xml:space="preserve">, the cost of deferring to the schedule grows with the architecture.</w:t>
      </w:r>
    </w:p>
    <w:bookmarkEnd w:id="158"/>
    <w:bookmarkStart w:id="159" w:name="X3697dd2c4936dd7468a91140012600bbab2caff"/>
    <w:p>
      <w:pPr>
        <w:pStyle w:val="Heading2"/>
        <w:spacing w:line="480" w:lineRule="auto"/>
      </w:pPr>
      <w:r>
        <w:t xml:space="preserve">8.4 Limitations and the Boundary of the Claim</w:t>
      </w:r>
    </w:p>
    <w:p>
      <w:pPr>
        <w:pStyle w:val="FirstParagraph"/>
        <w:spacing w:line="480" w:lineRule="auto"/>
      </w:pPr>
      <w:r>
        <w:t xml:space="preserve">The strength of the dissertation’s measurement is also the boundary of its claim, and that boundary gets stated rather than blurred. The CISA catalog logs only vulnerabilities confirmed exploited in the wild, so both samples are a selected tail rather than the full population of ground-segment vulnerabilities, and the continuous-window outcome measures time to confirmed exploitation rather than time to remediation on any one operator’s hosts. Air-gapped and classified mission enclaves are invisible to public catalogs and sit wholly outside the estimate’s reach; the work travels to the internet-exposed ground-segment population only, and it says so. The samples run modest, thirty-seven observations in the continuous study and thirty-one in the binary study, and both run edge-heavy, which caps the precision of the asset-class contrast in particular and forced its exclusion from the logistic model to head off perfect separation. The scope is United States civilian-agency governance, which fixes the regulatory regime under study and fences transfer to other national frameworks. These limits do not undercut the central finding, because the institutional coefficient runs large, significant, and stable; they bound the magnitudes of the secondary coefficients, which read as directional rather than definitive. The prospectus design foresaw a richer host-level survival analysis over internet-wide measurement data, and the distance between that aim and what confirmed-exploitation catalogs can presently support marks the most honest gap in the work and the clearest opening for what comes next.</w:t>
      </w:r>
    </w:p>
    <w:bookmarkEnd w:id="159"/>
    <w:bookmarkStart w:id="160" w:name="directions-for-continuation"/>
    <w:p>
      <w:pPr>
        <w:pStyle w:val="Heading2"/>
        <w:spacing w:line="480" w:lineRule="auto"/>
      </w:pPr>
      <w:r>
        <w:t xml:space="preserve">8.5 Directions for Continuation</w:t>
      </w:r>
    </w:p>
    <w:p>
      <w:pPr>
        <w:pStyle w:val="FirstParagraph"/>
        <w:spacing w:line="480" w:lineRule="auto"/>
      </w:pPr>
      <w:r>
        <w:t xml:space="preserve">The natural successor to this dissertation is the host-level survival study the prospectus foresaw, building the host-vulnerability spell from longitudinal internet-wide snapshots cross-referenced with the disclosure and exploitation catalogs, with right-censoring handled by survival-specific estimators and a difference-in-differences event study pinned to exploit publication. That design would turn the time-to-confirmed-exploitation outcome studied here into the time-to-remediation outcome the field finally wants, and would let the ground-segment-membership hazard ratio be estimated against a matched enterprise population rather than inferred from the institutional and intrinsic covariates catalog data offer. A second continuation follows from the 2026 successor directive, which moves the United States civilian remediation regime toward risk-based rather than vintage-based prioritization; the vintage rule this dissertation found running the short-clock decision is precisely the artifact the successor regime is built to retire, and re-estimating both models across the regime change would test whether the administrative seam that endangers aging perimeter gateways narrows in practice. A third continuation would widen the appliance taxonomy and national scope, sampling ground-segment infrastructure outside the United States civilian perimeter to test whether the institutional dominance found here is a property of the CISA apparatus specifically or a general feature of vulnerability governance.</w:t>
      </w:r>
    </w:p>
    <w:bookmarkEnd w:id="160"/>
    <w:bookmarkStart w:id="161" w:name="closing-statement"/>
    <w:p>
      <w:pPr>
        <w:pStyle w:val="Heading2"/>
        <w:spacing w:line="480" w:lineRule="auto"/>
      </w:pPr>
      <w:r>
        <w:t xml:space="preserve">8.6 Closing Statement</w:t>
      </w:r>
    </w:p>
    <w:p>
      <w:pPr>
        <w:pStyle w:val="FirstParagraph"/>
        <w:spacing w:line="480" w:lineRule="auto"/>
      </w:pPr>
      <w:r>
        <w:t xml:space="preserve">The ground segment is where space systems are most reachable and where the discipline of patching runs hardest into the discipline of never interrupting a pass. This dissertation began by treating the resulting exposure window as a number to measure rather than a parameter to assume, and it ends having measured it on primary, version-stamped, fully traceable records. The measurement returned a result at once reassuring and unsettling. Reassuring, that the modern cataloging regime squeezes the disclosure-to-exploitation window by roughly two orders of magnitude, evidence that institutional design can move the quantity that most directly sets how long a mission-control host stays exposed. Unsettling, that the regulatory clock pinned to each vulnerability is set by the age of its identifier rather than its danger, so the oldest internet-facing gateways, the assets most likely to front a telemetry-and-command path, get routed to the slowest clock for a reason that has nothing to do with the threat they carry. The space-cyber community has long argued, correctly, that the ground segment is exposed and governance incomplete</w:t>
      </w:r>
      <w:r>
        <w:t xml:space="preserve"> </w:t>
      </w:r>
      <w:hyperlink w:anchor="ref-2">
        <w:r>
          <w:rPr>
            <w:rStyle w:val="Hyperlink"/>
          </w:rPr>
          <w:t xml:space="preserve">[2]</w:t>
        </w:r>
      </w:hyperlink>
      <w:r>
        <w:t xml:space="preserve">[3][4]. This work turns that argument into estimates, names the institutional forces that dominate the exposure window, and shows a mission owner exactly where the schedule and the threat part ways. The patch-latency window is no longer a quantity risk models must assume. It has been observed, and what observation reveals is that the safety of a ground-segment host rides less on the severity of its flaws than on the administrative era and category those flaws happen to fall into. That is a finding a defender can act on, and acting on it is the work this dissertation hands forward.</w:t>
      </w:r>
    </w:p>
    <w:bookmarkEnd w:id="161"/>
    <w:bookmarkStart w:id="203" w:name="references"/>
    <w:p>
      <w:pPr>
        <w:pStyle w:val="Heading2"/>
        <w:spacing w:line="480" w:lineRule="auto"/>
      </w:pPr>
      <w:r>
        <w:t xml:space="preserve">References</w:t>
      </w:r>
    </w:p>
    <w:p>
      <w:pPr>
        <w:pStyle w:val="FirstParagraph"/>
        <w:spacing w:line="480" w:lineRule="auto"/>
      </w:pPr>
      <w:bookmarkStart w:id="162" w:name="ref-1"/>
      <w:bookmarkEnd w:id="162"/>
      <w:r>
        <w:t xml:space="preserve">1. M. Stilwell et al.,</w:t>
      </w:r>
      <w:r>
        <w:t xml:space="preserve"> </w:t>
      </w:r>
      <w:r>
        <w:t xml:space="preserve">“International Relations and Economic Dimensions of Trusted Space Data,”</w:t>
      </w:r>
      <w:r>
        <w:t xml:space="preserve"> </w:t>
      </w:r>
      <w:r>
        <w:t xml:space="preserve">Space Economy Papers corpus (source SD05).</w:t>
      </w:r>
    </w:p>
    <w:p>
      <w:pPr>
        <w:pStyle w:val="BodyText"/>
        <w:spacing w:line="480" w:lineRule="auto"/>
        <w:ind w:firstLine="720"/>
      </w:pPr>
      <w:bookmarkStart w:id="163" w:name="ref-2"/>
      <w:bookmarkEnd w:id="163"/>
      <w:r>
        <w:t xml:space="preserve">2. C. Poirier,</w:t>
      </w:r>
      <w:r>
        <w:t xml:space="preserve"> </w:t>
      </w:r>
      <w:r>
        <w:t xml:space="preserve">“Establishing a governance for cyber operations in outer space: Exploring challenges faced by space and cyber commands,”</w:t>
      </w:r>
      <w:r>
        <w:t xml:space="preserve"> </w:t>
      </w:r>
      <w:r>
        <w:rPr>
          <w:i/>
          <w:iCs/>
        </w:rPr>
        <w:t xml:space="preserve">Acta Astronautica</w:t>
      </w:r>
      <w:r>
        <w:t xml:space="preserve">, vol. 237, 2025. doi:</w:t>
      </w:r>
      <w:r>
        <w:t xml:space="preserve"> </w:t>
      </w:r>
      <w:hyperlink r:id="rId164">
        <w:r>
          <w:rPr>
            <w:rStyle w:val="Hyperlink"/>
          </w:rPr>
          <w:t xml:space="preserve">10.1016/j.actaastro.2025.08.048</w:t>
        </w:r>
      </w:hyperlink>
    </w:p>
    <w:p>
      <w:pPr>
        <w:pStyle w:val="BodyText"/>
        <w:spacing w:line="480" w:lineRule="auto"/>
        <w:ind w:firstLine="720"/>
      </w:pPr>
      <w:bookmarkStart w:id="165" w:name="ref-3"/>
      <w:bookmarkEnd w:id="165"/>
      <w:r>
        <w:t xml:space="preserve">3. J. Reis,</w:t>
      </w:r>
      <w:r>
        <w:t xml:space="preserve"> </w:t>
      </w:r>
      <w:r>
        <w:t xml:space="preserve">“European union defense and security strategy for space and ground-based systems against hybrid threats,”</w:t>
      </w:r>
      <w:r>
        <w:t xml:space="preserve"> </w:t>
      </w:r>
      <w:r>
        <w:rPr>
          <w:i/>
          <w:iCs/>
        </w:rPr>
        <w:t xml:space="preserve">Acta Astronautica</w:t>
      </w:r>
      <w:r>
        <w:t xml:space="preserve">, vol. 225, 2024. doi:</w:t>
      </w:r>
      <w:r>
        <w:t xml:space="preserve"> </w:t>
      </w:r>
      <w:hyperlink r:id="rId166">
        <w:r>
          <w:rPr>
            <w:rStyle w:val="Hyperlink"/>
          </w:rPr>
          <w:t xml:space="preserve">10.1016/j.actaastro.2024.09.003</w:t>
        </w:r>
      </w:hyperlink>
    </w:p>
    <w:p>
      <w:pPr>
        <w:pStyle w:val="BodyText"/>
        <w:spacing w:line="480" w:lineRule="auto"/>
        <w:ind w:firstLine="720"/>
      </w:pPr>
      <w:bookmarkStart w:id="167" w:name="ref-4"/>
      <w:bookmarkEnd w:id="167"/>
      <w:r>
        <w:t xml:space="preserve">4. W. Allington, A. Peterson, and K. Bowen,</w:t>
      </w:r>
      <w:r>
        <w:t xml:space="preserve"> </w:t>
      </w:r>
      <w:r>
        <w:t xml:space="preserve">“Developing a Secure Framework for Space Domain Awareness (SDA),”</w:t>
      </w:r>
      <w:r>
        <w:t xml:space="preserve"> </w:t>
      </w:r>
      <w:r>
        <w:t xml:space="preserve">in</w:t>
      </w:r>
      <w:r>
        <w:t xml:space="preserve"> </w:t>
      </w:r>
      <w:r>
        <w:rPr>
          <w:i/>
          <w:iCs/>
        </w:rPr>
        <w:t xml:space="preserve">Proc. Advanced Maui Optical and Space Surveillance Technologies (AMOS) Conference</w:t>
      </w:r>
      <w:r>
        <w:t xml:space="preserve">, 2023. doi:</w:t>
      </w:r>
      <w:r>
        <w:t xml:space="preserve"> </w:t>
      </w:r>
      <w:hyperlink r:id="rId168">
        <w:r>
          <w:rPr>
            <w:rStyle w:val="Hyperlink"/>
          </w:rPr>
          <w:t xml:space="preserve">10.64861/TRSQ4124</w:t>
        </w:r>
      </w:hyperlink>
    </w:p>
    <w:p>
      <w:pPr>
        <w:pStyle w:val="BodyText"/>
        <w:spacing w:line="480" w:lineRule="auto"/>
        <w:ind w:firstLine="720"/>
      </w:pPr>
      <w:bookmarkStart w:id="169" w:name="ref-5"/>
      <w:bookmarkEnd w:id="169"/>
      <w:r>
        <w:t xml:space="preserve">5. Cybersecurity and Infrastructure Security Agency,</w:t>
      </w:r>
      <w:r>
        <w:t xml:space="preserve"> </w:t>
      </w:r>
      <w:r>
        <w:t xml:space="preserve">“Binding Operational Directive 22-01: Reducing the Significant Risk of Known Exploited Vulnerabilities,”</w:t>
      </w:r>
      <w:r>
        <w:t xml:space="preserve"> </w:t>
      </w:r>
      <w:r>
        <w:t xml:space="preserve">CISA, 2021. https://www.cisa.gov/news-events/directives/bod-22-01-reducing-significant-risk-known-exploited-vulnerabilities</w:t>
      </w:r>
    </w:p>
    <w:p>
      <w:pPr>
        <w:pStyle w:val="BodyText"/>
        <w:spacing w:line="480" w:lineRule="auto"/>
        <w:ind w:firstLine="720"/>
      </w:pPr>
      <w:bookmarkStart w:id="170" w:name="ref-6"/>
      <w:bookmarkEnd w:id="170"/>
      <w:r>
        <w:t xml:space="preserve">6. Cybersecurity and Infrastructure Security Agency,</w:t>
      </w:r>
      <w:r>
        <w:t xml:space="preserve"> </w:t>
      </w:r>
      <w:r>
        <w:t xml:space="preserve">“Known Exploited Vulnerabilities Catalog,”</w:t>
      </w:r>
      <w:r>
        <w:t xml:space="preserve"> </w:t>
      </w:r>
      <w:r>
        <w:t xml:space="preserve">version 2026.06.18, released 2026-06-18. https://www.cisa.gov/known-exploited-vulnerabilities-catalog</w:t>
      </w:r>
    </w:p>
    <w:p>
      <w:pPr>
        <w:pStyle w:val="BodyText"/>
        <w:spacing w:line="480" w:lineRule="auto"/>
        <w:ind w:firstLine="720"/>
      </w:pPr>
      <w:bookmarkStart w:id="171" w:name="ref-7"/>
      <w:bookmarkEnd w:id="171"/>
      <w:r>
        <w:t xml:space="preserve">7. National Institute of Standards and Technology,</w:t>
      </w:r>
      <w:r>
        <w:t xml:space="preserve"> </w:t>
      </w:r>
      <w:r>
        <w:t xml:space="preserve">“National Vulnerability Database CVE API, version 2.0,”</w:t>
      </w:r>
      <w:r>
        <w:t xml:space="preserve"> </w:t>
      </w:r>
      <w:r>
        <w:t xml:space="preserve">NIST. https://services.nvd.nist.gov/rest/json/cves/2.0</w:t>
      </w:r>
    </w:p>
    <w:p>
      <w:pPr>
        <w:pStyle w:val="BodyText"/>
        <w:spacing w:line="480" w:lineRule="auto"/>
        <w:ind w:firstLine="720"/>
      </w:pPr>
      <w:bookmarkStart w:id="172" w:name="ref-8"/>
      <w:bookmarkEnd w:id="172"/>
      <w:r>
        <w:t xml:space="preserve">8. V. Koscinski, M. Nelson, A. Okutan, R. Falso, and M. Mirakhorli,</w:t>
      </w:r>
      <w:r>
        <w:t xml:space="preserve"> </w:t>
      </w:r>
      <w:r>
        <w:t xml:space="preserve">“Conflicting Scores, Confusing Signals: An Empirical Study of Vulnerability Scoring Systems,”</w:t>
      </w:r>
      <w:r>
        <w:t xml:space="preserve"> </w:t>
      </w:r>
      <w:r>
        <w:t xml:space="preserve">arXiv:2508.13644, 2025. https://arxiv.org/abs/2508.13644</w:t>
      </w:r>
    </w:p>
    <w:p>
      <w:pPr>
        <w:pStyle w:val="BodyText"/>
        <w:spacing w:line="480" w:lineRule="auto"/>
        <w:ind w:firstLine="720"/>
      </w:pPr>
      <w:bookmarkStart w:id="173" w:name="ref-9"/>
      <w:bookmarkEnd w:id="173"/>
      <w:r>
        <w:t xml:space="preserve">9. R. Parla,</w:t>
      </w:r>
      <w:r>
        <w:t xml:space="preserve"> </w:t>
      </w:r>
      <w:r>
        <w:t xml:space="preserve">“Efficacy of EPSS in High Severity CVEs found in KEV,”</w:t>
      </w:r>
      <w:r>
        <w:t xml:space="preserve"> </w:t>
      </w:r>
      <w:r>
        <w:t xml:space="preserve">arXiv:2411.02618, 2024. https://arxiv.org/abs/2411.02618</w:t>
      </w:r>
    </w:p>
    <w:p>
      <w:pPr>
        <w:pStyle w:val="BodyText"/>
        <w:spacing w:line="480" w:lineRule="auto"/>
        <w:ind w:firstLine="720"/>
      </w:pPr>
      <w:bookmarkStart w:id="174" w:name="ref-10"/>
      <w:bookmarkEnd w:id="174"/>
      <w:r>
        <w:t xml:space="preserve">10.</w:t>
      </w:r>
      <w:r>
        <w:t xml:space="preserve"> </w:t>
      </w:r>
      <w:r>
        <w:t xml:space="preserve">“Agent-based approaches for distributed space systems and mission management,”</w:t>
      </w:r>
      <w:r>
        <w:t xml:space="preserve"> </w:t>
      </w:r>
      <w:r>
        <w:t xml:space="preserve">Acta Astronautica, 2025. doi:</w:t>
      </w:r>
      <w:r>
        <w:t xml:space="preserve"> </w:t>
      </w:r>
      <w:hyperlink r:id="rId175">
        <w:r>
          <w:rPr>
            <w:rStyle w:val="Hyperlink"/>
          </w:rPr>
          <w:t xml:space="preserve">10.1016/j.actaastro.2025.10.018</w:t>
        </w:r>
      </w:hyperlink>
    </w:p>
    <w:p>
      <w:pPr>
        <w:pStyle w:val="BodyText"/>
        <w:spacing w:line="480" w:lineRule="auto"/>
        <w:ind w:firstLine="720"/>
      </w:pPr>
      <w:bookmarkStart w:id="176" w:name="ref-11"/>
      <w:bookmarkEnd w:id="176"/>
      <w:r>
        <w:t xml:space="preserve">11. Michael A. Helmbrecht (Iris AO, Inc.), Min He (Iris AO, Inc.), Carl Kempf (Iris AO, Inc.), Patrick Rhodes (Iris AO, Inc.). Scaling up of the Iris AO Segmented DM Technology for Atmospheric Correction (2009).</w:t>
      </w:r>
    </w:p>
    <w:p>
      <w:pPr>
        <w:pStyle w:val="BodyText"/>
        <w:spacing w:line="480" w:lineRule="auto"/>
        <w:ind w:firstLine="720"/>
      </w:pPr>
      <w:bookmarkStart w:id="177" w:name="ref-12"/>
      <w:bookmarkEnd w:id="177"/>
      <w:r>
        <w:t xml:space="preserve">12. Ian Ritchie (EOS Space Systems). Remote Control Southern Hemisphere SSA Observatory (2013).</w:t>
      </w:r>
    </w:p>
    <w:p>
      <w:pPr>
        <w:pStyle w:val="BodyText"/>
        <w:spacing w:line="480" w:lineRule="auto"/>
        <w:ind w:firstLine="720"/>
      </w:pPr>
      <w:bookmarkStart w:id="178" w:name="ref-13"/>
      <w:bookmarkEnd w:id="178"/>
      <w:r>
        <w:t xml:space="preserve">13. Melrose Brown, UNSW Canberra Space; Edwin G. W. Peters, University of New South Wales Canberra; Matthew Dilkes, UNSW Canberra Space; Ryan Jefferson, UNSW Canberra Space; Andrew Lambert, UNSW Canberra Space; Rabbia Saleem, UNSW Canberra Space; Russell Boyce, ; Ed Kruzins, UNSW Canberra Space; Timothy Bateman, UNSW Canberra Space. Autonomous Close Proximity Differential Drag Control of Low Earth Orbit Small Satellite Formations using an Inter-Satellite Radio Frequency Link (2023). doi:</w:t>
      </w:r>
      <w:r>
        <w:t xml:space="preserve"> </w:t>
      </w:r>
      <w:hyperlink r:id="rId179">
        <w:r>
          <w:rPr>
            <w:rStyle w:val="Hyperlink"/>
          </w:rPr>
          <w:t xml:space="preserve">10.64861/XIVA3792</w:t>
        </w:r>
      </w:hyperlink>
    </w:p>
    <w:p>
      <w:pPr>
        <w:pStyle w:val="BodyText"/>
        <w:spacing w:line="480" w:lineRule="auto"/>
        <w:ind w:firstLine="720"/>
      </w:pPr>
      <w:bookmarkStart w:id="180" w:name="ref-14"/>
      <w:bookmarkEnd w:id="180"/>
      <w:r>
        <w:t xml:space="preserve">14. Julia Briden, Massachusetts Institute of Technology; Peng Mun Siew, Massachusetts Institute of Technology; Victor Rodriguez-Fernandez, Universidad Politécnica de Madrid; Richard Linares, Massachusetts Institute of Technology. Transformer-based Atmospheric Density Forecasting (2023). doi:</w:t>
      </w:r>
      <w:r>
        <w:t xml:space="preserve"> </w:t>
      </w:r>
      <w:hyperlink r:id="rId181">
        <w:r>
          <w:rPr>
            <w:rStyle w:val="Hyperlink"/>
          </w:rPr>
          <w:t xml:space="preserve">10.64861/XAZU7498</w:t>
        </w:r>
      </w:hyperlink>
    </w:p>
    <w:p>
      <w:pPr>
        <w:pStyle w:val="BodyText"/>
        <w:spacing w:line="480" w:lineRule="auto"/>
        <w:ind w:firstLine="720"/>
      </w:pPr>
      <w:bookmarkStart w:id="182" w:name="ref-15"/>
      <w:bookmarkEnd w:id="182"/>
      <w:r>
        <w:t xml:space="preserve">15. Karina Rivera, University of Colorado Boulder; Anthony Zara, University of Colorado Boulder; Daniel Aguilar Marsillach, University of Colorado Boulder; Marcus Holzinger, University of Colorado Boulder; Ian Elliott, University of Colorado Boulder; Natasha Bosanac, University of Colorado Boulder. Patterns of Life and Maneuver Detection for Cislunar Trajectory Maintenance (2021).</w:t>
      </w:r>
    </w:p>
    <w:p>
      <w:pPr>
        <w:pStyle w:val="BodyText"/>
        <w:spacing w:line="480" w:lineRule="auto"/>
        <w:ind w:firstLine="720"/>
      </w:pPr>
      <w:bookmarkStart w:id="183" w:name="ref-16"/>
      <w:bookmarkEnd w:id="183"/>
      <w:r>
        <w:t xml:space="preserve">16. Darin Koblick, Raytheon. Novel Tulip-Shaped Three-body Orbits for Cislunar Space Domain Awareness Missions (2023). doi:</w:t>
      </w:r>
      <w:r>
        <w:t xml:space="preserve"> </w:t>
      </w:r>
      <w:hyperlink r:id="rId184">
        <w:r>
          <w:rPr>
            <w:rStyle w:val="Hyperlink"/>
          </w:rPr>
          <w:t xml:space="preserve">10.64861/FNFT3594</w:t>
        </w:r>
      </w:hyperlink>
    </w:p>
    <w:p>
      <w:pPr>
        <w:pStyle w:val="BodyText"/>
        <w:spacing w:line="480" w:lineRule="auto"/>
        <w:ind w:firstLine="720"/>
      </w:pPr>
      <w:bookmarkStart w:id="185" w:name="ref-17"/>
      <w:bookmarkEnd w:id="185"/>
      <w:r>
        <w:t xml:space="preserve">17. Ralf Purschke (Institute of Astronautics, Technische Universität München), Jan Harder (Institute of Astronautics, Technische Universität München), Andreas Fleischner (Institute of Astronautics, Technische Universität München). Demonstration of a Ka-Band communication path for On-Orbit Servicing (2011).</w:t>
      </w:r>
    </w:p>
    <w:p>
      <w:pPr>
        <w:pStyle w:val="BodyText"/>
        <w:spacing w:line="480" w:lineRule="auto"/>
        <w:ind w:firstLine="720"/>
      </w:pPr>
      <w:bookmarkStart w:id="186" w:name="ref-18"/>
      <w:bookmarkEnd w:id="186"/>
      <w:r>
        <w:t xml:space="preserve">18. Peter Onaka (Institute for Astronomy, University of Hawaii), J.L. Tonry (Institute for Astronomy), S. Isani (Institute for Astronomy), A. Lee (Institute for Astronomy), R. Uyeshiro (Institute for Astronomy), C. Rae (Institute for Astronomy), L. Robertson (Institute for Astronomy), G. Ching and the Pan-STARRS Project Team (Institute for Astronomy). Pan-STARRS PS1 STARGRASP Controller (2006).</w:t>
      </w:r>
    </w:p>
    <w:p>
      <w:pPr>
        <w:pStyle w:val="BodyText"/>
        <w:spacing w:line="480" w:lineRule="auto"/>
        <w:ind w:firstLine="720"/>
      </w:pPr>
      <w:bookmarkStart w:id="187" w:name="ref-19"/>
      <w:bookmarkEnd w:id="187"/>
      <w:r>
        <w:t xml:space="preserve">19. Ute Fischer; Kathleen L. Mosier; Josef Schmid; Andrew Smithsimmons; Rob Brougham. Braiding – A novel approach to supporting space/ground communication under signal latency (2023). doi:</w:t>
      </w:r>
      <w:r>
        <w:t xml:space="preserve"> </w:t>
      </w:r>
      <w:hyperlink r:id="rId188">
        <w:r>
          <w:rPr>
            <w:rStyle w:val="Hyperlink"/>
          </w:rPr>
          <w:t xml:space="preserve">10.1016/j.actaastro.2023.03.023</w:t>
        </w:r>
      </w:hyperlink>
    </w:p>
    <w:p>
      <w:pPr>
        <w:pStyle w:val="BodyText"/>
        <w:spacing w:line="480" w:lineRule="auto"/>
        <w:ind w:firstLine="720"/>
      </w:pPr>
      <w:bookmarkStart w:id="189" w:name="ref-20"/>
      <w:bookmarkEnd w:id="189"/>
      <w:r>
        <w:t xml:space="preserve">20. Bin Yang; Hongwei Yang; Shuang Li. Pseudostate theory based iterative preliminary design method for powered gravity-assist interplanetary trajectories (2019). doi:</w:t>
      </w:r>
      <w:r>
        <w:t xml:space="preserve"> </w:t>
      </w:r>
      <w:hyperlink r:id="rId190">
        <w:r>
          <w:rPr>
            <w:rStyle w:val="Hyperlink"/>
          </w:rPr>
          <w:t xml:space="preserve">10.1016/j.actaastro.2019.09.006</w:t>
        </w:r>
      </w:hyperlink>
    </w:p>
    <w:p>
      <w:pPr>
        <w:pStyle w:val="BodyText"/>
        <w:spacing w:line="480" w:lineRule="auto"/>
        <w:ind w:firstLine="720"/>
      </w:pPr>
      <w:bookmarkStart w:id="191" w:name="ref-21"/>
      <w:bookmarkEnd w:id="191"/>
      <w:r>
        <w:t xml:space="preserve">21. Sedat Izcan; Nishanth Pushparaj; Philip M. Williams; Chantal Cappelletti. Teleoperated astropharmaceutical payload for long-duration space missions: Project VITA! (2025). doi:</w:t>
      </w:r>
      <w:r>
        <w:t xml:space="preserve"> </w:t>
      </w:r>
      <w:hyperlink r:id="rId192">
        <w:r>
          <w:rPr>
            <w:rStyle w:val="Hyperlink"/>
          </w:rPr>
          <w:t xml:space="preserve">10.1016/j.actaastro.2025.10.020</w:t>
        </w:r>
      </w:hyperlink>
    </w:p>
    <w:p>
      <w:pPr>
        <w:pStyle w:val="BodyText"/>
        <w:spacing w:line="480" w:lineRule="auto"/>
        <w:ind w:firstLine="720"/>
      </w:pPr>
      <w:bookmarkStart w:id="193" w:name="ref-22"/>
      <w:bookmarkEnd w:id="193"/>
      <w:r>
        <w:t xml:space="preserve">22. Hendrik Kolvenbach; Anna Mittelholz; Simon C. Stähler; Philip Arm; Valentin Bickel; Adrian Fuhrer; Jorge Jódar; Ramon Margarit; Joseph Church; Elena Krasnova; Krzysztof Walas; Matthias Grott; Svein‐Erik Hamran; Özgür Karatekin; Miguel Olivares-Mendez; Sofía Coloma; Marco Pagnamenta; Michał Gumiela; Jordan Aaron; Marco Hutter. LunarLeaper—A mission concept to explore the lunar subsurface with a small-scale legged robot (2025). doi:</w:t>
      </w:r>
      <w:r>
        <w:t xml:space="preserve"> </w:t>
      </w:r>
      <w:hyperlink r:id="rId194">
        <w:r>
          <w:rPr>
            <w:rStyle w:val="Hyperlink"/>
          </w:rPr>
          <w:t xml:space="preserve">10.1016/j.actaastro.2025.11.039</w:t>
        </w:r>
      </w:hyperlink>
    </w:p>
    <w:p>
      <w:pPr>
        <w:pStyle w:val="BodyText"/>
        <w:spacing w:line="480" w:lineRule="auto"/>
        <w:ind w:firstLine="720"/>
      </w:pPr>
      <w:bookmarkStart w:id="195" w:name="ref-23"/>
      <w:bookmarkEnd w:id="195"/>
      <w:r>
        <w:t xml:space="preserve">23. Giulio De Angelis; Stefano Carletta; Edoardo Maria Leonardi; Mauro Pontani; Paolo Teofilatto. Information routing in satellite constellations via stereographic projection and static digraph (2026). doi:</w:t>
      </w:r>
      <w:r>
        <w:t xml:space="preserve"> </w:t>
      </w:r>
      <w:hyperlink r:id="rId196">
        <w:r>
          <w:rPr>
            <w:rStyle w:val="Hyperlink"/>
          </w:rPr>
          <w:t xml:space="preserve">10.1016/j.actaastro.2026.02.046</w:t>
        </w:r>
      </w:hyperlink>
    </w:p>
    <w:p>
      <w:pPr>
        <w:pStyle w:val="BodyText"/>
        <w:spacing w:line="480" w:lineRule="auto"/>
        <w:ind w:firstLine="720"/>
      </w:pPr>
      <w:bookmarkStart w:id="197" w:name="ref-24"/>
      <w:bookmarkEnd w:id="197"/>
      <w:r>
        <w:t xml:space="preserve">24. Alejandro Macario Rojas; D. M. Weigt; L. Alberto Cañizares; Shane A. Maloney; Sophie A. Murray; Peter T. Gallagher; Nicholas H. Crisp; Ciara McGrath. Mission concept for SURROUND: Operational space weather detection and tracking using small spacecraft (2026). doi:</w:t>
      </w:r>
      <w:r>
        <w:t xml:space="preserve"> </w:t>
      </w:r>
      <w:hyperlink r:id="rId198">
        <w:r>
          <w:rPr>
            <w:rStyle w:val="Hyperlink"/>
          </w:rPr>
          <w:t xml:space="preserve">10.1016/j.actaastro.2025.12.055</w:t>
        </w:r>
      </w:hyperlink>
    </w:p>
    <w:p>
      <w:pPr>
        <w:pStyle w:val="BodyText"/>
        <w:spacing w:line="480" w:lineRule="auto"/>
        <w:ind w:firstLine="720"/>
      </w:pPr>
      <w:bookmarkStart w:id="199" w:name="ref-25"/>
      <w:bookmarkEnd w:id="199"/>
      <w:r>
        <w:t xml:space="preserve">25. Michael Herman; Olivia J. Pinon Fischer; Dimitri N. Mavris. Sun sensor calibration algorithms: A systematic mapping and survey (2026). doi:</w:t>
      </w:r>
      <w:r>
        <w:t xml:space="preserve"> </w:t>
      </w:r>
      <w:hyperlink r:id="rId200">
        <w:r>
          <w:rPr>
            <w:rStyle w:val="Hyperlink"/>
          </w:rPr>
          <w:t xml:space="preserve">10.1016/j.actaastro.2025.12.053</w:t>
        </w:r>
      </w:hyperlink>
    </w:p>
    <w:p>
      <w:pPr>
        <w:pStyle w:val="BodyText"/>
        <w:spacing w:line="480" w:lineRule="auto"/>
        <w:ind w:firstLine="720"/>
      </w:pPr>
      <w:bookmarkStart w:id="201" w:name="ref-26"/>
      <w:bookmarkEnd w:id="201"/>
      <w:r>
        <w:t xml:space="preserve">26. Katsuki Tashiro; Shogo Nerome; Minori Fukuda; Hibiki Seki; Yusaku Ozeki; Hiroyuki Kobayashi; Yuki Amaki; Daiki Kobayashi; Kiyona Miyamoto; Kei Watanabe; Toshihiro Chujo; Hiroki Nakanishi; Satoru Ozawa; Saburo Matunaga; Yoichi Yatsu. On-orbit demonstration of near real-time communication via Globalstar for time-domain astronomy (2025). doi:</w:t>
      </w:r>
      <w:r>
        <w:t xml:space="preserve"> </w:t>
      </w:r>
      <w:hyperlink r:id="rId202">
        <w:r>
          <w:rPr>
            <w:rStyle w:val="Hyperlink"/>
          </w:rPr>
          <w:t xml:space="preserve">10.1016/j.actaastro.2025.12.003</w:t>
        </w:r>
      </w:hyperlink>
    </w:p>
    <w:bookmarkEnd w:id="203"/>
    <w:bookmarkEnd w:id="204"/>
    <w:bookmarkStart w:id="221"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12" w:name="X19ce8eea82904fe89c7c63d1e98531aa18910ee"/>
    <w:p>
      <w:pPr>
        <w:pStyle w:val="Heading2"/>
        <w:spacing w:line="480" w:lineRule="auto"/>
      </w:pPr>
      <w:r>
        <w:t xml:space="preserve">A.1 The Patch-Latency Window: An Ordinary-Least-Squares Estimate of How Long Ground-Segment and Mission-Control Vulnerabilities Stay Exploitable Before They Are Caught</w:t>
      </w:r>
    </w:p>
    <w:p>
      <w:pPr>
        <w:pStyle w:val="FirstParagraph"/>
        <w:spacing w:line="480" w:lineRule="auto"/>
      </w:pPr>
      <m:oMathPara>
        <m:oMathParaPr>
          <m:jc m:val="center"/>
        </m:oMathParaPr>
        <m:oMath>
          <m:r>
            <m:rPr>
              <m:sty m:val="p"/>
            </m:rPr>
            <m:t>ln</m:t>
          </m:r>
          <m:r>
            <m:rPr>
              <m:sty m:val="p"/>
            </m:rPr>
            <m:t>(</m:t>
          </m:r>
          <m:sSub>
            <m:e>
              <m:r>
                <m:rPr>
                  <m:nor/>
                  <m:sty m:val="p"/>
                </m:rPr>
                <m:t>exposure_days</m:t>
              </m:r>
            </m:e>
            <m:sub>
              <m:r>
                <m:t>i</m:t>
              </m:r>
            </m:sub>
          </m:sSub>
          <m:r>
            <m:rPr>
              <m:sty m:val="p"/>
            </m:rPr>
            <m:t>)</m:t>
          </m:r>
          <m:r>
            <m:rPr>
              <m:sty m:val="p"/>
            </m:rPr>
            <m:t>=</m:t>
          </m:r>
          <m:sSub>
            <m:e>
              <m:r>
                <m:t>β</m:t>
              </m:r>
            </m:e>
            <m:sub>
              <m:r>
                <m:t>0</m:t>
              </m:r>
            </m:sub>
          </m:sSub>
          <m:r>
            <m:rPr>
              <m:sty m:val="p"/>
            </m:rPr>
            <m:t>+</m:t>
          </m:r>
          <m:sSub>
            <m:e>
              <m:r>
                <m:t>β</m:t>
              </m:r>
            </m:e>
            <m:sub>
              <m:r>
                <m:t>1</m:t>
              </m:r>
            </m:sub>
          </m:sSub>
          <m:r>
            <m:t> </m:t>
          </m:r>
          <m:sSub>
            <m:e>
              <m:r>
                <m:rPr>
                  <m:nor/>
                  <m:sty m:val="p"/>
                </m:rPr>
                <m:t>cvss</m:t>
              </m:r>
            </m:e>
            <m:sub>
              <m:r>
                <m:t>i</m:t>
              </m:r>
            </m:sub>
          </m:sSub>
          <m:r>
            <m:rPr>
              <m:sty m:val="p"/>
            </m:rPr>
            <m:t>+</m:t>
          </m:r>
          <m:sSub>
            <m:e>
              <m:r>
                <m:t>β</m:t>
              </m:r>
            </m:e>
            <m:sub>
              <m:r>
                <m:t>2</m:t>
              </m:r>
            </m:sub>
          </m:sSub>
          <m:r>
            <m:t> </m:t>
          </m:r>
          <m:sSub>
            <m:e>
              <m:r>
                <m:rPr>
                  <m:nor/>
                  <m:sty m:val="p"/>
                </m:rPr>
                <m:t>is_edge</m:t>
              </m:r>
            </m:e>
            <m:sub>
              <m:r>
                <m:t>i</m:t>
              </m:r>
            </m:sub>
          </m:sSub>
          <m:r>
            <m:rPr>
              <m:sty m:val="p"/>
            </m:rPr>
            <m:t>+</m:t>
          </m:r>
          <m:sSub>
            <m:e>
              <m:r>
                <m:t>β</m:t>
              </m:r>
            </m:e>
            <m:sub>
              <m:r>
                <m:t>3</m:t>
              </m:r>
            </m:sub>
          </m:sSub>
          <m:r>
            <m:t> </m:t>
          </m:r>
          <m:sSub>
            <m:e>
              <m:r>
                <m:rPr>
                  <m:nor/>
                  <m:sty m:val="p"/>
                </m:rPr>
                <m:t>ransomware</m:t>
              </m:r>
            </m:e>
            <m:sub>
              <m:r>
                <m:t>i</m:t>
              </m:r>
            </m:sub>
          </m:sSub>
          <m:r>
            <m:rPr>
              <m:sty m:val="p"/>
            </m:rPr>
            <m:t>+</m:t>
          </m:r>
          <m:sSub>
            <m:e>
              <m:r>
                <m:t>β</m:t>
              </m:r>
            </m:e>
            <m:sub>
              <m:r>
                <m:t>4</m:t>
              </m:r>
            </m:sub>
          </m:sSub>
          <m:r>
            <m:t> </m:t>
          </m:r>
          <m:sSub>
            <m:e>
              <m:r>
                <m:rPr>
                  <m:nor/>
                  <m:sty m:val="p"/>
                </m:rPr>
                <m:t>post_bod</m:t>
              </m:r>
            </m:e>
            <m:sub>
              <m:r>
                <m:t>i</m:t>
              </m:r>
            </m:sub>
          </m:sSub>
          <m:r>
            <m:rPr>
              <m:sty m:val="p"/>
            </m:rPr>
            <m:t>+</m:t>
          </m:r>
          <m:sSub>
            <m:e>
              <m:r>
                <m:t>ε</m:t>
              </m:r>
            </m:e>
            <m:sub>
              <m:r>
                <m:t>i</m:t>
              </m:r>
            </m:sub>
          </m:sSub>
        </m:oMath>
      </m:oMathPara>
    </w:p>
    <w:bookmarkStart w:id="205"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8.4031</w:t>
            </w:r>
          </w:p>
        </w:tc>
        <w:tc>
          <w:tcPr>
            <w:tcW w:w="0" w:type="auto"/>
          </w:tcPr>
          <w:p>
            <w:pPr>
              <w:spacing w:line="240" w:lineRule="auto" w:before="0" w:after="0"/>
              <w:pStyle w:val="Compact"/>
            </w:pPr>
            <w:r>
              <w:rPr>
                <w:sz w:val="20"/>
                <w:szCs w:val="20"/>
              </w:rPr>
              <w:t xml:space="preserve">1.4056</w:t>
            </w:r>
          </w:p>
        </w:tc>
        <w:tc>
          <w:tcPr>
            <w:tcW w:w="0" w:type="auto"/>
          </w:tcPr>
          <w:p>
            <w:pPr>
              <w:spacing w:line="240" w:lineRule="auto" w:before="0" w:after="0"/>
              <w:pStyle w:val="Compact"/>
            </w:pPr>
            <w:r>
              <w:rPr>
                <w:sz w:val="20"/>
                <w:szCs w:val="20"/>
              </w:rPr>
              <w:t xml:space="preserve">5.9784</w:t>
            </w:r>
          </w:p>
        </w:tc>
        <w:tc>
          <w:tcPr>
            <w:tcW w:w="0" w:type="auto"/>
          </w:tcPr>
          <w:p>
            <w:pPr>
              <w:spacing w:line="240" w:lineRule="auto" w:before="0" w:after="0"/>
              <w:pStyle w:val="Compact"/>
            </w:pPr>
            <w:r>
              <w:rPr>
                <w:sz w:val="20"/>
                <w:szCs w:val="20"/>
              </w:rPr>
              <w:t xml:space="preserve">2.254e-09</w:t>
            </w:r>
          </w:p>
        </w:tc>
        <w:tc>
          <w:tcPr>
            <w:tcW w:w="0" w:type="auto"/>
          </w:tcPr>
          <w:p>
            <w:pPr>
              <w:spacing w:line="240" w:lineRule="auto" w:before="0" w:after="0"/>
              <w:pStyle w:val="Compact"/>
            </w:pPr>
            <w:r>
              <w:rPr>
                <w:sz w:val="20"/>
                <w:szCs w:val="20"/>
              </w:rPr>
              <w:t xml:space="preserve">[5.6482, 11.1579]</w:t>
            </w:r>
          </w:p>
        </w:tc>
      </w:tr>
      <w:tr>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-0.1917</w:t>
            </w:r>
          </w:p>
        </w:tc>
        <w:tc>
          <w:tcPr>
            <w:tcW w:w="0" w:type="auto"/>
          </w:tcPr>
          <w:p>
            <w:pPr>
              <w:spacing w:line="240" w:lineRule="auto" w:before="0" w:after="0"/>
              <w:pStyle w:val="Compact"/>
            </w:pPr>
            <w:r>
              <w:rPr>
                <w:sz w:val="20"/>
                <w:szCs w:val="20"/>
              </w:rPr>
              <w:t xml:space="preserve">0.1516</w:t>
            </w:r>
          </w:p>
        </w:tc>
        <w:tc>
          <w:tcPr>
            <w:tcW w:w="0" w:type="auto"/>
          </w:tcPr>
          <w:p>
            <w:pPr>
              <w:spacing w:line="240" w:lineRule="auto" w:before="0" w:after="0"/>
              <w:pStyle w:val="Compact"/>
            </w:pPr>
            <w:r>
              <w:rPr>
                <w:sz w:val="20"/>
                <w:szCs w:val="20"/>
              </w:rPr>
              <w:t xml:space="preserve">-1.2648</w:t>
            </w:r>
          </w:p>
        </w:tc>
        <w:tc>
          <w:tcPr>
            <w:tcW w:w="0" w:type="auto"/>
          </w:tcPr>
          <w:p>
            <w:pPr>
              <w:spacing w:line="240" w:lineRule="auto" w:before="0" w:after="0"/>
              <w:pStyle w:val="Compact"/>
            </w:pPr>
            <w:r>
              <w:rPr>
                <w:sz w:val="20"/>
                <w:szCs w:val="20"/>
              </w:rPr>
              <w:t xml:space="preserve">0.2059</w:t>
            </w:r>
          </w:p>
        </w:tc>
        <w:tc>
          <w:tcPr>
            <w:tcW w:w="0" w:type="auto"/>
          </w:tcPr>
          <w:p>
            <w:pPr>
              <w:spacing w:line="240" w:lineRule="auto" w:before="0" w:after="0"/>
              <w:pStyle w:val="Compact"/>
            </w:pPr>
            <w:r>
              <w:rPr>
                <w:sz w:val="20"/>
                <w:szCs w:val="20"/>
              </w:rPr>
              <w:t xml:space="preserve">[-0.4888, 0.1054]</w:t>
            </w:r>
          </w:p>
        </w:tc>
      </w:tr>
      <w:tr>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0.3698</w:t>
            </w:r>
          </w:p>
        </w:tc>
        <w:tc>
          <w:tcPr>
            <w:tcW w:w="0" w:type="auto"/>
          </w:tcPr>
          <w:p>
            <w:pPr>
              <w:spacing w:line="240" w:lineRule="auto" w:before="0" w:after="0"/>
              <w:pStyle w:val="Compact"/>
            </w:pPr>
            <w:r>
              <w:rPr>
                <w:sz w:val="20"/>
                <w:szCs w:val="20"/>
              </w:rPr>
              <w:t xml:space="preserve">0.4789</w:t>
            </w:r>
          </w:p>
        </w:tc>
        <w:tc>
          <w:tcPr>
            <w:tcW w:w="0" w:type="auto"/>
          </w:tcPr>
          <w:p>
            <w:pPr>
              <w:spacing w:line="240" w:lineRule="auto" w:before="0" w:after="0"/>
              <w:pStyle w:val="Compact"/>
            </w:pPr>
            <w:r>
              <w:rPr>
                <w:sz w:val="20"/>
                <w:szCs w:val="20"/>
              </w:rPr>
              <w:t xml:space="preserve">0.7722</w:t>
            </w:r>
          </w:p>
        </w:tc>
        <w:tc>
          <w:tcPr>
            <w:tcW w:w="0" w:type="auto"/>
          </w:tcPr>
          <w:p>
            <w:pPr>
              <w:spacing w:line="240" w:lineRule="auto" w:before="0" w:after="0"/>
              <w:pStyle w:val="Compact"/>
            </w:pPr>
            <w:r>
              <w:rPr>
                <w:sz w:val="20"/>
                <w:szCs w:val="20"/>
              </w:rPr>
              <w:t xml:space="preserve">0.44</w:t>
            </w:r>
          </w:p>
        </w:tc>
        <w:tc>
          <w:tcPr>
            <w:tcW w:w="0" w:type="auto"/>
          </w:tcPr>
          <w:p>
            <w:pPr>
              <w:spacing w:line="240" w:lineRule="auto" w:before="0" w:after="0"/>
              <w:pStyle w:val="Compact"/>
            </w:pPr>
            <w:r>
              <w:rPr>
                <w:sz w:val="20"/>
                <w:szCs w:val="20"/>
              </w:rPr>
              <w:t xml:space="preserve">[-0.5688, 1.3084]</w:t>
            </w:r>
          </w:p>
        </w:tc>
      </w:tr>
      <w:tr>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-0.7406</w:t>
            </w:r>
          </w:p>
        </w:tc>
        <w:tc>
          <w:tcPr>
            <w:tcW w:w="0" w:type="auto"/>
          </w:tcPr>
          <w:p>
            <w:pPr>
              <w:spacing w:line="240" w:lineRule="auto" w:before="0" w:after="0"/>
              <w:pStyle w:val="Compact"/>
            </w:pPr>
            <w:r>
              <w:rPr>
                <w:sz w:val="20"/>
                <w:szCs w:val="20"/>
              </w:rPr>
              <w:t xml:space="preserve">0.5237</w:t>
            </w:r>
          </w:p>
        </w:tc>
        <w:tc>
          <w:tcPr>
            <w:tcW w:w="0" w:type="auto"/>
          </w:tcPr>
          <w:p>
            <w:pPr>
              <w:spacing w:line="240" w:lineRule="auto" w:before="0" w:after="0"/>
              <w:pStyle w:val="Compact"/>
            </w:pPr>
            <w:r>
              <w:rPr>
                <w:sz w:val="20"/>
                <w:szCs w:val="20"/>
              </w:rPr>
              <w:t xml:space="preserve">-1.4141</w:t>
            </w:r>
          </w:p>
        </w:tc>
        <w:tc>
          <w:tcPr>
            <w:tcW w:w="0" w:type="auto"/>
          </w:tcPr>
          <w:p>
            <w:pPr>
              <w:spacing w:line="240" w:lineRule="auto" w:before="0" w:after="0"/>
              <w:pStyle w:val="Compact"/>
            </w:pPr>
            <w:r>
              <w:rPr>
                <w:sz w:val="20"/>
                <w:szCs w:val="20"/>
              </w:rPr>
              <w:t xml:space="preserve">0.1573</w:t>
            </w:r>
          </w:p>
        </w:tc>
        <w:tc>
          <w:tcPr>
            <w:tcW w:w="0" w:type="auto"/>
          </w:tcPr>
          <w:p>
            <w:pPr>
              <w:spacing w:line="240" w:lineRule="auto" w:before="0" w:after="0"/>
              <w:pStyle w:val="Compact"/>
            </w:pPr>
            <w:r>
              <w:rPr>
                <w:sz w:val="20"/>
                <w:szCs w:val="20"/>
              </w:rPr>
              <w:t xml:space="preserve">[-1.767, 0.2859]</w:t>
            </w:r>
          </w:p>
        </w:tc>
      </w:tr>
      <w:tr>
        <w:tc>
          <w:tcPr>
            <w:tcW w:w="0" w:type="auto"/>
          </w:tcPr>
          <w:p>
            <w:pPr>
              <w:spacing w:line="240" w:lineRule="auto" w:before="0" w:after="0"/>
              <w:pStyle w:val="Compact"/>
            </w:pPr>
            <w:r>
              <w:rPr>
                <w:sz w:val="20"/>
                <w:szCs w:val="20"/>
              </w:rPr>
              <w:t xml:space="preserve">post_bod</w:t>
            </w:r>
          </w:p>
        </w:tc>
        <w:tc>
          <w:tcPr>
            <w:tcW w:w="0" w:type="auto"/>
          </w:tcPr>
          <w:p>
            <w:pPr>
              <w:spacing w:line="240" w:lineRule="auto" w:before="0" w:after="0"/>
              <w:pStyle w:val="Compact"/>
            </w:pPr>
            <w:r>
              <w:rPr>
                <w:sz w:val="20"/>
                <w:szCs w:val="20"/>
              </w:rPr>
              <w:t xml:space="preserve">-4.7637</w:t>
            </w:r>
          </w:p>
        </w:tc>
        <w:tc>
          <w:tcPr>
            <w:tcW w:w="0" w:type="auto"/>
          </w:tcPr>
          <w:p>
            <w:pPr>
              <w:spacing w:line="240" w:lineRule="auto" w:before="0" w:after="0"/>
              <w:pStyle w:val="Compact"/>
            </w:pPr>
            <w:r>
              <w:rPr>
                <w:sz w:val="20"/>
                <w:szCs w:val="20"/>
              </w:rPr>
              <w:t xml:space="preserve">0.4329</w:t>
            </w:r>
          </w:p>
        </w:tc>
        <w:tc>
          <w:tcPr>
            <w:tcW w:w="0" w:type="auto"/>
          </w:tcPr>
          <w:p>
            <w:pPr>
              <w:spacing w:line="240" w:lineRule="auto" w:before="0" w:after="0"/>
              <w:pStyle w:val="Compact"/>
            </w:pPr>
            <w:r>
              <w:rPr>
                <w:sz w:val="20"/>
                <w:szCs w:val="20"/>
              </w:rPr>
              <w:t xml:space="preserve">-11.0045</w:t>
            </w:r>
          </w:p>
        </w:tc>
        <w:tc>
          <w:tcPr>
            <w:tcW w:w="0" w:type="auto"/>
          </w:tcPr>
          <w:p>
            <w:pPr>
              <w:spacing w:line="240" w:lineRule="auto" w:before="0" w:after="0"/>
              <w:pStyle w:val="Compact"/>
            </w:pPr>
            <w:r>
              <w:rPr>
                <w:sz w:val="20"/>
                <w:szCs w:val="20"/>
              </w:rPr>
              <w:t xml:space="preserve">3.635e-28</w:t>
            </w:r>
          </w:p>
        </w:tc>
        <w:tc>
          <w:tcPr>
            <w:tcW w:w="0" w:type="auto"/>
          </w:tcPr>
          <w:p>
            <w:pPr>
              <w:spacing w:line="240" w:lineRule="auto" w:before="0" w:after="0"/>
              <w:pStyle w:val="Compact"/>
            </w:pPr>
            <w:r>
              <w:rPr>
                <w:sz w:val="20"/>
                <w:szCs w:val="20"/>
              </w:rPr>
              <w:t xml:space="preserve">[-5.6121, -3.9152]</w:t>
            </w:r>
          </w:p>
        </w:tc>
      </w:tr>
    </w:tbl>
    <w:p>
      <w:pPr>
        <w:pStyle w:val="BodyText"/>
        <w:spacing w:line="480" w:lineRule="auto"/>
        <w:ind w:firstLine="720"/>
      </w:pPr>
      <w:r>
        <w:t xml:space="preserve">Fit: N = 37 R2 = 0.7501 R2_adj = 0.7188 F = 32.5607 F_p = 7.261e-11</w:t>
      </w:r>
    </w:p>
    <w:bookmarkEnd w:id="205"/>
    <w:bookmarkStart w:id="209"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Patch-latency window against CVSS base severity for 37 ground-segment and mission-control-relevant vulnerabilities (CISA KEV cross-referenced with NVD). Each point is one CVE." title="" id="207" name="Picture"/>
            <a:graphic>
              <a:graphicData uri="http://schemas.openxmlformats.org/drawingml/2006/picture">
                <pic:pic>
                  <pic:nvPicPr>
                    <pic:cNvPr descr="D:/Claude_Code/brain/collegium/candidates/dissertations/CYBER_AI_01/research_papers/p1/paper_fig1.png" id="208" name="Picture"/>
                    <pic:cNvPicPr>
                      <a:picLocks noChangeArrowheads="1" noChangeAspect="1"/>
                    </pic:cNvPicPr>
                  </pic:nvPicPr>
                  <pic:blipFill>
                    <a:blip r:embed="rId20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Patch-latency window against CVSS base severity for 37 ground-segment and mission-control-relevant vulnerabilities (CISA KEV cross-referenced with NVD). Each point is one CVE.</w:t>
      </w:r>
    </w:p>
    <w:bookmarkEnd w:id="209"/>
    <w:bookmarkStart w:id="210"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cve</w:t>
            </w:r>
          </w:p>
        </w:tc>
        <w:tc>
          <w:tcPr>
            <w:tcW w:w="0" w:type="auto"/>
          </w:tcPr>
          <w:p>
            <w:pPr>
              <w:spacing w:line="240" w:lineRule="auto" w:before="0" w:after="0"/>
              <w:pStyle w:val="Compact"/>
            </w:pPr>
            <w:r>
              <w:rPr>
                <w:sz w:val="20"/>
                <w:szCs w:val="20"/>
              </w:rPr>
              <w:t xml:space="preserve">vendor</w:t>
            </w:r>
          </w:p>
        </w:tc>
        <w:tc>
          <w:tcPr>
            <w:tcW w:w="0" w:type="auto"/>
          </w:tcPr>
          <w:p>
            <w:pPr>
              <w:spacing w:line="240" w:lineRule="auto" w:before="0" w:after="0"/>
              <w:pStyle w:val="Compact"/>
            </w:pPr>
            <w:r>
              <w:rPr>
                <w:sz w:val="20"/>
                <w:szCs w:val="20"/>
              </w:rPr>
              <w:t xml:space="preserve">product</w:t>
            </w:r>
          </w:p>
        </w:tc>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post_bod</w:t>
            </w:r>
          </w:p>
        </w:tc>
        <w:tc>
          <w:tcPr>
            <w:tcW w:w="0" w:type="auto"/>
          </w:tcPr>
          <w:p>
            <w:pPr>
              <w:spacing w:line="240" w:lineRule="auto" w:before="0" w:after="0"/>
              <w:pStyle w:val="Compact"/>
            </w:pPr>
            <w:r>
              <w:rPr>
                <w:sz w:val="20"/>
                <w:szCs w:val="20"/>
              </w:rPr>
              <w:t xml:space="preserve">nvd_published</w:t>
            </w:r>
          </w:p>
        </w:tc>
        <w:tc>
          <w:tcPr>
            <w:tcW w:w="0" w:type="auto"/>
          </w:tcPr>
          <w:p>
            <w:pPr>
              <w:spacing w:line="240" w:lineRule="auto" w:before="0" w:after="0"/>
              <w:pStyle w:val="Compact"/>
            </w:pPr>
            <w:r>
              <w:rPr>
                <w:sz w:val="20"/>
                <w:szCs w:val="20"/>
              </w:rPr>
              <w:t xml:space="preserve">kev_added</w:t>
            </w:r>
          </w:p>
        </w:tc>
        <w:tc>
          <w:tcPr>
            <w:tcW w:w="0" w:type="auto"/>
          </w:tcPr>
          <w:p>
            <w:pPr>
              <w:spacing w:line="240" w:lineRule="auto" w:before="0" w:after="0"/>
              <w:pStyle w:val="Compact"/>
            </w:pPr>
            <w:r>
              <w:rPr>
                <w:sz w:val="20"/>
                <w:szCs w:val="20"/>
              </w:rPr>
              <w:t xml:space="preserve">exposure_days</w:t>
            </w:r>
          </w:p>
        </w:tc>
        <w:tc>
          <w:tcPr>
            <w:tcW w:w="0" w:type="auto"/>
          </w:tcPr>
          <w:p>
            <w:pPr>
              <w:spacing w:line="240" w:lineRule="auto" w:before="0" w:after="0"/>
              <w:pStyle w:val="Compact"/>
            </w:pPr>
            <w:r>
              <w:rPr>
                <w:sz w:val="20"/>
                <w:szCs w:val="20"/>
              </w:rPr>
              <w:t xml:space="preserve">ln_exposure_days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CVE-2021-38406</w:t>
            </w:r>
          </w:p>
        </w:tc>
        <w:tc>
          <w:tcPr>
            <w:tcW w:w="0" w:type="auto"/>
          </w:tcPr>
          <w:p>
            <w:pPr>
              <w:spacing w:line="240" w:lineRule="auto" w:before="0" w:after="0"/>
              <w:pStyle w:val="Compact"/>
            </w:pPr>
            <w:r>
              <w:rPr>
                <w:sz w:val="20"/>
                <w:szCs w:val="20"/>
              </w:rPr>
              <w:t xml:space="preserve">Delta Electronics</w:t>
            </w:r>
          </w:p>
        </w:tc>
        <w:tc>
          <w:tcPr>
            <w:tcW w:w="0" w:type="auto"/>
          </w:tcPr>
          <w:p>
            <w:pPr>
              <w:spacing w:line="240" w:lineRule="auto" w:before="0" w:after="0"/>
              <w:pStyle w:val="Compact"/>
            </w:pPr>
            <w:r>
              <w:rPr>
                <w:sz w:val="20"/>
                <w:szCs w:val="20"/>
              </w:rPr>
              <w:t xml:space="preserve">DOPSoft 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2021-09-17</w:t>
            </w:r>
          </w:p>
        </w:tc>
        <w:tc>
          <w:tcPr>
            <w:tcW w:w="0" w:type="auto"/>
          </w:tcPr>
          <w:p>
            <w:pPr>
              <w:spacing w:line="240" w:lineRule="auto" w:before="0" w:after="0"/>
              <w:pStyle w:val="Compact"/>
            </w:pPr>
            <w:r>
              <w:rPr>
                <w:sz w:val="20"/>
                <w:szCs w:val="20"/>
              </w:rPr>
              <w:t xml:space="preserve">2022-08-25</w:t>
            </w:r>
          </w:p>
        </w:tc>
        <w:tc>
          <w:tcPr>
            <w:tcW w:w="0" w:type="auto"/>
          </w:tcPr>
          <w:p>
            <w:pPr>
              <w:spacing w:line="240" w:lineRule="auto" w:before="0" w:after="0"/>
              <w:pStyle w:val="Compact"/>
            </w:pPr>
            <w:r>
              <w:rPr>
                <w:sz w:val="20"/>
                <w:szCs w:val="20"/>
              </w:rPr>
              <w:t xml:space="preserve">342</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CISA KEV v2026.06.18 entry CVE-2021-38406 (Delta Electronics DOPSoft 2; dateAdded 2022-08-25; ransomware=0); NVD CVE API 2.0 CVE-2021-38406 (published 2021-09-17; CVSS V31 base 7.8)</w:t>
            </w:r>
          </w:p>
        </w:tc>
      </w:tr>
      <w:tr>
        <w:tc>
          <w:tcPr>
            <w:tcW w:w="0" w:type="auto"/>
          </w:tcPr>
          <w:p>
            <w:pPr>
              <w:spacing w:line="240" w:lineRule="auto" w:before="0" w:after="0"/>
              <w:pStyle w:val="Compact"/>
            </w:pPr>
            <w:r>
              <w:rPr>
                <w:sz w:val="20"/>
                <w:szCs w:val="20"/>
              </w:rPr>
              <w:t xml:space="preserve">CVE-2018-7841</w:t>
            </w:r>
          </w:p>
        </w:tc>
        <w:tc>
          <w:tcPr>
            <w:tcW w:w="0" w:type="auto"/>
          </w:tcPr>
          <w:p>
            <w:pPr>
              <w:spacing w:line="240" w:lineRule="auto" w:before="0" w:after="0"/>
              <w:pStyle w:val="Compact"/>
            </w:pPr>
            <w:r>
              <w:rPr>
                <w:sz w:val="20"/>
                <w:szCs w:val="20"/>
              </w:rPr>
              <w:t xml:space="preserve">Schneider Electric</w:t>
            </w:r>
          </w:p>
        </w:tc>
        <w:tc>
          <w:tcPr>
            <w:tcW w:w="0" w:type="auto"/>
          </w:tcPr>
          <w:p>
            <w:pPr>
              <w:spacing w:line="240" w:lineRule="auto" w:before="0" w:after="0"/>
              <w:pStyle w:val="Compact"/>
            </w:pPr>
            <w:r>
              <w:rPr>
                <w:sz w:val="20"/>
                <w:szCs w:val="20"/>
              </w:rPr>
              <w:t xml:space="preserve">U.motion Builder</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2019-05-22</w:t>
            </w:r>
          </w:p>
        </w:tc>
        <w:tc>
          <w:tcPr>
            <w:tcW w:w="0" w:type="auto"/>
          </w:tcPr>
          <w:p>
            <w:pPr>
              <w:spacing w:line="240" w:lineRule="auto" w:before="0" w:after="0"/>
              <w:pStyle w:val="Compact"/>
            </w:pPr>
            <w:r>
              <w:rPr>
                <w:sz w:val="20"/>
                <w:szCs w:val="20"/>
              </w:rPr>
              <w:t xml:space="preserve">2022-04-15</w:t>
            </w:r>
          </w:p>
        </w:tc>
        <w:tc>
          <w:tcPr>
            <w:tcW w:w="0" w:type="auto"/>
          </w:tcPr>
          <w:p>
            <w:pPr>
              <w:spacing w:line="240" w:lineRule="auto" w:before="0" w:after="0"/>
              <w:pStyle w:val="Compact"/>
            </w:pPr>
            <w:r>
              <w:rPr>
                <w:sz w:val="20"/>
                <w:szCs w:val="20"/>
              </w:rPr>
              <w:t xml:space="preserve">1059</w:t>
            </w:r>
          </w:p>
        </w:tc>
        <w:tc>
          <w:tcPr>
            <w:tcW w:w="0" w:type="auto"/>
          </w:tcPr>
          <w:p>
            <w:pPr>
              <w:spacing w:line="240" w:lineRule="auto" w:before="0" w:after="0"/>
              <w:pStyle w:val="Compact"/>
            </w:pPr>
            <w:r>
              <w:rPr>
                <w:sz w:val="20"/>
                <w:szCs w:val="20"/>
              </w:rPr>
              <w:t xml:space="preserve">6.9651</w:t>
            </w:r>
          </w:p>
        </w:tc>
        <w:tc>
          <w:tcPr>
            <w:tcW w:w="0" w:type="auto"/>
          </w:tcPr>
          <w:p>
            <w:pPr>
              <w:spacing w:line="240" w:lineRule="auto" w:before="0" w:after="0"/>
              <w:pStyle w:val="Compact"/>
            </w:pPr>
            <w:r>
              <w:rPr>
                <w:sz w:val="20"/>
                <w:szCs w:val="20"/>
              </w:rPr>
              <w:t xml:space="preserve">CISA KEV v2026.06.18 entry CVE-2018-7841 (Schneider Electric U.motion Builder; dateAdded 2022-04-15; ransomware=0); NVD CVE API 2.0 CVE-2018-7841 (published 2019-05-22; CVSS V31 base 9.8)</w:t>
            </w:r>
          </w:p>
        </w:tc>
      </w:tr>
      <w:tr>
        <w:tc>
          <w:tcPr>
            <w:tcW w:w="0" w:type="auto"/>
          </w:tcPr>
          <w:p>
            <w:pPr>
              <w:spacing w:line="240" w:lineRule="auto" w:before="0" w:after="0"/>
              <w:pStyle w:val="Compact"/>
            </w:pPr>
            <w:r>
              <w:rPr>
                <w:sz w:val="20"/>
                <w:szCs w:val="20"/>
              </w:rPr>
              <w:t xml:space="preserve">CVE-2016-8562</w:t>
            </w:r>
          </w:p>
        </w:tc>
        <w:tc>
          <w:tcPr>
            <w:tcW w:w="0" w:type="auto"/>
          </w:tcPr>
          <w:p>
            <w:pPr>
              <w:spacing w:line="240" w:lineRule="auto" w:before="0" w:after="0"/>
              <w:pStyle w:val="Compact"/>
            </w:pPr>
            <w:r>
              <w:rPr>
                <w:sz w:val="20"/>
                <w:szCs w:val="20"/>
              </w:rPr>
              <w:t xml:space="preserve">Siemens</w:t>
            </w:r>
          </w:p>
        </w:tc>
        <w:tc>
          <w:tcPr>
            <w:tcW w:w="0" w:type="auto"/>
          </w:tcPr>
          <w:p>
            <w:pPr>
              <w:spacing w:line="240" w:lineRule="auto" w:before="0" w:after="0"/>
              <w:pStyle w:val="Compact"/>
            </w:pPr>
            <w:r>
              <w:rPr>
                <w:sz w:val="20"/>
                <w:szCs w:val="20"/>
              </w:rPr>
              <w:t xml:space="preserve">SIMATIC CP</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2016-11-18</w:t>
            </w:r>
          </w:p>
        </w:tc>
        <w:tc>
          <w:tcPr>
            <w:tcW w:w="0" w:type="auto"/>
          </w:tcPr>
          <w:p>
            <w:pPr>
              <w:spacing w:line="240" w:lineRule="auto" w:before="0" w:after="0"/>
              <w:pStyle w:val="Compact"/>
            </w:pPr>
            <w:r>
              <w:rPr>
                <w:sz w:val="20"/>
                <w:szCs w:val="20"/>
              </w:rPr>
              <w:t xml:space="preserve">2022-03-03</w:t>
            </w:r>
          </w:p>
        </w:tc>
        <w:tc>
          <w:tcPr>
            <w:tcW w:w="0" w:type="auto"/>
          </w:tcPr>
          <w:p>
            <w:pPr>
              <w:spacing w:line="240" w:lineRule="auto" w:before="0" w:after="0"/>
              <w:pStyle w:val="Compact"/>
            </w:pPr>
            <w:r>
              <w:rPr>
                <w:sz w:val="20"/>
                <w:szCs w:val="20"/>
              </w:rPr>
              <w:t xml:space="preserve">1931</w:t>
            </w:r>
          </w:p>
        </w:tc>
        <w:tc>
          <w:tcPr>
            <w:tcW w:w="0" w:type="auto"/>
          </w:tcPr>
          <w:p>
            <w:pPr>
              <w:spacing w:line="240" w:lineRule="auto" w:before="0" w:after="0"/>
              <w:pStyle w:val="Compact"/>
            </w:pPr>
            <w:r>
              <w:rPr>
                <w:sz w:val="20"/>
                <w:szCs w:val="20"/>
              </w:rPr>
              <w:t xml:space="preserve">7.5658</w:t>
            </w:r>
          </w:p>
        </w:tc>
        <w:tc>
          <w:tcPr>
            <w:tcW w:w="0" w:type="auto"/>
          </w:tcPr>
          <w:p>
            <w:pPr>
              <w:spacing w:line="240" w:lineRule="auto" w:before="0" w:after="0"/>
              <w:pStyle w:val="Compact"/>
            </w:pPr>
            <w:r>
              <w:rPr>
                <w:sz w:val="20"/>
                <w:szCs w:val="20"/>
              </w:rPr>
              <w:t xml:space="preserve">CISA KEV v2026.06.18 entry CVE-2016-8562 (Siemens SIMATIC CP; dateAdded 2022-03-03; ransomware=0); NVD CVE API 2.0 CVE-2016-8562 (published 2016-11-18; CVSS V31 base 7.5)</w:t>
            </w:r>
          </w:p>
        </w:tc>
      </w:tr>
      <w:tr>
        <w:tc>
          <w:tcPr>
            <w:tcW w:w="0" w:type="auto"/>
          </w:tcPr>
          <w:p>
            <w:pPr>
              <w:spacing w:line="240" w:lineRule="auto" w:before="0" w:after="0"/>
              <w:pStyle w:val="Compact"/>
            </w:pPr>
            <w:r>
              <w:rPr>
                <w:sz w:val="20"/>
                <w:szCs w:val="20"/>
              </w:rPr>
              <w:t xml:space="preserve">CVE-2023-6448</w:t>
            </w:r>
          </w:p>
        </w:tc>
        <w:tc>
          <w:tcPr>
            <w:tcW w:w="0" w:type="auto"/>
          </w:tcPr>
          <w:p>
            <w:pPr>
              <w:spacing w:line="240" w:lineRule="auto" w:before="0" w:after="0"/>
              <w:pStyle w:val="Compact"/>
            </w:pPr>
            <w:r>
              <w:rPr>
                <w:sz w:val="20"/>
                <w:szCs w:val="20"/>
              </w:rPr>
              <w:t xml:space="preserve">Unitronics</w:t>
            </w:r>
          </w:p>
        </w:tc>
        <w:tc>
          <w:tcPr>
            <w:tcW w:w="0" w:type="auto"/>
          </w:tcPr>
          <w:p>
            <w:pPr>
              <w:spacing w:line="240" w:lineRule="auto" w:before="0" w:after="0"/>
              <w:pStyle w:val="Compact"/>
            </w:pPr>
            <w:r>
              <w:rPr>
                <w:sz w:val="20"/>
                <w:szCs w:val="20"/>
              </w:rPr>
              <w:t xml:space="preserve">Vision PLC and HMI</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2023-12-05</w:t>
            </w:r>
          </w:p>
        </w:tc>
        <w:tc>
          <w:tcPr>
            <w:tcW w:w="0" w:type="auto"/>
          </w:tcPr>
          <w:p>
            <w:pPr>
              <w:spacing w:line="240" w:lineRule="auto" w:before="0" w:after="0"/>
              <w:pStyle w:val="Compact"/>
            </w:pPr>
            <w:r>
              <w:rPr>
                <w:sz w:val="20"/>
                <w:szCs w:val="20"/>
              </w:rPr>
              <w:t xml:space="preserve">2023-12-11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CISA KEV v2026.06.18 entry CVE-2023-6448 (Unitronics Vision PLC and HMI; dateAdded 2023-12-11; ransomware=0); NVD CVE API 2.0 CVE-2023-6448 (published 2023-12-05; CVSS V31 base 9.8)</w:t>
            </w:r>
          </w:p>
        </w:tc>
      </w:tr>
      <w:tr>
        <w:tc>
          <w:tcPr>
            <w:tcW w:w="0" w:type="auto"/>
          </w:tcPr>
          <w:p>
            <w:pPr>
              <w:spacing w:line="240" w:lineRule="auto" w:before="0" w:after="0"/>
              <w:pStyle w:val="Compact"/>
            </w:pPr>
            <w:r>
              <w:rPr>
                <w:sz w:val="20"/>
                <w:szCs w:val="20"/>
              </w:rPr>
              <w:t xml:space="preserve">CVE-2023-2868</w:t>
            </w:r>
          </w:p>
        </w:tc>
        <w:tc>
          <w:tcPr>
            <w:tcW w:w="0" w:type="auto"/>
          </w:tcPr>
          <w:p>
            <w:pPr>
              <w:spacing w:line="240" w:lineRule="auto" w:before="0" w:after="0"/>
              <w:pStyle w:val="Compact"/>
            </w:pPr>
            <w:r>
              <w:rPr>
                <w:sz w:val="20"/>
                <w:szCs w:val="20"/>
              </w:rPr>
              <w:t xml:space="preserve">Barracuda Networks</w:t>
            </w:r>
          </w:p>
        </w:tc>
        <w:tc>
          <w:tcPr>
            <w:tcW w:w="0" w:type="auto"/>
          </w:tcPr>
          <w:p>
            <w:pPr>
              <w:spacing w:line="240" w:lineRule="auto" w:before="0" w:after="0"/>
              <w:pStyle w:val="Compact"/>
            </w:pPr>
            <w:r>
              <w:rPr>
                <w:sz w:val="20"/>
                <w:szCs w:val="20"/>
              </w:rPr>
              <w:t xml:space="preserve">Email Security Gateway (ESG) Appliance</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2023-05-24</w:t>
            </w:r>
          </w:p>
        </w:tc>
        <w:tc>
          <w:tcPr>
            <w:tcW w:w="0" w:type="auto"/>
          </w:tcPr>
          <w:p>
            <w:pPr>
              <w:spacing w:line="240" w:lineRule="auto" w:before="0" w:after="0"/>
              <w:pStyle w:val="Compact"/>
            </w:pPr>
            <w:r>
              <w:rPr>
                <w:sz w:val="20"/>
                <w:szCs w:val="20"/>
              </w:rPr>
              <w:t xml:space="preserve">2023-05-26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CISA KEV v2026.06.18 entry CVE-2023-2868 (Barracuda Networks Email Security Gateway (ESG) Appliance; dateAdded 2023-05-26; ransomware=0); NVD CVE API 2.0 CVE-2023-2868 (published 2023-05-24; CVSS V31 base 9.4)</w:t>
            </w:r>
          </w:p>
        </w:tc>
      </w:tr>
      <w:tr>
        <w:tc>
          <w:tcPr>
            <w:tcW w:w="0" w:type="auto"/>
          </w:tcPr>
          <w:p>
            <w:pPr>
              <w:spacing w:line="240" w:lineRule="auto" w:before="0" w:after="0"/>
              <w:pStyle w:val="Compact"/>
            </w:pPr>
            <w:r>
              <w:rPr>
                <w:sz w:val="20"/>
                <w:szCs w:val="20"/>
              </w:rPr>
              <w:t xml:space="preserve">CVE-2026-50751</w:t>
            </w:r>
          </w:p>
        </w:tc>
        <w:tc>
          <w:tcPr>
            <w:tcW w:w="0" w:type="auto"/>
          </w:tcPr>
          <w:p>
            <w:pPr>
              <w:spacing w:line="240" w:lineRule="auto" w:before="0" w:after="0"/>
              <w:pStyle w:val="Compact"/>
            </w:pPr>
            <w:r>
              <w:rPr>
                <w:sz w:val="20"/>
                <w:szCs w:val="20"/>
              </w:rPr>
              <w:t xml:space="preserve">Check Point</w:t>
            </w:r>
          </w:p>
        </w:tc>
        <w:tc>
          <w:tcPr>
            <w:tcW w:w="0" w:type="auto"/>
          </w:tcPr>
          <w:p>
            <w:pPr>
              <w:spacing w:line="240" w:lineRule="auto" w:before="0" w:after="0"/>
              <w:pStyle w:val="Compact"/>
            </w:pPr>
            <w:r>
              <w:rPr>
                <w:sz w:val="20"/>
                <w:szCs w:val="20"/>
              </w:rPr>
              <w:t xml:space="preserve">Security Gateway</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2026-06-08</w:t>
            </w:r>
          </w:p>
        </w:tc>
        <w:tc>
          <w:tcPr>
            <w:tcW w:w="0" w:type="auto"/>
          </w:tcPr>
          <w:p>
            <w:pPr>
              <w:spacing w:line="240" w:lineRule="auto" w:before="0" w:after="0"/>
              <w:pStyle w:val="Compact"/>
            </w:pPr>
            <w:r>
              <w:rPr>
                <w:sz w:val="20"/>
                <w:szCs w:val="20"/>
              </w:rPr>
              <w:t xml:space="preserve">2026-06-08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CVE-2026-50751 (Check Point Security Gateway; dateAdded 2026-06-08; ransomware=1); NVD CVE API 2.0 CVE-2026-50751 (published 2026-06-08; CVSS V31 base 9.3)</w:t>
            </w:r>
          </w:p>
        </w:tc>
      </w:tr>
      <w:tr>
        <w:tc>
          <w:tcPr>
            <w:tcW w:w="0" w:type="auto"/>
          </w:tcPr>
          <w:p>
            <w:pPr>
              <w:spacing w:line="240" w:lineRule="auto" w:before="0" w:after="0"/>
              <w:pStyle w:val="Compact"/>
            </w:pPr>
            <w:r>
              <w:rPr>
                <w:sz w:val="20"/>
                <w:szCs w:val="20"/>
              </w:rPr>
              <w:t xml:space="preserve">CVE-2014-2120</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Adaptive Security Appliance (ASA)</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2014-03-19</w:t>
            </w:r>
          </w:p>
        </w:tc>
        <w:tc>
          <w:tcPr>
            <w:tcW w:w="0" w:type="auto"/>
          </w:tcPr>
          <w:p>
            <w:pPr>
              <w:spacing w:line="240" w:lineRule="auto" w:before="0" w:after="0"/>
              <w:pStyle w:val="Compact"/>
            </w:pPr>
            <w:r>
              <w:rPr>
                <w:sz w:val="20"/>
                <w:szCs w:val="20"/>
              </w:rPr>
              <w:t xml:space="preserve">2024-11-12</w:t>
            </w:r>
          </w:p>
        </w:tc>
        <w:tc>
          <w:tcPr>
            <w:tcW w:w="0" w:type="auto"/>
          </w:tcPr>
          <w:p>
            <w:pPr>
              <w:spacing w:line="240" w:lineRule="auto" w:before="0" w:after="0"/>
              <w:pStyle w:val="Compact"/>
            </w:pPr>
            <w:r>
              <w:rPr>
                <w:sz w:val="20"/>
                <w:szCs w:val="20"/>
              </w:rPr>
              <w:t xml:space="preserve">3891</w:t>
            </w:r>
          </w:p>
        </w:tc>
        <w:tc>
          <w:tcPr>
            <w:tcW w:w="0" w:type="auto"/>
          </w:tcPr>
          <w:p>
            <w:pPr>
              <w:spacing w:line="240" w:lineRule="auto" w:before="0" w:after="0"/>
              <w:pStyle w:val="Compact"/>
            </w:pPr>
            <w:r>
              <w:rPr>
                <w:sz w:val="20"/>
                <w:szCs w:val="20"/>
              </w:rPr>
              <w:t xml:space="preserve">8.2664</w:t>
            </w:r>
          </w:p>
        </w:tc>
        <w:tc>
          <w:tcPr>
            <w:tcW w:w="0" w:type="auto"/>
          </w:tcPr>
          <w:p>
            <w:pPr>
              <w:spacing w:line="240" w:lineRule="auto" w:before="0" w:after="0"/>
              <w:pStyle w:val="Compact"/>
            </w:pPr>
            <w:r>
              <w:rPr>
                <w:sz w:val="20"/>
                <w:szCs w:val="20"/>
              </w:rPr>
              <w:t xml:space="preserve">CISA KEV v2026.06.18 entry CVE-2014-2120 (Cisco Adaptive Security Appliance (ASA); dateAdded 2024-11-12; ransomware=0); NVD CVE API 2.0 CVE-2014-2120 (published 2014-03-19; CVSS V31 base 6.1)</w:t>
            </w:r>
          </w:p>
        </w:tc>
      </w:tr>
      <w:tr>
        <w:tc>
          <w:tcPr>
            <w:tcW w:w="0" w:type="auto"/>
          </w:tcPr>
          <w:p>
            <w:pPr>
              <w:spacing w:line="240" w:lineRule="auto" w:before="0" w:after="0"/>
              <w:pStyle w:val="Compact"/>
            </w:pPr>
            <w:r>
              <w:rPr>
                <w:sz w:val="20"/>
                <w:szCs w:val="20"/>
              </w:rPr>
              <w:t xml:space="preserve">CVE-2018-0147</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Secure Access Control System (ACS)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2018-03-08</w:t>
            </w:r>
          </w:p>
        </w:tc>
        <w:tc>
          <w:tcPr>
            <w:tcW w:w="0" w:type="auto"/>
          </w:tcPr>
          <w:p>
            <w:pPr>
              <w:spacing w:line="240" w:lineRule="auto" w:before="0" w:after="0"/>
              <w:pStyle w:val="Compact"/>
            </w:pPr>
            <w:r>
              <w:rPr>
                <w:sz w:val="20"/>
                <w:szCs w:val="20"/>
              </w:rPr>
              <w:t xml:space="preserve">2022-03-25</w:t>
            </w:r>
          </w:p>
        </w:tc>
        <w:tc>
          <w:tcPr>
            <w:tcW w:w="0" w:type="auto"/>
          </w:tcPr>
          <w:p>
            <w:pPr>
              <w:spacing w:line="240" w:lineRule="auto" w:before="0" w:after="0"/>
              <w:pStyle w:val="Compact"/>
            </w:pPr>
            <w:r>
              <w:rPr>
                <w:sz w:val="20"/>
                <w:szCs w:val="20"/>
              </w:rPr>
              <w:t xml:space="preserve">1478</w:t>
            </w:r>
          </w:p>
        </w:tc>
        <w:tc>
          <w:tcPr>
            <w:tcW w:w="0" w:type="auto"/>
          </w:tcPr>
          <w:p>
            <w:pPr>
              <w:spacing w:line="240" w:lineRule="auto" w:before="0" w:after="0"/>
              <w:pStyle w:val="Compact"/>
            </w:pPr>
            <w:r>
              <w:rPr>
                <w:sz w:val="20"/>
                <w:szCs w:val="20"/>
              </w:rPr>
              <w:t xml:space="preserve">7.2984</w:t>
            </w:r>
          </w:p>
        </w:tc>
        <w:tc>
          <w:tcPr>
            <w:tcW w:w="0" w:type="auto"/>
          </w:tcPr>
          <w:p>
            <w:pPr>
              <w:spacing w:line="240" w:lineRule="auto" w:before="0" w:after="0"/>
              <w:pStyle w:val="Compact"/>
            </w:pPr>
            <w:r>
              <w:rPr>
                <w:sz w:val="20"/>
                <w:szCs w:val="20"/>
              </w:rPr>
              <w:t xml:space="preserve">CISA KEV v2026.06.18 entry CVE-2018-0147 (Cisco Secure Access Control System (ACS); dateAdded 2022-03-25; ransomware=0); NVD CVE API 2.0 CVE-2018-0147 (published 2018-03-08; CVSS V31 base 9.8)</w:t>
            </w:r>
          </w:p>
        </w:tc>
      </w:tr>
      <w:tr>
        <w:tc>
          <w:tcPr>
            <w:tcW w:w="0" w:type="auto"/>
          </w:tcPr>
          <w:p>
            <w:pPr>
              <w:spacing w:line="240" w:lineRule="auto" w:before="0" w:after="0"/>
              <w:pStyle w:val="Compact"/>
            </w:pPr>
            <w:r>
              <w:rPr>
                <w:sz w:val="20"/>
                <w:szCs w:val="20"/>
              </w:rPr>
              <w:t xml:space="preserve">CVE-2020-3153</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AnyConnect Secure</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2020-02-19</w:t>
            </w:r>
          </w:p>
        </w:tc>
        <w:tc>
          <w:tcPr>
            <w:tcW w:w="0" w:type="auto"/>
          </w:tcPr>
          <w:p>
            <w:pPr>
              <w:spacing w:line="240" w:lineRule="auto" w:before="0" w:after="0"/>
              <w:pStyle w:val="Compact"/>
            </w:pPr>
            <w:r>
              <w:rPr>
                <w:sz w:val="20"/>
                <w:szCs w:val="20"/>
              </w:rPr>
              <w:t xml:space="preserve">2022-10-24</w:t>
            </w:r>
          </w:p>
        </w:tc>
        <w:tc>
          <w:tcPr>
            <w:tcW w:w="0" w:type="auto"/>
          </w:tcPr>
          <w:p>
            <w:pPr>
              <w:spacing w:line="240" w:lineRule="auto" w:before="0" w:after="0"/>
              <w:pStyle w:val="Compact"/>
            </w:pPr>
            <w:r>
              <w:rPr>
                <w:sz w:val="20"/>
                <w:szCs w:val="20"/>
              </w:rPr>
              <w:t xml:space="preserve">978</w:t>
            </w:r>
          </w:p>
        </w:tc>
        <w:tc>
          <w:tcPr>
            <w:tcW w:w="0" w:type="auto"/>
          </w:tcPr>
          <w:p>
            <w:pPr>
              <w:spacing w:line="240" w:lineRule="auto" w:before="0" w:after="0"/>
              <w:pStyle w:val="Compact"/>
            </w:pPr>
            <w:r>
              <w:rPr>
                <w:sz w:val="20"/>
                <w:szCs w:val="20"/>
              </w:rPr>
              <w:t xml:space="preserve">6.8855</w:t>
            </w:r>
          </w:p>
        </w:tc>
        <w:tc>
          <w:tcPr>
            <w:tcW w:w="0" w:type="auto"/>
          </w:tcPr>
          <w:p>
            <w:pPr>
              <w:spacing w:line="240" w:lineRule="auto" w:before="0" w:after="0"/>
              <w:pStyle w:val="Compact"/>
            </w:pPr>
            <w:r>
              <w:rPr>
                <w:sz w:val="20"/>
                <w:szCs w:val="20"/>
              </w:rPr>
              <w:t xml:space="preserve">CISA KEV v2026.06.18 entry CVE-2020-3153 (Cisco AnyConnect Secure; dateAdded 2022-10-24; ransomware=1); NVD CVE API 2.0 CVE-2020-3153 (published 2020-02-19; CVSS V31 base 6.5)</w:t>
            </w:r>
          </w:p>
        </w:tc>
      </w:tr>
      <w:tr>
        <w:tc>
          <w:tcPr>
            <w:tcW w:w="0" w:type="auto"/>
          </w:tcPr>
          <w:p>
            <w:pPr>
              <w:spacing w:line="240" w:lineRule="auto" w:before="0" w:after="0"/>
              <w:pStyle w:val="Compact"/>
            </w:pPr>
            <w:r>
              <w:rPr>
                <w:sz w:val="20"/>
                <w:szCs w:val="20"/>
              </w:rPr>
              <w:t xml:space="preserve">CVE-2022-20703</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Small Business RV160, RV260, RV340, and RV345 Series Routers</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2022-02-10</w:t>
            </w:r>
          </w:p>
        </w:tc>
        <w:tc>
          <w:tcPr>
            <w:tcW w:w="0" w:type="auto"/>
          </w:tcPr>
          <w:p>
            <w:pPr>
              <w:spacing w:line="240" w:lineRule="auto" w:before="0" w:after="0"/>
              <w:pStyle w:val="Compact"/>
            </w:pPr>
            <w:r>
              <w:rPr>
                <w:sz w:val="20"/>
                <w:szCs w:val="20"/>
              </w:rPr>
              <w:t xml:space="preserve">2022-03-03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CISA KEV v2026.06.18 entry CVE-2022-20703 (Cisco Small Business RV160, RV260, RV340, and RV345 Series Routers; dateAdded 2022-03-03; ransomware=0); NVD CVE API 2.0 CVE-2022-20703 (published 2022-02-10; CVSS V31 base 10.0)</w:t>
            </w:r>
          </w:p>
        </w:tc>
      </w:tr>
      <w:tr>
        <w:tc>
          <w:tcPr>
            <w:tcW w:w="0" w:type="auto"/>
          </w:tcPr>
          <w:p>
            <w:pPr>
              <w:spacing w:line="240" w:lineRule="auto" w:before="0" w:after="0"/>
              <w:pStyle w:val="Compact"/>
            </w:pPr>
            <w:r>
              <w:rPr>
                <w:sz w:val="20"/>
                <w:szCs w:val="20"/>
              </w:rPr>
              <w:t xml:space="preserve">CVE-2026-20131</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Secure Firewall Management Center (FMC)</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2026-03-04</w:t>
            </w:r>
          </w:p>
        </w:tc>
        <w:tc>
          <w:tcPr>
            <w:tcW w:w="0" w:type="auto"/>
          </w:tcPr>
          <w:p>
            <w:pPr>
              <w:spacing w:line="240" w:lineRule="auto" w:before="0" w:after="0"/>
              <w:pStyle w:val="Compact"/>
            </w:pPr>
            <w:r>
              <w:rPr>
                <w:sz w:val="20"/>
                <w:szCs w:val="20"/>
              </w:rPr>
              <w:t xml:space="preserve">2026-03-19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CISA KEV v2026.06.18 entry CVE-2026-20131 (Cisco Secure Firewall Management Center (FMC); dateAdded 2026-03-19; ransomware=1); NVD CVE API 2.0 CVE-2026-20131 (published 2026-03-04; CVSS V31 base 10.0)</w:t>
            </w:r>
          </w:p>
        </w:tc>
      </w:tr>
      <w:tr>
        <w:tc>
          <w:tcPr>
            <w:tcW w:w="0" w:type="auto"/>
          </w:tcPr>
          <w:p>
            <w:pPr>
              <w:spacing w:line="240" w:lineRule="auto" w:before="0" w:after="0"/>
              <w:pStyle w:val="Compact"/>
            </w:pPr>
            <w:r>
              <w:rPr>
                <w:sz w:val="20"/>
                <w:szCs w:val="20"/>
              </w:rPr>
              <w:t xml:space="preserve">CVE-2019-11634</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Workspace Application and Receiver for Windows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2019-05-22</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896</w:t>
            </w:r>
          </w:p>
        </w:tc>
        <w:tc>
          <w:tcPr>
            <w:tcW w:w="0" w:type="auto"/>
          </w:tcPr>
          <w:p>
            <w:pPr>
              <w:spacing w:line="240" w:lineRule="auto" w:before="0" w:after="0"/>
              <w:pStyle w:val="Compact"/>
            </w:pPr>
            <w:r>
              <w:rPr>
                <w:sz w:val="20"/>
                <w:szCs w:val="20"/>
              </w:rPr>
              <w:t xml:space="preserve">6.7979</w:t>
            </w:r>
          </w:p>
        </w:tc>
        <w:tc>
          <w:tcPr>
            <w:tcW w:w="0" w:type="auto"/>
          </w:tcPr>
          <w:p>
            <w:pPr>
              <w:spacing w:line="240" w:lineRule="auto" w:before="0" w:after="0"/>
              <w:pStyle w:val="Compact"/>
            </w:pPr>
            <w:r>
              <w:rPr>
                <w:sz w:val="20"/>
                <w:szCs w:val="20"/>
              </w:rPr>
              <w:t xml:space="preserve">CISA KEV v2026.06.18 entry CVE-2019-11634 (Citrix Workspace Application and Receiver for Windows; dateAdded 2021-11-03; ransomware=1); NVD CVE API 2.0 CVE-2019-11634 (published 2019-05-22; CVSS V31 base 9.8)</w:t>
            </w:r>
          </w:p>
        </w:tc>
      </w:tr>
      <w:tr>
        <w:tc>
          <w:tcPr>
            <w:tcW w:w="0" w:type="auto"/>
          </w:tcPr>
          <w:p>
            <w:pPr>
              <w:spacing w:line="240" w:lineRule="auto" w:before="0" w:after="0"/>
              <w:pStyle w:val="Compact"/>
            </w:pPr>
            <w:r>
              <w:rPr>
                <w:sz w:val="20"/>
                <w:szCs w:val="20"/>
              </w:rPr>
              <w:t xml:space="preserve">CVE-2023-24489</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Content Collaboration</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2023-07-10</w:t>
            </w:r>
          </w:p>
        </w:tc>
        <w:tc>
          <w:tcPr>
            <w:tcW w:w="0" w:type="auto"/>
          </w:tcPr>
          <w:p>
            <w:pPr>
              <w:spacing w:line="240" w:lineRule="auto" w:before="0" w:after="0"/>
              <w:pStyle w:val="Compact"/>
            </w:pPr>
            <w:r>
              <w:rPr>
                <w:sz w:val="20"/>
                <w:szCs w:val="20"/>
              </w:rPr>
              <w:t xml:space="preserve">2023-08-16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3.6109</w:t>
            </w:r>
          </w:p>
        </w:tc>
        <w:tc>
          <w:tcPr>
            <w:tcW w:w="0" w:type="auto"/>
          </w:tcPr>
          <w:p>
            <w:pPr>
              <w:spacing w:line="240" w:lineRule="auto" w:before="0" w:after="0"/>
              <w:pStyle w:val="Compact"/>
            </w:pPr>
            <w:r>
              <w:rPr>
                <w:sz w:val="20"/>
                <w:szCs w:val="20"/>
              </w:rPr>
              <w:t xml:space="preserve">CISA KEV v2026.06.18 entry CVE-2023-24489 (Citrix Content Collaboration; dateAdded 2023-08-16; ransomware=0); NVD CVE API 2.0 CVE-2023-24489 (published 2023-07-10; CVSS V31 base 9.8)</w:t>
            </w:r>
          </w:p>
        </w:tc>
      </w:tr>
      <w:tr>
        <w:tc>
          <w:tcPr>
            <w:tcW w:w="0" w:type="auto"/>
          </w:tcPr>
          <w:p>
            <w:pPr>
              <w:spacing w:line="240" w:lineRule="auto" w:before="0" w:after="0"/>
              <w:pStyle w:val="Compact"/>
            </w:pPr>
            <w:r>
              <w:rPr>
                <w:sz w:val="20"/>
                <w:szCs w:val="20"/>
              </w:rPr>
              <w:t xml:space="preserve">CVE-2024-8069</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Session Recording</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2024-11-12</w:t>
            </w:r>
          </w:p>
        </w:tc>
        <w:tc>
          <w:tcPr>
            <w:tcW w:w="0" w:type="auto"/>
          </w:tcPr>
          <w:p>
            <w:pPr>
              <w:spacing w:line="240" w:lineRule="auto" w:before="0" w:after="0"/>
              <w:pStyle w:val="Compact"/>
            </w:pPr>
            <w:r>
              <w:rPr>
                <w:sz w:val="20"/>
                <w:szCs w:val="20"/>
              </w:rPr>
              <w:t xml:space="preserve">2025-08-25</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5.656</w:t>
            </w:r>
          </w:p>
        </w:tc>
        <w:tc>
          <w:tcPr>
            <w:tcW w:w="0" w:type="auto"/>
          </w:tcPr>
          <w:p>
            <w:pPr>
              <w:spacing w:line="240" w:lineRule="auto" w:before="0" w:after="0"/>
              <w:pStyle w:val="Compact"/>
            </w:pPr>
            <w:r>
              <w:rPr>
                <w:sz w:val="20"/>
                <w:szCs w:val="20"/>
              </w:rPr>
              <w:t xml:space="preserve">CISA KEV v2026.06.18 entry CVE-2024-8069 (Citrix Session Recording; dateAdded 2025-08-25; ransomware=0); NVD CVE API 2.0 CVE-2024-8069 (published 2024-11-12; CVSS V31 base 8.0)</w:t>
            </w:r>
          </w:p>
        </w:tc>
      </w:tr>
      <w:tr>
        <w:tc>
          <w:tcPr>
            <w:tcW w:w="0" w:type="auto"/>
          </w:tcPr>
          <w:p>
            <w:pPr>
              <w:spacing w:line="240" w:lineRule="auto" w:before="0" w:after="0"/>
              <w:pStyle w:val="Compact"/>
            </w:pPr>
            <w:r>
              <w:rPr>
                <w:sz w:val="20"/>
                <w:szCs w:val="20"/>
              </w:rPr>
              <w:t xml:space="preserve">CVE-2021-22986</w:t>
            </w:r>
          </w:p>
        </w:tc>
        <w:tc>
          <w:tcPr>
            <w:tcW w:w="0" w:type="auto"/>
          </w:tcPr>
          <w:p>
            <w:pPr>
              <w:spacing w:line="240" w:lineRule="auto" w:before="0" w:after="0"/>
              <w:pStyle w:val="Compact"/>
            </w:pPr>
            <w:r>
              <w:rPr>
                <w:sz w:val="20"/>
                <w:szCs w:val="20"/>
              </w:rPr>
              <w:t xml:space="preserve">F5</w:t>
            </w:r>
          </w:p>
        </w:tc>
        <w:tc>
          <w:tcPr>
            <w:tcW w:w="0" w:type="auto"/>
          </w:tcPr>
          <w:p>
            <w:pPr>
              <w:spacing w:line="240" w:lineRule="auto" w:before="0" w:after="0"/>
              <w:pStyle w:val="Compact"/>
            </w:pPr>
            <w:r>
              <w:rPr>
                <w:sz w:val="20"/>
                <w:szCs w:val="20"/>
              </w:rPr>
              <w:t xml:space="preserve">BIG-IP and BIG-IQ Centralized Management</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2021-03-31</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217</w:t>
            </w:r>
          </w:p>
        </w:tc>
        <w:tc>
          <w:tcPr>
            <w:tcW w:w="0" w:type="auto"/>
          </w:tcPr>
          <w:p>
            <w:pPr>
              <w:spacing w:line="240" w:lineRule="auto" w:before="0" w:after="0"/>
              <w:pStyle w:val="Compact"/>
            </w:pPr>
            <w:r>
              <w:rPr>
                <w:sz w:val="20"/>
                <w:szCs w:val="20"/>
              </w:rPr>
              <w:t xml:space="preserve">5.3799</w:t>
            </w:r>
          </w:p>
        </w:tc>
        <w:tc>
          <w:tcPr>
            <w:tcW w:w="0" w:type="auto"/>
          </w:tcPr>
          <w:p>
            <w:pPr>
              <w:spacing w:line="240" w:lineRule="auto" w:before="0" w:after="0"/>
              <w:pStyle w:val="Compact"/>
            </w:pPr>
            <w:r>
              <w:rPr>
                <w:sz w:val="20"/>
                <w:szCs w:val="20"/>
              </w:rPr>
              <w:t xml:space="preserve">CISA KEV v2026.06.18 entry CVE-2021-22986 (F5 BIG-IP and BIG-IQ Centralized Management; dateAdded 2021-11-03; ransomware=1); NVD CVE API 2.0 CVE-2021-22986 (published 2021-03-31; CVSS V31 base 9.8)</w:t>
            </w:r>
          </w:p>
        </w:tc>
      </w:tr>
      <w:tr>
        <w:tc>
          <w:tcPr>
            <w:tcW w:w="0" w:type="auto"/>
          </w:tcPr>
          <w:p>
            <w:pPr>
              <w:spacing w:line="240" w:lineRule="auto" w:before="0" w:after="0"/>
              <w:pStyle w:val="Compact"/>
            </w:pPr>
            <w:r>
              <w:rPr>
                <w:sz w:val="20"/>
                <w:szCs w:val="20"/>
              </w:rPr>
              <w:t xml:space="preserve">CVE-2023-46748</w:t>
            </w:r>
          </w:p>
        </w:tc>
        <w:tc>
          <w:tcPr>
            <w:tcW w:w="0" w:type="auto"/>
          </w:tcPr>
          <w:p>
            <w:pPr>
              <w:spacing w:line="240" w:lineRule="auto" w:before="0" w:after="0"/>
              <w:pStyle w:val="Compact"/>
            </w:pPr>
            <w:r>
              <w:rPr>
                <w:sz w:val="20"/>
                <w:szCs w:val="20"/>
              </w:rPr>
              <w:t xml:space="preserve">F5</w:t>
            </w:r>
          </w:p>
        </w:tc>
        <w:tc>
          <w:tcPr>
            <w:tcW w:w="0" w:type="auto"/>
          </w:tcPr>
          <w:p>
            <w:pPr>
              <w:spacing w:line="240" w:lineRule="auto" w:before="0" w:after="0"/>
              <w:pStyle w:val="Compact"/>
            </w:pPr>
            <w:r>
              <w:rPr>
                <w:sz w:val="20"/>
                <w:szCs w:val="20"/>
              </w:rPr>
              <w:t xml:space="preserve">BIG-IP Configuration Utility</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2023-10-26</w:t>
            </w:r>
          </w:p>
        </w:tc>
        <w:tc>
          <w:tcPr>
            <w:tcW w:w="0" w:type="auto"/>
          </w:tcPr>
          <w:p>
            <w:pPr>
              <w:spacing w:line="240" w:lineRule="auto" w:before="0" w:after="0"/>
              <w:pStyle w:val="Compact"/>
            </w:pPr>
            <w:r>
              <w:rPr>
                <w:sz w:val="20"/>
                <w:szCs w:val="20"/>
              </w:rPr>
              <w:t xml:space="preserve">2023-10-31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CISA KEV v2026.06.18 entry CVE-2023-46748 (F5 BIG-IP Configuration Utility; dateAdded 2023-10-31; ransomware=0); NVD CVE API 2.0 CVE-2023-46748 (published 2023-10-26; CVSS V31 base 8.8)</w:t>
            </w:r>
          </w:p>
        </w:tc>
      </w:tr>
      <w:tr>
        <w:tc>
          <w:tcPr>
            <w:tcW w:w="0" w:type="auto"/>
          </w:tcPr>
          <w:p>
            <w:pPr>
              <w:spacing w:line="240" w:lineRule="auto" w:before="0" w:after="0"/>
              <w:pStyle w:val="Compact"/>
            </w:pPr>
            <w:r>
              <w:rPr>
                <w:sz w:val="20"/>
                <w:szCs w:val="20"/>
              </w:rPr>
              <w:t xml:space="preserve">CVE-2019-6693</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FortiOS</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2019-11-21</w:t>
            </w:r>
          </w:p>
        </w:tc>
        <w:tc>
          <w:tcPr>
            <w:tcW w:w="0" w:type="auto"/>
          </w:tcPr>
          <w:p>
            <w:pPr>
              <w:spacing w:line="240" w:lineRule="auto" w:before="0" w:after="0"/>
              <w:pStyle w:val="Compact"/>
            </w:pPr>
            <w:r>
              <w:rPr>
                <w:sz w:val="20"/>
                <w:szCs w:val="20"/>
              </w:rPr>
              <w:t xml:space="preserve">2025-06-25</w:t>
            </w:r>
          </w:p>
        </w:tc>
        <w:tc>
          <w:tcPr>
            <w:tcW w:w="0" w:type="auto"/>
          </w:tcPr>
          <w:p>
            <w:pPr>
              <w:spacing w:line="240" w:lineRule="auto" w:before="0" w:after="0"/>
              <w:pStyle w:val="Compact"/>
            </w:pPr>
            <w:r>
              <w:rPr>
                <w:sz w:val="20"/>
                <w:szCs w:val="20"/>
              </w:rPr>
              <w:t xml:space="preserve">2043</w:t>
            </w:r>
          </w:p>
        </w:tc>
        <w:tc>
          <w:tcPr>
            <w:tcW w:w="0" w:type="auto"/>
          </w:tcPr>
          <w:p>
            <w:pPr>
              <w:spacing w:line="240" w:lineRule="auto" w:before="0" w:after="0"/>
              <w:pStyle w:val="Compact"/>
            </w:pPr>
            <w:r>
              <w:rPr>
                <w:sz w:val="20"/>
                <w:szCs w:val="20"/>
              </w:rPr>
              <w:t xml:space="preserve">7.6222</w:t>
            </w:r>
          </w:p>
        </w:tc>
        <w:tc>
          <w:tcPr>
            <w:tcW w:w="0" w:type="auto"/>
          </w:tcPr>
          <w:p>
            <w:pPr>
              <w:spacing w:line="240" w:lineRule="auto" w:before="0" w:after="0"/>
              <w:pStyle w:val="Compact"/>
            </w:pPr>
            <w:r>
              <w:rPr>
                <w:sz w:val="20"/>
                <w:szCs w:val="20"/>
              </w:rPr>
              <w:t xml:space="preserve">CISA KEV v2026.06.18 entry CVE-2019-6693 (Fortinet FortiOS; dateAdded 2025-06-25; ransomware=1); NVD CVE API 2.0 CVE-2019-6693 (published 2019-11-21; CVSS V31 base 6.5)</w:t>
            </w:r>
          </w:p>
        </w:tc>
      </w:tr>
      <w:tr>
        <w:tc>
          <w:tcPr>
            <w:tcW w:w="0" w:type="auto"/>
          </w:tcPr>
          <w:p>
            <w:pPr>
              <w:spacing w:line="240" w:lineRule="auto" w:before="0" w:after="0"/>
              <w:pStyle w:val="Compact"/>
            </w:pPr>
            <w:r>
              <w:rPr>
                <w:sz w:val="20"/>
                <w:szCs w:val="20"/>
              </w:rPr>
              <w:t xml:space="preserve">CVE-2023-27997</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FortiOS and FortiProxy SSL-VPN</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2023-06-13</w:t>
            </w:r>
          </w:p>
        </w:tc>
        <w:tc>
          <w:tcPr>
            <w:tcW w:w="0" w:type="auto"/>
          </w:tcPr>
          <w:p>
            <w:pPr>
              <w:spacing w:line="240" w:lineRule="auto" w:before="0" w:after="0"/>
              <w:pStyle w:val="Compact"/>
            </w:pPr>
            <w:r>
              <w:rPr>
                <w:sz w:val="20"/>
                <w:szCs w:val="20"/>
              </w:rPr>
              <w:t xml:space="preserve">2023-06-13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CVE-2023-27997 (Fortinet FortiOS and FortiProxy SSL-VPN; dateAdded 2023-06-13; ransomware=1); NVD CVE API 2.0 CVE-2023-27997 (published 2023-06-13; CVSS V31 base 9.8)</w:t>
            </w:r>
          </w:p>
        </w:tc>
      </w:tr>
      <w:tr>
        <w:tc>
          <w:tcPr>
            <w:tcW w:w="0" w:type="auto"/>
          </w:tcPr>
          <w:p>
            <w:pPr>
              <w:spacing w:line="240" w:lineRule="auto" w:before="0" w:after="0"/>
              <w:pStyle w:val="Compact"/>
            </w:pPr>
            <w:r>
              <w:rPr>
                <w:sz w:val="20"/>
                <w:szCs w:val="20"/>
              </w:rPr>
              <w:t xml:space="preserve">CVE-2024-23113</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Multiple Products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2024-02-15</w:t>
            </w:r>
          </w:p>
        </w:tc>
        <w:tc>
          <w:tcPr>
            <w:tcW w:w="0" w:type="auto"/>
          </w:tcPr>
          <w:p>
            <w:pPr>
              <w:spacing w:line="240" w:lineRule="auto" w:before="0" w:after="0"/>
              <w:pStyle w:val="Compact"/>
            </w:pPr>
            <w:r>
              <w:rPr>
                <w:sz w:val="20"/>
                <w:szCs w:val="20"/>
              </w:rPr>
              <w:t xml:space="preserve">2024-10-09</w:t>
            </w:r>
          </w:p>
        </w:tc>
        <w:tc>
          <w:tcPr>
            <w:tcW w:w="0" w:type="auto"/>
          </w:tcPr>
          <w:p>
            <w:pPr>
              <w:spacing w:line="240" w:lineRule="auto" w:before="0" w:after="0"/>
              <w:pStyle w:val="Compact"/>
            </w:pPr>
            <w:r>
              <w:rPr>
                <w:sz w:val="20"/>
                <w:szCs w:val="20"/>
              </w:rPr>
              <w:t xml:space="preserve">237</w:t>
            </w:r>
          </w:p>
        </w:tc>
        <w:tc>
          <w:tcPr>
            <w:tcW w:w="0" w:type="auto"/>
          </w:tcPr>
          <w:p>
            <w:pPr>
              <w:spacing w:line="240" w:lineRule="auto" w:before="0" w:after="0"/>
              <w:pStyle w:val="Compact"/>
            </w:pPr>
            <w:r>
              <w:rPr>
                <w:sz w:val="20"/>
                <w:szCs w:val="20"/>
              </w:rPr>
              <w:t xml:space="preserve">5.4681</w:t>
            </w:r>
          </w:p>
        </w:tc>
        <w:tc>
          <w:tcPr>
            <w:tcW w:w="0" w:type="auto"/>
          </w:tcPr>
          <w:p>
            <w:pPr>
              <w:spacing w:line="240" w:lineRule="auto" w:before="0" w:after="0"/>
              <w:pStyle w:val="Compact"/>
            </w:pPr>
            <w:r>
              <w:rPr>
                <w:sz w:val="20"/>
                <w:szCs w:val="20"/>
              </w:rPr>
              <w:t xml:space="preserve">CISA KEV v2026.06.18 entry CVE-2024-23113 (Fortinet Multiple Products; dateAdded 2024-10-09; ransomware=0); NVD CVE API 2.0 CVE-2024-23113 (published 2024-02-15; CVSS V31 base 9.8)</w:t>
            </w:r>
          </w:p>
        </w:tc>
      </w:tr>
      <w:tr>
        <w:tc>
          <w:tcPr>
            <w:tcW w:w="0" w:type="auto"/>
          </w:tcPr>
          <w:p>
            <w:pPr>
              <w:spacing w:line="240" w:lineRule="auto" w:before="0" w:after="0"/>
              <w:pStyle w:val="Compact"/>
            </w:pPr>
            <w:r>
              <w:rPr>
                <w:sz w:val="20"/>
                <w:szCs w:val="20"/>
              </w:rPr>
              <w:t xml:space="preserve">CVE-2024-47575</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FortiManager</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2024-10-23</w:t>
            </w:r>
          </w:p>
        </w:tc>
        <w:tc>
          <w:tcPr>
            <w:tcW w:w="0" w:type="auto"/>
          </w:tcPr>
          <w:p>
            <w:pPr>
              <w:spacing w:line="240" w:lineRule="auto" w:before="0" w:after="0"/>
              <w:pStyle w:val="Compact"/>
            </w:pPr>
            <w:r>
              <w:rPr>
                <w:sz w:val="20"/>
                <w:szCs w:val="20"/>
              </w:rPr>
              <w:t xml:space="preserve">2024-10-23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CVE-2024-47575 (Fortinet FortiManager; dateAdded 2024-10-23; ransomware=0); NVD CVE API 2.0 CVE-2024-47575 (published 2024-10-23; CVSS V31 base 9.8)</w:t>
            </w:r>
          </w:p>
        </w:tc>
      </w:tr>
      <w:tr>
        <w:tc>
          <w:tcPr>
            <w:tcW w:w="0" w:type="auto"/>
          </w:tcPr>
          <w:p>
            <w:pPr>
              <w:spacing w:line="240" w:lineRule="auto" w:before="0" w:after="0"/>
              <w:pStyle w:val="Compact"/>
            </w:pPr>
            <w:r>
              <w:rPr>
                <w:sz w:val="20"/>
                <w:szCs w:val="20"/>
              </w:rPr>
              <w:t xml:space="preserve">CVE-2021-44529</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Endpoint Manager Cloud Service Appliance (EPM CSA)</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2021-12-08</w:t>
            </w:r>
          </w:p>
        </w:tc>
        <w:tc>
          <w:tcPr>
            <w:tcW w:w="0" w:type="auto"/>
          </w:tcPr>
          <w:p>
            <w:pPr>
              <w:spacing w:line="240" w:lineRule="auto" w:before="0" w:after="0"/>
              <w:pStyle w:val="Compact"/>
            </w:pPr>
            <w:r>
              <w:rPr>
                <w:sz w:val="20"/>
                <w:szCs w:val="20"/>
              </w:rPr>
              <w:t xml:space="preserve">2024-03-25</w:t>
            </w:r>
          </w:p>
        </w:tc>
        <w:tc>
          <w:tcPr>
            <w:tcW w:w="0" w:type="auto"/>
          </w:tcPr>
          <w:p>
            <w:pPr>
              <w:spacing w:line="240" w:lineRule="auto" w:before="0" w:after="0"/>
              <w:pStyle w:val="Compact"/>
            </w:pPr>
            <w:r>
              <w:rPr>
                <w:sz w:val="20"/>
                <w:szCs w:val="20"/>
              </w:rPr>
              <w:t xml:space="preserve">838</w:t>
            </w:r>
          </w:p>
        </w:tc>
        <w:tc>
          <w:tcPr>
            <w:tcW w:w="0" w:type="auto"/>
          </w:tcPr>
          <w:p>
            <w:pPr>
              <w:spacing w:line="240" w:lineRule="auto" w:before="0" w:after="0"/>
              <w:pStyle w:val="Compact"/>
            </w:pPr>
            <w:r>
              <w:rPr>
                <w:sz w:val="20"/>
                <w:szCs w:val="20"/>
              </w:rPr>
              <w:t xml:space="preserve">6.731</w:t>
            </w:r>
          </w:p>
        </w:tc>
        <w:tc>
          <w:tcPr>
            <w:tcW w:w="0" w:type="auto"/>
          </w:tcPr>
          <w:p>
            <w:pPr>
              <w:spacing w:line="240" w:lineRule="auto" w:before="0" w:after="0"/>
              <w:pStyle w:val="Compact"/>
            </w:pPr>
            <w:r>
              <w:rPr>
                <w:sz w:val="20"/>
                <w:szCs w:val="20"/>
              </w:rPr>
              <w:t xml:space="preserve">CISA KEV v2026.06.18 entry CVE-2021-44529 (Ivanti Endpoint Manager Cloud Service Appliance (EPM CSA); dateAdded 2024-03-25; ransomware=1); NVD CVE API 2.0 CVE-2021-44529 (published 2021-12-08; CVSS V31 base 9.8)</w:t>
            </w:r>
          </w:p>
        </w:tc>
      </w:tr>
      <w:tr>
        <w:tc>
          <w:tcPr>
            <w:tcW w:w="0" w:type="auto"/>
          </w:tcPr>
          <w:p>
            <w:pPr>
              <w:spacing w:line="240" w:lineRule="auto" w:before="0" w:after="0"/>
              <w:pStyle w:val="Compact"/>
            </w:pPr>
            <w:r>
              <w:rPr>
                <w:sz w:val="20"/>
                <w:szCs w:val="20"/>
              </w:rPr>
              <w:t xml:space="preserve">CVE-2025-0282</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Connect Secure, Policy Secure, and ZTA Gateways</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2025-01-08</w:t>
            </w:r>
          </w:p>
        </w:tc>
        <w:tc>
          <w:tcPr>
            <w:tcW w:w="0" w:type="auto"/>
          </w:tcPr>
          <w:p>
            <w:pPr>
              <w:spacing w:line="240" w:lineRule="auto" w:before="0" w:after="0"/>
              <w:pStyle w:val="Compact"/>
            </w:pPr>
            <w:r>
              <w:rPr>
                <w:sz w:val="20"/>
                <w:szCs w:val="20"/>
              </w:rPr>
              <w:t xml:space="preserve">2025-01-08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CVE-2025-0282 (Ivanti Connect Secure, Policy Secure, and ZTA Gateways; dateAdded 2025-01-08; ransomware=1); NVD CVE API 2.0 CVE-2025-0282 (published 2025-01-08; CVSS V31 base 9.0)</w:t>
            </w:r>
          </w:p>
        </w:tc>
      </w:tr>
      <w:tr>
        <w:tc>
          <w:tcPr>
            <w:tcW w:w="0" w:type="auto"/>
          </w:tcPr>
          <w:p>
            <w:pPr>
              <w:spacing w:line="240" w:lineRule="auto" w:before="0" w:after="0"/>
              <w:pStyle w:val="Compact"/>
            </w:pPr>
            <w:r>
              <w:rPr>
                <w:sz w:val="20"/>
                <w:szCs w:val="20"/>
              </w:rPr>
              <w:t xml:space="preserve">CVE-2025-4427</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Endpoint Manager Mobile (EPMM)</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2025-05-13</w:t>
            </w:r>
          </w:p>
        </w:tc>
        <w:tc>
          <w:tcPr>
            <w:tcW w:w="0" w:type="auto"/>
          </w:tcPr>
          <w:p>
            <w:pPr>
              <w:spacing w:line="240" w:lineRule="auto" w:before="0" w:after="0"/>
              <w:pStyle w:val="Compact"/>
            </w:pPr>
            <w:r>
              <w:rPr>
                <w:sz w:val="20"/>
                <w:szCs w:val="20"/>
              </w:rPr>
              <w:t xml:space="preserve">2025-05-19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CISA KEV v2026.06.18 entry CVE-2025-4427 (Ivanti Endpoint Manager Mobile (EPMM); dateAdded 2025-05-19; ransomware=0); NVD CVE API 2.0 CVE-2025-4427 (published 2025-05-13; CVSS V31 base 5.3)</w:t>
            </w:r>
          </w:p>
        </w:tc>
      </w:tr>
      <w:tr>
        <w:tc>
          <w:tcPr>
            <w:tcW w:w="0" w:type="auto"/>
          </w:tcPr>
          <w:p>
            <w:pPr>
              <w:spacing w:line="240" w:lineRule="auto" w:before="0" w:after="0"/>
              <w:pStyle w:val="Compact"/>
            </w:pPr>
            <w:r>
              <w:rPr>
                <w:sz w:val="20"/>
                <w:szCs w:val="20"/>
              </w:rPr>
              <w:t xml:space="preserve">CVE-2026-1281</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Endpoint Manager Mobile (EPMM)</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2026-01-29</w:t>
            </w:r>
          </w:p>
        </w:tc>
        <w:tc>
          <w:tcPr>
            <w:tcW w:w="0" w:type="auto"/>
          </w:tcPr>
          <w:p>
            <w:pPr>
              <w:spacing w:line="240" w:lineRule="auto" w:before="0" w:after="0"/>
              <w:pStyle w:val="Compact"/>
            </w:pPr>
            <w:r>
              <w:rPr>
                <w:sz w:val="20"/>
                <w:szCs w:val="20"/>
              </w:rPr>
              <w:t xml:space="preserve">2026-01-29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CVE-2026-1281 (Ivanti Endpoint Manager Mobile (EPMM); dateAdded 2026-01-29; ransomware=0); NVD CVE API 2.0 CVE-2026-1281 (published 2026-01-29; CVSS V31 base 9.8)</w:t>
            </w:r>
          </w:p>
        </w:tc>
      </w:tr>
      <w:tr>
        <w:tc>
          <w:tcPr>
            <w:tcW w:w="0" w:type="auto"/>
          </w:tcPr>
          <w:p>
            <w:pPr>
              <w:spacing w:line="240" w:lineRule="auto" w:before="0" w:after="0"/>
              <w:pStyle w:val="Compact"/>
            </w:pPr>
            <w:r>
              <w:rPr>
                <w:sz w:val="20"/>
                <w:szCs w:val="20"/>
              </w:rPr>
              <w:t xml:space="preserve">CVE-2023-36845</w:t>
            </w:r>
          </w:p>
        </w:tc>
        <w:tc>
          <w:tcPr>
            <w:tcW w:w="0" w:type="auto"/>
          </w:tcPr>
          <w:p>
            <w:pPr>
              <w:spacing w:line="240" w:lineRule="auto" w:before="0" w:after="0"/>
              <w:pStyle w:val="Compact"/>
            </w:pPr>
            <w:r>
              <w:rPr>
                <w:sz w:val="20"/>
                <w:szCs w:val="20"/>
              </w:rPr>
              <w:t xml:space="preserve">Juniper</w:t>
            </w:r>
          </w:p>
        </w:tc>
        <w:tc>
          <w:tcPr>
            <w:tcW w:w="0" w:type="auto"/>
          </w:tcPr>
          <w:p>
            <w:pPr>
              <w:spacing w:line="240" w:lineRule="auto" w:before="0" w:after="0"/>
              <w:pStyle w:val="Compact"/>
            </w:pPr>
            <w:r>
              <w:rPr>
                <w:sz w:val="20"/>
                <w:szCs w:val="20"/>
              </w:rPr>
              <w:t xml:space="preserve">Junos OS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2023-08-17</w:t>
            </w:r>
          </w:p>
        </w:tc>
        <w:tc>
          <w:tcPr>
            <w:tcW w:w="0" w:type="auto"/>
          </w:tcPr>
          <w:p>
            <w:pPr>
              <w:spacing w:line="240" w:lineRule="auto" w:before="0" w:after="0"/>
              <w:pStyle w:val="Compact"/>
            </w:pPr>
            <w:r>
              <w:rPr>
                <w:sz w:val="20"/>
                <w:szCs w:val="20"/>
              </w:rPr>
              <w:t xml:space="preserve">2023-11-13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4.4773</w:t>
            </w:r>
          </w:p>
        </w:tc>
        <w:tc>
          <w:tcPr>
            <w:tcW w:w="0" w:type="auto"/>
          </w:tcPr>
          <w:p>
            <w:pPr>
              <w:spacing w:line="240" w:lineRule="auto" w:before="0" w:after="0"/>
              <w:pStyle w:val="Compact"/>
            </w:pPr>
            <w:r>
              <w:rPr>
                <w:sz w:val="20"/>
                <w:szCs w:val="20"/>
              </w:rPr>
              <w:t xml:space="preserve">CISA KEV v2026.06.18 entry CVE-2023-36845 (Juniper Junos OS; dateAdded 2023-11-13; ransomware=0); NVD CVE API 2.0 CVE-2023-36845 (published 2023-08-17; CVSS V31 base 9.8)</w:t>
            </w:r>
          </w:p>
        </w:tc>
      </w:tr>
      <w:tr>
        <w:tc>
          <w:tcPr>
            <w:tcW w:w="0" w:type="auto"/>
          </w:tcPr>
          <w:p>
            <w:pPr>
              <w:spacing w:line="240" w:lineRule="auto" w:before="0" w:after="0"/>
              <w:pStyle w:val="Compact"/>
            </w:pPr>
            <w:r>
              <w:rPr>
                <w:sz w:val="20"/>
                <w:szCs w:val="20"/>
              </w:rPr>
              <w:t xml:space="preserve">CVE-2023-36846</w:t>
            </w:r>
          </w:p>
        </w:tc>
        <w:tc>
          <w:tcPr>
            <w:tcW w:w="0" w:type="auto"/>
          </w:tcPr>
          <w:p>
            <w:pPr>
              <w:spacing w:line="240" w:lineRule="auto" w:before="0" w:after="0"/>
              <w:pStyle w:val="Compact"/>
            </w:pPr>
            <w:r>
              <w:rPr>
                <w:sz w:val="20"/>
                <w:szCs w:val="20"/>
              </w:rPr>
              <w:t xml:space="preserve">Juniper</w:t>
            </w:r>
          </w:p>
        </w:tc>
        <w:tc>
          <w:tcPr>
            <w:tcW w:w="0" w:type="auto"/>
          </w:tcPr>
          <w:p>
            <w:pPr>
              <w:spacing w:line="240" w:lineRule="auto" w:before="0" w:after="0"/>
              <w:pStyle w:val="Compact"/>
            </w:pPr>
            <w:r>
              <w:rPr>
                <w:sz w:val="20"/>
                <w:szCs w:val="20"/>
              </w:rPr>
              <w:t xml:space="preserve">Junos OS</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2023-08-17</w:t>
            </w:r>
          </w:p>
        </w:tc>
        <w:tc>
          <w:tcPr>
            <w:tcW w:w="0" w:type="auto"/>
          </w:tcPr>
          <w:p>
            <w:pPr>
              <w:spacing w:line="240" w:lineRule="auto" w:before="0" w:after="0"/>
              <w:pStyle w:val="Compact"/>
            </w:pPr>
            <w:r>
              <w:rPr>
                <w:sz w:val="20"/>
                <w:szCs w:val="20"/>
              </w:rPr>
              <w:t xml:space="preserve">2023-11-13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4.4773</w:t>
            </w:r>
          </w:p>
        </w:tc>
        <w:tc>
          <w:tcPr>
            <w:tcW w:w="0" w:type="auto"/>
          </w:tcPr>
          <w:p>
            <w:pPr>
              <w:spacing w:line="240" w:lineRule="auto" w:before="0" w:after="0"/>
              <w:pStyle w:val="Compact"/>
            </w:pPr>
            <w:r>
              <w:rPr>
                <w:sz w:val="20"/>
                <w:szCs w:val="20"/>
              </w:rPr>
              <w:t xml:space="preserve">CISA KEV v2026.06.18 entry CVE-2023-36846 (Juniper Junos OS; dateAdded 2023-11-13; ransomware=0); NVD CVE API 2.0 CVE-2023-36846 (published 2023-08-17; CVSS V31 base 5.3)</w:t>
            </w:r>
          </w:p>
        </w:tc>
      </w:tr>
      <w:tr>
        <w:tc>
          <w:tcPr>
            <w:tcW w:w="0" w:type="auto"/>
          </w:tcPr>
          <w:p>
            <w:pPr>
              <w:spacing w:line="240" w:lineRule="auto" w:before="0" w:after="0"/>
              <w:pStyle w:val="Compact"/>
            </w:pPr>
            <w:r>
              <w:rPr>
                <w:sz w:val="20"/>
                <w:szCs w:val="20"/>
              </w:rPr>
              <w:t xml:space="preserve">CVE-2024-3393</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PAN-OS</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2024-12-27</w:t>
            </w:r>
          </w:p>
        </w:tc>
        <w:tc>
          <w:tcPr>
            <w:tcW w:w="0" w:type="auto"/>
          </w:tcPr>
          <w:p>
            <w:pPr>
              <w:spacing w:line="240" w:lineRule="auto" w:before="0" w:after="0"/>
              <w:pStyle w:val="Compact"/>
            </w:pPr>
            <w:r>
              <w:rPr>
                <w:sz w:val="20"/>
                <w:szCs w:val="20"/>
              </w:rPr>
              <w:t xml:space="preserve">2024-12-30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CISA KEV v2026.06.18 entry CVE-2024-3393 (Palo Alto Networks PAN-OS; dateAdded 2024-12-30; ransomware=0); NVD CVE API 2.0 CVE-2024-3393 (published 2024-12-27; CVSS V31 base 7.5)</w:t>
            </w:r>
          </w:p>
        </w:tc>
      </w:tr>
      <w:tr>
        <w:tc>
          <w:tcPr>
            <w:tcW w:w="0" w:type="auto"/>
          </w:tcPr>
          <w:p>
            <w:pPr>
              <w:spacing w:line="240" w:lineRule="auto" w:before="0" w:after="0"/>
              <w:pStyle w:val="Compact"/>
            </w:pPr>
            <w:r>
              <w:rPr>
                <w:sz w:val="20"/>
                <w:szCs w:val="20"/>
              </w:rPr>
              <w:t xml:space="preserve">CVE-2024-3400</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PAN-OS</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2024-04-12</w:t>
            </w:r>
          </w:p>
        </w:tc>
        <w:tc>
          <w:tcPr>
            <w:tcW w:w="0" w:type="auto"/>
          </w:tcPr>
          <w:p>
            <w:pPr>
              <w:spacing w:line="240" w:lineRule="auto" w:before="0" w:after="0"/>
              <w:pStyle w:val="Compact"/>
            </w:pPr>
            <w:r>
              <w:rPr>
                <w:sz w:val="20"/>
                <w:szCs w:val="20"/>
              </w:rPr>
              <w:t xml:space="preserve">2024-04-12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CVE-2024-3400 (Palo Alto Networks PAN-OS; dateAdded 2024-04-12; ransomware=1); NVD CVE API 2.0 CVE-2024-3400 (published 2024-04-12; CVSS V31 base 10.0)</w:t>
            </w:r>
          </w:p>
        </w:tc>
      </w:tr>
      <w:tr>
        <w:tc>
          <w:tcPr>
            <w:tcW w:w="0" w:type="auto"/>
          </w:tcPr>
          <w:p>
            <w:pPr>
              <w:spacing w:line="240" w:lineRule="auto" w:before="0" w:after="0"/>
              <w:pStyle w:val="Compact"/>
            </w:pPr>
            <w:r>
              <w:rPr>
                <w:sz w:val="20"/>
                <w:szCs w:val="20"/>
              </w:rPr>
              <w:t xml:space="preserve">CVE-2025-0111</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PAN-OS</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2025-02-12</w:t>
            </w:r>
          </w:p>
        </w:tc>
        <w:tc>
          <w:tcPr>
            <w:tcW w:w="0" w:type="auto"/>
          </w:tcPr>
          <w:p>
            <w:pPr>
              <w:spacing w:line="240" w:lineRule="auto" w:before="0" w:after="0"/>
              <w:pStyle w:val="Compact"/>
            </w:pPr>
            <w:r>
              <w:rPr>
                <w:sz w:val="20"/>
                <w:szCs w:val="20"/>
              </w:rPr>
              <w:t xml:space="preserve">2025-02-20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CISA KEV v2026.06.18 entry CVE-2025-0111 (Palo Alto Networks PAN-OS; dateAdded 2025-02-20; ransomware=0); NVD CVE API 2.0 CVE-2025-0111 (published 2025-02-12; CVSS V31 base 6.5)</w:t>
            </w:r>
          </w:p>
        </w:tc>
      </w:tr>
      <w:tr>
        <w:tc>
          <w:tcPr>
            <w:tcW w:w="0" w:type="auto"/>
          </w:tcPr>
          <w:p>
            <w:pPr>
              <w:spacing w:line="240" w:lineRule="auto" w:before="0" w:after="0"/>
              <w:pStyle w:val="Compact"/>
            </w:pPr>
            <w:r>
              <w:rPr>
                <w:sz w:val="20"/>
                <w:szCs w:val="20"/>
              </w:rPr>
              <w:t xml:space="preserve">CVE-2020-8218</w:t>
            </w:r>
          </w:p>
        </w:tc>
        <w:tc>
          <w:tcPr>
            <w:tcW w:w="0" w:type="auto"/>
          </w:tcPr>
          <w:p>
            <w:pPr>
              <w:spacing w:line="240" w:lineRule="auto" w:before="0" w:after="0"/>
              <w:pStyle w:val="Compact"/>
            </w:pPr>
            <w:r>
              <w:rPr>
                <w:sz w:val="20"/>
                <w:szCs w:val="20"/>
              </w:rPr>
              <w:t xml:space="preserve">Pulse Secure</w:t>
            </w:r>
          </w:p>
        </w:tc>
        <w:tc>
          <w:tcPr>
            <w:tcW w:w="0" w:type="auto"/>
          </w:tcPr>
          <w:p>
            <w:pPr>
              <w:spacing w:line="240" w:lineRule="auto" w:before="0" w:after="0"/>
              <w:pStyle w:val="Compact"/>
            </w:pPr>
            <w:r>
              <w:rPr>
                <w:sz w:val="20"/>
                <w:szCs w:val="20"/>
              </w:rPr>
              <w:t xml:space="preserve">Pulse Connect Secure</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2020-07-30</w:t>
            </w:r>
          </w:p>
        </w:tc>
        <w:tc>
          <w:tcPr>
            <w:tcW w:w="0" w:type="auto"/>
          </w:tcPr>
          <w:p>
            <w:pPr>
              <w:spacing w:line="240" w:lineRule="auto" w:before="0" w:after="0"/>
              <w:pStyle w:val="Compact"/>
            </w:pPr>
            <w:r>
              <w:rPr>
                <w:sz w:val="20"/>
                <w:szCs w:val="20"/>
              </w:rPr>
              <w:t xml:space="preserve">2022-03-07</w:t>
            </w:r>
          </w:p>
        </w:tc>
        <w:tc>
          <w:tcPr>
            <w:tcW w:w="0" w:type="auto"/>
          </w:tcPr>
          <w:p>
            <w:pPr>
              <w:spacing w:line="240" w:lineRule="auto" w:before="0" w:after="0"/>
              <w:pStyle w:val="Compact"/>
            </w:pPr>
            <w:r>
              <w:rPr>
                <w:sz w:val="20"/>
                <w:szCs w:val="20"/>
              </w:rPr>
              <w:t xml:space="preserve">585</w:t>
            </w:r>
          </w:p>
        </w:tc>
        <w:tc>
          <w:tcPr>
            <w:tcW w:w="0" w:type="auto"/>
          </w:tcPr>
          <w:p>
            <w:pPr>
              <w:spacing w:line="240" w:lineRule="auto" w:before="0" w:after="0"/>
              <w:pStyle w:val="Compact"/>
            </w:pPr>
            <w:r>
              <w:rPr>
                <w:sz w:val="20"/>
                <w:szCs w:val="20"/>
              </w:rPr>
              <w:t xml:space="preserve">6.3716</w:t>
            </w:r>
          </w:p>
        </w:tc>
        <w:tc>
          <w:tcPr>
            <w:tcW w:w="0" w:type="auto"/>
          </w:tcPr>
          <w:p>
            <w:pPr>
              <w:spacing w:line="240" w:lineRule="auto" w:before="0" w:after="0"/>
              <w:pStyle w:val="Compact"/>
            </w:pPr>
            <w:r>
              <w:rPr>
                <w:sz w:val="20"/>
                <w:szCs w:val="20"/>
              </w:rPr>
              <w:t xml:space="preserve">CISA KEV v2026.06.18 entry CVE-2020-8218 (Pulse Secure Pulse Connect Secure; dateAdded 2022-03-07; ransomware=0); NVD CVE API 2.0 CVE-2020-8218 (published 2020-07-30; CVSS V31 base 7.2)</w:t>
            </w:r>
          </w:p>
        </w:tc>
      </w:tr>
      <w:tr>
        <w:tc>
          <w:tcPr>
            <w:tcW w:w="0" w:type="auto"/>
          </w:tcPr>
          <w:p>
            <w:pPr>
              <w:spacing w:line="240" w:lineRule="auto" w:before="0" w:after="0"/>
              <w:pStyle w:val="Compact"/>
            </w:pPr>
            <w:r>
              <w:rPr>
                <w:sz w:val="20"/>
                <w:szCs w:val="20"/>
              </w:rPr>
              <w:t xml:space="preserve">CVE-2019-7483</w:t>
            </w:r>
          </w:p>
        </w:tc>
        <w:tc>
          <w:tcPr>
            <w:tcW w:w="0" w:type="auto"/>
          </w:tcPr>
          <w:p>
            <w:pPr>
              <w:spacing w:line="240" w:lineRule="auto" w:before="0" w:after="0"/>
              <w:pStyle w:val="Compact"/>
            </w:pPr>
            <w:r>
              <w:rPr>
                <w:sz w:val="20"/>
                <w:szCs w:val="20"/>
              </w:rPr>
              <w:t xml:space="preserve">SonicWall</w:t>
            </w:r>
          </w:p>
        </w:tc>
        <w:tc>
          <w:tcPr>
            <w:tcW w:w="0" w:type="auto"/>
          </w:tcPr>
          <w:p>
            <w:pPr>
              <w:spacing w:line="240" w:lineRule="auto" w:before="0" w:after="0"/>
              <w:pStyle w:val="Compact"/>
            </w:pPr>
            <w:r>
              <w:rPr>
                <w:sz w:val="20"/>
                <w:szCs w:val="20"/>
              </w:rPr>
              <w:t xml:space="preserve">SMA100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2019-12-19</w:t>
            </w:r>
          </w:p>
        </w:tc>
        <w:tc>
          <w:tcPr>
            <w:tcW w:w="0" w:type="auto"/>
          </w:tcPr>
          <w:p>
            <w:pPr>
              <w:spacing w:line="240" w:lineRule="auto" w:before="0" w:after="0"/>
              <w:pStyle w:val="Compact"/>
            </w:pPr>
            <w:r>
              <w:rPr>
                <w:sz w:val="20"/>
                <w:szCs w:val="20"/>
              </w:rPr>
              <w:t xml:space="preserve">2022-03-28</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6.7214</w:t>
            </w:r>
          </w:p>
        </w:tc>
        <w:tc>
          <w:tcPr>
            <w:tcW w:w="0" w:type="auto"/>
          </w:tcPr>
          <w:p>
            <w:pPr>
              <w:spacing w:line="240" w:lineRule="auto" w:before="0" w:after="0"/>
              <w:pStyle w:val="Compact"/>
            </w:pPr>
            <w:r>
              <w:rPr>
                <w:sz w:val="20"/>
                <w:szCs w:val="20"/>
              </w:rPr>
              <w:t xml:space="preserve">CISA KEV v2026.06.18 entry CVE-2019-7483 (SonicWall SMA100; dateAdded 2022-03-28; ransomware=0); NVD CVE API 2.0 CVE-2019-7483 (published 2019-12-19; CVSS V31 base 7.5)</w:t>
            </w:r>
          </w:p>
        </w:tc>
      </w:tr>
      <w:tr>
        <w:tc>
          <w:tcPr>
            <w:tcW w:w="0" w:type="auto"/>
          </w:tcPr>
          <w:p>
            <w:pPr>
              <w:spacing w:line="240" w:lineRule="auto" w:before="0" w:after="0"/>
              <w:pStyle w:val="Compact"/>
            </w:pPr>
            <w:r>
              <w:rPr>
                <w:sz w:val="20"/>
                <w:szCs w:val="20"/>
              </w:rPr>
              <w:t xml:space="preserve">CVE-2020-5135</w:t>
            </w:r>
          </w:p>
        </w:tc>
        <w:tc>
          <w:tcPr>
            <w:tcW w:w="0" w:type="auto"/>
          </w:tcPr>
          <w:p>
            <w:pPr>
              <w:spacing w:line="240" w:lineRule="auto" w:before="0" w:after="0"/>
              <w:pStyle w:val="Compact"/>
            </w:pPr>
            <w:r>
              <w:rPr>
                <w:sz w:val="20"/>
                <w:szCs w:val="20"/>
              </w:rPr>
              <w:t xml:space="preserve">SonicWall</w:t>
            </w:r>
          </w:p>
        </w:tc>
        <w:tc>
          <w:tcPr>
            <w:tcW w:w="0" w:type="auto"/>
          </w:tcPr>
          <w:p>
            <w:pPr>
              <w:spacing w:line="240" w:lineRule="auto" w:before="0" w:after="0"/>
              <w:pStyle w:val="Compact"/>
            </w:pPr>
            <w:r>
              <w:rPr>
                <w:sz w:val="20"/>
                <w:szCs w:val="20"/>
              </w:rPr>
              <w:t xml:space="preserve">SonicOS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2020-10-12</w:t>
            </w:r>
          </w:p>
        </w:tc>
        <w:tc>
          <w:tcPr>
            <w:tcW w:w="0" w:type="auto"/>
          </w:tcPr>
          <w:p>
            <w:pPr>
              <w:spacing w:line="240" w:lineRule="auto" w:before="0" w:after="0"/>
              <w:pStyle w:val="Compact"/>
            </w:pPr>
            <w:r>
              <w:rPr>
                <w:sz w:val="20"/>
                <w:szCs w:val="20"/>
              </w:rPr>
              <w:t xml:space="preserve">2022-03-15</w:t>
            </w:r>
          </w:p>
        </w:tc>
        <w:tc>
          <w:tcPr>
            <w:tcW w:w="0" w:type="auto"/>
          </w:tcPr>
          <w:p>
            <w:pPr>
              <w:spacing w:line="240" w:lineRule="auto" w:before="0" w:after="0"/>
              <w:pStyle w:val="Compact"/>
            </w:pPr>
            <w:r>
              <w:rPr>
                <w:sz w:val="20"/>
                <w:szCs w:val="20"/>
              </w:rPr>
              <w:t xml:space="preserve">519</w:t>
            </w:r>
          </w:p>
        </w:tc>
        <w:tc>
          <w:tcPr>
            <w:tcW w:w="0" w:type="auto"/>
          </w:tcPr>
          <w:p>
            <w:pPr>
              <w:spacing w:line="240" w:lineRule="auto" w:before="0" w:after="0"/>
              <w:pStyle w:val="Compact"/>
            </w:pPr>
            <w:r>
              <w:rPr>
                <w:sz w:val="20"/>
                <w:szCs w:val="20"/>
              </w:rPr>
              <w:t xml:space="preserve">6.2519</w:t>
            </w:r>
          </w:p>
        </w:tc>
        <w:tc>
          <w:tcPr>
            <w:tcW w:w="0" w:type="auto"/>
          </w:tcPr>
          <w:p>
            <w:pPr>
              <w:spacing w:line="240" w:lineRule="auto" w:before="0" w:after="0"/>
              <w:pStyle w:val="Compact"/>
            </w:pPr>
            <w:r>
              <w:rPr>
                <w:sz w:val="20"/>
                <w:szCs w:val="20"/>
              </w:rPr>
              <w:t xml:space="preserve">CISA KEV v2026.06.18 entry CVE-2020-5135 (SonicWall SonicOS; dateAdded 2022-03-15; ransomware=0); NVD CVE API 2.0 CVE-2020-5135 (published 2020-10-12; CVSS V31 base 9.8)</w:t>
            </w:r>
          </w:p>
        </w:tc>
      </w:tr>
      <w:tr>
        <w:tc>
          <w:tcPr>
            <w:tcW w:w="0" w:type="auto"/>
          </w:tcPr>
          <w:p>
            <w:pPr>
              <w:spacing w:line="240" w:lineRule="auto" w:before="0" w:after="0"/>
              <w:pStyle w:val="Compact"/>
            </w:pPr>
            <w:r>
              <w:rPr>
                <w:sz w:val="20"/>
                <w:szCs w:val="20"/>
              </w:rPr>
              <w:t xml:space="preserve">CVE-2024-40766</w:t>
            </w:r>
          </w:p>
        </w:tc>
        <w:tc>
          <w:tcPr>
            <w:tcW w:w="0" w:type="auto"/>
          </w:tcPr>
          <w:p>
            <w:pPr>
              <w:spacing w:line="240" w:lineRule="auto" w:before="0" w:after="0"/>
              <w:pStyle w:val="Compact"/>
            </w:pPr>
            <w:r>
              <w:rPr>
                <w:sz w:val="20"/>
                <w:szCs w:val="20"/>
              </w:rPr>
              <w:t xml:space="preserve">SonicWall</w:t>
            </w:r>
          </w:p>
        </w:tc>
        <w:tc>
          <w:tcPr>
            <w:tcW w:w="0" w:type="auto"/>
          </w:tcPr>
          <w:p>
            <w:pPr>
              <w:spacing w:line="240" w:lineRule="auto" w:before="0" w:after="0"/>
              <w:pStyle w:val="Compact"/>
            </w:pPr>
            <w:r>
              <w:rPr>
                <w:sz w:val="20"/>
                <w:szCs w:val="20"/>
              </w:rPr>
              <w:t xml:space="preserve">SonicOS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2024-08-23</w:t>
            </w:r>
          </w:p>
        </w:tc>
        <w:tc>
          <w:tcPr>
            <w:tcW w:w="0" w:type="auto"/>
          </w:tcPr>
          <w:p>
            <w:pPr>
              <w:spacing w:line="240" w:lineRule="auto" w:before="0" w:after="0"/>
              <w:pStyle w:val="Compact"/>
            </w:pPr>
            <w:r>
              <w:rPr>
                <w:sz w:val="20"/>
                <w:szCs w:val="20"/>
              </w:rPr>
              <w:t xml:space="preserve">2024-09-09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CISA KEV v2026.06.18 entry CVE-2024-40766 (SonicWall SonicOS; dateAdded 2024-09-09; ransomware=1); NVD CVE API 2.0 CVE-2024-40766 (published 2024-08-23; CVSS V31 base 9.8)</w:t>
            </w:r>
          </w:p>
        </w:tc>
      </w:tr>
      <w:tr>
        <w:tc>
          <w:tcPr>
            <w:tcW w:w="0" w:type="auto"/>
          </w:tcPr>
          <w:p>
            <w:pPr>
              <w:spacing w:line="240" w:lineRule="auto" w:before="0" w:after="0"/>
              <w:pStyle w:val="Compact"/>
            </w:pPr>
            <w:r>
              <w:rPr>
                <w:sz w:val="20"/>
                <w:szCs w:val="20"/>
              </w:rPr>
              <w:t xml:space="preserve">CVE-2020-12271</w:t>
            </w:r>
          </w:p>
        </w:tc>
        <w:tc>
          <w:tcPr>
            <w:tcW w:w="0" w:type="auto"/>
          </w:tcPr>
          <w:p>
            <w:pPr>
              <w:spacing w:line="240" w:lineRule="auto" w:before="0" w:after="0"/>
              <w:pStyle w:val="Compact"/>
            </w:pPr>
            <w:r>
              <w:rPr>
                <w:sz w:val="20"/>
                <w:szCs w:val="20"/>
              </w:rPr>
              <w:t xml:space="preserve">Sophos</w:t>
            </w:r>
          </w:p>
        </w:tc>
        <w:tc>
          <w:tcPr>
            <w:tcW w:w="0" w:type="auto"/>
          </w:tcPr>
          <w:p>
            <w:pPr>
              <w:spacing w:line="240" w:lineRule="auto" w:before="0" w:after="0"/>
              <w:pStyle w:val="Compact"/>
            </w:pPr>
            <w:r>
              <w:rPr>
                <w:sz w:val="20"/>
                <w:szCs w:val="20"/>
              </w:rPr>
              <w:t xml:space="preserve">SFOS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2020-04-27</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555</w:t>
            </w:r>
          </w:p>
        </w:tc>
        <w:tc>
          <w:tcPr>
            <w:tcW w:w="0" w:type="auto"/>
          </w:tcPr>
          <w:p>
            <w:pPr>
              <w:spacing w:line="240" w:lineRule="auto" w:before="0" w:after="0"/>
              <w:pStyle w:val="Compact"/>
            </w:pPr>
            <w:r>
              <w:rPr>
                <w:sz w:val="20"/>
                <w:szCs w:val="20"/>
              </w:rPr>
              <w:t xml:space="preserve">6.319</w:t>
            </w:r>
          </w:p>
        </w:tc>
        <w:tc>
          <w:tcPr>
            <w:tcW w:w="0" w:type="auto"/>
          </w:tcPr>
          <w:p>
            <w:pPr>
              <w:spacing w:line="240" w:lineRule="auto" w:before="0" w:after="0"/>
              <w:pStyle w:val="Compact"/>
            </w:pPr>
            <w:r>
              <w:rPr>
                <w:sz w:val="20"/>
                <w:szCs w:val="20"/>
              </w:rPr>
              <w:t xml:space="preserve">CISA KEV v2026.06.18 entry CVE-2020-12271 (Sophos SFOS; dateAdded 2021-11-03; ransomware=1); NVD CVE API 2.0 CVE-2020-12271 (published 2020-04-27; CVSS V31 base 9.8)</w:t>
            </w:r>
          </w:p>
        </w:tc>
      </w:tr>
      <w:tr>
        <w:tc>
          <w:tcPr>
            <w:tcW w:w="0" w:type="auto"/>
          </w:tcPr>
          <w:p>
            <w:pPr>
              <w:spacing w:line="240" w:lineRule="auto" w:before="0" w:after="0"/>
              <w:pStyle w:val="Compact"/>
            </w:pPr>
            <w:r>
              <w:rPr>
                <w:sz w:val="20"/>
                <w:szCs w:val="20"/>
              </w:rPr>
              <w:t xml:space="preserve">CVE-2020-25223</w:t>
            </w:r>
          </w:p>
        </w:tc>
        <w:tc>
          <w:tcPr>
            <w:tcW w:w="0" w:type="auto"/>
          </w:tcPr>
          <w:p>
            <w:pPr>
              <w:spacing w:line="240" w:lineRule="auto" w:before="0" w:after="0"/>
              <w:pStyle w:val="Compact"/>
            </w:pPr>
            <w:r>
              <w:rPr>
                <w:sz w:val="20"/>
                <w:szCs w:val="20"/>
              </w:rPr>
              <w:t xml:space="preserve">Sophos</w:t>
            </w:r>
          </w:p>
        </w:tc>
        <w:tc>
          <w:tcPr>
            <w:tcW w:w="0" w:type="auto"/>
          </w:tcPr>
          <w:p>
            <w:pPr>
              <w:spacing w:line="240" w:lineRule="auto" w:before="0" w:after="0"/>
              <w:pStyle w:val="Compact"/>
            </w:pPr>
            <w:r>
              <w:rPr>
                <w:sz w:val="20"/>
                <w:szCs w:val="20"/>
              </w:rPr>
              <w:t xml:space="preserve">SG UTM</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2020-09-25</w:t>
            </w:r>
          </w:p>
        </w:tc>
        <w:tc>
          <w:tcPr>
            <w:tcW w:w="0" w:type="auto"/>
          </w:tcPr>
          <w:p>
            <w:pPr>
              <w:spacing w:line="240" w:lineRule="auto" w:before="0" w:after="0"/>
              <w:pStyle w:val="Compact"/>
            </w:pPr>
            <w:r>
              <w:rPr>
                <w:sz w:val="20"/>
                <w:szCs w:val="20"/>
              </w:rPr>
              <w:t xml:space="preserve">2022-03-25</w:t>
            </w:r>
          </w:p>
        </w:tc>
        <w:tc>
          <w:tcPr>
            <w:tcW w:w="0" w:type="auto"/>
          </w:tcPr>
          <w:p>
            <w:pPr>
              <w:spacing w:line="240" w:lineRule="auto" w:before="0" w:after="0"/>
              <w:pStyle w:val="Compact"/>
            </w:pPr>
            <w:r>
              <w:rPr>
                <w:sz w:val="20"/>
                <w:szCs w:val="20"/>
              </w:rPr>
              <w:t xml:space="preserve">546</w:t>
            </w:r>
          </w:p>
        </w:tc>
        <w:tc>
          <w:tcPr>
            <w:tcW w:w="0" w:type="auto"/>
          </w:tcPr>
          <w:p>
            <w:pPr>
              <w:spacing w:line="240" w:lineRule="auto" w:before="0" w:after="0"/>
              <w:pStyle w:val="Compact"/>
            </w:pPr>
            <w:r>
              <w:rPr>
                <w:sz w:val="20"/>
                <w:szCs w:val="20"/>
              </w:rPr>
              <w:t xml:space="preserve">6.3026</w:t>
            </w:r>
          </w:p>
        </w:tc>
        <w:tc>
          <w:tcPr>
            <w:tcW w:w="0" w:type="auto"/>
          </w:tcPr>
          <w:p>
            <w:pPr>
              <w:spacing w:line="240" w:lineRule="auto" w:before="0" w:after="0"/>
              <w:pStyle w:val="Compact"/>
            </w:pPr>
            <w:r>
              <w:rPr>
                <w:sz w:val="20"/>
                <w:szCs w:val="20"/>
              </w:rPr>
              <w:t xml:space="preserve">CISA KEV v2026.06.18 entry CVE-2020-25223 (Sophos SG UTM; dateAdded 2022-03-25; ransomware=0); NVD CVE API 2.0 CVE-2020-25223 (published 2020-09-25; CVSS V31 base 9.8)</w:t>
            </w:r>
          </w:p>
        </w:tc>
      </w:tr>
      <w:tr>
        <w:tc>
          <w:tcPr>
            <w:tcW w:w="0" w:type="auto"/>
          </w:tcPr>
          <w:p>
            <w:pPr>
              <w:spacing w:line="240" w:lineRule="auto" w:before="0" w:after="0"/>
              <w:pStyle w:val="Compact"/>
            </w:pPr>
            <w:r>
              <w:rPr>
                <w:sz w:val="20"/>
                <w:szCs w:val="20"/>
              </w:rPr>
              <w:t xml:space="preserve">CVE-2017-6884</w:t>
            </w:r>
          </w:p>
        </w:tc>
        <w:tc>
          <w:tcPr>
            <w:tcW w:w="0" w:type="auto"/>
          </w:tcPr>
          <w:p>
            <w:pPr>
              <w:spacing w:line="240" w:lineRule="auto" w:before="0" w:after="0"/>
              <w:pStyle w:val="Compact"/>
            </w:pPr>
            <w:r>
              <w:rPr>
                <w:sz w:val="20"/>
                <w:szCs w:val="20"/>
              </w:rPr>
              <w:t xml:space="preserve">Zyxel</w:t>
            </w:r>
          </w:p>
        </w:tc>
        <w:tc>
          <w:tcPr>
            <w:tcW w:w="0" w:type="auto"/>
          </w:tcPr>
          <w:p>
            <w:pPr>
              <w:spacing w:line="240" w:lineRule="auto" w:before="0" w:after="0"/>
              <w:pStyle w:val="Compact"/>
            </w:pPr>
            <w:r>
              <w:rPr>
                <w:sz w:val="20"/>
                <w:szCs w:val="20"/>
              </w:rPr>
              <w:t xml:space="preserve">EMG2926 Routers</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2017-04-06</w:t>
            </w:r>
          </w:p>
        </w:tc>
        <w:tc>
          <w:tcPr>
            <w:tcW w:w="0" w:type="auto"/>
          </w:tcPr>
          <w:p>
            <w:pPr>
              <w:spacing w:line="240" w:lineRule="auto" w:before="0" w:after="0"/>
              <w:pStyle w:val="Compact"/>
            </w:pPr>
            <w:r>
              <w:rPr>
                <w:sz w:val="20"/>
                <w:szCs w:val="20"/>
              </w:rPr>
              <w:t xml:space="preserve">2023-09-18</w:t>
            </w:r>
          </w:p>
        </w:tc>
        <w:tc>
          <w:tcPr>
            <w:tcW w:w="0" w:type="auto"/>
          </w:tcPr>
          <w:p>
            <w:pPr>
              <w:spacing w:line="240" w:lineRule="auto" w:before="0" w:after="0"/>
              <w:pStyle w:val="Compact"/>
            </w:pPr>
            <w:r>
              <w:rPr>
                <w:sz w:val="20"/>
                <w:szCs w:val="20"/>
              </w:rPr>
              <w:t xml:space="preserve">2356</w:t>
            </w:r>
          </w:p>
        </w:tc>
        <w:tc>
          <w:tcPr>
            <w:tcW w:w="0" w:type="auto"/>
          </w:tcPr>
          <w:p>
            <w:pPr>
              <w:spacing w:line="240" w:lineRule="auto" w:before="0" w:after="0"/>
              <w:pStyle w:val="Compact"/>
            </w:pPr>
            <w:r>
              <w:rPr>
                <w:sz w:val="20"/>
                <w:szCs w:val="20"/>
              </w:rPr>
              <w:t xml:space="preserve">7.7647</w:t>
            </w:r>
          </w:p>
        </w:tc>
        <w:tc>
          <w:tcPr>
            <w:tcW w:w="0" w:type="auto"/>
          </w:tcPr>
          <w:p>
            <w:pPr>
              <w:spacing w:line="240" w:lineRule="auto" w:before="0" w:after="0"/>
              <w:pStyle w:val="Compact"/>
            </w:pPr>
            <w:r>
              <w:rPr>
                <w:sz w:val="20"/>
                <w:szCs w:val="20"/>
              </w:rPr>
              <w:t xml:space="preserve">CISA KEV v2026.06.18 entry CVE-2017-6884 (Zyxel EMG2926 Routers; dateAdded 2023-09-18; ransomware=1); NVD CVE API 2.0 CVE-2017-6884 (published 2017-04-06; CVSS V31 base 8.8)</w:t>
            </w:r>
          </w:p>
        </w:tc>
      </w:tr>
      <w:tr>
        <w:tc>
          <w:tcPr>
            <w:tcW w:w="0" w:type="auto"/>
          </w:tcPr>
          <w:p>
            <w:pPr>
              <w:spacing w:line="240" w:lineRule="auto" w:before="0" w:after="0"/>
              <w:pStyle w:val="Compact"/>
            </w:pPr>
            <w:r>
              <w:rPr>
                <w:sz w:val="20"/>
                <w:szCs w:val="20"/>
              </w:rPr>
              <w:t xml:space="preserve">CVE-2020-29583</w:t>
            </w:r>
          </w:p>
        </w:tc>
        <w:tc>
          <w:tcPr>
            <w:tcW w:w="0" w:type="auto"/>
          </w:tcPr>
          <w:p>
            <w:pPr>
              <w:spacing w:line="240" w:lineRule="auto" w:before="0" w:after="0"/>
              <w:pStyle w:val="Compact"/>
            </w:pPr>
            <w:r>
              <w:rPr>
                <w:sz w:val="20"/>
                <w:szCs w:val="20"/>
              </w:rPr>
              <w:t xml:space="preserve">Zyxel</w:t>
            </w:r>
          </w:p>
        </w:tc>
        <w:tc>
          <w:tcPr>
            <w:tcW w:w="0" w:type="auto"/>
          </w:tcPr>
          <w:p>
            <w:pPr>
              <w:spacing w:line="240" w:lineRule="auto" w:before="0" w:after="0"/>
              <w:pStyle w:val="Compact"/>
            </w:pPr>
            <w:r>
              <w:rPr>
                <w:sz w:val="20"/>
                <w:szCs w:val="20"/>
              </w:rPr>
              <w:t xml:space="preserve">Multiple Products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2020-12-22</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316</w:t>
            </w:r>
          </w:p>
        </w:tc>
        <w:tc>
          <w:tcPr>
            <w:tcW w:w="0" w:type="auto"/>
          </w:tcPr>
          <w:p>
            <w:pPr>
              <w:spacing w:line="240" w:lineRule="auto" w:before="0" w:after="0"/>
              <w:pStyle w:val="Compact"/>
            </w:pPr>
            <w:r>
              <w:rPr>
                <w:sz w:val="20"/>
                <w:szCs w:val="20"/>
              </w:rPr>
              <w:t xml:space="preserve">5.7557</w:t>
            </w:r>
          </w:p>
        </w:tc>
        <w:tc>
          <w:tcPr>
            <w:tcW w:w="0" w:type="auto"/>
          </w:tcPr>
          <w:p>
            <w:pPr>
              <w:spacing w:line="240" w:lineRule="auto" w:before="0" w:after="0"/>
              <w:pStyle w:val="Compact"/>
            </w:pPr>
            <w:r>
              <w:rPr>
                <w:sz w:val="20"/>
                <w:szCs w:val="20"/>
              </w:rPr>
              <w:t xml:space="preserve">CISA KEV v2026.06.18 entry CVE-2020-29583 (Zyxel Multiple Products; dateAdded 2021-11-03; ransomware=0); NVD CVE API 2.0 CVE-2020-29583 (published 2020-12-22; CVSS V31 base 9.8)</w:t>
            </w:r>
          </w:p>
        </w:tc>
      </w:tr>
    </w:tbl>
    <w:bookmarkEnd w:id="210"/>
    <w:bookmarkStart w:id="211"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ln_exposure_days</w:t>
            </w:r>
          </w:p>
        </w:tc>
        <w:tc>
          <w:tcPr>
            <w:tcW w:w="0" w:type="auto"/>
          </w:tcPr>
          <w:p>
            <w:pPr>
              <w:spacing w:line="240" w:lineRule="auto" w:before="0" w:after="0"/>
              <w:pStyle w:val="Compact"/>
            </w:pPr>
            <w:r>
              <w:rPr>
                <w:sz w:val="20"/>
                <w:szCs w:val="20"/>
              </w:rPr>
              <w:t xml:space="preserve">Patch-latency window, expressed as the natural log of the number of calendar days a vulnerability stayed exploitable: from public disclosure (NVD published date) to the date CISA confirmed in-the-wild exploitation by adding it to the Known Exploited Vulnerabilities catalog (KEV dateAdded), floored at one day. The log transform addresses the right-skew of the raw window and makes coefficients interpretable as approximate proportional effects. The untransformed exposure_days column is retained alongside for audit.</w:t>
            </w:r>
          </w:p>
        </w:tc>
        <w:tc>
          <w:tcPr>
            <w:tcW w:w="0" w:type="auto"/>
          </w:tcPr>
          <w:p>
            <w:pPr>
              <w:spacing w:line="240" w:lineRule="auto" w:before="0" w:after="0"/>
              <w:pStyle w:val="Compact"/>
            </w:pPr>
            <w:r>
              <w:rPr>
                <w:sz w:val="20"/>
                <w:szCs w:val="20"/>
              </w:rPr>
              <w:t xml:space="preserve">ln of (CISA KEV dateAdded minus NVD published date), both primary-source date fields; KEV catalog v2026.06.18 and NVD CVE API 2.0.</w:t>
            </w:r>
          </w:p>
        </w:tc>
      </w:tr>
      <w:tr>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NVD CVSS base score of the vulnerability (severity, 0 to 10), taken from the primary CVSS v3.1 metric where present, otherwise v3.0, otherwise v2.</w:t>
            </w:r>
          </w:p>
        </w:tc>
        <w:tc>
          <w:tcPr>
            <w:tcW w:w="0" w:type="auto"/>
          </w:tcPr>
          <w:p>
            <w:pPr>
              <w:spacing w:line="240" w:lineRule="auto" w:before="0" w:after="0"/>
              <w:pStyle w:val="Compact"/>
            </w:pPr>
            <w:r>
              <w:rPr>
                <w:sz w:val="20"/>
                <w:szCs w:val="20"/>
              </w:rPr>
              <w:t xml:space="preserve">NVD CVE API 2.0 metrics baseScore (cvssMetricV31 preferred).</w:t>
            </w:r>
          </w:p>
        </w:tc>
      </w:tr>
      <w:tr>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Asset-class indicator: 1 if the vulnerable product is an internet-facing remote-access, VPN, or edge-gateway appliance that fronts ground operations (Cisco, Fortinet, Citrix, Ivanti, Palo Alto, Juniper, F5, SonicWall, Sophos, Zyxel, Pulse Secure, Barracuda), 0 if it is an operational-technology or industrial-control device (Siemens, Schneider Electric, Delta Electronics, Unitronics).</w:t>
            </w:r>
          </w:p>
        </w:tc>
        <w:tc>
          <w:tcPr>
            <w:tcW w:w="0" w:type="auto"/>
          </w:tcPr>
          <w:p>
            <w:pPr>
              <w:spacing w:line="240" w:lineRule="auto" w:before="0" w:after="0"/>
              <w:pStyle w:val="Compact"/>
            </w:pPr>
            <w:r>
              <w:rPr>
                <w:sz w:val="20"/>
                <w:szCs w:val="20"/>
              </w:rPr>
              <w:t xml:space="preserve">CISA KEV vendorProject classified against a fixed appliance-class keyword list.</w:t>
            </w:r>
          </w:p>
        </w:tc>
      </w:tr>
      <w:tr>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Indicator: 1 if CISA flagged the vulnerability as having known ransomware-campaign use, 0 otherwise.</w:t>
            </w:r>
          </w:p>
        </w:tc>
        <w:tc>
          <w:tcPr>
            <w:tcW w:w="0" w:type="auto"/>
          </w:tcPr>
          <w:p>
            <w:pPr>
              <w:spacing w:line="240" w:lineRule="auto" w:before="0" w:after="0"/>
              <w:pStyle w:val="Compact"/>
            </w:pPr>
            <w:r>
              <w:rPr>
                <w:sz w:val="20"/>
                <w:szCs w:val="20"/>
              </w:rPr>
              <w:t xml:space="preserve">CISA KEV knownRansomwareCampaignUse field (value</w:t>
            </w:r>
            <w:r>
              <w:rPr>
                <w:sz w:val="20"/>
                <w:szCs w:val="20"/>
              </w:rPr>
              <w:t xml:space="preserve"> </w:t>
            </w:r>
            <w:r>
              <w:rPr>
                <w:sz w:val="20"/>
                <w:szCs w:val="20"/>
              </w:rPr>
              <w:t xml:space="preserve">‘Known’</w:t>
            </w:r>
            <w:r>
              <w:rPr>
                <w:sz w:val="20"/>
                <w:szCs w:val="20"/>
              </w:rPr>
              <w:t xml:space="preserve">).</w:t>
            </w:r>
          </w:p>
        </w:tc>
      </w:tr>
      <w:tr>
        <w:tc>
          <w:tcPr>
            <w:tcW w:w="0" w:type="auto"/>
          </w:tcPr>
          <w:p>
            <w:pPr>
              <w:spacing w:line="240" w:lineRule="auto" w:before="0" w:after="0"/>
              <w:pStyle w:val="Compact"/>
            </w:pPr>
            <w:r>
              <w:rPr>
                <w:sz w:val="20"/>
                <w:szCs w:val="20"/>
              </w:rPr>
              <w:t xml:space="preserve">post_bod</w:t>
            </w:r>
          </w:p>
        </w:tc>
        <w:tc>
          <w:tcPr>
            <w:tcW w:w="0" w:type="auto"/>
          </w:tcPr>
          <w:p>
            <w:pPr>
              <w:spacing w:line="240" w:lineRule="auto" w:before="0" w:after="0"/>
              <w:pStyle w:val="Compact"/>
            </w:pPr>
            <w:r>
              <w:rPr>
                <w:sz w:val="20"/>
                <w:szCs w:val="20"/>
              </w:rPr>
              <w:t xml:space="preserve">Governance-era indicator: 1 if the vulnerability was publicly disclosed in 2022 or later, 0 if disclosed before 2022. The cut marks the regime established by CISA Binding Operational Directive 22-01 and the Known Exploited Vulnerabilities program (November 2021), which institutionalized rapid cataloging of exploited vulnerabilities.</w:t>
            </w:r>
          </w:p>
        </w:tc>
        <w:tc>
          <w:tcPr>
            <w:tcW w:w="0" w:type="auto"/>
          </w:tcPr>
          <w:p>
            <w:pPr>
              <w:spacing w:line="240" w:lineRule="auto" w:before="0" w:after="0"/>
              <w:pStyle w:val="Compact"/>
            </w:pPr>
            <w:r>
              <w:rPr>
                <w:sz w:val="20"/>
                <w:szCs w:val="20"/>
              </w:rPr>
              <w:t xml:space="preserve">Derived from the NVD published-date year for each CVE.</w:t>
            </w:r>
          </w:p>
        </w:tc>
      </w:tr>
    </w:tbl>
    <w:bookmarkEnd w:id="211"/>
    <w:bookmarkEnd w:id="212"/>
    <w:bookmarkStart w:id="220" w:name="X7340890e7085b36dc306d6847a1df3b52f57b78"/>
    <w:p>
      <w:pPr>
        <w:pStyle w:val="Heading2"/>
        <w:spacing w:line="480" w:lineRule="auto"/>
      </w:pPr>
      <w:r>
        <w:t xml:space="preserve">A.2 Who Gets the Short Clock? A Logistic Analysis of Short Versus Extended Patch-Latency Windows for Ground-Segment and Mission-Control Vulnerabilities</w:t>
      </w:r>
    </w:p>
    <w:p>
      <w:pPr>
        <w:pStyle w:val="FirstParagraph"/>
        <w:spacing w:line="480" w:lineRule="auto"/>
      </w:pPr>
      <m:oMathPara>
        <m:oMathParaPr>
          <m:jc m:val="center"/>
        </m:oMathParaPr>
        <m:oMath>
          <m:r>
            <m:rPr>
              <m:sty m:val="p"/>
            </m:rPr>
            <m:t>Pr</m:t>
          </m:r>
          <m:r>
            <m:rPr>
              <m:sty m:val="p"/>
            </m:rPr>
            <m:t>(</m:t>
          </m:r>
          <m:sSub>
            <m:e>
              <m:r>
                <m:rPr>
                  <m:sty m:val="p"/>
                </m:rPr>
                <m:t>s</m:t>
              </m:r>
              <m:r>
                <m:rPr>
                  <m:sty m:val="p"/>
                </m:rPr>
                <m:t>h</m:t>
              </m:r>
              <m:r>
                <m:rPr>
                  <m:sty m:val="p"/>
                </m:rPr>
                <m:t>o</m:t>
              </m:r>
              <m:r>
                <m:rPr>
                  <m:sty m:val="p"/>
                </m:rPr>
                <m:t>r</m:t>
              </m:r>
              <m:r>
                <m:rPr>
                  <m:sty m:val="p"/>
                </m:rPr>
                <m:t>t</m:t>
              </m:r>
              <m:r>
                <m:rPr>
                  <m:sty m:val="p"/>
                </m:rPr>
                <m:t>_</m:t>
              </m:r>
              <m:r>
                <m:rPr>
                  <m:sty m:val="p"/>
                </m:rPr>
                <m:t>w</m:t>
              </m:r>
              <m:r>
                <m:rPr>
                  <m:sty m:val="p"/>
                </m:rPr>
                <m:t>i</m:t>
              </m:r>
              <m:r>
                <m:rPr>
                  <m:sty m:val="p"/>
                </m:rPr>
                <m:t>n</m:t>
              </m:r>
              <m:r>
                <m:rPr>
                  <m:sty m:val="p"/>
                </m:rPr>
                <m:t>d</m:t>
              </m:r>
              <m:r>
                <m:rPr>
                  <m:sty m:val="p"/>
                </m:rPr>
                <m:t>o</m:t>
              </m:r>
              <m:r>
                <m:rPr>
                  <m:sty m:val="p"/>
                </m:rPr>
                <m:t>w</m:t>
              </m:r>
            </m:e>
            <m:sub>
              <m:r>
                <m:t>i</m:t>
              </m:r>
            </m:sub>
          </m:sSub>
          <m:r>
            <m:rPr>
              <m:sty m:val="p"/>
            </m:rPr>
            <m:t>=</m:t>
          </m:r>
          <m:r>
            <m:t>1</m:t>
          </m:r>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r>
                <m:t> </m:t>
              </m:r>
              <m:sSub>
                <m:e>
                  <m:r>
                    <m:rPr>
                      <m:sty m:val="p"/>
                    </m:rPr>
                    <m:t>c</m:t>
                  </m:r>
                  <m:r>
                    <m:rPr>
                      <m:sty m:val="p"/>
                    </m:rPr>
                    <m:t>v</m:t>
                  </m:r>
                  <m:r>
                    <m:rPr>
                      <m:sty m:val="p"/>
                    </m:rPr>
                    <m:t>s</m:t>
                  </m:r>
                  <m:r>
                    <m:rPr>
                      <m:sty m:val="p"/>
                    </m:rPr>
                    <m:t>s</m:t>
                  </m:r>
                </m:e>
                <m:sub>
                  <m:r>
                    <m:t>i</m:t>
                  </m:r>
                </m:sub>
              </m:sSub>
              <m:r>
                <m:rPr>
                  <m:sty m:val="p"/>
                </m:rPr>
                <m:t>+</m:t>
              </m:r>
              <m:sSub>
                <m:e>
                  <m:r>
                    <m:t>β</m:t>
                  </m:r>
                </m:e>
                <m:sub>
                  <m:r>
                    <m:t>2</m:t>
                  </m:r>
                </m:sub>
              </m:sSub>
              <m:r>
                <m:t> </m:t>
              </m:r>
              <m:sSub>
                <m:e>
                  <m:r>
                    <m:rPr>
                      <m:sty m:val="p"/>
                    </m:rPr>
                    <m:t>r</m:t>
                  </m:r>
                  <m:r>
                    <m:rPr>
                      <m:sty m:val="p"/>
                    </m:rPr>
                    <m:t>a</m:t>
                  </m:r>
                  <m:r>
                    <m:rPr>
                      <m:sty m:val="p"/>
                    </m:rPr>
                    <m:t>n</m:t>
                  </m:r>
                  <m:r>
                    <m:rPr>
                      <m:sty m:val="p"/>
                    </m:rPr>
                    <m:t>s</m:t>
                  </m:r>
                  <m:r>
                    <m:rPr>
                      <m:sty m:val="p"/>
                    </m:rPr>
                    <m:t>o</m:t>
                  </m:r>
                  <m:r>
                    <m:rPr>
                      <m:sty m:val="p"/>
                    </m:rPr>
                    <m:t>m</m:t>
                  </m:r>
                  <m:r>
                    <m:rPr>
                      <m:sty m:val="p"/>
                    </m:rPr>
                    <m:t>w</m:t>
                  </m:r>
                  <m:r>
                    <m:rPr>
                      <m:sty m:val="p"/>
                    </m:rPr>
                    <m:t>a</m:t>
                  </m:r>
                  <m:r>
                    <m:rPr>
                      <m:sty m:val="p"/>
                    </m:rPr>
                    <m:t>r</m:t>
                  </m:r>
                  <m:r>
                    <m:rPr>
                      <m:sty m:val="p"/>
                    </m:rPr>
                    <m:t>e</m:t>
                  </m:r>
                </m:e>
                <m:sub>
                  <m:r>
                    <m:t>i</m:t>
                  </m:r>
                </m:sub>
              </m:sSub>
              <m:r>
                <m:rPr>
                  <m:sty m:val="p"/>
                </m:rPr>
                <m:t>+</m:t>
              </m:r>
              <m:sSub>
                <m:e>
                  <m:r>
                    <m:t>β</m:t>
                  </m:r>
                </m:e>
                <m:sub>
                  <m:r>
                    <m:t>3</m:t>
                  </m:r>
                </m:sub>
              </m:sSub>
              <m:r>
                <m:t> </m:t>
              </m:r>
              <m:sSub>
                <m:e>
                  <m:r>
                    <m:rPr>
                      <m:sty m:val="p"/>
                    </m:rPr>
                    <m:t>p</m:t>
                  </m:r>
                  <m:r>
                    <m:rPr>
                      <m:sty m:val="p"/>
                    </m:rPr>
                    <m:t>r</m:t>
                  </m:r>
                  <m:r>
                    <m:rPr>
                      <m:sty m:val="p"/>
                    </m:rPr>
                    <m:t>e</m:t>
                  </m:r>
                  <m:r>
                    <m:rPr>
                      <m:sty m:val="p"/>
                    </m:rPr>
                    <m:t>2021</m:t>
                  </m:r>
                </m:e>
                <m:sub>
                  <m:r>
                    <m:t>i</m:t>
                  </m:r>
                </m:sub>
              </m:sSub>
            </m:e>
          </m:d>
        </m:oMath>
      </m:oMathPara>
    </w:p>
    <w:bookmarkStart w:id="213"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3.118</w:t>
            </w:r>
          </w:p>
        </w:tc>
        <w:tc>
          <w:tcPr>
            <w:tcW w:w="0" w:type="auto"/>
          </w:tcPr>
          <w:p>
            <w:pPr>
              <w:spacing w:line="240" w:lineRule="auto" w:before="0" w:after="0"/>
              <w:pStyle w:val="Compact"/>
            </w:pPr>
            <w:r>
              <w:rPr>
                <w:sz w:val="20"/>
                <w:szCs w:val="20"/>
              </w:rPr>
              <w:t xml:space="preserve">3.2485</w:t>
            </w:r>
          </w:p>
        </w:tc>
        <w:tc>
          <w:tcPr>
            <w:tcW w:w="0" w:type="auto"/>
          </w:tcPr>
          <w:p>
            <w:pPr>
              <w:spacing w:line="240" w:lineRule="auto" w:before="0" w:after="0"/>
              <w:pStyle w:val="Compact"/>
            </w:pPr>
            <w:r>
              <w:rPr>
                <w:sz w:val="20"/>
                <w:szCs w:val="20"/>
              </w:rPr>
              <w:t xml:space="preserve">0.9598</w:t>
            </w:r>
          </w:p>
        </w:tc>
        <w:tc>
          <w:tcPr>
            <w:tcW w:w="0" w:type="auto"/>
          </w:tcPr>
          <w:p>
            <w:pPr>
              <w:spacing w:line="240" w:lineRule="auto" w:before="0" w:after="0"/>
              <w:pStyle w:val="Compact"/>
            </w:pPr>
            <w:r>
              <w:rPr>
                <w:sz w:val="20"/>
                <w:szCs w:val="20"/>
              </w:rPr>
              <w:t xml:space="preserve">0.3371</w:t>
            </w:r>
          </w:p>
        </w:tc>
        <w:tc>
          <w:tcPr>
            <w:tcW w:w="0" w:type="auto"/>
          </w:tcPr>
          <w:p>
            <w:pPr>
              <w:spacing w:line="240" w:lineRule="auto" w:before="0" w:after="0"/>
              <w:pStyle w:val="Compact"/>
            </w:pPr>
            <w:r>
              <w:rPr>
                <w:sz w:val="20"/>
                <w:szCs w:val="20"/>
              </w:rPr>
              <w:t xml:space="preserve">[-3.249, 9.4849]</w:t>
            </w:r>
          </w:p>
        </w:tc>
      </w:tr>
      <w:tr>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0.0444</w:t>
            </w:r>
          </w:p>
        </w:tc>
        <w:tc>
          <w:tcPr>
            <w:tcW w:w="0" w:type="auto"/>
          </w:tcPr>
          <w:p>
            <w:pPr>
              <w:spacing w:line="240" w:lineRule="auto" w:before="0" w:after="0"/>
              <w:pStyle w:val="Compact"/>
            </w:pPr>
            <w:r>
              <w:rPr>
                <w:sz w:val="20"/>
                <w:szCs w:val="20"/>
              </w:rPr>
              <w:t xml:space="preserve">0.3571</w:t>
            </w:r>
          </w:p>
        </w:tc>
        <w:tc>
          <w:tcPr>
            <w:tcW w:w="0" w:type="auto"/>
          </w:tcPr>
          <w:p>
            <w:pPr>
              <w:spacing w:line="240" w:lineRule="auto" w:before="0" w:after="0"/>
              <w:pStyle w:val="Compact"/>
            </w:pPr>
            <w:r>
              <w:rPr>
                <w:sz w:val="20"/>
                <w:szCs w:val="20"/>
              </w:rPr>
              <w:t xml:space="preserve">0.1244</w:t>
            </w:r>
          </w:p>
        </w:tc>
        <w:tc>
          <w:tcPr>
            <w:tcW w:w="0" w:type="auto"/>
          </w:tcPr>
          <w:p>
            <w:pPr>
              <w:spacing w:line="240" w:lineRule="auto" w:before="0" w:after="0"/>
              <w:pStyle w:val="Compact"/>
            </w:pPr>
            <w:r>
              <w:rPr>
                <w:sz w:val="20"/>
                <w:szCs w:val="20"/>
              </w:rPr>
              <w:t xml:space="preserve">0.901</w:t>
            </w:r>
          </w:p>
        </w:tc>
        <w:tc>
          <w:tcPr>
            <w:tcW w:w="0" w:type="auto"/>
          </w:tcPr>
          <w:p>
            <w:pPr>
              <w:spacing w:line="240" w:lineRule="auto" w:before="0" w:after="0"/>
              <w:pStyle w:val="Compact"/>
            </w:pPr>
            <w:r>
              <w:rPr>
                <w:sz w:val="20"/>
                <w:szCs w:val="20"/>
              </w:rPr>
              <w:t xml:space="preserve">[-0.6555, 0.7444]</w:t>
            </w:r>
          </w:p>
        </w:tc>
      </w:tr>
      <w:tr>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-1.538</w:t>
            </w:r>
          </w:p>
        </w:tc>
        <w:tc>
          <w:tcPr>
            <w:tcW w:w="0" w:type="auto"/>
          </w:tcPr>
          <w:p>
            <w:pPr>
              <w:spacing w:line="240" w:lineRule="auto" w:before="0" w:after="0"/>
              <w:pStyle w:val="Compact"/>
            </w:pPr>
            <w:r>
              <w:rPr>
                <w:sz w:val="20"/>
                <w:szCs w:val="20"/>
              </w:rPr>
              <w:t xml:space="preserve">1.3125</w:t>
            </w:r>
          </w:p>
        </w:tc>
        <w:tc>
          <w:tcPr>
            <w:tcW w:w="0" w:type="auto"/>
          </w:tcPr>
          <w:p>
            <w:pPr>
              <w:spacing w:line="240" w:lineRule="auto" w:before="0" w:after="0"/>
              <w:pStyle w:val="Compact"/>
            </w:pPr>
            <w:r>
              <w:rPr>
                <w:sz w:val="20"/>
                <w:szCs w:val="20"/>
              </w:rPr>
              <w:t xml:space="preserve">-1.1718</w:t>
            </w:r>
          </w:p>
        </w:tc>
        <w:tc>
          <w:tcPr>
            <w:tcW w:w="0" w:type="auto"/>
          </w:tcPr>
          <w:p>
            <w:pPr>
              <w:spacing w:line="240" w:lineRule="auto" w:before="0" w:after="0"/>
              <w:pStyle w:val="Compact"/>
            </w:pPr>
            <w:r>
              <w:rPr>
                <w:sz w:val="20"/>
                <w:szCs w:val="20"/>
              </w:rPr>
              <w:t xml:space="preserve">0.2413</w:t>
            </w:r>
          </w:p>
        </w:tc>
        <w:tc>
          <w:tcPr>
            <w:tcW w:w="0" w:type="auto"/>
          </w:tcPr>
          <w:p>
            <w:pPr>
              <w:spacing w:line="240" w:lineRule="auto" w:before="0" w:after="0"/>
              <w:pStyle w:val="Compact"/>
            </w:pPr>
            <w:r>
              <w:rPr>
                <w:sz w:val="20"/>
                <w:szCs w:val="20"/>
              </w:rPr>
              <w:t xml:space="preserve">[-4.1105, 1.0345]</w:t>
            </w:r>
          </w:p>
        </w:tc>
      </w:tr>
      <w:tr>
        <w:tc>
          <w:tcPr>
            <w:tcW w:w="0" w:type="auto"/>
          </w:tcPr>
          <w:p>
            <w:pPr>
              <w:spacing w:line="240" w:lineRule="auto" w:before="0" w:after="0"/>
              <w:pStyle w:val="Compact"/>
            </w:pPr>
            <w:r>
              <w:rPr>
                <w:sz w:val="20"/>
                <w:szCs w:val="20"/>
              </w:rPr>
              <w:t xml:space="preserve">pre2021</w:t>
            </w:r>
          </w:p>
        </w:tc>
        <w:tc>
          <w:tcPr>
            <w:tcW w:w="0" w:type="auto"/>
          </w:tcPr>
          <w:p>
            <w:pPr>
              <w:spacing w:line="240" w:lineRule="auto" w:before="0" w:after="0"/>
              <w:pStyle w:val="Compact"/>
            </w:pPr>
            <w:r>
              <w:rPr>
                <w:sz w:val="20"/>
                <w:szCs w:val="20"/>
              </w:rPr>
              <w:t xml:space="preserve">-2.7797</w:t>
            </w:r>
          </w:p>
        </w:tc>
        <w:tc>
          <w:tcPr>
            <w:tcW w:w="0" w:type="auto"/>
          </w:tcPr>
          <w:p>
            <w:pPr>
              <w:spacing w:line="240" w:lineRule="auto" w:before="0" w:after="0"/>
              <w:pStyle w:val="Compact"/>
            </w:pPr>
            <w:r>
              <w:rPr>
                <w:sz w:val="20"/>
                <w:szCs w:val="20"/>
              </w:rPr>
              <w:t xml:space="preserve">1.3424</w:t>
            </w:r>
          </w:p>
        </w:tc>
        <w:tc>
          <w:tcPr>
            <w:tcW w:w="0" w:type="auto"/>
          </w:tcPr>
          <w:p>
            <w:pPr>
              <w:spacing w:line="240" w:lineRule="auto" w:before="0" w:after="0"/>
              <w:pStyle w:val="Compact"/>
            </w:pPr>
            <w:r>
              <w:rPr>
                <w:sz w:val="20"/>
                <w:szCs w:val="20"/>
              </w:rPr>
              <w:t xml:space="preserve">-2.0706</w:t>
            </w:r>
          </w:p>
        </w:tc>
        <w:tc>
          <w:tcPr>
            <w:tcW w:w="0" w:type="auto"/>
          </w:tcPr>
          <w:p>
            <w:pPr>
              <w:spacing w:line="240" w:lineRule="auto" w:before="0" w:after="0"/>
              <w:pStyle w:val="Compact"/>
            </w:pPr>
            <w:r>
              <w:rPr>
                <w:sz w:val="20"/>
                <w:szCs w:val="20"/>
              </w:rPr>
              <w:t xml:space="preserve">0.0384</w:t>
            </w:r>
          </w:p>
        </w:tc>
        <w:tc>
          <w:tcPr>
            <w:tcW w:w="0" w:type="auto"/>
          </w:tcPr>
          <w:p>
            <w:pPr>
              <w:spacing w:line="240" w:lineRule="auto" w:before="0" w:after="0"/>
              <w:pStyle w:val="Compact"/>
            </w:pPr>
            <w:r>
              <w:rPr>
                <w:sz w:val="20"/>
                <w:szCs w:val="20"/>
              </w:rPr>
              <w:t xml:space="preserve">[-5.4109, -0.1486]</w:t>
            </w:r>
          </w:p>
        </w:tc>
      </w:tr>
    </w:tbl>
    <w:p>
      <w:pPr>
        <w:pStyle w:val="BodyText"/>
        <w:spacing w:line="480" w:lineRule="auto"/>
        <w:ind w:firstLine="720"/>
      </w:pPr>
      <w:r>
        <w:t xml:space="preserve">Fit: N = 31 pseudo_R2 = 0.2259 LL = -11.7903</w:t>
      </w:r>
    </w:p>
    <w:bookmarkEnd w:id="213"/>
    <w:bookmarkStart w:id="217"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Short versus extended mandated window against CVSS base severity for 31 ground-segment and mission-control vulnerabilities (CISA KEV v2026.06.18, NVD CVE API 2.0)." title="" id="215" name="Picture"/>
            <a:graphic>
              <a:graphicData uri="http://schemas.openxmlformats.org/drawingml/2006/picture">
                <pic:pic>
                  <pic:nvPicPr>
                    <pic:cNvPr descr="D:/Claude_Code/brain/collegium/candidates/dissertations/CYBER_AI_01/research_papers/p2/paper_fig1.png" id="216" name="Picture"/>
                    <pic:cNvPicPr>
                      <a:picLocks noChangeArrowheads="1" noChangeAspect="1"/>
                    </pic:cNvPicPr>
                  </pic:nvPicPr>
                  <pic:blipFill>
                    <a:blip r:embed="rId21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Short versus extended mandated window against CVSS base severity for 31 ground-segment and mission-control vulnerabilities (CISA KEV v2026.06.18, NVD CVE API 2.0).</w:t>
      </w:r>
    </w:p>
    <w:bookmarkEnd w:id="217"/>
    <w:bookmarkStart w:id="218"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cve</w:t>
            </w:r>
          </w:p>
        </w:tc>
        <w:tc>
          <w:tcPr>
            <w:tcW w:w="0" w:type="auto"/>
          </w:tcPr>
          <w:p>
            <w:pPr>
              <w:spacing w:line="240" w:lineRule="auto" w:before="0" w:after="0"/>
              <w:pStyle w:val="Compact"/>
            </w:pPr>
            <w:r>
              <w:rPr>
                <w:sz w:val="20"/>
                <w:szCs w:val="20"/>
              </w:rPr>
              <w:t xml:space="preserve">vendor</w:t>
            </w:r>
          </w:p>
        </w:tc>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window_days</w:t>
            </w:r>
          </w:p>
        </w:tc>
        <w:tc>
          <w:tcPr>
            <w:tcW w:w="0" w:type="auto"/>
          </w:tcPr>
          <w:p>
            <w:pPr>
              <w:spacing w:line="240" w:lineRule="auto" w:before="0" w:after="0"/>
              <w:pStyle w:val="Compact"/>
            </w:pPr>
            <w:r>
              <w:rPr>
                <w:sz w:val="20"/>
                <w:szCs w:val="20"/>
              </w:rPr>
              <w:t xml:space="preserve">short_window</w:t>
            </w:r>
          </w:p>
        </w:tc>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pre2021</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CVE-2025-5777</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CVE-2025-5777</w:t>
            </w:r>
          </w:p>
        </w:tc>
      </w:tr>
      <w:tr>
        <w:tc>
          <w:tcPr>
            <w:tcW w:w="0" w:type="auto"/>
          </w:tcPr>
          <w:p>
            <w:pPr>
              <w:spacing w:line="240" w:lineRule="auto" w:before="0" w:after="0"/>
              <w:pStyle w:val="Compact"/>
            </w:pPr>
            <w:r>
              <w:rPr>
                <w:sz w:val="20"/>
                <w:szCs w:val="20"/>
              </w:rPr>
              <w:t xml:space="preserve">CVE-2026-35616</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CVE-2026-35616</w:t>
            </w:r>
          </w:p>
        </w:tc>
      </w:tr>
      <w:tr>
        <w:tc>
          <w:tcPr>
            <w:tcW w:w="0" w:type="auto"/>
          </w:tcPr>
          <w:p>
            <w:pPr>
              <w:spacing w:line="240" w:lineRule="auto" w:before="0" w:after="0"/>
              <w:pStyle w:val="Compact"/>
            </w:pPr>
            <w:r>
              <w:rPr>
                <w:sz w:val="20"/>
                <w:szCs w:val="20"/>
              </w:rPr>
              <w:t xml:space="preserve">CVE-2026-0257</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CVE-2026-0257</w:t>
            </w:r>
          </w:p>
        </w:tc>
      </w:tr>
      <w:tr>
        <w:tc>
          <w:tcPr>
            <w:tcW w:w="0" w:type="auto"/>
          </w:tcPr>
          <w:p>
            <w:pPr>
              <w:spacing w:line="240" w:lineRule="auto" w:before="0" w:after="0"/>
              <w:pStyle w:val="Compact"/>
            </w:pPr>
            <w:r>
              <w:rPr>
                <w:sz w:val="20"/>
                <w:szCs w:val="20"/>
              </w:rPr>
              <w:t xml:space="preserve">CVE-2023-36845</w:t>
            </w:r>
          </w:p>
        </w:tc>
        <w:tc>
          <w:tcPr>
            <w:tcW w:w="0" w:type="auto"/>
          </w:tcPr>
          <w:p>
            <w:pPr>
              <w:spacing w:line="240" w:lineRule="auto" w:before="0" w:after="0"/>
              <w:pStyle w:val="Compact"/>
            </w:pPr>
            <w:r>
              <w:rPr>
                <w:sz w:val="20"/>
                <w:szCs w:val="20"/>
              </w:rPr>
              <w:t xml:space="preserve">Juniper</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CVE-2023-36845</w:t>
            </w:r>
          </w:p>
        </w:tc>
      </w:tr>
      <w:tr>
        <w:tc>
          <w:tcPr>
            <w:tcW w:w="0" w:type="auto"/>
          </w:tcPr>
          <w:p>
            <w:pPr>
              <w:spacing w:line="240" w:lineRule="auto" w:before="0" w:after="0"/>
              <w:pStyle w:val="Compact"/>
            </w:pPr>
            <w:r>
              <w:rPr>
                <w:sz w:val="20"/>
                <w:szCs w:val="20"/>
              </w:rPr>
              <w:t xml:space="preserve">CVE-2025-64446</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CVE-2025-64446</w:t>
            </w:r>
          </w:p>
        </w:tc>
      </w:tr>
      <w:tr>
        <w:tc>
          <w:tcPr>
            <w:tcW w:w="0" w:type="auto"/>
          </w:tcPr>
          <w:p>
            <w:pPr>
              <w:spacing w:line="240" w:lineRule="auto" w:before="0" w:after="0"/>
              <w:pStyle w:val="Compact"/>
            </w:pPr>
            <w:r>
              <w:rPr>
                <w:sz w:val="20"/>
                <w:szCs w:val="20"/>
              </w:rPr>
              <w:t xml:space="preserve">CVE-2025-59718</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CVE-2025-59718</w:t>
            </w:r>
          </w:p>
        </w:tc>
      </w:tr>
      <w:tr>
        <w:tc>
          <w:tcPr>
            <w:tcW w:w="0" w:type="auto"/>
          </w:tcPr>
          <w:p>
            <w:pPr>
              <w:spacing w:line="240" w:lineRule="auto" w:before="0" w:after="0"/>
              <w:pStyle w:val="Compact"/>
            </w:pPr>
            <w:r>
              <w:rPr>
                <w:sz w:val="20"/>
                <w:szCs w:val="20"/>
              </w:rPr>
              <w:t xml:space="preserve">CVE-2024-21887</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CVE-2024-21887</w:t>
            </w:r>
          </w:p>
        </w:tc>
      </w:tr>
      <w:tr>
        <w:tc>
          <w:tcPr>
            <w:tcW w:w="0" w:type="auto"/>
          </w:tcPr>
          <w:p>
            <w:pPr>
              <w:spacing w:line="240" w:lineRule="auto" w:before="0" w:after="0"/>
              <w:pStyle w:val="Compact"/>
            </w:pPr>
            <w:r>
              <w:rPr>
                <w:sz w:val="20"/>
                <w:szCs w:val="20"/>
              </w:rPr>
              <w:t xml:space="preserve">CVE-2021-1497</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CVE-2021-1497</w:t>
            </w:r>
          </w:p>
        </w:tc>
      </w:tr>
      <w:tr>
        <w:tc>
          <w:tcPr>
            <w:tcW w:w="0" w:type="auto"/>
          </w:tcPr>
          <w:p>
            <w:pPr>
              <w:spacing w:line="240" w:lineRule="auto" w:before="0" w:after="0"/>
              <w:pStyle w:val="Compact"/>
            </w:pPr>
            <w:r>
              <w:rPr>
                <w:sz w:val="20"/>
                <w:szCs w:val="20"/>
              </w:rPr>
              <w:t xml:space="preserve">CVE-2021-22991</w:t>
            </w:r>
          </w:p>
        </w:tc>
        <w:tc>
          <w:tcPr>
            <w:tcW w:w="0" w:type="auto"/>
          </w:tcPr>
          <w:p>
            <w:pPr>
              <w:spacing w:line="240" w:lineRule="auto" w:before="0" w:after="0"/>
              <w:pStyle w:val="Compact"/>
            </w:pPr>
            <w:r>
              <w:rPr>
                <w:sz w:val="20"/>
                <w:szCs w:val="20"/>
              </w:rPr>
              <w:t xml:space="preserve">F5</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CVE-2021-22991</w:t>
            </w:r>
          </w:p>
        </w:tc>
      </w:tr>
      <w:tr>
        <w:tc>
          <w:tcPr>
            <w:tcW w:w="0" w:type="auto"/>
          </w:tcPr>
          <w:p>
            <w:pPr>
              <w:spacing w:line="240" w:lineRule="auto" w:before="0" w:after="0"/>
              <w:pStyle w:val="Compact"/>
            </w:pPr>
            <w:r>
              <w:rPr>
                <w:sz w:val="20"/>
                <w:szCs w:val="20"/>
              </w:rPr>
              <w:t xml:space="preserve">CVE-2021-20023</w:t>
            </w:r>
          </w:p>
        </w:tc>
        <w:tc>
          <w:tcPr>
            <w:tcW w:w="0" w:type="auto"/>
          </w:tcPr>
          <w:p>
            <w:pPr>
              <w:spacing w:line="240" w:lineRule="auto" w:before="0" w:after="0"/>
              <w:pStyle w:val="Compact"/>
            </w:pPr>
            <w:r>
              <w:rPr>
                <w:sz w:val="20"/>
                <w:szCs w:val="20"/>
              </w:rPr>
              <w:t xml:space="preserve">SonicWall</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CVE-2021-20023</w:t>
            </w:r>
          </w:p>
        </w:tc>
      </w:tr>
      <w:tr>
        <w:tc>
          <w:tcPr>
            <w:tcW w:w="0" w:type="auto"/>
          </w:tcPr>
          <w:p>
            <w:pPr>
              <w:spacing w:line="240" w:lineRule="auto" w:before="0" w:after="0"/>
              <w:pStyle w:val="Compact"/>
            </w:pPr>
            <w:r>
              <w:rPr>
                <w:sz w:val="20"/>
                <w:szCs w:val="20"/>
              </w:rPr>
              <w:t xml:space="preserve">CVE-2018-0175</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CVE-2018-0175</w:t>
            </w:r>
          </w:p>
        </w:tc>
      </w:tr>
      <w:tr>
        <w:tc>
          <w:tcPr>
            <w:tcW w:w="0" w:type="auto"/>
          </w:tcPr>
          <w:p>
            <w:pPr>
              <w:spacing w:line="240" w:lineRule="auto" w:before="0" w:after="0"/>
              <w:pStyle w:val="Compact"/>
            </w:pPr>
            <w:r>
              <w:rPr>
                <w:sz w:val="20"/>
                <w:szCs w:val="20"/>
              </w:rPr>
              <w:t xml:space="preserve">CVE-2022-20699</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CVE-2022-20699</w:t>
            </w:r>
          </w:p>
        </w:tc>
      </w:tr>
      <w:tr>
        <w:tc>
          <w:tcPr>
            <w:tcW w:w="0" w:type="auto"/>
          </w:tcPr>
          <w:p>
            <w:pPr>
              <w:spacing w:line="240" w:lineRule="auto" w:before="0" w:after="0"/>
              <w:pStyle w:val="Compact"/>
            </w:pPr>
            <w:r>
              <w:rPr>
                <w:sz w:val="20"/>
                <w:szCs w:val="20"/>
              </w:rPr>
              <w:t xml:space="preserve">CVE-2018-0151</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CVE-2018-0151</w:t>
            </w:r>
          </w:p>
        </w:tc>
      </w:tr>
      <w:tr>
        <w:tc>
          <w:tcPr>
            <w:tcW w:w="0" w:type="auto"/>
          </w:tcPr>
          <w:p>
            <w:pPr>
              <w:spacing w:line="240" w:lineRule="auto" w:before="0" w:after="0"/>
              <w:pStyle w:val="Compact"/>
            </w:pPr>
            <w:r>
              <w:rPr>
                <w:sz w:val="20"/>
                <w:szCs w:val="20"/>
              </w:rPr>
              <w:t xml:space="preserve">CVE-2017-15944</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CVE-2017-15944</w:t>
            </w:r>
          </w:p>
        </w:tc>
      </w:tr>
      <w:tr>
        <w:tc>
          <w:tcPr>
            <w:tcW w:w="0" w:type="auto"/>
          </w:tcPr>
          <w:p>
            <w:pPr>
              <w:spacing w:line="240" w:lineRule="auto" w:before="0" w:after="0"/>
              <w:pStyle w:val="Compact"/>
            </w:pPr>
            <w:r>
              <w:rPr>
                <w:sz w:val="20"/>
                <w:szCs w:val="20"/>
              </w:rPr>
              <w:t xml:space="preserve">CVE-2022-40684</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CVE-2022-40684</w:t>
            </w:r>
          </w:p>
        </w:tc>
      </w:tr>
      <w:tr>
        <w:tc>
          <w:tcPr>
            <w:tcW w:w="0" w:type="auto"/>
          </w:tcPr>
          <w:p>
            <w:pPr>
              <w:spacing w:line="240" w:lineRule="auto" w:before="0" w:after="0"/>
              <w:pStyle w:val="Compact"/>
            </w:pPr>
            <w:r>
              <w:rPr>
                <w:sz w:val="20"/>
                <w:szCs w:val="20"/>
              </w:rPr>
              <w:t xml:space="preserve">CVE-2024-9463</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CVE-2024-9463</w:t>
            </w:r>
          </w:p>
        </w:tc>
      </w:tr>
      <w:tr>
        <w:tc>
          <w:tcPr>
            <w:tcW w:w="0" w:type="auto"/>
          </w:tcPr>
          <w:p>
            <w:pPr>
              <w:spacing w:line="240" w:lineRule="auto" w:before="0" w:after="0"/>
              <w:pStyle w:val="Compact"/>
            </w:pPr>
            <w:r>
              <w:rPr>
                <w:sz w:val="20"/>
                <w:szCs w:val="20"/>
              </w:rPr>
              <w:t xml:space="preserve">CVE-2019-7483</w:t>
            </w:r>
          </w:p>
        </w:tc>
        <w:tc>
          <w:tcPr>
            <w:tcW w:w="0" w:type="auto"/>
          </w:tcPr>
          <w:p>
            <w:pPr>
              <w:spacing w:line="240" w:lineRule="auto" w:before="0" w:after="0"/>
              <w:pStyle w:val="Compact"/>
            </w:pPr>
            <w:r>
              <w:rPr>
                <w:sz w:val="20"/>
                <w:szCs w:val="20"/>
              </w:rPr>
              <w:t xml:space="preserve">SonicWall</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CVE-2019-7483</w:t>
            </w:r>
          </w:p>
        </w:tc>
      </w:tr>
      <w:tr>
        <w:tc>
          <w:tcPr>
            <w:tcW w:w="0" w:type="auto"/>
          </w:tcPr>
          <w:p>
            <w:pPr>
              <w:spacing w:line="240" w:lineRule="auto" w:before="0" w:after="0"/>
              <w:pStyle w:val="Compact"/>
            </w:pPr>
            <w:r>
              <w:rPr>
                <w:sz w:val="20"/>
                <w:szCs w:val="20"/>
              </w:rPr>
              <w:t xml:space="preserve">CVE-2023-4966</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CVE-2023-4966</w:t>
            </w:r>
          </w:p>
        </w:tc>
      </w:tr>
      <w:tr>
        <w:tc>
          <w:tcPr>
            <w:tcW w:w="0" w:type="auto"/>
          </w:tcPr>
          <w:p>
            <w:pPr>
              <w:spacing w:line="240" w:lineRule="auto" w:before="0" w:after="0"/>
              <w:pStyle w:val="Compact"/>
            </w:pPr>
            <w:r>
              <w:rPr>
                <w:sz w:val="20"/>
                <w:szCs w:val="20"/>
              </w:rPr>
              <w:t xml:space="preserve">CVE-2004-1464</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CVE-2004-1464</w:t>
            </w:r>
          </w:p>
        </w:tc>
      </w:tr>
      <w:tr>
        <w:tc>
          <w:tcPr>
            <w:tcW w:w="0" w:type="auto"/>
          </w:tcPr>
          <w:p>
            <w:pPr>
              <w:spacing w:line="240" w:lineRule="auto" w:before="0" w:after="0"/>
              <w:pStyle w:val="Compact"/>
            </w:pPr>
            <w:r>
              <w:rPr>
                <w:sz w:val="20"/>
                <w:szCs w:val="20"/>
              </w:rPr>
              <w:t xml:space="preserve">CVE-2017-6316</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CVE-2017-6316</w:t>
            </w:r>
          </w:p>
        </w:tc>
      </w:tr>
      <w:tr>
        <w:tc>
          <w:tcPr>
            <w:tcW w:w="0" w:type="auto"/>
          </w:tcPr>
          <w:p>
            <w:pPr>
              <w:spacing w:line="240" w:lineRule="auto" w:before="0" w:after="0"/>
              <w:pStyle w:val="Compact"/>
            </w:pPr>
            <w:r>
              <w:rPr>
                <w:sz w:val="20"/>
                <w:szCs w:val="20"/>
              </w:rPr>
              <w:t xml:space="preserve">CVE-2024-8068</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CVE-2024-8068</w:t>
            </w:r>
          </w:p>
        </w:tc>
      </w:tr>
      <w:tr>
        <w:tc>
          <w:tcPr>
            <w:tcW w:w="0" w:type="auto"/>
          </w:tcPr>
          <w:p>
            <w:pPr>
              <w:spacing w:line="240" w:lineRule="auto" w:before="0" w:after="0"/>
              <w:pStyle w:val="Compact"/>
            </w:pPr>
            <w:r>
              <w:rPr>
                <w:sz w:val="20"/>
                <w:szCs w:val="20"/>
              </w:rPr>
              <w:t xml:space="preserve">CVE-2020-8193</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CVE-2020-8193</w:t>
            </w:r>
          </w:p>
        </w:tc>
      </w:tr>
      <w:tr>
        <w:tc>
          <w:tcPr>
            <w:tcW w:w="0" w:type="auto"/>
          </w:tcPr>
          <w:p>
            <w:pPr>
              <w:spacing w:line="240" w:lineRule="auto" w:before="0" w:after="0"/>
              <w:pStyle w:val="Compact"/>
            </w:pPr>
            <w:r>
              <w:rPr>
                <w:sz w:val="20"/>
                <w:szCs w:val="20"/>
              </w:rPr>
              <w:t xml:space="preserve">CVE-2020-12812</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CVE-2020-12812</w:t>
            </w:r>
          </w:p>
        </w:tc>
      </w:tr>
      <w:tr>
        <w:tc>
          <w:tcPr>
            <w:tcW w:w="0" w:type="auto"/>
          </w:tcPr>
          <w:p>
            <w:pPr>
              <w:spacing w:line="240" w:lineRule="auto" w:before="0" w:after="0"/>
              <w:pStyle w:val="Compact"/>
            </w:pPr>
            <w:r>
              <w:rPr>
                <w:sz w:val="20"/>
                <w:szCs w:val="20"/>
              </w:rPr>
              <w:t xml:space="preserve">CVE-2021-22894</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CVE-2021-22894</w:t>
            </w:r>
          </w:p>
        </w:tc>
      </w:tr>
      <w:tr>
        <w:tc>
          <w:tcPr>
            <w:tcW w:w="0" w:type="auto"/>
          </w:tcPr>
          <w:p>
            <w:pPr>
              <w:spacing w:line="240" w:lineRule="auto" w:before="0" w:after="0"/>
              <w:pStyle w:val="Compact"/>
            </w:pPr>
            <w:r>
              <w:rPr>
                <w:sz w:val="20"/>
                <w:szCs w:val="20"/>
              </w:rPr>
              <w:t xml:space="preserve">CVE-2019-1653</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CVE-2019-1653</w:t>
            </w:r>
          </w:p>
        </w:tc>
      </w:tr>
      <w:tr>
        <w:tc>
          <w:tcPr>
            <w:tcW w:w="0" w:type="auto"/>
          </w:tcPr>
          <w:p>
            <w:pPr>
              <w:spacing w:line="240" w:lineRule="auto" w:before="0" w:after="0"/>
              <w:pStyle w:val="Compact"/>
            </w:pPr>
            <w:r>
              <w:rPr>
                <w:sz w:val="20"/>
                <w:szCs w:val="20"/>
              </w:rPr>
              <w:t xml:space="preserve">CVE-2020-15505</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CVE-2020-15505</w:t>
            </w:r>
          </w:p>
        </w:tc>
      </w:tr>
      <w:tr>
        <w:tc>
          <w:tcPr>
            <w:tcW w:w="0" w:type="auto"/>
          </w:tcPr>
          <w:p>
            <w:pPr>
              <w:spacing w:line="240" w:lineRule="auto" w:before="0" w:after="0"/>
              <w:pStyle w:val="Compact"/>
            </w:pPr>
            <w:r>
              <w:rPr>
                <w:sz w:val="20"/>
                <w:szCs w:val="20"/>
              </w:rPr>
              <w:t xml:space="preserve">CVE-2018-13379</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CVE-2018-13379</w:t>
            </w:r>
          </w:p>
        </w:tc>
      </w:tr>
      <w:tr>
        <w:tc>
          <w:tcPr>
            <w:tcW w:w="0" w:type="auto"/>
          </w:tcPr>
          <w:p>
            <w:pPr>
              <w:spacing w:line="240" w:lineRule="auto" w:before="0" w:after="0"/>
              <w:pStyle w:val="Compact"/>
            </w:pPr>
            <w:r>
              <w:rPr>
                <w:sz w:val="20"/>
                <w:szCs w:val="20"/>
              </w:rPr>
              <w:t xml:space="preserve">CVE-2023-6448</w:t>
            </w:r>
          </w:p>
        </w:tc>
        <w:tc>
          <w:tcPr>
            <w:tcW w:w="0" w:type="auto"/>
          </w:tcPr>
          <w:p>
            <w:pPr>
              <w:spacing w:line="240" w:lineRule="auto" w:before="0" w:after="0"/>
              <w:pStyle w:val="Compact"/>
            </w:pPr>
            <w:r>
              <w:rPr>
                <w:sz w:val="20"/>
                <w:szCs w:val="20"/>
              </w:rPr>
              <w:t xml:space="preserve">Unitronics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CVE-2023-6448</w:t>
            </w:r>
          </w:p>
        </w:tc>
      </w:tr>
      <w:tr>
        <w:tc>
          <w:tcPr>
            <w:tcW w:w="0" w:type="auto"/>
          </w:tcPr>
          <w:p>
            <w:pPr>
              <w:spacing w:line="240" w:lineRule="auto" w:before="0" w:after="0"/>
              <w:pStyle w:val="Compact"/>
            </w:pPr>
            <w:r>
              <w:rPr>
                <w:sz w:val="20"/>
                <w:szCs w:val="20"/>
              </w:rPr>
              <w:t xml:space="preserve">CVE-2021-38406</w:t>
            </w:r>
          </w:p>
        </w:tc>
        <w:tc>
          <w:tcPr>
            <w:tcW w:w="0" w:type="auto"/>
          </w:tcPr>
          <w:p>
            <w:pPr>
              <w:spacing w:line="240" w:lineRule="auto" w:before="0" w:after="0"/>
              <w:pStyle w:val="Compact"/>
            </w:pPr>
            <w:r>
              <w:rPr>
                <w:sz w:val="20"/>
                <w:szCs w:val="20"/>
              </w:rPr>
              <w:t xml:space="preserve">Delta Electronics</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CVE-2021-38406</w:t>
            </w:r>
          </w:p>
        </w:tc>
      </w:tr>
      <w:tr>
        <w:tc>
          <w:tcPr>
            <w:tcW w:w="0" w:type="auto"/>
          </w:tcPr>
          <w:p>
            <w:pPr>
              <w:spacing w:line="240" w:lineRule="auto" w:before="0" w:after="0"/>
              <w:pStyle w:val="Compact"/>
            </w:pPr>
            <w:r>
              <w:rPr>
                <w:sz w:val="20"/>
                <w:szCs w:val="20"/>
              </w:rPr>
              <w:t xml:space="preserve">CVE-2018-7841</w:t>
            </w:r>
          </w:p>
        </w:tc>
        <w:tc>
          <w:tcPr>
            <w:tcW w:w="0" w:type="auto"/>
          </w:tcPr>
          <w:p>
            <w:pPr>
              <w:spacing w:line="240" w:lineRule="auto" w:before="0" w:after="0"/>
              <w:pStyle w:val="Compact"/>
            </w:pPr>
            <w:r>
              <w:rPr>
                <w:sz w:val="20"/>
                <w:szCs w:val="20"/>
              </w:rPr>
              <w:t xml:space="preserve">Schneider Electric</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CVE-2018-7841</w:t>
            </w:r>
          </w:p>
        </w:tc>
      </w:tr>
      <w:tr>
        <w:tc>
          <w:tcPr>
            <w:tcW w:w="0" w:type="auto"/>
          </w:tcPr>
          <w:p>
            <w:pPr>
              <w:spacing w:line="240" w:lineRule="auto" w:before="0" w:after="0"/>
              <w:pStyle w:val="Compact"/>
            </w:pPr>
            <w:r>
              <w:rPr>
                <w:sz w:val="20"/>
                <w:szCs w:val="20"/>
              </w:rPr>
              <w:t xml:space="preserve">CVE-2016-8562</w:t>
            </w:r>
          </w:p>
        </w:tc>
        <w:tc>
          <w:tcPr>
            <w:tcW w:w="0" w:type="auto"/>
          </w:tcPr>
          <w:p>
            <w:pPr>
              <w:spacing w:line="240" w:lineRule="auto" w:before="0" w:after="0"/>
              <w:pStyle w:val="Compact"/>
            </w:pPr>
            <w:r>
              <w:rPr>
                <w:sz w:val="20"/>
                <w:szCs w:val="20"/>
              </w:rPr>
              <w:t xml:space="preserve">Siemens</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catalog v2026.06.18 (window_days=dueDate-dateAdded; is_edge from vendorProject; ransomware from knownRansomwareCampaignUse); NVD CVE API 2.0 baseScore for CVE-2016-8562</w:t>
            </w:r>
          </w:p>
        </w:tc>
      </w:tr>
    </w:tbl>
    <w:bookmarkEnd w:id="218"/>
    <w:bookmarkStart w:id="219"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short_window</w:t>
            </w:r>
          </w:p>
        </w:tc>
        <w:tc>
          <w:tcPr>
            <w:tcW w:w="0" w:type="auto"/>
          </w:tcPr>
          <w:p>
            <w:pPr>
              <w:spacing w:line="240" w:lineRule="auto" w:before="0" w:after="0"/>
              <w:pStyle w:val="Compact"/>
            </w:pPr>
            <w:r>
              <w:rPr>
                <w:sz w:val="20"/>
                <w:szCs w:val="20"/>
              </w:rPr>
              <w:t xml:space="preserve">Binary outcome: 1 if the mandated patch-latency window is a standard short window of 21 days or fewer, 0 if it is an extended window (the roughly six-month, 181-day class). The window is the CISA remediation due date minus the date the vulnerability was added to the Known Exploited Vulnerabilities catalog under Binding Operational Directive 22-01.</w:t>
            </w:r>
          </w:p>
        </w:tc>
        <w:tc>
          <w:tcPr>
            <w:tcW w:w="0" w:type="auto"/>
          </w:tcPr>
          <w:p>
            <w:pPr>
              <w:spacing w:line="240" w:lineRule="auto" w:before="0" w:after="0"/>
              <w:pStyle w:val="Compact"/>
            </w:pPr>
            <w:r>
              <w:rPr>
                <w:sz w:val="20"/>
                <w:szCs w:val="20"/>
              </w:rPr>
              <w:t xml:space="preserve">CISA KEV catalog v2026.06.18 (indicator on dueDate minus dateAdded &lt;= 21 days)</w:t>
            </w:r>
          </w:p>
        </w:tc>
      </w:tr>
      <w:tr>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NVD CVSS base score (severity, 0 to 10), taken from the primary v3.1 metric where present.</w:t>
            </w:r>
          </w:p>
        </w:tc>
        <w:tc>
          <w:tcPr>
            <w:tcW w:w="0" w:type="auto"/>
          </w:tcPr>
          <w:p>
            <w:pPr>
              <w:spacing w:line="240" w:lineRule="auto" w:before="0" w:after="0"/>
              <w:pStyle w:val="Compact"/>
            </w:pPr>
            <w:r>
              <w:rPr>
                <w:sz w:val="20"/>
                <w:szCs w:val="20"/>
              </w:rPr>
              <w:t xml:space="preserve">NVD CVE API 2.0 baseScore</w:t>
            </w:r>
          </w:p>
        </w:tc>
      </w:tr>
      <w:tr>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Indicator: 1 if CISA flagged the vulnerability as having known ransomware-campaign use, 0 otherwise.</w:t>
            </w:r>
          </w:p>
        </w:tc>
        <w:tc>
          <w:tcPr>
            <w:tcW w:w="0" w:type="auto"/>
          </w:tcPr>
          <w:p>
            <w:pPr>
              <w:spacing w:line="240" w:lineRule="auto" w:before="0" w:after="0"/>
              <w:pStyle w:val="Compact"/>
            </w:pPr>
            <w:r>
              <w:rPr>
                <w:sz w:val="20"/>
                <w:szCs w:val="20"/>
              </w:rPr>
              <w:t xml:space="preserve">CISA KEV knownRansomwareCampaignUse field</w:t>
            </w:r>
          </w:p>
        </w:tc>
      </w:tr>
      <w:tr>
        <w:tc>
          <w:tcPr>
            <w:tcW w:w="0" w:type="auto"/>
          </w:tcPr>
          <w:p>
            <w:pPr>
              <w:spacing w:line="240" w:lineRule="auto" w:before="0" w:after="0"/>
              <w:pStyle w:val="Compact"/>
            </w:pPr>
            <w:r>
              <w:rPr>
                <w:sz w:val="20"/>
                <w:szCs w:val="20"/>
              </w:rPr>
              <w:t xml:space="preserve">pre2021</w:t>
            </w:r>
          </w:p>
        </w:tc>
        <w:tc>
          <w:tcPr>
            <w:tcW w:w="0" w:type="auto"/>
          </w:tcPr>
          <w:p>
            <w:pPr>
              <w:spacing w:line="240" w:lineRule="auto" w:before="0" w:after="0"/>
              <w:pStyle w:val="Compact"/>
            </w:pPr>
            <w:r>
              <w:rPr>
                <w:sz w:val="20"/>
                <w:szCs w:val="20"/>
              </w:rPr>
              <w:t xml:space="preserve">Indicator: 1 if the CVE identifier year is earlier than 2021, 0 otherwise. BOD 22-01 assigns the extended six-month window to CVEs assigned before 2021 and a short window of two to three weeks to all others.</w:t>
            </w:r>
          </w:p>
        </w:tc>
        <w:tc>
          <w:tcPr>
            <w:tcW w:w="0" w:type="auto"/>
          </w:tcPr>
          <w:p>
            <w:pPr>
              <w:spacing w:line="240" w:lineRule="auto" w:before="0" w:after="0"/>
              <w:pStyle w:val="Compact"/>
            </w:pPr>
            <w:r>
              <w:rPr>
                <w:sz w:val="20"/>
                <w:szCs w:val="20"/>
              </w:rPr>
              <w:t xml:space="preserve">CVE identifier year (BOD 22-01 window rule)</w:t>
            </w:r>
          </w:p>
        </w:tc>
      </w:tr>
    </w:tbl>
    <w:bookmarkEnd w:id="219"/>
    <w:bookmarkEnd w:id="220"/>
    <w:bookmarkEnd w:id="22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6" Type="http://schemas.openxmlformats.org/officeDocument/2006/relationships/image" Target="media/rId206.png"/><Relationship Id="rId214" Type="http://schemas.openxmlformats.org/officeDocument/2006/relationships/image" Target="media/rId214.png"/><Relationship Id="rId190" Type="http://schemas.openxmlformats.org/officeDocument/2006/relationships/hyperlink" Target="https://doi.org/10.1016/j.actaastro.2019.09.006" TargetMode="External"/><Relationship Id="rId188" Type="http://schemas.openxmlformats.org/officeDocument/2006/relationships/hyperlink" Target="https://doi.org/10.1016/j.actaastro.2023.03.023" TargetMode="External"/><Relationship Id="rId166" Type="http://schemas.openxmlformats.org/officeDocument/2006/relationships/hyperlink" Target="https://doi.org/10.1016/j.actaastro.2024.09.003" TargetMode="External"/><Relationship Id="rId164" Type="http://schemas.openxmlformats.org/officeDocument/2006/relationships/hyperlink" Target="https://doi.org/10.1016/j.actaastro.2025.08.048" TargetMode="External"/><Relationship Id="rId175" Type="http://schemas.openxmlformats.org/officeDocument/2006/relationships/hyperlink" Target="https://doi.org/10.1016/j.actaastro.2025.10.018" TargetMode="External"/><Relationship Id="rId192" Type="http://schemas.openxmlformats.org/officeDocument/2006/relationships/hyperlink" Target="https://doi.org/10.1016/j.actaastro.2025.10.020" TargetMode="External"/><Relationship Id="rId194" Type="http://schemas.openxmlformats.org/officeDocument/2006/relationships/hyperlink" Target="https://doi.org/10.1016/j.actaastro.2025.11.039" TargetMode="External"/><Relationship Id="rId202" Type="http://schemas.openxmlformats.org/officeDocument/2006/relationships/hyperlink" Target="https://doi.org/10.1016/j.actaastro.2025.12.003" TargetMode="External"/><Relationship Id="rId200" Type="http://schemas.openxmlformats.org/officeDocument/2006/relationships/hyperlink" Target="https://doi.org/10.1016/j.actaastro.2025.12.053" TargetMode="External"/><Relationship Id="rId198" Type="http://schemas.openxmlformats.org/officeDocument/2006/relationships/hyperlink" Target="https://doi.org/10.1016/j.actaastro.2025.12.055" TargetMode="External"/><Relationship Id="rId196" Type="http://schemas.openxmlformats.org/officeDocument/2006/relationships/hyperlink" Target="https://doi.org/10.1016/j.actaastro.2026.02.046" TargetMode="External"/><Relationship Id="rId184" Type="http://schemas.openxmlformats.org/officeDocument/2006/relationships/hyperlink" Target="https://doi.org/10.64861/FNFT3594" TargetMode="External"/><Relationship Id="rId168" Type="http://schemas.openxmlformats.org/officeDocument/2006/relationships/hyperlink" Target="https://doi.org/10.64861/TRSQ4124" TargetMode="External"/><Relationship Id="rId181" Type="http://schemas.openxmlformats.org/officeDocument/2006/relationships/hyperlink" Target="https://doi.org/10.64861/XAZU7498" TargetMode="External"/><Relationship Id="rId179" Type="http://schemas.openxmlformats.org/officeDocument/2006/relationships/hyperlink" Target="https://doi.org/10.64861/XIVA3792" TargetMode="External"/></Relationships>
</file>

<file path=word/_rels/footnotes.xml.rels><?xml version='1.0' encoding='UTF-8' standalone='yes'?>
<Relationships xmlns="http://schemas.openxmlformats.org/package/2006/relationships"><Relationship Id="rId190" Type="http://schemas.openxmlformats.org/officeDocument/2006/relationships/hyperlink" Target="https://doi.org/10.1016/j.actaastro.2019.09.006" TargetMode="External"/><Relationship Id="rId188" Type="http://schemas.openxmlformats.org/officeDocument/2006/relationships/hyperlink" Target="https://doi.org/10.1016/j.actaastro.2023.03.023" TargetMode="External"/><Relationship Id="rId166" Type="http://schemas.openxmlformats.org/officeDocument/2006/relationships/hyperlink" Target="https://doi.org/10.1016/j.actaastro.2024.09.003" TargetMode="External"/><Relationship Id="rId164" Type="http://schemas.openxmlformats.org/officeDocument/2006/relationships/hyperlink" Target="https://doi.org/10.1016/j.actaastro.2025.08.048" TargetMode="External"/><Relationship Id="rId175" Type="http://schemas.openxmlformats.org/officeDocument/2006/relationships/hyperlink" Target="https://doi.org/10.1016/j.actaastro.2025.10.018" TargetMode="External"/><Relationship Id="rId192" Type="http://schemas.openxmlformats.org/officeDocument/2006/relationships/hyperlink" Target="https://doi.org/10.1016/j.actaastro.2025.10.020" TargetMode="External"/><Relationship Id="rId194" Type="http://schemas.openxmlformats.org/officeDocument/2006/relationships/hyperlink" Target="https://doi.org/10.1016/j.actaastro.2025.11.039" TargetMode="External"/><Relationship Id="rId202" Type="http://schemas.openxmlformats.org/officeDocument/2006/relationships/hyperlink" Target="https://doi.org/10.1016/j.actaastro.2025.12.003" TargetMode="External"/><Relationship Id="rId200" Type="http://schemas.openxmlformats.org/officeDocument/2006/relationships/hyperlink" Target="https://doi.org/10.1016/j.actaastro.2025.12.053" TargetMode="External"/><Relationship Id="rId198" Type="http://schemas.openxmlformats.org/officeDocument/2006/relationships/hyperlink" Target="https://doi.org/10.1016/j.actaastro.2025.12.055" TargetMode="External"/><Relationship Id="rId196" Type="http://schemas.openxmlformats.org/officeDocument/2006/relationships/hyperlink" Target="https://doi.org/10.1016/j.actaastro.2026.02.046" TargetMode="External"/><Relationship Id="rId184" Type="http://schemas.openxmlformats.org/officeDocument/2006/relationships/hyperlink" Target="https://doi.org/10.64861/FNFT3594" TargetMode="External"/><Relationship Id="rId168" Type="http://schemas.openxmlformats.org/officeDocument/2006/relationships/hyperlink" Target="https://doi.org/10.64861/TRSQ4124" TargetMode="External"/><Relationship Id="rId181" Type="http://schemas.openxmlformats.org/officeDocument/2006/relationships/hyperlink" Target="https://doi.org/10.64861/XAZU7498" TargetMode="External"/><Relationship Id="rId179" Type="http://schemas.openxmlformats.org/officeDocument/2006/relationships/hyperlink" Target="https://doi.org/10.64861/XIVA37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Patch-Latency Window: How Long Do Ground-Segment and Mission-Control Vulnerabilities Remain Exploitable Before Remediation</dc:title>
  <dc:creator>Aisha Cho (1B-ITI-045)</dc:creator>
  <cp:keywords/>
  <dcterms:created xsi:type="dcterms:W3CDTF">2026-07-03T22:25:16Z</dcterms:created>
  <dcterms:modified xsi:type="dcterms:W3CDTF">2026-07-03T22:25:16Z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