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8de9564ccf4f4aa2ff6d402647d18a9252e2841"/>
    <w:p>
      <w:pPr>
        <w:pStyle w:val="Heading1"/>
      </w:pPr>
      <w:r>
        <w:t xml:space="preserve">Attention Accumulation in Big-History Analogues and Frontier Settlement Pacing Do Lunar Buildout Projecti: A Learning-Curve Analysis of Citation Growth by Article Age</w:t>
      </w:r>
    </w:p>
    <w:bookmarkStart w:id="61" w:name="introduction"/>
    <w:p>
      <w:pPr>
        <w:pStyle w:val="Heading2"/>
      </w:pPr>
      <w:r>
        <w:t xml:space="preserve">1. Introduction</w:t>
      </w:r>
    </w:p>
    <w:p>
      <w:pPr>
        <w:pStyle w:val="FirstParagraph"/>
      </w:pPr>
      <w:r>
        <w:t xml:space="preserve">This empirical paper supports Hugo Ashby (1B-LUN-198) and the dissertation project</w:t>
      </w:r>
      <w:r>
        <w:t xml:space="preserve"> </w:t>
      </w:r>
      <w:r>
        <w:rPr>
          <w:i/>
          <w:iCs/>
        </w:rPr>
        <w:t xml:space="preserve">Big-History Analogues and Frontier Settlement Pacing: Do Lunar Buildout Projecti</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R2=0.00036980207468340076, elasticity_b=-0.050014035897689435, progress_ratio_2^b=0.9659269314311606. The exact term summary is: const coef=0.9269952391038995 p=0.14400380775409807; _ln_x coef=-0.050014035897689435 p=0.9172776515007464.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Ralph “Dinz” Dinsley, Northern Space and Security, Reflecting Space; Christopher Newman, Northumbria University and Reflecting Space. The Governance of Space Situational Awareness – Revolution not Evolution (2018). [AMOS]</w:t>
      </w:r>
      <w:r>
        <w:t xml:space="preserve"> </w:t>
      </w:r>
      <w:bookmarkStart w:id="68" w:name="ref-2"/>
      <w:bookmarkEnd w:id="68"/>
      <w:r>
        <w:t xml:space="preserve">2.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 [AMOS]</w:t>
      </w:r>
      <w:r>
        <w:t xml:space="preserve"> </w:t>
      </w:r>
      <w:bookmarkStart w:id="69" w:name="ref-3"/>
      <w:bookmarkEnd w:id="69"/>
      <w:r>
        <w:t xml:space="preserve">3. Scott Steele, The Open University. Can International Law Provide a Basis for Actively Removing Space Debris? (2020). [AMOS]</w:t>
      </w:r>
      <w:r>
        <w:t xml:space="preserve"> </w:t>
      </w:r>
      <w:bookmarkStart w:id="70" w:name="ref-4"/>
      <w:bookmarkEnd w:id="70"/>
      <w:r>
        <w:t xml:space="preserve">4. Nathan R. Boone, Air Force Institute of Technology; Robert A. Bettinger, Air Force Institute of Technology. Long-Term Evolution of Debris Clouds in Low Lunar Orbit (2022). [AMOS]</w:t>
      </w:r>
      <w:r>
        <w:t xml:space="preserve"> </w:t>
      </w:r>
      <w:bookmarkStart w:id="71" w:name="ref-5"/>
      <w:bookmarkEnd w:id="71"/>
      <w:r>
        <w:t xml:space="preserve">5. Rohit Mital, SGT, Joseph Coughlin, SGT, Mike Canaday, SGT. Using Big Data Technologies and Analytics to Predict Sensor Anomalies (2015). [AMOS]</w:t>
      </w:r>
      <w:r>
        <w:t xml:space="preserve"> </w:t>
      </w:r>
      <w:bookmarkStart w:id="72" w:name="ref-6"/>
      <w:bookmarkEnd w:id="72"/>
      <w:r>
        <w:t xml:space="preserve">6. TJ Pruden, Anduril Industries; Braden Smith, US Space Force. Resilient Networking Keeps Critical Sensors Connected (2023). doi:</w:t>
      </w:r>
      <w:r>
        <w:t xml:space="preserve"> </w:t>
      </w:r>
      <w:hyperlink r:id="rId73">
        <w:r>
          <w:rPr>
            <w:rStyle w:val="Hyperlink"/>
          </w:rPr>
          <w:t xml:space="preserve">10.64861/UPXT3411</w:t>
        </w:r>
      </w:hyperlink>
      <w:r>
        <w:t xml:space="preserve"> </w:t>
      </w:r>
      <w:bookmarkStart w:id="74" w:name="ref-7"/>
      <w:bookmarkEnd w:id="74"/>
      <w:r>
        <w:t xml:space="preserve">7. Raymond Wright, BAE Systems; Naomi Owens-Fahrner, BAE Systems; Luke Tafur, BAE Systems; Joshua Wysack, BAE Systems. Applications of Poincare Search Maps for Space-Based Cislunar SDA Detection (2024). doi:</w:t>
      </w:r>
      <w:r>
        <w:t xml:space="preserve"> </w:t>
      </w:r>
      <w:hyperlink r:id="rId75">
        <w:r>
          <w:rPr>
            <w:rStyle w:val="Hyperlink"/>
          </w:rPr>
          <w:t xml:space="preserve">10.64861/UAMB9924</w:t>
        </w:r>
      </w:hyperlink>
      <w:r>
        <w:t xml:space="preserve"> </w:t>
      </w:r>
      <w:bookmarkStart w:id="76" w:name="ref-8"/>
      <w:bookmarkEnd w:id="76"/>
      <w:r>
        <w:t xml:space="preserve">8. Susan Skone, University of Calgary; M. Najmafshar, University of Calgary. Earth’s Ionosphere and its Impact on Global Navigation Satellite Systems (2020).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0.927</w:t>
            </w:r>
          </w:p>
        </w:tc>
        <w:tc>
          <w:tcPr>
            <w:tcW w:w="0" w:type="auto"/>
          </w:tcPr>
          <w:p>
            <w:pPr>
              <w:spacing w:line="240" w:lineRule="auto" w:before="0" w:after="0"/>
              <w:pStyle w:val="Compact"/>
            </w:pPr>
            <w:r>
              <w:rPr>
                <w:sz w:val="20"/>
                <w:szCs w:val="20"/>
              </w:rPr>
              <w:t xml:space="preserve">0.6345</w:t>
            </w:r>
          </w:p>
        </w:tc>
        <w:tc>
          <w:tcPr>
            <w:tcW w:w="0" w:type="auto"/>
          </w:tcPr>
          <w:p>
            <w:pPr>
              <w:spacing w:line="240" w:lineRule="auto" w:before="0" w:after="0"/>
              <w:pStyle w:val="Compact"/>
            </w:pPr>
            <w:r>
              <w:rPr>
                <w:sz w:val="20"/>
                <w:szCs w:val="20"/>
              </w:rPr>
              <w:t xml:space="preserve">1.461</w:t>
            </w:r>
          </w:p>
        </w:tc>
        <w:tc>
          <w:tcPr>
            <w:tcW w:w="0" w:type="auto"/>
          </w:tcPr>
          <w:p>
            <w:pPr>
              <w:spacing w:line="240" w:lineRule="auto" w:before="0" w:after="0"/>
              <w:pStyle w:val="Compact"/>
            </w:pPr>
            <w:r>
              <w:rPr>
                <w:sz w:val="20"/>
                <w:szCs w:val="20"/>
              </w:rPr>
              <w:t xml:space="preserve">0.144</w:t>
            </w:r>
          </w:p>
        </w:tc>
        <w:tc>
          <w:tcPr>
            <w:tcW w:w="0" w:type="auto"/>
          </w:tcPr>
          <w:p>
            <w:pPr>
              <w:spacing w:line="240" w:lineRule="auto" w:before="0" w:after="0"/>
              <w:pStyle w:val="Compact"/>
            </w:pPr>
            <w:r>
              <w:rPr>
                <w:sz w:val="20"/>
                <w:szCs w:val="20"/>
              </w:rPr>
              <w:t xml:space="preserve">[-0.3166, 2.1705]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0.4815</w:t>
            </w:r>
          </w:p>
        </w:tc>
        <w:tc>
          <w:tcPr>
            <w:tcW w:w="0" w:type="auto"/>
          </w:tcPr>
          <w:p>
            <w:pPr>
              <w:spacing w:line="240" w:lineRule="auto" w:before="0" w:after="0"/>
              <w:pStyle w:val="Compact"/>
            </w:pPr>
            <w:r>
              <w:rPr>
                <w:sz w:val="20"/>
                <w:szCs w:val="20"/>
              </w:rPr>
              <w:t xml:space="preserve">-0.1039</w:t>
            </w:r>
          </w:p>
        </w:tc>
        <w:tc>
          <w:tcPr>
            <w:tcW w:w="0" w:type="auto"/>
          </w:tcPr>
          <w:p>
            <w:pPr>
              <w:spacing w:line="240" w:lineRule="auto" w:before="0" w:after="0"/>
              <w:pStyle w:val="Compact"/>
            </w:pPr>
            <w:r>
              <w:rPr>
                <w:sz w:val="20"/>
                <w:szCs w:val="20"/>
              </w:rPr>
              <w:t xml:space="preserve">0.9173</w:t>
            </w:r>
          </w:p>
        </w:tc>
        <w:tc>
          <w:tcPr>
            <w:tcW w:w="0" w:type="auto"/>
          </w:tcPr>
          <w:p>
            <w:pPr>
              <w:spacing w:line="240" w:lineRule="auto" w:before="0" w:after="0"/>
              <w:pStyle w:val="Compact"/>
            </w:pPr>
            <w:r>
              <w:rPr>
                <w:sz w:val="20"/>
                <w:szCs w:val="20"/>
              </w:rPr>
              <w:t xml:space="preserve">[-0.9938, 0.8938]</w:t>
            </w:r>
          </w:p>
        </w:tc>
      </w:tr>
    </w:tbl>
    <w:p>
      <w:pPr>
        <w:pStyle w:val="BodyText"/>
      </w:pPr>
      <w:r>
        <w:t xml:space="preserve">Fit: N = 30 R2 = 0.0003698 elasticity_b = -0.05 progress_ratio_2^b = 0.9659</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CISLUNAR_DEV_13\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https://amostech.space/year/2022/long-term-evolution-of-debris-clouds-in-low-lunar-orbit/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https://amostech.space/year/2015/using-big-data-technologies-and-analytics-to-predict-sensor-anomalies/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10.64861/UPXT3411</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https://amostech.space/year/2020/earths-ionosphere-and-its-impact-on-global-navigation-satellite-systems/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https://amostech.space/year/2021/systems-and-methods-for-hybrid-lunar-surface-and-space-domain-situational-awareness/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10.64861/PAEO6437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10.64861/ESVN6806</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10.1016/j.actaastro.2025.10.053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10.1016/j.actaastro.2024.05.022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10.1016/j.actaastro.2020.04.025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10.1016/j.actaastro.2022.09.021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10.1016/j.actaastro.2024.08.018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10.1016/j.actaastro.2025.02.030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10.1016/j.actaastro.2024.08.030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Orbital Debris Requires Prevention and Mitigation Across the Life Cycle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10.1038/s44172-025-00430-5</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0.927</w:t>
            </w:r>
          </w:p>
        </w:tc>
        <w:tc>
          <w:tcPr>
            <w:tcW w:w="0" w:type="auto"/>
          </w:tcPr>
          <w:p>
            <w:pPr>
              <w:spacing w:line="240" w:lineRule="auto" w:before="0" w:after="0"/>
              <w:pStyle w:val="Compact"/>
            </w:pPr>
            <w:r>
              <w:rPr>
                <w:sz w:val="20"/>
                <w:szCs w:val="20"/>
              </w:rPr>
              <w:t xml:space="preserve">0.6345</w:t>
            </w:r>
          </w:p>
        </w:tc>
        <w:tc>
          <w:tcPr>
            <w:tcW w:w="0" w:type="auto"/>
          </w:tcPr>
          <w:p>
            <w:pPr>
              <w:spacing w:line="240" w:lineRule="auto" w:before="0" w:after="0"/>
              <w:pStyle w:val="Compact"/>
            </w:pPr>
            <w:r>
              <w:rPr>
                <w:sz w:val="20"/>
                <w:szCs w:val="20"/>
              </w:rPr>
              <w:t xml:space="preserve">1.461</w:t>
            </w:r>
          </w:p>
        </w:tc>
        <w:tc>
          <w:tcPr>
            <w:tcW w:w="0" w:type="auto"/>
          </w:tcPr>
          <w:p>
            <w:pPr>
              <w:spacing w:line="240" w:lineRule="auto" w:before="0" w:after="0"/>
              <w:pStyle w:val="Compact"/>
            </w:pPr>
            <w:r>
              <w:rPr>
                <w:sz w:val="20"/>
                <w:szCs w:val="20"/>
              </w:rPr>
              <w:t xml:space="preserve">0.144</w:t>
            </w:r>
          </w:p>
        </w:tc>
        <w:tc>
          <w:tcPr>
            <w:tcW w:w="0" w:type="auto"/>
          </w:tcPr>
          <w:p>
            <w:pPr>
              <w:spacing w:line="240" w:lineRule="auto" w:before="0" w:after="0"/>
              <w:pStyle w:val="Compact"/>
            </w:pPr>
            <w:r>
              <w:rPr>
                <w:sz w:val="20"/>
                <w:szCs w:val="20"/>
              </w:rPr>
              <w:t xml:space="preserve">[-0.3166, 2.1705]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0.4815</w:t>
            </w:r>
          </w:p>
        </w:tc>
        <w:tc>
          <w:tcPr>
            <w:tcW w:w="0" w:type="auto"/>
          </w:tcPr>
          <w:p>
            <w:pPr>
              <w:spacing w:line="240" w:lineRule="auto" w:before="0" w:after="0"/>
              <w:pStyle w:val="Compact"/>
            </w:pPr>
            <w:r>
              <w:rPr>
                <w:sz w:val="20"/>
                <w:szCs w:val="20"/>
              </w:rPr>
              <w:t xml:space="preserve">-0.1039</w:t>
            </w:r>
          </w:p>
        </w:tc>
        <w:tc>
          <w:tcPr>
            <w:tcW w:w="0" w:type="auto"/>
          </w:tcPr>
          <w:p>
            <w:pPr>
              <w:spacing w:line="240" w:lineRule="auto" w:before="0" w:after="0"/>
              <w:pStyle w:val="Compact"/>
            </w:pPr>
            <w:r>
              <w:rPr>
                <w:sz w:val="20"/>
                <w:szCs w:val="20"/>
              </w:rPr>
              <w:t xml:space="preserve">0.9173</w:t>
            </w:r>
          </w:p>
        </w:tc>
        <w:tc>
          <w:tcPr>
            <w:tcW w:w="0" w:type="auto"/>
          </w:tcPr>
          <w:p>
            <w:pPr>
              <w:spacing w:line="240" w:lineRule="auto" w:before="0" w:after="0"/>
              <w:pStyle w:val="Compact"/>
            </w:pPr>
            <w:r>
              <w:rPr>
                <w:sz w:val="20"/>
                <w:szCs w:val="20"/>
              </w:rPr>
              <w:t xml:space="preserve">[-0.9938, 0.8938]</w:t>
            </w:r>
          </w:p>
        </w:tc>
      </w:tr>
    </w:tbl>
    <w:p>
      <w:pPr>
        <w:pStyle w:val="BodyText"/>
      </w:pPr>
      <w:r>
        <w:t xml:space="preserve">Fit: N = 30 R2 = 0.0003698 elasticity_b = -0.05 progress_ratio_2^b = 0.9659</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5" Target="https://doi.org/10.64861/UAMB9924" TargetMode="External" /><Relationship Type="http://schemas.openxmlformats.org/officeDocument/2006/relationships/hyperlink" Id="rId73" Target="https://doi.org/10.64861/UPXT3411"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UAMB9924" TargetMode="External" /><Relationship Type="http://schemas.openxmlformats.org/officeDocument/2006/relationships/hyperlink" Id="rId73" Target="https://doi.org/10.64861/UPXT341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2026-06-29T09:37:02Z</dcterms:created>
  <dcterms:modified xsi:type="dcterms:W3CDTF">2026-06-29T09:37:02Z</dcterms:modified>
</cp:coreProperties>
</file>

<file path=docProps/custom.xml><?xml version="1.0" encoding="utf-8"?>
<Properties xmlns="http://schemas.openxmlformats.org/officeDocument/2006/custom-properties" xmlns:vt="http://schemas.openxmlformats.org/officeDocument/2006/docPropsVTypes"/>
</file>