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BIG-HISTORY ANALOGUES AND FRONTIER SETTLEMENT PACING: DO LUNAR BUILDOUT PROJECTI</w:t>
      </w:r>
    </w:p>
    <w:p>
      <w:pPr>
        <w:jc w:val="center"/>
      </w:pPr>
    </w:p>
    <w:p>
      <w:pPr>
        <w:jc w:val="center"/>
      </w:pPr>
      <w:r>
        <w:rPr>
          <w:rFonts w:ascii="Times New Roman" w:hAnsi="Times New Roman"/>
          <w:sz w:val="24"/>
        </w:rPr>
        <w:t>by</w:t>
      </w:r>
    </w:p>
    <w:p>
      <w:pPr>
        <w:jc w:val="center"/>
      </w:pPr>
      <w:r>
        <w:rPr>
          <w:rFonts w:ascii="Times New Roman" w:hAnsi="Times New Roman"/>
          <w:b/>
          <w:sz w:val="28"/>
        </w:rPr>
        <w:t>Hugo Ashby</w:t>
      </w:r>
    </w:p>
    <w:p>
      <w:pPr>
        <w:jc w:val="center"/>
      </w:pPr>
      <w:r>
        <w:rPr>
          <w:rFonts w:ascii="Times New Roman" w:hAnsi="Times New Roman"/>
          <w:sz w:val="24"/>
        </w:rPr>
        <w:t>1B-LUN-198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Lunar buildout suffers from a rhetoric problem. Whenever someone argues in public for going back to the Moon, and for remaining there, the case rests heavily on a frontier comparison, borrowing the American West, Polynesian ocean voyages, the age of sail, and lifting from each a feeling of inevitability along with a rough schedule: scouts first, then an outpost, then a road, then a town. The march sounds foreordained. It is nothing of the kind. Such comparisons seduce because they translate a hard engineering and governance problem into a tale whose ending is already known, and the neatness of that tale fits badly against a Moon that grants no such neatness. What I ask here is deliberately narrower and far more tractable. When projections of lunar buildout reach for big-history frontier tempo, does the written record encircling cislunar development in fact conduct itself the way those projections take for granted?</w:t>
      </w:r>
    </w:p>
    <w:p>
      <w:pPr>
        <w:pStyle w:val="BodyText"/>
        <w:spacing w:line="480" w:lineRule="auto"/>
        <w:ind w:firstLine="720"/>
      </w:pPr>
      <w:r>
        <w:t xml:space="preserve">The question sharpens under pressure, since a frontier-tempo assertion, once the romance is peeled away, reduces to an assertion about order and timing. It maintains that notice, hardware, and institutional resolve pile up in some legible sequence, and that the sequence advances quickly enough to warrant near-term outlays of money and policy. Were any of that genuine, traces would survive in the writing. The freshest work would show the sharpest thematic pull; notice, gauged through citation, would gather along a path shadowing an article’s age; and the body of writing would sort itself into a rough staircase, foundational governance and analytics work resting low, recent settlement and commercial-scaling work perched high. The candidate, Hugo Ashby, handles that expectation as something to be checked rather than something to be admired.</w:t>
      </w:r>
    </w:p>
    <w:p>
      <w:pPr>
        <w:pStyle w:val="BodyText"/>
        <w:spacing w:line="480" w:lineRule="auto"/>
        <w:ind w:firstLine="720"/>
      </w:pPr>
      <w:r>
        <w:t xml:space="preserve">I have kept the design plainly small, and the smallness is deliberate. This is a study of documents drawn from a retrieved body of literature, not a mission model and not a forecast of settlement. It stitches together local source entries, deterministic empirical filters, and a reference pool one can inspect, letting a reader follow each move from picking a source to producing an estimate to reading it</w:t>
      </w:r>
      <w:r>
        <w:t xml:space="preserve"> </w:t>
      </w:r>
      <w:hyperlink w:anchor="ref-1">
        <w:r>
          <w:rPr>
            <w:rStyle w:val="Hyperlink"/>
          </w:rPr>
          <w:t xml:space="preserve">[1]</w:t>
        </w:r>
      </w:hyperlink>
      <w:r>
        <w:t xml:space="preserve">. The whole empirical load rides on two compact workbooks. The opening one gauges how a blended thematic-pull number shifts with an article’s freshness, the notice it has drawn, and the family of outlet that carried it; the second checks whether citations gather along a measurable path as articles grow older. Neither claims to resolve the policy quarrel over whether and how quickly the Moon ought to be built. Each instead corrals the evidence, exposing what a retrieved body of literature can and cannot bear.</w:t>
      </w:r>
    </w:p>
    <w:bookmarkStart w:id="61" w:name="the-problem-and-why-it-matters"/>
    <w:p>
      <w:pPr>
        <w:pStyle w:val="Heading2"/>
        <w:spacing w:line="480" w:lineRule="auto"/>
      </w:pPr>
      <w:r>
        <w:t xml:space="preserve">The problem and why it matters</w:t>
      </w:r>
    </w:p>
    <w:p>
      <w:pPr>
        <w:pStyle w:val="FirstParagraph"/>
        <w:spacing w:line="480" w:lineRule="auto"/>
      </w:pPr>
      <w:r>
        <w:t xml:space="preserve">Problems of space governance have a habit of surfacing before anyone settles on how to meet them. Awareness of the cislunar volume was an academic curiosity long before it hardened into a declared defense priority, and the piling up of debris in low lunar orbit had been modeled by engineers well before any binding rule addressed it</w:t>
      </w:r>
      <w:r>
        <w:t xml:space="preserve"> </w:t>
      </w:r>
      <w:hyperlink w:anchor="ref-4">
        <w:r>
          <w:rPr>
            <w:rStyle w:val="Hyperlink"/>
          </w:rPr>
          <w:t xml:space="preserve">[4]</w:t>
        </w:r>
      </w:hyperlink>
      <w:r>
        <w:t xml:space="preserve">. That early visibility is no accident of noise but a genuine cue, a clue to how a technical governance problem ripens, and one legible in the timing, the outlet, and the notice-structure of what gets written.</w:t>
      </w:r>
    </w:p>
    <w:p>
      <w:pPr>
        <w:pStyle w:val="BodyText"/>
        <w:spacing w:line="480" w:lineRule="auto"/>
        <w:ind w:firstLine="720"/>
      </w:pPr>
      <w:r>
        <w:t xml:space="preserve">The stakes are anything but abstract. Real money moves on these forecasts. Projections of lunar buildout drive budget rounds, cross-border bargaining, and industrial forecasting, and once a projection lifts a frontier schedule it also lifts a premise, namely that ripeness comes in a settled sequence at a knowable speed. Should that premise prove false, the projection can misjudge risk on either side, either hurrying governance pledges to fit a fantasy settlement clock or postponing hardware that a slower, tier-by-tier reality in fact demands earlier. A dissertation that lays bare how the written record arranges itself, and where the arrangement departs from what the comparison foretells, hands planners a keener tool than gut feeling.</w:t>
      </w:r>
    </w:p>
    <w:p>
      <w:pPr>
        <w:pStyle w:val="BodyText"/>
        <w:spacing w:line="480" w:lineRule="auto"/>
        <w:ind w:firstLine="720"/>
      </w:pPr>
      <w:r>
        <w:t xml:space="preserve">A scholarly stake sits alongside the practical one. Frontier comparisons carry no idle decoration in this field. Island archaeology has been put forward outright as a template for colonizing space, mining the human record of ocean crossings for lessons on supply, isolation, and the staging of settlement</w:t>
      </w:r>
      <w:r>
        <w:t xml:space="preserve"> </w:t>
      </w:r>
      <w:hyperlink w:anchor="ref-10">
        <w:r>
          <w:rPr>
            <w:rStyle w:val="Hyperlink"/>
          </w:rPr>
          <w:t xml:space="preserve">[10]</w:t>
        </w:r>
      </w:hyperlink>
      <w:r>
        <w:t xml:space="preserve">, while ethnographic study of commercial-spaceflight communities has traced how the very picture of a frontier gets manufactured and kept alive around launch sites</w:t>
      </w:r>
      <w:r>
        <w:t xml:space="preserve"> </w:t>
      </w:r>
      <w:hyperlink w:anchor="ref-11">
        <w:r>
          <w:rPr>
            <w:rStyle w:val="Hyperlink"/>
          </w:rPr>
          <w:t xml:space="preserve">[11]</w:t>
        </w:r>
      </w:hyperlink>
      <w:r>
        <w:t xml:space="preserve">. These are earnest scholarly gambits, and they merit an earnest empirical trial rather than either credulous embrace or knee-jerk refusal.</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dissertation advances one falsifiable claim and rests its whole worth on it. The claim turns on whether the frontier-tempo trace in the retrieved cislunar body of literature is arranged by time and notice, the way a settlement-clock comparison foretells, or by something altogether different.</w:t>
      </w:r>
    </w:p>
    <w:p>
      <w:pPr>
        <w:pStyle w:val="BodyText"/>
        <w:spacing w:line="480" w:lineRule="auto"/>
        <w:ind w:firstLine="720"/>
      </w:pPr>
      <w:r>
        <w:t xml:space="preserve">The null hypothesis maintains that the thematic-pull number bears no tie to an article’s freshness, to citation notice, or to outlet family, and that citation buildup bears no tie to age. Its alternative maintains that the thematic pull is bound in some patterned way to at least one of those structural traits, and that the sign of the tie reveals how the buildout writing is genuinely arranged. This is a test at the level of documents, so its reach stays bounded: it can neither confirm nor deny that lunar settlement will trace a frontier path, though it can reveal whether the body of evidence buildout projections rest upon behaves as one, a claim a reader may weigh against the workbooks and toss out should the figures say so.</w:t>
      </w:r>
    </w:p>
    <w:p>
      <w:pPr>
        <w:pStyle w:val="BodyText"/>
        <w:spacing w:line="480" w:lineRule="auto"/>
        <w:ind w:firstLine="720"/>
      </w:pPr>
      <w:r>
        <w:t xml:space="preserve">The result surprised me. Sketched here and argued in full in Chapter 6, it is that the null topples only partway, and that the alternative left standing is not the one the comparison anticipates. Outlet family, the institutional and disciplinary seat of a source, sorts the retrieved body of literature sharply, whereas freshness and citation notice yield no steady timing path, and an article’s age accounts for almost none of the citation buildup on record. The buildout writing carries structure, then, but structure fixed by where a piece sits in the institutional terrain rather than by how new it is or how much notice it has gathered. A frontier comparison that casts lunar buildout as one clock is bound to overlook the tiered institutional reality the record in fact discloses.</w:t>
      </w:r>
    </w:p>
    <w:bookmarkEnd w:id="62"/>
    <w:bookmarkStart w:id="63" w:name="scope-and-what-this-study-is-not"/>
    <w:p>
      <w:pPr>
        <w:pStyle w:val="Heading2"/>
        <w:spacing w:line="480" w:lineRule="auto"/>
      </w:pPr>
      <w:r>
        <w:t xml:space="preserve">Scope and what this study is not</w:t>
      </w:r>
    </w:p>
    <w:p>
      <w:pPr>
        <w:pStyle w:val="FirstParagraph"/>
        <w:spacing w:line="480" w:lineRule="auto"/>
      </w:pPr>
      <w:r>
        <w:t xml:space="preserve">Limits keep a small claim from being pressed to carry more than its weight, so scope here works as a guardrail. The study draws on a source set peculiar to this candidate, pulled from the local research brains, reaching across technical, governance, and policy entries over many outlets and years</w:t>
      </w:r>
      <w:r>
        <w:t xml:space="preserve"> </w:t>
      </w:r>
      <w:hyperlink w:anchor="ref-2">
        <w:r>
          <w:rPr>
            <w:rStyle w:val="Hyperlink"/>
          </w:rPr>
          <w:t xml:space="preserve">[2]</w:t>
        </w:r>
      </w:hyperlink>
      <w:r>
        <w:t xml:space="preserve"> </w:t>
      </w:r>
      <w:hyperlink w:anchor="ref-3">
        <w:r>
          <w:rPr>
            <w:rStyle w:val="Hyperlink"/>
          </w:rPr>
          <w:t xml:space="preserve">[3]</w:t>
        </w:r>
      </w:hyperlink>
      <w:r>
        <w:t xml:space="preserve">. It gauges thematic pull by a deterministic tally of theme-word hits in a source’s metadata, gauges notice by citation tallies as the local index reports them, which are index figures rather than universal citation totals, and codes outlet family as a ranked number. Every one of these picks is open to inspection, every one is checkable, and every one is a constraint.</w:t>
      </w:r>
    </w:p>
    <w:p>
      <w:pPr>
        <w:pStyle w:val="BodyText"/>
        <w:spacing w:line="480" w:lineRule="auto"/>
        <w:ind w:firstLine="720"/>
      </w:pPr>
      <w:r>
        <w:t xml:space="preserve">The reach of the study also has to be marked out. It ventures no settlement date, models neither launch tempo nor regolith-processing throughput nor life-support closure, and it takes no side among rival lunar architectures. Research on sensor-anomaly analytics and resilient networking is a reminder that buildout tempo hangs on the dependability of sensing and communications hardware, not on zeal by itself</w:t>
      </w:r>
      <w:r>
        <w:t xml:space="preserve"> </w:t>
      </w:r>
      <w:hyperlink w:anchor="ref-5">
        <w:r>
          <w:rPr>
            <w:rStyle w:val="Hyperlink"/>
          </w:rPr>
          <w:t xml:space="preserve">[5]</w:t>
        </w:r>
      </w:hyperlink>
      <w:r>
        <w:t xml:space="preserve"> </w:t>
      </w:r>
      <w:hyperlink w:anchor="ref-6">
        <w:r>
          <w:rPr>
            <w:rStyle w:val="Hyperlink"/>
          </w:rPr>
          <w:t xml:space="preserve">[6]</w:t>
        </w:r>
      </w:hyperlink>
      <w:r>
        <w:t xml:space="preserve">, though this dissertation shows only that such tiers appear in the record and shrug off a single timing path; it runs no simulation of them. The offering is a disciplined empirical account of how the written record organizes a frontier-tempo question, paired with a candid chart of which pieces of the argument need mission-grade evidence before they can anchor institutional resolve.</w:t>
      </w:r>
    </w:p>
    <w:bookmarkEnd w:id="63"/>
    <w:bookmarkStart w:id="64" w:name="roadmap"/>
    <w:p>
      <w:pPr>
        <w:pStyle w:val="Heading2"/>
        <w:spacing w:line="480" w:lineRule="auto"/>
      </w:pPr>
      <w:r>
        <w:t xml:space="preserve">Roadmap</w:t>
      </w:r>
    </w:p>
    <w:p>
      <w:pPr>
        <w:pStyle w:val="FirstParagraph"/>
        <w:spacing w:line="480" w:lineRule="auto"/>
      </w:pPr>
      <w:r>
        <w:t xml:space="preserve">The argument is assembled across eight chapters, each in its turn. Chapter 2 places the study beside earlier work: the governance-transition writing on space situational awareness, the engineering writing on low lunar orbit and debris, the comparison writing that ferries in frontier and island-settlement templates, and the bibliometric habit of reading a field’s citation structure as evidence unto itself</w:t>
      </w:r>
      <w:r>
        <w:t xml:space="preserve"> </w:t>
      </w:r>
      <w:hyperlink w:anchor="ref-12">
        <w:r>
          <w:rPr>
            <w:rStyle w:val="Hyperlink"/>
          </w:rPr>
          <w:t xml:space="preserve">[12]</w:t>
        </w:r>
      </w:hyperlink>
      <w:r>
        <w:t xml:space="preserve">. Chapter 3 works out the theory and lays down the checkable forecasts, tying the frontier-tempo hunch to definite, signed expectations about freshness, notice, and outlet. Chapter 4 lays out the methodology and identification plan, saying why an ordinary least squares filter and a log-log learning-curve model suit a document-level question and what each can pin down. Chapter 5 walks through the data and measurement completely: the source set, how each variable is built, the sources, and the thirty-record sample. Chapter 6 delivers the results just as the workbooks yield them and reads the signs and sizes. Chapter 7 weighs what the results mean, faces the threats to validity, and marks plainly what the data cannot reveal. Chapter 8 gathers the conclusions, ties them to lunar-program and governance relevance, and lays out an agenda for the direct document-coding and mission-data designs a fuller answer would call for</w:t>
      </w:r>
      <w:r>
        <w:t xml:space="preserve"> </w:t>
      </w:r>
      <w:hyperlink w:anchor="ref-9">
        <w:r>
          <w:rPr>
            <w:rStyle w:val="Hyperlink"/>
          </w:rPr>
          <w:t xml:space="preserve">[9]</w:t>
        </w:r>
      </w:hyperlink>
      <w:r>
        <w:t xml:space="preserve">.</w:t>
      </w:r>
    </w:p>
    <w:p>
      <w:pPr>
        <w:pStyle w:val="BodyText"/>
        <w:spacing w:line="480" w:lineRule="auto"/>
        <w:ind w:firstLine="720"/>
      </w:pPr>
      <w:r>
        <w:t xml:space="preserve">One thread runs the length of it, easy to name and hard to keep faith with: hold the chain of evidence open to inspection, let the retrieved body of literature talk in the terms it can actually back, which are shifts in timing, outlet, notice, and thematic pull, and hand the broader operational claims to designs that carry real mission data. A frontier comparison earns its keep only once it is broken into measurable tiers and matched against the record, and this dissertation tries to do precisely that for the tempo of lunar buildout</w:t>
      </w:r>
      <w:r>
        <w:t xml:space="preserve"> </w:t>
      </w:r>
      <w:hyperlink w:anchor="ref-8">
        <w:r>
          <w:rPr>
            <w:rStyle w:val="Hyperlink"/>
          </w:rPr>
          <w:t xml:space="preserve">[8]</w:t>
        </w:r>
      </w:hyperlink>
      <w:r>
        <w:t xml:space="preserve">.</w:t>
      </w:r>
    </w:p>
    <w:bookmarkEnd w:id="64"/>
    <w:bookmarkStart w:id="65" w:name="X5860c83f8403dc30749826341167a68cc384ac1"/>
    <w:p>
      <w:pPr>
        <w:pStyle w:val="Heading2"/>
        <w:spacing w:line="480" w:lineRule="auto"/>
      </w:pPr>
      <w:r>
        <w:t xml:space="preserve">Why the analogy question is worth a dissertation</w:t>
      </w:r>
    </w:p>
    <w:p>
      <w:pPr>
        <w:pStyle w:val="FirstParagraph"/>
        <w:spacing w:line="480" w:lineRule="auto"/>
      </w:pPr>
      <w:r>
        <w:t xml:space="preserve">A doubter might concede all of the above and still wonder why the frontier comparison warrants this level of scrutiny. Comparisons are, in the end, mere rules of thumb, and no serious planner confuses a figure of speech with a model. My answer is that in space policy the comparison does no mere decorating; it argues. When a projection announces that lunar buildout will retrace the arc of the American West or the Polynesian spread, it is not simply garnishing a point; it is furnishing the warrant for a schedule, and schedules steer appropriations, treaty calendars, and industrial-investment choices that lock up real resources. A comparison left unexamined while shouldering that much weight turns into a hazard exactly because it feels obvious.</w:t>
      </w:r>
    </w:p>
    <w:p>
      <w:pPr>
        <w:pStyle w:val="BodyText"/>
        <w:spacing w:line="480" w:lineRule="auto"/>
        <w:ind w:firstLine="720"/>
      </w:pPr>
      <w:r>
        <w:t xml:space="preserve">This comparison also owns a history of quiet collapse in neighboring fields. The dot-com years leaned on railroad and telegraph comparisons to license infrastructure at a tempo the real demand would not sustain, and Earth-orbit constellations have been rationalized through aviation-industry growth curves that presumed a ripeness sequence the regulatory and debris setting never delivered</w:t>
      </w:r>
      <w:r>
        <w:t xml:space="preserve"> </w:t>
      </w:r>
      <w:hyperlink w:anchor="ref-4">
        <w:r>
          <w:rPr>
            <w:rStyle w:val="Hyperlink"/>
          </w:rPr>
          <w:t xml:space="preserve">[4]</w:t>
        </w:r>
      </w:hyperlink>
      <w:r>
        <w:t xml:space="preserve">. In each instance the comparison held true about the destination and erred only on tempo and order, and the tempo error ran costly. Lunar buildout remains early enough that a document-level check on its central comparison can still shape how much weight the comparison ought to bear.</w:t>
      </w:r>
    </w:p>
    <w:p>
      <w:pPr>
        <w:pStyle w:val="BodyText"/>
        <w:spacing w:line="480" w:lineRule="auto"/>
        <w:ind w:firstLine="720"/>
      </w:pPr>
      <w:r>
        <w:t xml:space="preserve">A last reason belongs to this field in particular. The voices that summon frontier comparisons for the Moon are often the same voices holding the technical mastery to know better, which lends the comparison an unusual durability. It endures not out of naivety but because it squeezes a genuinely tangled, many-tiered development problem down into one intuitive story. Squeezing helps. It also loses information, and the loss lands on precisely the institutional and infrastructural tiers this dissertation finds doing the organizing labor in the record</w:t>
      </w:r>
      <w:r>
        <w:t xml:space="preserve"> </w:t>
      </w:r>
      <w:hyperlink w:anchor="ref-1">
        <w:r>
          <w:rPr>
            <w:rStyle w:val="Hyperlink"/>
          </w:rPr>
          <w:t xml:space="preserve">[1]</w:t>
        </w:r>
      </w:hyperlink>
      <w:r>
        <w:t xml:space="preserve"> </w:t>
      </w:r>
      <w:hyperlink w:anchor="ref-2">
        <w:r>
          <w:rPr>
            <w:rStyle w:val="Hyperlink"/>
          </w:rPr>
          <w:t xml:space="preserve">[2]</w:t>
        </w:r>
      </w:hyperlink>
      <w:r>
        <w:t xml:space="preserve">. Putting the comparison to trial is thus a way of retrieving what the squeeze throws away.</w:t>
      </w:r>
    </w:p>
    <w:bookmarkEnd w:id="65"/>
    <w:bookmarkStart w:id="66" w:name="the-shape-of-the-argument-to-come"/>
    <w:p>
      <w:pPr>
        <w:pStyle w:val="Heading2"/>
        <w:spacing w:line="480" w:lineRule="auto"/>
      </w:pPr>
      <w:r>
        <w:t xml:space="preserve">The shape of the argument to come</w:t>
      </w:r>
    </w:p>
    <w:p>
      <w:pPr>
        <w:pStyle w:val="FirstParagraph"/>
        <w:spacing w:line="480" w:lineRule="auto"/>
      </w:pPr>
      <w:r>
        <w:t xml:space="preserve">Seeing the whole case in miniature helps before the chapters pry it open. The theory holds that a frontier clock, were it real, would stamp three marks on the written record: a freshness mark, a notice mark that trails the advancing edge, and an age-graded buildup of citations. A rival account, institutional stratification, holds instead that the record is arranged by outlet, the institutional seat where work gets done. The two accounts issue different, checkable forecasts, and the design is put together so they contend on level ground rather than one being granted from the outset.</w:t>
      </w:r>
    </w:p>
    <w:p>
      <w:pPr>
        <w:pStyle w:val="BodyText"/>
        <w:spacing w:line="480" w:lineRule="auto"/>
        <w:ind w:firstLine="720"/>
      </w:pPr>
      <w:r>
        <w:t xml:space="preserve">The empirical trial runs two workbooks across the same thirty retrieved records. One is a cross-sectional model of thematic-pull intensity on freshness, citation notice, and outlet family; the other is a learning-curve model of citation buildup against an article’s age. The first workbook asks which of the three marks shows up in the cross-section, and the second asks, on its own, whether the age-notice mark exists at all. Taken together, the two workbooks either back the frontier clock or they do not, and the design draws strength from the fact that a fluke pattern in one is unlikely to recur in a structurally unlike other.</w:t>
      </w:r>
    </w:p>
    <w:p>
      <w:pPr>
        <w:pStyle w:val="BodyText"/>
        <w:spacing w:line="480" w:lineRule="auto"/>
        <w:ind w:firstLine="720"/>
      </w:pPr>
      <w:r>
        <w:t xml:space="preserve">What the two workbooks give back, argued fully later, is that the frontier clock’s marks are faint or missing while the outlet mark is sharp and strong. That upshot does not rule out a paced lunar buildout in the physical world. It shows only that the written record buildout projections rely on carries none of the temporal structure a frontier clock would demand, and that the record is instead layered by institutional seat. The line between a claim about the world and a claim about the record is the discipline holding this dissertation together, and every chapter is composed to honor it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66"/>
    <w:bookmarkStart w:id="67" w:name="the-candidates-position-and-the-pipeline"/>
    <w:p>
      <w:pPr>
        <w:pStyle w:val="Heading2"/>
        <w:spacing w:line="480" w:lineRule="auto"/>
      </w:pPr>
      <w:r>
        <w:t xml:space="preserve">The candidate’s position and the pipeline</w:t>
      </w:r>
    </w:p>
    <w:p>
      <w:pPr>
        <w:pStyle w:val="FirstParagraph"/>
        <w:spacing w:line="480" w:lineRule="auto"/>
      </w:pPr>
      <w:r>
        <w:t xml:space="preserve">A note on provenance is due, since the design picks here are colored by the setting that produced the work. The candidate built the source set from local research brains rather than a fresh library sweep, and that pick brings consequences the dissertation makes no effort to conceal. A brain-built pack is quick, repeatable, and wholly open to audit, which are the very traits a document-level trial most requires. It is also a retrieval rather than a sample, which puts a ceiling on the external validity of any result, a ceiling that returns through the later chapters. The trade is intentional: for a study whose worth lies in an inspectable path from source to coefficient, repeatability beats the wider coverage a hand search might have supplied, and the coverage ceiling is confessed rather than smoothed over.</w:t>
      </w:r>
    </w:p>
    <w:p>
      <w:pPr>
        <w:pStyle w:val="BodyText"/>
        <w:spacing w:line="480" w:lineRule="auto"/>
        <w:ind w:firstLine="720"/>
      </w:pPr>
      <w:r>
        <w:t xml:space="preserve">The pipeline setting likewise accounts for why the empirical backbone is two compact workbooks instead of one sprawling model. Each workbook is fashioned to be run, checked, and rerun deterministically, letting a reviewer reproduce every figure without repeating any random step. That favors plain, open estimators over ornate ones, and it favors printing the full estimator output over a tidied summary. The reader should accordingly brace for exact, unrounded coefficients in the results chapter, since hiding digits would shatter the very auditability the design was raised to guarantee</w:t>
      </w:r>
      <w:r>
        <w:t xml:space="preserve"> </w:t>
      </w:r>
      <w:hyperlink w:anchor="ref-5">
        <w:r>
          <w:rPr>
            <w:rStyle w:val="Hyperlink"/>
          </w:rPr>
          <w:t xml:space="preserve">[5]</w:t>
        </w:r>
      </w:hyperlink>
      <w:r>
        <w:t xml:space="preserve">.</w:t>
      </w:r>
    </w:p>
    <w:bookmarkEnd w:id="67"/>
    <w:bookmarkStart w:id="68" w:name="reading-this-dissertation"/>
    <w:p>
      <w:pPr>
        <w:pStyle w:val="Heading2"/>
        <w:spacing w:line="480" w:lineRule="auto"/>
      </w:pPr>
      <w:r>
        <w:t xml:space="preserve">Reading this dissertation</w:t>
      </w:r>
    </w:p>
    <w:p>
      <w:pPr>
        <w:pStyle w:val="FirstParagraph"/>
        <w:spacing w:line="480" w:lineRule="auto"/>
      </w:pPr>
      <w:r>
        <w:t xml:space="preserve">A closing word on how to read what comes next. The case builds cumulatively, each chapter presuming the one before. The theory chapter posts forecasts the results chapter puts to trial, and those forecasts are signed ahead of time so the results cannot be quietly bent to fit; the methodology chapter explains why the estimators can pin down what they profess, and the discussion chapter revisits every premise the methodology laid open. A hurried reader could take the introduction, the results, and the conclusion and leave with the finding. A reader who means to verify the finding, not merely accept it, will want the theory, methodology, and data chapters, for that is where the claim is rendered falsifiable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dissertation is composed for that second reader, its whole aim being to turn a frontier hunch, cheap to assert and hard to test, into a document-level result a doubter can inspect, reproduce, and reject should the figures fail to hold</w:t>
      </w:r>
      <w:r>
        <w:t xml:space="preserve"> </w:t>
      </w:r>
      <w:hyperlink w:anchor="ref-8">
        <w:r>
          <w:rPr>
            <w:rStyle w:val="Hyperlink"/>
          </w:rPr>
          <w:t xml:space="preserve">[8]</w:t>
        </w:r>
      </w:hyperlink>
      <w:r>
        <w:t xml:space="preserve">.</w:t>
      </w:r>
    </w:p>
    <w:p>
      <w:pPr>
        <w:pStyle w:val="BodyText"/>
        <w:spacing w:line="480" w:lineRule="auto"/>
        <w:ind w:firstLine="720"/>
      </w:pPr>
      <w:r>
        <w:t xml:space="preserve">One more bearing helps before the argument opens. The two hypotheses are cast so that a partial topple is the looked-for and most telling outcome, not a stumble. A frontier clock and an institutional-stratification account each foretell some structure in the record; they part company over which structure, and a result that finds one channel loud and the rest mute is precisely the result that tells them apart. The chapters ahead are laid out to render that sorting readable rather than to wring a clean yes or no from it, so the reader should watch not only whether the null topples but which slice of it topples, because the heading of the surviving alternative is where the contribution resides</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68"/>
    <w:bookmarkEnd w:id="69"/>
    <w:bookmarkStart w:id="80" w:name="chapter-2.-literature-and-prior-work"/>
    <w:p>
      <w:pPr>
        <w:pStyle w:val="Heading1"/>
        <w:spacing w:line="480" w:lineRule="auto"/>
      </w:pPr>
      <w:r>
        <w:t xml:space="preserve">Chapter 2. Literature and Prior Work</w:t>
      </w:r>
    </w:p>
    <w:p>
      <w:pPr>
        <w:pStyle w:val="FirstParagraph"/>
        <w:spacing w:line="480" w:lineRule="auto"/>
      </w:pPr>
      <w:r>
        <w:t xml:space="preserve">A frontier-tempo claim has to answer not to one body of writing but to four, and those four seldom converse. One body treats space activity as an institution caught mid-transition. A second, technical, charts the cislunar and low-lunar-orbit setting and defines what buildout must physically reckon with. A third borrows templates from terrestrial history, island archaeology, and ethnography to reason about how settlement plays out. The fourth, a bibliometric habit, reads a field’s own citation web as data. This chapter works across all four, because the dissertation’s offering lands exactly where they cross: it turns a bibliometric method on the comparison writing’s tempo premise to see whether it holds against the governance and technical record.</w:t>
      </w:r>
    </w:p>
    <w:bookmarkStart w:id="70" w:name="governance-as-transition-not-upgrade"/>
    <w:p>
      <w:pPr>
        <w:pStyle w:val="Heading2"/>
        <w:spacing w:line="480" w:lineRule="auto"/>
      </w:pPr>
      <w:r>
        <w:t xml:space="preserve">Governance as transition, not upgrade</w:t>
      </w:r>
    </w:p>
    <w:p>
      <w:pPr>
        <w:pStyle w:val="FirstParagraph"/>
        <w:spacing w:line="480" w:lineRule="auto"/>
      </w:pPr>
      <w:r>
        <w:t xml:space="preserve">A serviceable point of departure is the contention that space situational awareness is passing through a revolution rather than an evolution</w:t>
      </w:r>
      <w:r>
        <w:t xml:space="preserve"> </w:t>
      </w:r>
      <w:hyperlink w:anchor="ref-1">
        <w:r>
          <w:rPr>
            <w:rStyle w:val="Hyperlink"/>
          </w:rPr>
          <w:t xml:space="preserve">[1]</w:t>
        </w:r>
      </w:hyperlink>
      <w:r>
        <w:t xml:space="preserve">. For a tempo study that framing carries weight, since revolution and evolution imply unlike timing. Evolution is stepwise and roughly one-directional, the very silhouette a frontier clock forecasts; revolution is jagged, its institutional pledges landing out of turn with technical readiness. Should cislunar governance be transitional in this stronger sense, the written record ought not to fall into a tidy age-ranked staircase, and any projection presuming it does will read the tempo wrong.</w:t>
      </w:r>
    </w:p>
    <w:p>
      <w:pPr>
        <w:pStyle w:val="BodyText"/>
        <w:spacing w:line="480" w:lineRule="auto"/>
        <w:ind w:firstLine="720"/>
      </w:pPr>
      <w:r>
        <w:t xml:space="preserve">Work on the legal architecture of space activity strengthens this transitional reading. Scholarship weighing whether international law can underwrite the active removal of orbital debris shows that legal capacity routinely trails the technical capacity it is meant to steer, and that the lag is built in rather than incidental</w:t>
      </w:r>
      <w:r>
        <w:t xml:space="preserve"> </w:t>
      </w:r>
      <w:hyperlink w:anchor="ref-3">
        <w:r>
          <w:rPr>
            <w:rStyle w:val="Hyperlink"/>
          </w:rPr>
          <w:t xml:space="preserve">[3]</w:t>
        </w:r>
      </w:hyperlink>
      <w:r>
        <w:t xml:space="preserve">. Debris waits for no one. The duty to manage it mounts as activity swells, ready institutions or not. A projection casting governance as a tardy, orderly settlement stage that arrives behind hardware and commerce turns this literature’s actual observation upside down, since here legal duty reads as an early, unbroken pressure and no capstone.</w:t>
      </w:r>
    </w:p>
    <w:bookmarkEnd w:id="70"/>
    <w:bookmarkStart w:id="71" w:name="Xcece4f12fd9e9d8ee4ba1a64bef8bdfd2eb05e9"/>
    <w:p>
      <w:pPr>
        <w:pStyle w:val="Heading2"/>
        <w:spacing w:line="480" w:lineRule="auto"/>
      </w:pPr>
      <w:r>
        <w:t xml:space="preserve">The physical frontier: cislunar and low lunar orbit</w:t>
      </w:r>
    </w:p>
    <w:p>
      <w:pPr>
        <w:pStyle w:val="FirstParagraph"/>
        <w:spacing w:line="480" w:lineRule="auto"/>
      </w:pPr>
      <w:r>
        <w:t xml:space="preserve">A second body, the technical writing, roots the comparison in something firmer than metaphor. Modeling the long-run drift of debris clouds in low lunar orbit shows that the same buildup forces plaguing Earth orbit own lunar counterparts, and that they start to bite before any dense settlement exists</w:t>
      </w:r>
      <w:r>
        <w:t xml:space="preserve"> </w:t>
      </w:r>
      <w:hyperlink w:anchor="ref-4">
        <w:r>
          <w:rPr>
            <w:rStyle w:val="Hyperlink"/>
          </w:rPr>
          <w:t xml:space="preserve">[4]</w:t>
        </w:r>
      </w:hyperlink>
      <w:r>
        <w:t xml:space="preserve">. That directly rebuts the romantic frontier, where the setting stays vacant until colonists show up. In the technical imagination the lunar setting is already a managed volume, freighted with its own carrying-capacity logic.</w:t>
      </w:r>
    </w:p>
    <w:p>
      <w:pPr>
        <w:pStyle w:val="BodyText"/>
        <w:spacing w:line="480" w:lineRule="auto"/>
        <w:ind w:firstLine="720"/>
      </w:pPr>
      <w:r>
        <w:t xml:space="preserve">Detection and observing geometry hone the point further. Work on spotting objects in low lunar orbit and in the L2 dark cone from a lunar surface observatory shows that hardware turns useful only once siting, visibility, and geometry are worked out together</w:t>
      </w:r>
      <w:r>
        <w:t xml:space="preserve"> </w:t>
      </w:r>
      <w:hyperlink w:anchor="ref-2">
        <w:r>
          <w:rPr>
            <w:rStyle w:val="Hyperlink"/>
          </w:rPr>
          <w:t xml:space="preserve">[2]</w:t>
        </w:r>
      </w:hyperlink>
      <w:r>
        <w:t xml:space="preserve">. A sensor on the Moon is no mere sensor relocated, its worth hinging on where it sits relative to the volumes it must survey. More recent work on space-based cislunar detection, wielding Poincare search maps to organize the hunt through a chaotic dynamical domain, carries this into the cislunar volume proper and shows the detection problem to be mathematically apart from its Earth-orbit forerunner</w:t>
      </w:r>
      <w:r>
        <w:t xml:space="preserve"> </w:t>
      </w:r>
      <w:hyperlink w:anchor="ref-7">
        <w:r>
          <w:rPr>
            <w:rStyle w:val="Hyperlink"/>
          </w:rPr>
          <w:t xml:space="preserve">[7]</w:t>
        </w:r>
      </w:hyperlink>
      <w:r>
        <w:t xml:space="preserve">. Read through this writing, the physical frontier is tiered and geometry-bound, presenting no single face a single clock could pace.</w:t>
      </w:r>
    </w:p>
    <w:p>
      <w:pPr>
        <w:pStyle w:val="BodyText"/>
        <w:spacing w:line="480" w:lineRule="auto"/>
        <w:ind w:firstLine="720"/>
      </w:pPr>
      <w:r>
        <w:t xml:space="preserve">Two further threads flesh out the tiers. Analytics work forecasting sensor anomalies with large-scale data technologies establishes that the dependability of the sensing tier is itself a research object rather than a given</w:t>
      </w:r>
      <w:r>
        <w:t xml:space="preserve"> </w:t>
      </w:r>
      <w:hyperlink w:anchor="ref-5">
        <w:r>
          <w:rPr>
            <w:rStyle w:val="Hyperlink"/>
          </w:rPr>
          <w:t xml:space="preserve">[5]</w:t>
        </w:r>
      </w:hyperlink>
      <w:r>
        <w:t xml:space="preserve">, and resilient-networking research shows that holding critical sensors connected is a precondition for whatever awareness buildout leans on</w:t>
      </w:r>
      <w:r>
        <w:t xml:space="preserve"> </w:t>
      </w:r>
      <w:hyperlink w:anchor="ref-6">
        <w:r>
          <w:rPr>
            <w:rStyle w:val="Hyperlink"/>
          </w:rPr>
          <w:t xml:space="preserve">[6]</w:t>
        </w:r>
      </w:hyperlink>
      <w:r>
        <w:t xml:space="preserve">. Together they fix a data-infrastructure tier beneath the observing tier beneath the governance tier, each ripening on its own rhythm. A projection folding them into one frontier schedule discards exactly the structure this dissertation means to gauge.</w:t>
      </w:r>
    </w:p>
    <w:bookmarkEnd w:id="71"/>
    <w:bookmarkStart w:id="72" w:name="Xebd34ee7da79175c208347ba6db22c4121a1c61"/>
    <w:p>
      <w:pPr>
        <w:pStyle w:val="Heading2"/>
        <w:spacing w:line="480" w:lineRule="auto"/>
      </w:pPr>
      <w:r>
        <w:t xml:space="preserve">The analogy literature: borrowing templates from history</w:t>
      </w:r>
    </w:p>
    <w:p>
      <w:pPr>
        <w:pStyle w:val="FirstParagraph"/>
        <w:spacing w:line="480" w:lineRule="auto"/>
      </w:pPr>
      <w:r>
        <w:t xml:space="preserve">The comparison writing is where the tempo premise dwells most openly, and it outstrips what its detractors allow. The plainest instance is the case that island archaeology hands over transferable lessons for colonizing space, treating ocean crossings and island settlement as a data-rich record of how humans provision, isolate, and stage their push into hostile settings</w:t>
      </w:r>
      <w:r>
        <w:t xml:space="preserve"> </w:t>
      </w:r>
      <w:hyperlink w:anchor="ref-10">
        <w:r>
          <w:rPr>
            <w:rStyle w:val="Hyperlink"/>
          </w:rPr>
          <w:t xml:space="preserve">[10]</w:t>
        </w:r>
      </w:hyperlink>
      <w:r>
        <w:t xml:space="preserve">. This is a sincere try at giving the frontier comparison an empirical backbone, a claim that we have run this trial before on Earth and that the archaeological record spells out the order of operations.</w:t>
      </w:r>
    </w:p>
    <w:p>
      <w:pPr>
        <w:pStyle w:val="BodyText"/>
        <w:spacing w:line="480" w:lineRule="auto"/>
        <w:ind w:firstLine="720"/>
      </w:pPr>
      <w:r>
        <w:t xml:space="preserve">The dissertation respects it enough to test it rather than wave it off. Should island-settlement staging carry over to lunar buildout, the carryover ought to be legible in how the written record sorts itself, because the comparison foretells a recognizable order. Ethnographic work on the labor of imagination among commercial-spaceflight communities in South Texas supplies a second, more skeptical thread</w:t>
      </w:r>
      <w:r>
        <w:t xml:space="preserve"> </w:t>
      </w:r>
      <w:hyperlink w:anchor="ref-11">
        <w:r>
          <w:rPr>
            <w:rStyle w:val="Hyperlink"/>
          </w:rPr>
          <w:t xml:space="preserve">[11]</w:t>
        </w:r>
      </w:hyperlink>
      <w:r>
        <w:t xml:space="preserve">, examining how the sense of a frontier is actively made and sustained, which raises the prospect that frontier tempo is partly a rhetorical build rather than a discovered fact. Between the archaeological template and the ethnographic critique sits the empirical question this dissertation resolves: does the record behave like a paced frontier, or like a manufactured story draped over an unpaced institutional reality?</w:t>
      </w:r>
    </w:p>
    <w:p>
      <w:pPr>
        <w:pStyle w:val="BodyText"/>
        <w:spacing w:line="480" w:lineRule="auto"/>
        <w:ind w:firstLine="720"/>
      </w:pPr>
      <w:r>
        <w:t xml:space="preserve">Design history adds a further warning. Reflections on early lunar base design, following the arc from sketch to the first landing, show that infrastructure concepts frequently ripen far ahead of the missions that would make them real</w:t>
      </w:r>
      <w:r>
        <w:t xml:space="preserve"> </w:t>
      </w:r>
      <w:hyperlink w:anchor="ref-14">
        <w:r>
          <w:rPr>
            <w:rStyle w:val="Hyperlink"/>
          </w:rPr>
          <w:t xml:space="preserve">[14]</w:t>
        </w:r>
      </w:hyperlink>
      <w:r>
        <w:t xml:space="preserve">. The notion of a base is old while its realization is young. Notions come cheap. Missions do not. That splitting of concept ripeness from realization ripeness is exactly what a naive frontier clock cannot render, and it recurs across the technical corpus.</w:t>
      </w:r>
    </w:p>
    <w:bookmarkEnd w:id="72"/>
    <w:bookmarkStart w:id="73" w:name="sustainability-and-the-widening-frame"/>
    <w:p>
      <w:pPr>
        <w:pStyle w:val="Heading2"/>
        <w:spacing w:line="480" w:lineRule="auto"/>
      </w:pPr>
      <w:r>
        <w:t xml:space="preserve">Sustainability and the widening frame</w:t>
      </w:r>
    </w:p>
    <w:p>
      <w:pPr>
        <w:pStyle w:val="FirstParagraph"/>
        <w:spacing w:line="480" w:lineRule="auto"/>
      </w:pPr>
      <w:r>
        <w:t xml:space="preserve">A newer thread stretches the frame from the mechanics of settlement out to sustainability and cultural stakes. Work at the crossing of space and sustainability presses for a transdisciplinary and bi-cultural stance, holding that buildout cannot be judged on engineering and economic terms alone</w:t>
      </w:r>
      <w:r>
        <w:t xml:space="preserve"> </w:t>
      </w:r>
      <w:hyperlink w:anchor="ref-15">
        <w:r>
          <w:rPr>
            <w:rStyle w:val="Hyperlink"/>
          </w:rPr>
          <w:t xml:space="preserve">[15]</w:t>
        </w:r>
      </w:hyperlink>
      <w:r>
        <w:t xml:space="preserve">. For tempo this matters because it swells the count of tiers that must ripen: if sustainability, indigenous standpoint, and cultural duty are real constraints rather than afterthoughts, buildout owns still more independent ripening curves, and the single-clock comparison sheds yet more credibility. The regolith-engineering writing, working up low-fidelity lunar analogues for large-scale trials, appends the material tier, showing the physical substrate of buildout to be its own live research frontier whose readiness cannot be presumed</w:t>
      </w:r>
      <w:r>
        <w:t xml:space="preserve"> </w:t>
      </w:r>
      <w:hyperlink w:anchor="ref-13">
        <w:r>
          <w:rPr>
            <w:rStyle w:val="Hyperlink"/>
          </w:rPr>
          <w:t xml:space="preserve">[13]</w:t>
        </w:r>
      </w:hyperlink>
      <w:r>
        <w:t xml:space="preserve">, and landing-gear development for surface probes carries the same lesson to the mechanics of arrival, where even setting down stays an unsolved engineering problem</w:t>
      </w:r>
      <w:r>
        <w:t xml:space="preserve"> </w:t>
      </w:r>
      <w:hyperlink w:anchor="ref-16">
        <w:r>
          <w:rPr>
            <w:rStyle w:val="Hyperlink"/>
          </w:rPr>
          <w:t xml:space="preserve">[16]</w:t>
        </w:r>
      </w:hyperlink>
      <w:r>
        <w:t xml:space="preserve">.</w:t>
      </w:r>
    </w:p>
    <w:bookmarkEnd w:id="73"/>
    <w:bookmarkStart w:id="74" w:name="the-bibliometric-tradition-as-method"/>
    <w:p>
      <w:pPr>
        <w:pStyle w:val="Heading2"/>
        <w:spacing w:line="480" w:lineRule="auto"/>
      </w:pPr>
      <w:r>
        <w:t xml:space="preserve">The bibliometric tradition as method</w:t>
      </w:r>
    </w:p>
    <w:p>
      <w:pPr>
        <w:pStyle w:val="FirstParagraph"/>
        <w:spacing w:line="480" w:lineRule="auto"/>
      </w:pPr>
      <w:r>
        <w:t xml:space="preserve">A fourth body furnishes the method rather than the subject. Bibliometric network analysis has served to chart where an entire research domain is heading, as in the survey of two decades of plant-space research through citation and co-authorship webs</w:t>
      </w:r>
      <w:r>
        <w:t xml:space="preserve"> </w:t>
      </w:r>
      <w:hyperlink w:anchor="ref-12">
        <w:r>
          <w:rPr>
            <w:rStyle w:val="Hyperlink"/>
          </w:rPr>
          <w:t xml:space="preserve">[12]</w:t>
        </w:r>
      </w:hyperlink>
      <w:r>
        <w:t xml:space="preserve">. That study proves the concept for the move this dissertation makes: read a corpus’s citation and outlet structure as evidence about the field, not merely as bookkeeping. If bibliometric structure can lay bare the trajectory of plant-space research, it can be aimed at the cislunar buildout corpus to ask whether that corpus owns the age-notice structure a frontier clock foretells.</w:t>
      </w:r>
    </w:p>
    <w:p>
      <w:pPr>
        <w:pStyle w:val="BodyText"/>
        <w:spacing w:line="480" w:lineRule="auto"/>
        <w:ind w:firstLine="720"/>
      </w:pPr>
      <w:r>
        <w:t xml:space="preserve">Commercial-scaling analysis seals the loop between bibliometrics and stakes. Analysis of the shift from new space to big space records how commercial activity can scale ahead of the safety and governance rules meant to rein it in</w:t>
      </w:r>
      <w:r>
        <w:t xml:space="preserve"> </w:t>
      </w:r>
      <w:hyperlink w:anchor="ref-9">
        <w:r>
          <w:rPr>
            <w:rStyle w:val="Hyperlink"/>
          </w:rPr>
          <w:t xml:space="preserve">[9]</w:t>
        </w:r>
      </w:hyperlink>
      <w:r>
        <w:t xml:space="preserve">. This is the empirical face of the frontier’s danger. Commerce vaults the rungs rather than mounting them, one more reason to expect the written record to shrug off a clean age ordering.</w:t>
      </w:r>
    </w:p>
    <w:bookmarkEnd w:id="74"/>
    <w:bookmarkStart w:id="75" w:name="the-gap-this-dissertation-fills"/>
    <w:p>
      <w:pPr>
        <w:pStyle w:val="Heading2"/>
        <w:spacing w:line="480" w:lineRule="auto"/>
      </w:pPr>
      <w:r>
        <w:t xml:space="preserve">The gap this dissertation fills</w:t>
      </w:r>
    </w:p>
    <w:p>
      <w:pPr>
        <w:pStyle w:val="FirstParagraph"/>
        <w:spacing w:line="480" w:lineRule="auto"/>
      </w:pPr>
      <w:r>
        <w:t xml:space="preserve">Reading across these bodies of writing turns up two gaps. The first opens between technical work and institutional explanation, since technical entries flag operational risk in the cislunar volume without themselves saying why governance language stiffens or stays slack, or in what turn the tiers ripen</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opens between policy salience and measurement, because citation notice, an article’s freshness, and outlet family plainly hold information about how a topic spreads across a corpus, yet that information is seldom turned into a direct, falsifiable trial of a tempo claim</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 earlier study, so far as the candidate has read, takes the frontier-tempo premise lodged in lunar buildout projections and puts it through a document-level bibliometric trial that prints its estimator output whole and dares rejection. The comparison writing asserts tempo, the technical writing implies tiered ripeness, and the bibliometric writing hands over a method not yet aimed this way. The dissertation aims it, asking whether the retrieved cislunar corpus is arranged by time and notice, the way a settlement clock foretells, and letting the figures reply. The chapters that follow raise the theory of that trial, its identification logic, and its data, so the result reported in Chapter 6 can be weighed against the record rather than swallowed on the strength of the comparison that prompted it</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75"/>
    <w:bookmarkStart w:id="76" w:name="Xeb3254fb5fbf4b409f730faaa986ae46aa75342"/>
    <w:p>
      <w:pPr>
        <w:pStyle w:val="Heading2"/>
        <w:spacing w:line="480" w:lineRule="auto"/>
      </w:pPr>
      <w:r>
        <w:t xml:space="preserve">How the four literatures speak past each other</w:t>
      </w:r>
    </w:p>
    <w:p>
      <w:pPr>
        <w:pStyle w:val="FirstParagraph"/>
        <w:spacing w:line="480" w:lineRule="auto"/>
      </w:pPr>
      <w:r>
        <w:t xml:space="preserve">It repays a pause to consider why these four bodies of work so rarely engage one another, since the disconnection is itself a finding about the field. The governance writing and the technical writing share a subject, the cislunar volume, yet they answer to unlike audiences and cite unlike foundations. A situational-awareness governance paper reasons about institutional transition and legal capacity, whereas a debris-drift paper reasons about orbital dynamics and buildup rates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two sketch the same physical frontier from vantage points that will not translate, and neither treats the other’s ripening curve as any part of its own problem. Less a flaw in either literature, this is a symptom of a field whose tiers ripen apart, which is exactly the pattern an outlet-structured account foretells and a frontier clock denies.</w:t>
      </w:r>
    </w:p>
    <w:p>
      <w:pPr>
        <w:pStyle w:val="BodyText"/>
        <w:spacing w:line="480" w:lineRule="auto"/>
        <w:ind w:firstLine="720"/>
      </w:pPr>
      <w:r>
        <w:t xml:space="preserve">The comparison writing sits further off still. Island-archaeology and ethnographic work reach into anthropology and history for their evidence, read by scholars who may never crack open a Poincare-search-map paper on cislunar detection</w:t>
      </w:r>
      <w:r>
        <w:t xml:space="preserve"> </w:t>
      </w:r>
      <w:hyperlink w:anchor="ref-7">
        <w:r>
          <w:rPr>
            <w:rStyle w:val="Hyperlink"/>
          </w:rPr>
          <w:t xml:space="preserve">[7]</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bibliometric habit, for its part, is methodologically sealed, the plant-space network study exhibiting a technique without pretending the technique settles any substantive space-development quarrel</w:t>
      </w:r>
      <w:r>
        <w:t xml:space="preserve"> </w:t>
      </w:r>
      <w:hyperlink w:anchor="ref-12">
        <w:r>
          <w:rPr>
            <w:rStyle w:val="Hyperlink"/>
          </w:rPr>
          <w:t xml:space="preserve">[12]</w:t>
        </w:r>
      </w:hyperlink>
      <w:r>
        <w:t xml:space="preserve">. Each body is coherent within and cut off without, and the consequence is that the frontier-tempo claim, which tacitly needs all four to line up along one timeline, has never been made to face the chance that the four do not line up whatsoever.</w:t>
      </w:r>
    </w:p>
    <w:p>
      <w:pPr>
        <w:pStyle w:val="BodyText"/>
        <w:spacing w:line="480" w:lineRule="auto"/>
        <w:ind w:firstLine="720"/>
      </w:pPr>
      <w:r>
        <w:t xml:space="preserve">The dissertation’s move is to treat that isolation as testable structure rather than as backdrop. Were the four bodies genuinely marching to a shared frontier clock, their citation and outlet signatures ought to converge; if instead they are layered by institutional seat, the outlet variable ought to dominate and the timeline ought to dissolve. Reading the literatures against one another, rather than in turn, is what sharpens the empirical question.</w:t>
      </w:r>
    </w:p>
    <w:bookmarkEnd w:id="76"/>
    <w:bookmarkStart w:id="77" w:name="X4ad3dbffa71ce995e958305f33035bec142b069"/>
    <w:p>
      <w:pPr>
        <w:pStyle w:val="Heading2"/>
        <w:spacing w:line="480" w:lineRule="auto"/>
      </w:pPr>
      <w:r>
        <w:t xml:space="preserve">Prior empirical treatments of pacing claims</w:t>
      </w:r>
    </w:p>
    <w:p>
      <w:pPr>
        <w:pStyle w:val="FirstParagraph"/>
        <w:spacing w:line="480" w:lineRule="auto"/>
      </w:pPr>
      <w:r>
        <w:t xml:space="preserve">A modest but instructive habit exists of holding tempo hunches to data, mostly beyond the lunar setting, and it frames the offering here. Bibliometric ripeness studies routinely recover learning-curve regularities from settled fields, where citation gathers on foundational work along a legible age curve</w:t>
      </w:r>
      <w:r>
        <w:t xml:space="preserve"> </w:t>
      </w:r>
      <w:hyperlink w:anchor="ref-12">
        <w:r>
          <w:rPr>
            <w:rStyle w:val="Hyperlink"/>
          </w:rPr>
          <w:t xml:space="preserve">[12]</w:t>
        </w:r>
      </w:hyperlink>
      <w:r>
        <w:t xml:space="preserve">. The presence of that regularity in mature domains is what renders its absence diagnostic, since were the cislunar buildout corpus a settled, paced field, it ought to resemble those domains under the same method. The learning-curve estimator is picked for exactly that reason: it would recover the regularity were it present.</w:t>
      </w:r>
    </w:p>
    <w:p>
      <w:pPr>
        <w:pStyle w:val="BodyText"/>
        <w:spacing w:line="480" w:lineRule="auto"/>
        <w:ind w:firstLine="720"/>
      </w:pPr>
      <w:r>
        <w:t xml:space="preserve">The commercial-scaling writing supplies the closest thing to a prior tempo trial within the space domain itself. Analysis of the turn from new space to big space records empirically that commercial activity outran the safety and governance rules meant to hold it, a direct sighting of a frontier that vaulted rungs rather than mounting them in order</w:t>
      </w:r>
      <w:r>
        <w:t xml:space="preserve"> </w:t>
      </w:r>
      <w:hyperlink w:anchor="ref-9">
        <w:r>
          <w:rPr>
            <w:rStyle w:val="Hyperlink"/>
          </w:rPr>
          <w:t xml:space="preserve">[9]</w:t>
        </w:r>
      </w:hyperlink>
      <w:r>
        <w:t xml:space="preserve">. That study framed itself as no test of frontier tempo, yet its finding is precisely the sort of out-of-order ripeness a settlement clock cannot render. The present dissertation widens that observation from the commercial tier to the whole retrieved corpus, and it does so with a method that prints its output whole rather than resting on story.</w:t>
      </w:r>
    </w:p>
    <w:p>
      <w:pPr>
        <w:pStyle w:val="BodyText"/>
        <w:spacing w:line="480" w:lineRule="auto"/>
        <w:ind w:firstLine="720"/>
      </w:pPr>
      <w:r>
        <w:t xml:space="preserve">Design-history and regolith-engineering work close the empirical frame from the material flank</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Both show concept ripeness and realization ripeness pulling apart, and pulling apart is the foe of any single clock. A dissertation gauging whether the written record carries a shared timing structure is thus inventing no question from nothing; it is consolidating a scattered set of observations, each pointing toward tiered rather than paced ripeness, into one falsifiable trial the field has not run before.</w:t>
      </w:r>
    </w:p>
    <w:bookmarkEnd w:id="77"/>
    <w:bookmarkStart w:id="78" w:name="the-frontier-metaphor-and-its-critics"/>
    <w:p>
      <w:pPr>
        <w:pStyle w:val="Heading2"/>
        <w:spacing w:line="480" w:lineRule="auto"/>
      </w:pPr>
      <w:r>
        <w:t xml:space="preserve">The frontier metaphor and its critics</w:t>
      </w:r>
    </w:p>
    <w:p>
      <w:pPr>
        <w:pStyle w:val="FirstParagraph"/>
        <w:spacing w:line="480" w:lineRule="auto"/>
      </w:pPr>
      <w:r>
        <w:t xml:space="preserve">The frontier metaphor owns a longer intellectual history than its space-domain use, and reading that history clarifies what a trial of it puts at stake. In terrestrial scholarship the frontier thesis has drawn repeated fire for squeezing a messy, contingent, often violent process of expansion into a clean developmental sequence. The ethnographic study of spaceflight communities inherits that critical lineage when it examines how the sense of a frontier is fabricated and sustained rather than merely found</w:t>
      </w:r>
      <w:r>
        <w:t xml:space="preserve"> </w:t>
      </w:r>
      <w:hyperlink w:anchor="ref-11">
        <w:r>
          <w:rPr>
            <w:rStyle w:val="Hyperlink"/>
          </w:rPr>
          <w:t xml:space="preserve">[11]</w:t>
        </w:r>
      </w:hyperlink>
      <w:r>
        <w:t xml:space="preserve">. The charge is not that frontiers fail to exist but that the tempo and order pinned to them are often imposed after the fact, a story laid over events that did not in truth unfold in the neat sequence the telling claims.</w:t>
      </w:r>
    </w:p>
    <w:p>
      <w:pPr>
        <w:pStyle w:val="BodyText"/>
        <w:spacing w:line="480" w:lineRule="auto"/>
        <w:ind w:firstLine="720"/>
      </w:pPr>
      <w:r>
        <w:t xml:space="preserve">Ported to the Moon, this charge generates a precise empirical expectation. If frontier tempo is partly a narrative imposition, the written record ought not to carry the clean age-ranked structure the narrative claims, because the narrative is a gloss and no description. The island-archaeology work pushes the other way, arguing for a genuine, recoverable regularity in how humans settle hostile settings, one that ought to carry over</w:t>
      </w:r>
      <w:r>
        <w:t xml:space="preserve"> </w:t>
      </w:r>
      <w:hyperlink w:anchor="ref-10">
        <w:r>
          <w:rPr>
            <w:rStyle w:val="Hyperlink"/>
          </w:rPr>
          <w:t xml:space="preserve">[10]</w:t>
        </w:r>
      </w:hyperlink>
      <w:r>
        <w:t xml:space="preserve">. The two threads of the comparison writing thus disagree with each other over whether frontier tempo is real or built, and that internal quarrel is what makes an empirical trial worth running rather than redundant, since the record can settle a dispute the comparison writing cannot settle from within.</w:t>
      </w:r>
    </w:p>
    <w:bookmarkEnd w:id="78"/>
    <w:bookmarkStart w:id="79" w:name="Xd72494225b55ad47be01f2dbc97d1cc16bd2672"/>
    <w:p>
      <w:pPr>
        <w:pStyle w:val="Heading2"/>
        <w:spacing w:line="480" w:lineRule="auto"/>
      </w:pPr>
      <w:r>
        <w:t xml:space="preserve">Situating the bibliometric method among alternatives</w:t>
      </w:r>
    </w:p>
    <w:p>
      <w:pPr>
        <w:pStyle w:val="FirstParagraph"/>
        <w:spacing w:line="480" w:lineRule="auto"/>
      </w:pPr>
      <w:r>
        <w:t xml:space="preserve">A justification of method is owed here. Reaching for a bibliometric method over a content-analytic or survey method deserves defending against those alternatives, because each would answer a slightly different question. A content analysis hand-coding each source’s engagement with frontier tempo would yield a richer outcome measure, yet it would inject coder subjectivity and shatter the deterministic repeatability the pipeline setting prizes. A survey of domain experts on buildout tempo would capture beliefs, but beliefs about tempo are exactly the rhetorical tier the ethnographic critique warns against taking as fact</w:t>
      </w:r>
      <w:r>
        <w:t xml:space="preserve"> </w:t>
      </w:r>
      <w:hyperlink w:anchor="ref-11">
        <w:r>
          <w:rPr>
            <w:rStyle w:val="Hyperlink"/>
          </w:rPr>
          <w:t xml:space="preserve">[11]</w:t>
        </w:r>
      </w:hyperlink>
      <w:r>
        <w:t xml:space="preserve">. The bibliometric route, by contrast, gauges how the field’s own output is arranged, apart from what any single person believes about it.</w:t>
      </w:r>
    </w:p>
    <w:p>
      <w:pPr>
        <w:pStyle w:val="BodyText"/>
        <w:spacing w:line="480" w:lineRule="auto"/>
        <w:ind w:firstLine="720"/>
      </w:pPr>
      <w:r>
        <w:t xml:space="preserve">The plant-space network study is the proof that this route can recover real structure from a corpus, charting a research domain’s trajectory through its citation and co-authorship patterns</w:t>
      </w:r>
      <w:r>
        <w:t xml:space="preserve"> </w:t>
      </w:r>
      <w:hyperlink w:anchor="ref-12">
        <w:r>
          <w:rPr>
            <w:rStyle w:val="Hyperlink"/>
          </w:rPr>
          <w:t xml:space="preserve">[12]</w:t>
        </w:r>
      </w:hyperlink>
      <w:r>
        <w:t xml:space="preserve">. Its success in a biological subfield is what licenses the carryover to cislunar buildout. The commercial-scaling analysis rounds it out by showing the field’s substantive dynamics, commerce outrunning governance, to be the kind of out-of-order pattern a bibliometric structure would register as outlet dispersion rather than age ordering</w:t>
      </w:r>
      <w:r>
        <w:t xml:space="preserve"> </w:t>
      </w:r>
      <w:hyperlink w:anchor="ref-9">
        <w:r>
          <w:rPr>
            <w:rStyle w:val="Hyperlink"/>
          </w:rPr>
          <w:t xml:space="preserve">[9]</w:t>
        </w:r>
      </w:hyperlink>
      <w:r>
        <w:t xml:space="preserve">. Reaching for the bibliometric method is thus no default; it is the method whose output speaks most straight to whether the record is paced or layered, and whose repeatability matches the auditable-chain ambition that the technical and governance literatures, read together, show the field to need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A theory pays its way by saying what to look for and by being wrong in a manner you could catch. A forecast is the toll. This chapter constructs the mechanism joining a frontier-tempo hunch to observable traits of a written record, then posts the forecasts that mechanism entails. The forecasts are signed and definite, so that should the record cross them, the theory prompting the whole study is falsified at the level of documents, and the dissertation says as much.</w:t>
      </w:r>
    </w:p>
    <w:bookmarkStart w:id="81" w:name="Xb1fb837207e36290859432c4756f158ebf90ccf"/>
    <w:p>
      <w:pPr>
        <w:pStyle w:val="Heading2"/>
        <w:spacing w:line="480" w:lineRule="auto"/>
      </w:pPr>
      <w:r>
        <w:t xml:space="preserve">From frontier analogy to a testable mechanism</w:t>
      </w:r>
    </w:p>
    <w:p>
      <w:pPr>
        <w:pStyle w:val="FirstParagraph"/>
        <w:spacing w:line="480" w:lineRule="auto"/>
      </w:pPr>
      <w:r>
        <w:t xml:space="preserve">Start with the comparison at full strength. A frontier, on the settlement-sequence reading, ripens through a recognizable run of operations: reconnaissance, then a toehold, then enabling hardware, then commerce, then the institutions that steward the whole. Island archaeology tenders that run as an empirical regularity culled from the human record of pushing into hostile settings</w:t>
      </w:r>
      <w:r>
        <w:t xml:space="preserve"> </w:t>
      </w:r>
      <w:hyperlink w:anchor="ref-10">
        <w:r>
          <w:rPr>
            <w:rStyle w:val="Hyperlink"/>
          </w:rPr>
          <w:t xml:space="preserve">[10]</w:t>
        </w:r>
      </w:hyperlink>
      <w:r>
        <w:t xml:space="preserve">. The comparison’s tacit pledge is that lunar buildout will trace the same run at a clip brisk enough to warrant present commitment.</w:t>
      </w:r>
    </w:p>
    <w:p>
      <w:pPr>
        <w:pStyle w:val="BodyText"/>
        <w:spacing w:line="480" w:lineRule="auto"/>
        <w:ind w:firstLine="720"/>
      </w:pPr>
      <w:r>
        <w:t xml:space="preserve">Recast that pledge as a claim about documents. Should buildout obey a frontier clock, the research writing that tracks buildout ought to be paced in kind, each stage of the run spawning its own swell of work, and later stages, nearer to realization, spawning the newest and most-cited work. The corpus turns into a stratigraphy, aged governance-and-reconnaissance work lying at the base, recent commerce-and-settlement work atop it, notice accruing on the newer beds as the field’s balance point climbs the staircase. That is the mechanism the comparison foretells, and it admits of measurement.</w:t>
      </w:r>
    </w:p>
    <w:p>
      <w:pPr>
        <w:pStyle w:val="BodyText"/>
        <w:spacing w:line="480" w:lineRule="auto"/>
        <w:ind w:firstLine="720"/>
      </w:pPr>
      <w:r>
        <w:t xml:space="preserve">The mechanism runs through three observable channels. The first is freshness: if buildout is quickening along a frontier curve, the sharpest thematic pull ought to fasten to the newest work, since that is where the live frontier resides. The second is notice: citation ought to gather on the beds the field currently deems load-bearing, and if the frontier is pressing forward, notice ought to trail its leading edge. The third is age-graded buildup, for in a ripening field with a steady frontier clock, citations ought to gather along a foreseeable curve as articles age, throwing off the sort of learning-curve regularity bibliometric analysis routinely recovers from settled domains</w:t>
      </w:r>
      <w:r>
        <w:t xml:space="preserve"> </w:t>
      </w:r>
      <w:hyperlink w:anchor="ref-12">
        <w:r>
          <w:rPr>
            <w:rStyle w:val="Hyperlink"/>
          </w:rPr>
          <w:t xml:space="preserve">[12]</w:t>
        </w:r>
      </w:hyperlink>
      <w:r>
        <w:t xml:space="preserve">.</w:t>
      </w:r>
    </w:p>
    <w:bookmarkEnd w:id="81"/>
    <w:bookmarkStart w:id="82" w:name="Xbe96291b12cf337870902c690b1fdc8110a9d51"/>
    <w:p>
      <w:pPr>
        <w:pStyle w:val="Heading2"/>
        <w:spacing w:line="480" w:lineRule="auto"/>
      </w:pPr>
      <w:r>
        <w:t xml:space="preserve">The competing mechanism: institutional stratification</w:t>
      </w:r>
    </w:p>
    <w:p>
      <w:pPr>
        <w:pStyle w:val="FirstParagraph"/>
        <w:spacing w:line="480" w:lineRule="auto"/>
      </w:pPr>
      <w:r>
        <w:t xml:space="preserve">Facing the frontier clock stands an unlike account of how the cislunar corpus is arranged, which I will name institutional stratification. On this account, the reigning structure in the record is not time but outlet, the institutional and disciplinary seat of a source. Governance-transition scholarship hints at why. If space situational awareness is undergoing a revolution and no orderly evolution, then pledges and notice land in fits, out of turn with technical readiness</w:t>
      </w:r>
      <w:r>
        <w:t xml:space="preserve"> </w:t>
      </w:r>
      <w:hyperlink w:anchor="ref-1">
        <w:r>
          <w:rPr>
            <w:rStyle w:val="Hyperlink"/>
          </w:rPr>
          <w:t xml:space="preserve">[1]</w:t>
        </w:r>
      </w:hyperlink>
      <w:r>
        <w:t xml:space="preserve">, and the record would then be arranged by where work is done, across the applied conference world, the peer-reviewed journal world, the policy-and-economy world, rather than by when it was done.</w:t>
      </w:r>
    </w:p>
    <w:p>
      <w:pPr>
        <w:pStyle w:val="BodyText"/>
        <w:spacing w:line="480" w:lineRule="auto"/>
        <w:ind w:firstLine="720"/>
      </w:pPr>
      <w:r>
        <w:t xml:space="preserve">Institutional stratification carries a concrete forecast the frontier clock lacks. Outlet family ought to bear a strong, sharp tie to thematic pull, since unlike institutional seats pose unlike questions and fasten the frontier-tempo theme to their sources at systematically unlike rates. A conference outlet fixed on space surveillance will register the theme differently than an economics-and-policy outlet, and the difference will hold steady and legible even after conditioning on freshness and notice. The debris-law writing bolsters the plausibility of this mechanism, since legal duty gathers as an unbroken institutional pressure rather than as a tardy frontier stage, which is exactly the kind of pattern that would surface as outlet structure and not time structure</w:t>
      </w:r>
      <w:r>
        <w:t xml:space="preserve"> </w:t>
      </w:r>
      <w:hyperlink w:anchor="ref-3">
        <w:r>
          <w:rPr>
            <w:rStyle w:val="Hyperlink"/>
          </w:rPr>
          <w:t xml:space="preserve">[3]</w:t>
        </w:r>
      </w:hyperlink>
      <w:r>
        <w:t xml:space="preserve">.</w:t>
      </w:r>
    </w:p>
    <w:p>
      <w:pPr>
        <w:pStyle w:val="BodyText"/>
        <w:spacing w:line="480" w:lineRule="auto"/>
        <w:ind w:firstLine="720"/>
      </w:pPr>
      <w:r>
        <w:t xml:space="preserve">These two mechanisms are not exclusive in principle, and a field might in fact be arranged by both time and outlet together. The data decide. They decide which dominates. The empirical question is which structure reigns, and whether the time structure the frontier clock demands is present whatsoever, so the design is built so the two mechanisms post different, checkable forecasts.</w:t>
      </w:r>
    </w:p>
    <w:bookmarkEnd w:id="82"/>
    <w:bookmarkStart w:id="83" w:name="hypotheses"/>
    <w:p>
      <w:pPr>
        <w:pStyle w:val="Heading2"/>
        <w:spacing w:line="480" w:lineRule="auto"/>
      </w:pPr>
      <w:r>
        <w:t xml:space="preserve">Hypotheses</w:t>
      </w:r>
    </w:p>
    <w:p>
      <w:pPr>
        <w:pStyle w:val="FirstParagraph"/>
        <w:spacing w:line="480" w:lineRule="auto"/>
      </w:pPr>
      <w:r>
        <w:t xml:space="preserve">The dissertation posts its hypotheses at the level of documents, in the terms the retrieved corpus can back, and two workbooks put them to trial. The first is a cross-sectional model of thematic-pull intensity; the second is a learning-curve model of citation buildup by an article’s age.</w:t>
      </w:r>
    </w:p>
    <w:p>
      <w:pPr>
        <w:pStyle w:val="BodyText"/>
        <w:spacing w:line="480" w:lineRule="auto"/>
        <w:ind w:firstLine="720"/>
      </w:pPr>
      <w:r>
        <w:t xml:space="preserve">For the first workbook, the composite null and its alternative run:</w:t>
      </w:r>
    </w:p>
    <w:p>
      <w:pPr>
        <w:pStyle w:val="BodyText"/>
        <w:spacing w:line="480" w:lineRule="auto"/>
        <w:ind w:firstLine="720"/>
      </w:pPr>
      <w:r>
        <w:t xml:space="preserve">H1-0: the topic-signal score is unrelated to publication recency, citation attention, and venue family.</w:t>
      </w:r>
    </w:p>
    <w:p>
      <w:pPr>
        <w:pStyle w:val="BodyText"/>
        <w:spacing w:line="480" w:lineRule="auto"/>
        <w:ind w:firstLine="720"/>
      </w:pPr>
      <w:r>
        <w:t xml:space="preserve">H1-A: the topic-signal score is systematically related to at least one of publication recency, citation attention, and venue family.</w:t>
      </w:r>
    </w:p>
    <w:p>
      <w:pPr>
        <w:pStyle w:val="BodyText"/>
        <w:spacing w:line="480" w:lineRule="auto"/>
        <w:ind w:firstLine="720"/>
      </w:pPr>
      <w:r>
        <w:t xml:space="preserve">The frontier clock and institutional stratification post different signed forecasts inside H1-A, and telling them apart is the whole point. Under the frontier clock, the freshness coefficient ought to run positive and sharp, since the live frontier resides in recent work, and the citation coefficient ought to run positive and sharp, since notice trails the advancing edge. Under institutional stratification, the outlet coefficient ought to be the sharp one, and freshness and notice may run weak or unsteady once outlet is pinned. The sign of the outlet coefficient carries its own information: should thematic pull fall as outlet slides from the applied conference family toward the policy-and-economy family, that tells us the frontier theme concentrates in the applied technical world rather than in the commercial-and-settlement discourse the comparison spotlights.</w:t>
      </w:r>
    </w:p>
    <w:p>
      <w:pPr>
        <w:pStyle w:val="BodyText"/>
        <w:spacing w:line="480" w:lineRule="auto"/>
        <w:ind w:firstLine="720"/>
      </w:pPr>
      <w:r>
        <w:t xml:space="preserve">For the second workbook, the null and its alternative bear on the shape of notice over time:</w:t>
      </w:r>
    </w:p>
    <w:p>
      <w:pPr>
        <w:pStyle w:val="BodyText"/>
        <w:spacing w:line="480" w:lineRule="auto"/>
        <w:ind w:firstLine="720"/>
      </w:pPr>
      <w:r>
        <w:t xml:space="preserve">H2-0: citation accumulation is unrelated to article age in the retrieved corpus.</w:t>
      </w:r>
    </w:p>
    <w:p>
      <w:pPr>
        <w:pStyle w:val="BodyText"/>
        <w:spacing w:line="480" w:lineRule="auto"/>
        <w:ind w:firstLine="720"/>
      </w:pPr>
      <w:r>
        <w:t xml:space="preserve">H2-A: citation accumulation follows a measurable age-based curve, such that the elasticity of citations with respect to age is precisely estimated and consistent with a maturing field.</w:t>
      </w:r>
    </w:p>
    <w:p>
      <w:pPr>
        <w:pStyle w:val="BodyText"/>
        <w:spacing w:line="480" w:lineRule="auto"/>
        <w:ind w:firstLine="720"/>
      </w:pPr>
      <w:r>
        <w:t xml:space="preserve">The frontier clock foretells H2-A with a positive age elasticity, older beds, having had more time and being foundational, gathering more citations, and the buildup drawing a steady curve. A field lacking a working frontier clock foretells H2-0, where age accounts for little or nothing and the elasticity runs near zero and unsharp. This is the keenest single trial in the dissertation, since a genuine settlement-clock comparison cannot outlast an age term that carries no information.</w:t>
      </w:r>
    </w:p>
    <w:bookmarkEnd w:id="83"/>
    <w:bookmarkStart w:id="84" w:name="what-each-outcome-would-mean"/>
    <w:p>
      <w:pPr>
        <w:pStyle w:val="Heading2"/>
        <w:spacing w:line="480" w:lineRule="auto"/>
      </w:pPr>
      <w:r>
        <w:t xml:space="preserve">What each outcome would mean</w:t>
      </w:r>
    </w:p>
    <w:p>
      <w:pPr>
        <w:pStyle w:val="FirstParagraph"/>
        <w:spacing w:line="480" w:lineRule="auto"/>
      </w:pPr>
      <w:r>
        <w:t xml:space="preserve">Setting the readings out ahead of time disciplines how one reads Chapter 6. Suppose the freshness and citation coefficients returned positive and sharp, and the age elasticity returned positive and sharp. That joint pattern would back the frontier clock: the corpus would be paced, notice would trail the advancing edge, and a buildout projection borrowing a settlement schedule would hold document-level warrant.</w:t>
      </w:r>
    </w:p>
    <w:p>
      <w:pPr>
        <w:pStyle w:val="BodyText"/>
        <w:spacing w:line="480" w:lineRule="auto"/>
        <w:ind w:firstLine="720"/>
      </w:pPr>
      <w:r>
        <w:t xml:space="preserve">Suppose instead that outlet family bore the sharp tie while freshness and notice did not, and that the age elasticity ran near zero and unsharp. That joint pattern would back institutional stratification and topple the frontier clock at the level of documents. The corpus would be arranged by institutional seat rather than by time, and a buildout projection presuming one settlement clock would lean on a structure the record lacks. Detection work in the cislunar volume, resilient networking, and commercial-scaling analysis could all reside in the corpus without forming an age-ranked staircase, which is what an outlet-structured field looks like</w:t>
      </w:r>
      <w:r>
        <w:t xml:space="preserve"> </w:t>
      </w:r>
      <w:hyperlink w:anchor="ref-7">
        <w:r>
          <w:rPr>
            <w:rStyle w:val="Hyperlink"/>
          </w:rPr>
          <w:t xml:space="preserve">[7]</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mixed outcome is likewise possible and is provided for. A partial topple of a null, one structural trait bearing signal and the rest mute, is no stumble of the design but a finding about which tier of structure the record in fact backs. The theory is built so a partial topple informs rather than embarrasses.</w:t>
      </w:r>
    </w:p>
    <w:bookmarkEnd w:id="84"/>
    <w:bookmarkStart w:id="85" w:name="auxiliary-assumptions-and-their-exposure"/>
    <w:p>
      <w:pPr>
        <w:pStyle w:val="Heading2"/>
        <w:spacing w:line="480" w:lineRule="auto"/>
      </w:pPr>
      <w:r>
        <w:t xml:space="preserve">Auxiliary assumptions and their exposure</w:t>
      </w:r>
    </w:p>
    <w:p>
      <w:pPr>
        <w:pStyle w:val="FirstParagraph"/>
        <w:spacing w:line="480" w:lineRule="auto"/>
      </w:pPr>
      <w:r>
        <w:t xml:space="preserve">Every document-level trial rests on auxiliary assumptions, and candor demands naming the ones that could break the inference. The first is that the composite thematic-pull number is a faithful stand-in for how hard a source engages the frontier-tempo theme; a noisy stand-in would shrink ties toward zero, biasing the design against finding any structure whatsoever. The second is that outlet family, coded on a rank, captures a real institutional gradient rather than an arbitrary ranking, since a false order imposed by the rank coding could make the outlet coefficient an artifact. The third is that citation tallies from the local index trail genuine notice, at least on a rank, rather than indexing quirks, and sensor-analytics and networking research on data dependability is a handy reminder that index figures are themselves engineered artifacts with failure modes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assumptions are not lethal, though they are load-bearing, and Chapter 7 returns to each. Naming them here, ahead of the results, is what lets the reader treat Chapter 6 as a trial and no demonstration. The mechanism forecasts, the workbooks gauge, the auxiliary assumptions lie exposed. Should the forecasts fail, the theory that lunar buildout paces like a terrestrial frontier sheds its document-level backing, and the dissertation reports the loss flatly rather than salvaging the comparison with after-the-fact tinkering</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85"/>
    <w:bookmarkStart w:id="86" w:name="X66367621db8d540c8cd767bf7542677d105ca7a"/>
    <w:p>
      <w:pPr>
        <w:pStyle w:val="Heading2"/>
        <w:spacing w:line="480" w:lineRule="auto"/>
      </w:pPr>
      <w:r>
        <w:t xml:space="preserve">The micro-foundations of the venue channel</w:t>
      </w:r>
    </w:p>
    <w:p>
      <w:pPr>
        <w:pStyle w:val="FirstParagraph"/>
        <w:spacing w:line="480" w:lineRule="auto"/>
      </w:pPr>
      <w:r>
        <w:t xml:space="preserve">An outlet channel merits a fuller mechanism, since a coefficient bereft of a story is just a correlation. Why would institutional seat arrange thematic pull more forcefully than time? The answer travels through the incentives and conventions of each outlet family. Applied space-surveillance conferences reward work that grapples with operational awareness problems head on, so their sources drench their metadata in the sensing, detection, and debris terms the thematic-pull stand-in tallies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frontier theme, in its technical guise, is native to that outlet and shows up thickly. A peer-reviewed journal in the same field parcels its notice across a broader scientific span, from regolith mechanics to base design to sustainability, so any lone theme is diluted across a wider agenda</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A policy-and-economy outlet frames development in strategic and commercial vocabulary that overlaps least with the tallied technical terms, so the gauged signal thins further</w:t>
      </w:r>
      <w:r>
        <w:t xml:space="preserve"> </w:t>
      </w:r>
      <w:hyperlink w:anchor="ref-9">
        <w:r>
          <w:rPr>
            <w:rStyle w:val="Hyperlink"/>
          </w:rPr>
          <w:t xml:space="preserve">[9]</w:t>
        </w:r>
      </w:hyperlink>
      <w:r>
        <w:t xml:space="preserve">.</w:t>
      </w:r>
    </w:p>
    <w:p>
      <w:pPr>
        <w:pStyle w:val="BodyText"/>
        <w:spacing w:line="480" w:lineRule="auto"/>
        <w:ind w:firstLine="720"/>
      </w:pPr>
      <w:r>
        <w:t xml:space="preserve">This is a mechanism about how disciplines write, not about how the world is built. It foretells a monotone outlet gradient in thematic pull, and it foretells the gradient’s heading: signal ought to run highest in the applied technical family and lowest in the policy family. The forecast is falsifiable, since were the outlet coefficient to return near zero, or positive, the mechanism would be wrong, and the field would have to be described some other way. Posting the outlet mechanism at this grain is what turns an outlet coefficient from a nuisance control into a substantive trial of institutional stratification.</w:t>
      </w:r>
    </w:p>
    <w:bookmarkEnd w:id="86"/>
    <w:bookmarkStart w:id="87" w:name="X4cfa8068cafba5c9eca4f1bbd5054b1e67209a6"/>
    <w:p>
      <w:pPr>
        <w:pStyle w:val="Heading2"/>
        <w:spacing w:line="480" w:lineRule="auto"/>
      </w:pPr>
      <w:r>
        <w:t xml:space="preserve">Why time could fail to organize the record</w:t>
      </w:r>
    </w:p>
    <w:p>
      <w:pPr>
        <w:pStyle w:val="FirstParagraph"/>
        <w:spacing w:line="480" w:lineRule="auto"/>
      </w:pPr>
      <w:r>
        <w:t xml:space="preserve">A symmetric question asks why the time channels might bear no signal even in a genuinely live field, and two reasons flow from the technical writing. The first is concept-realization splitting. Lunar base design shows ideas ripening decades ahead of the missions that realize them, so recent publication does not trail a recent frontier; a 2022 reflection on early base design engages concepts sketched long before</w:t>
      </w:r>
      <w:r>
        <w:t xml:space="preserve"> </w:t>
      </w:r>
      <w:hyperlink w:anchor="ref-14">
        <w:r>
          <w:rPr>
            <w:rStyle w:val="Hyperlink"/>
          </w:rPr>
          <w:t xml:space="preserve">[14]</w:t>
        </w:r>
      </w:hyperlink>
      <w:r>
        <w:t xml:space="preserve">, and freshness and frontier position come apart. The second is the out-of-turn arrival of institutional pressure. Debris law gathers unbroken rather than at a tardy stage, so legal-governance work does not cluster at any single point on a settlement timeline</w:t>
      </w:r>
      <w:r>
        <w:t xml:space="preserve"> </w:t>
      </w:r>
      <w:hyperlink w:anchor="ref-3">
        <w:r>
          <w:rPr>
            <w:rStyle w:val="Hyperlink"/>
          </w:rPr>
          <w:t xml:space="preserve">[3]</w:t>
        </w:r>
      </w:hyperlink>
      <w:r>
        <w:t xml:space="preserve"> </w:t>
      </w:r>
      <w:hyperlink w:anchor="ref-4">
        <w:r>
          <w:rPr>
            <w:rStyle w:val="Hyperlink"/>
          </w:rPr>
          <w:t xml:space="preserve">[4]</w:t>
        </w:r>
      </w:hyperlink>
      <w:r>
        <w:t xml:space="preserve">. When the substantive tiers fail to line up in time, the freshness coefficient has nothing to grip.</w:t>
      </w:r>
    </w:p>
    <w:p>
      <w:pPr>
        <w:pStyle w:val="BodyText"/>
        <w:spacing w:line="480" w:lineRule="auto"/>
        <w:ind w:firstLine="720"/>
      </w:pPr>
      <w:r>
        <w:t xml:space="preserve">The learning-curve forecast keens the same logic. A field acquires an age-notice curve when its foundational work stays stable and gets cited steadily by newer work, so citations gather on older beds along a foreseeable path</w:t>
      </w:r>
      <w:r>
        <w:t xml:space="preserve"> </w:t>
      </w:r>
      <w:hyperlink w:anchor="ref-12">
        <w:r>
          <w:rPr>
            <w:rStyle w:val="Hyperlink"/>
          </w:rPr>
          <w:t xml:space="preserve">[12]</w:t>
        </w:r>
      </w:hyperlink>
      <w:r>
        <w:t xml:space="preserve">. The cislunar buildout writing spans outlets that cite unlike foundations, so no shared foundational bed exists for notice to gather on. The theory accordingly foretells a near-zero, unsharp age elasticity, and it says ahead of time that finding one would be evidence for institutional stratification rather than a bare null result. The forecasts lie fully out so the results chapter can be read as a verdict on them, and not as a fishing trip that netted whatever it netted</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7"/>
    <w:bookmarkStart w:id="88" w:name="layers-as-the-unit-of-maturity"/>
    <w:p>
      <w:pPr>
        <w:pStyle w:val="Heading2"/>
        <w:spacing w:line="480" w:lineRule="auto"/>
      </w:pPr>
      <w:r>
        <w:t xml:space="preserve">Layers as the unit of maturity</w:t>
      </w:r>
    </w:p>
    <w:p>
      <w:pPr>
        <w:pStyle w:val="FirstParagraph"/>
        <w:spacing w:line="480" w:lineRule="auto"/>
      </w:pPr>
      <w:r>
        <w:t xml:space="preserve">The theory’s deepest commitment is that the right unit of ripeness for lunar buildout is the tier, not the frontier. A tier is a functional domain with its own research community, its own foundational problems, and its own readiness trajectory: governance is a tier, sensing is a tier, debris management is a tier, network resilience is a tier, commercial scaling is a tier</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The frontier clock presumes these tiers are rungs on one ladder, mounted in order, while the stratification account holds them to be parallel tracks, each pressing forward at its own rate, coupled loosely if whatsoever. The empirical trial is, at root, a trial of which picture the written record backs.</w:t>
      </w:r>
    </w:p>
    <w:p>
      <w:pPr>
        <w:pStyle w:val="BodyText"/>
        <w:spacing w:line="480" w:lineRule="auto"/>
        <w:ind w:firstLine="720"/>
      </w:pPr>
      <w:r>
        <w:t xml:space="preserve">This parallel-track picture owns a clear observable upshot the design exploits. If tiers press forward apart, then the outlet families housing them will bear the topic theme at systematically unlike, steady rates, and no lone time variable will order the whole corpus, since the tracks run unsynchronized. That is exactly the joint pattern the hypotheses formalize, a sharp outlet coefficient and mute time channels. The tier as the unit of ripeness is no vague leaning; it spawns the definite signed forecasts the workbooks put to trial, which is what earns it a seat in the theory rather than the discussion.</w:t>
      </w:r>
    </w:p>
    <w:bookmarkEnd w:id="88"/>
    <w:bookmarkStart w:id="89" w:name="Xae0e7fe7bb79790e7202166d1ccb3cc004fd3ff"/>
    <w:p>
      <w:pPr>
        <w:pStyle w:val="Heading2"/>
        <w:spacing w:line="480" w:lineRule="auto"/>
      </w:pPr>
      <w:r>
        <w:t xml:space="preserve">Consequences for how projections should reason</w:t>
      </w:r>
    </w:p>
    <w:p>
      <w:pPr>
        <w:pStyle w:val="FirstParagraph"/>
        <w:spacing w:line="480" w:lineRule="auto"/>
      </w:pPr>
      <w:r>
        <w:t xml:space="preserve">Should the tier picture hold, it alters how a responsible buildout projection ought to be built, and posting that upshot ahead of time keeps the later policy discussion moored to the theory. A projection built on a frontier clock reasons by sequence, naming the current stage so the schedule follows from the ladder; a projection built on the tier picture reasons by readiness, judging each tier’s ripeness apart, marking which tiers gate the rest, and letting the schedule emerge from the slowest binding tier rather than from a presumed order. The debris-law writing already reasons this way tacitly, treating legal duty as an unbroken pressure that binds whatever stage the settlement narrative claims to have reached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is why the theory matters beyond the immediate hypothesis trial. A document-level finding that the record is layered rather than paced is also an argument for an unlike mode of projection, one that prices tiers rather than stages. The lunar base design writing supplies the cautionary case: a projection treating base construction as one frontier stage would have been wrong for decades, since the concept ripened long before any realizing mission, and the gate was never the concept but the launch and surface capability beneath it</w:t>
      </w:r>
      <w:r>
        <w:t xml:space="preserve"> </w:t>
      </w:r>
      <w:hyperlink w:anchor="ref-14">
        <w:r>
          <w:rPr>
            <w:rStyle w:val="Hyperlink"/>
          </w:rPr>
          <w:t xml:space="preserve">[14]</w:t>
        </w:r>
      </w:hyperlink>
      <w:r>
        <w:t xml:space="preserve">. The theory foretells the record will show stratification, and the discussion, later, will draw out what reasoning by tiers rather than stages would mean for how the field plans; both rest on the same mechanism, posted here so the reader can hold the design to account against it</w:t>
      </w:r>
      <w:r>
        <w:t xml:space="preserve"> </w:t>
      </w:r>
      <w:hyperlink w:anchor="ref-8">
        <w:r>
          <w:rPr>
            <w:rStyle w:val="Hyperlink"/>
          </w:rPr>
          <w:t xml:space="preserve">[8]</w:t>
        </w:r>
      </w:hyperlink>
      <w:r>
        <w:t xml:space="preserve"> </w:t>
      </w:r>
      <w:hyperlink w:anchor="ref-12">
        <w:r>
          <w:rPr>
            <w:rStyle w:val="Hyperlink"/>
          </w:rPr>
          <w:t xml:space="preserve">[12]</w:t>
        </w:r>
      </w:hyperlink>
      <w:r>
        <w:t xml:space="preserve">.</w:t>
      </w:r>
    </w:p>
    <w:bookmarkEnd w:id="89"/>
    <w:bookmarkStart w:id="90" w:name="falsifiability-stated-as-a-bet"/>
    <w:p>
      <w:pPr>
        <w:pStyle w:val="Heading2"/>
        <w:spacing w:line="480" w:lineRule="auto"/>
      </w:pPr>
      <w:r>
        <w:t xml:space="preserve">Falsifiability, stated as a bet</w:t>
      </w:r>
    </w:p>
    <w:p>
      <w:pPr>
        <w:pStyle w:val="FirstParagraph"/>
        <w:spacing w:line="480" w:lineRule="auto"/>
      </w:pPr>
      <w:r>
        <w:t xml:space="preserve">A theory is only as serious as the outcome it would grant as defeat, so it repays stating the losing condition as a flat wager. The frontier clock wins if freshness bears a positive sharp coefficient, citation notice bears a positive sharp coefficient, and the age elasticity runs positive and sharp. Institutional stratification wins if outlet bears the sharp coefficient while freshness and notice fall mute, and the age elasticity runs near zero and unsharp. These are not agreeable outcomes dressed to look apart; they are opposite forecasts on the same three quantities, so whichever the workbooks return, one account is corroborated and the other refuted at the level of documents. Naming the wager ahead of time is what keeps the results from being narrated after the fact into whatever story suits, and it is why the theory chapter runs before the data rather than behind it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wager likewise disciplines the reading of a mixed outcome, the likeliest one given the technical writing’s hints. Suppose outlet wins on sharpness while the age elasticity runs flat, but the citation coefficient runs positive though shy of significance. The pre-posted wager tells the reader how to score this: outlet backs stratification decisively, the flat age elasticity refutes the frontier clock’s central forecast, and the near-miss citation coefficient runs too weak to rescue the clock. A theory that had committed to no signed forecasts could spin the positive citation coefficient into partial backing for tempo, and the committed theory cannot, since it said ahead of time that a channel shy of significance is no evidence for the clock. This is the discipline dividing a genuine trial from a pliable narrative, and the sustainability and commercial-scaling literatures, which record a field yanked many directions at once, are exactly why a mixed outcome must be scored by rule rather than by taste</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90"/>
    <w:bookmarkEnd w:id="91"/>
    <w:bookmarkStart w:id="104" w:name="X940caaf6d3ac92c12a69529db0381ad3e868d7e"/>
    <w:p>
      <w:pPr>
        <w:pStyle w:val="Heading1"/>
        <w:spacing w:line="480" w:lineRule="auto"/>
      </w:pPr>
      <w:r>
        <w:t xml:space="preserve">Chapter 4. Methodology and Identification</w:t>
      </w:r>
    </w:p>
    <w:p>
      <w:pPr>
        <w:pStyle w:val="FirstParagraph"/>
        <w:spacing w:line="480" w:lineRule="auto"/>
      </w:pPr>
      <w:r>
        <w:t xml:space="preserve">Because the question lives at the level of documents, the method has to live there too, fitted to the claim it puts to trial. This chapter lays out the two estimators the dissertation employs, says why each suits the forecast it tests, and marks with care what each can and cannot pin down. The aim is not statistical flourish for its own sake but a see-through path from a retrieved body of literature to a signed, checkable result.</w:t>
      </w:r>
    </w:p>
    <w:bookmarkStart w:id="92" w:name="X7047826dde8b60d5cc15918b4064285fe4d2fe9"/>
    <w:p>
      <w:pPr>
        <w:pStyle w:val="Heading2"/>
        <w:spacing w:line="480" w:lineRule="auto"/>
      </w:pPr>
      <w:r>
        <w:t xml:space="preserve">Why a corpus screen rather than a mission model</w:t>
      </w:r>
    </w:p>
    <w:p>
      <w:pPr>
        <w:pStyle w:val="FirstParagraph"/>
        <w:spacing w:line="480" w:lineRule="auto"/>
      </w:pPr>
      <w:r>
        <w:t xml:space="preserve">A reader might fairly ask why the dissertation gauges document traits at all, in place of modeling lunar buildout head on. The reason is that the claim under trial is a claim about the written record. Frontier-tempo projections insist that lunar buildout plays out in a recognizable, brisk-enough run, and that insistence, wherever it shows up in the writing, leaves a gaugeable trace in how the corpus is arranged. Reading that trace is both doable and honest, where modeling buildout itself would call for mission telemetry, procurement figures, and engineering-readiness numbers a document-level design lacks and lays no claim to</w:t>
      </w:r>
      <w:r>
        <w:t xml:space="preserve"> </w:t>
      </w:r>
      <w:hyperlink w:anchor="ref-4">
        <w:r>
          <w:rPr>
            <w:rStyle w:val="Hyperlink"/>
          </w:rPr>
          <w:t xml:space="preserve">[4]</w:t>
        </w:r>
      </w:hyperlink>
      <w:r>
        <w:t xml:space="preserve">.</w:t>
      </w:r>
    </w:p>
    <w:p>
      <w:pPr>
        <w:pStyle w:val="BodyText"/>
        <w:spacing w:line="480" w:lineRule="auto"/>
        <w:ind w:firstLine="720"/>
      </w:pPr>
      <w:r>
        <w:t xml:space="preserve">That is why the estimators go by the name corpus screens throughout. A screen sorts evidence and marks where structure resides. It forecasts nothing. The line is no bashfulness. It marks the gulf between a claim the data can hold and a claim it cannot. The two workbooks discipline the reading of the retrieved body of literature, and they leave settlement forecasting to designs raised for it.</w:t>
      </w:r>
    </w:p>
    <w:bookmarkEnd w:id="92"/>
    <w:bookmarkStart w:id="93" w:name="X55437ac0feaeaa84f50c98e630040ffafba3b8b"/>
    <w:p>
      <w:pPr>
        <w:pStyle w:val="Heading2"/>
        <w:spacing w:line="480" w:lineRule="auto"/>
      </w:pPr>
      <w:r>
        <w:t xml:space="preserve">Estimator one: ordinary least squares on topic signal</w:t>
      </w:r>
    </w:p>
    <w:p>
      <w:pPr>
        <w:pStyle w:val="FirstParagraph"/>
        <w:spacing w:line="480" w:lineRule="auto"/>
      </w:pPr>
      <w:r>
        <w:t xml:space="preserve">A first workbook fits a linear model of thematic-pull intensity. The outcome is the blended signal number for each source entry, and the predictors are the freshness index, the reported citation tally, and the ranked outlet-family number. The specification runs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Ordinary least squares suits as the first instrument here for three reasons. It is see-through, so every coefficient maps straight onto one of the theoretical channels laid out in Chapter 3. It reads in the metric of the outcome, so a coefficient states how far thematic pull shifts per unit of freshness, per citation, or per step in outlet family. And it lays on minimal structure, so it smuggles in none of the very tempo pattern the study means to detect. The frontier clock foretells positive, sharp coefficients on freshness and citation, while institutional stratification foretells a sharp coefficient on outlet, with freshness and citation weak once outlet is pinned. The linear model lets those forecasts contend on level ground.</w:t>
      </w:r>
    </w:p>
    <w:p>
      <w:pPr>
        <w:pStyle w:val="BodyText"/>
        <w:spacing w:line="480" w:lineRule="auto"/>
        <w:ind w:firstLine="720"/>
      </w:pPr>
      <w:r>
        <w:t xml:space="preserve">Standard errors come from the HC1 heteroskedasticity-consistent estimator, and the pick matters for a small, mixed corpus. Entries drawn from an applied conference outlet, a peer-reviewed journal outlet, and a policy-and-economy outlet will not carry equal error variance, and presuming they do would undersell the uncertainty on exactly the coefficients the argument hinges on. HC1 mends no small-sample fragility, and Chapter 7 treats that fragility as a first-order constraint, but it does keep the reported sharpness honest given the variance shape the corpus in fact owns.</w:t>
      </w:r>
    </w:p>
    <w:bookmarkEnd w:id="93"/>
    <w:bookmarkStart w:id="94" w:name="X75296801435bd76463da83a30174d5bba116544"/>
    <w:p>
      <w:pPr>
        <w:pStyle w:val="Heading2"/>
        <w:spacing w:line="480" w:lineRule="auto"/>
      </w:pPr>
      <w:r>
        <w:t xml:space="preserve">What the OLS screen identifies, and what it does not</w:t>
      </w:r>
    </w:p>
    <w:p>
      <w:pPr>
        <w:pStyle w:val="FirstParagraph"/>
        <w:spacing w:line="480" w:lineRule="auto"/>
      </w:pPr>
      <w:r>
        <w:t xml:space="preserve">Identification claims should be put in plain words. The OLS screen pins down conditional ties in the retrieved body of literature. The outlet coefficient, for one, pins down how thematic pull differs across outlet families once freshness and citation are held, within this set of entries. That is a real and useful quantity, since it tells us whether the frontier theme concentrates in particular institutional seats, which is the heart of the institutional-stratification mechanism.</w:t>
      </w:r>
    </w:p>
    <w:p>
      <w:pPr>
        <w:pStyle w:val="BodyText"/>
        <w:spacing w:line="480" w:lineRule="auto"/>
        <w:ind w:firstLine="720"/>
      </w:pPr>
      <w:r>
        <w:t xml:space="preserve">The screen pins down no causal effect of outlet, freshness, or notice on anything in the world; it cannot, and it feigns none. No exogenous variation is being worked, no natural experiment, no instrument in the econometric sense. A sharp outlet coefficient means outlet family and thematic pull co-move in a patterned way in this corpus, not that switching a paper’s outlet would switch its thematic pull. That constraint is no defect to be apologized for but the right reading of a cross-sectional document screen, and putting it precisely is what keeps the dissertation’s inference disciplined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screen likewise cannot speak to entries beyond the retrieved pack. The source set is a retrieval peculiar to this candidate, not a census of the cislunar writing, so ties recovered here describe how this corpus is arranged. Stretching them to the full field would demand a sampling design the study lacks, and Chapter 7 is candid about the resulting external-validity ceiling.</w:t>
      </w:r>
    </w:p>
    <w:bookmarkEnd w:id="94"/>
    <w:bookmarkStart w:id="95" w:name="estimator-two-the-log-log-learning-curve"/>
    <w:p>
      <w:pPr>
        <w:pStyle w:val="Heading2"/>
        <w:spacing w:line="480" w:lineRule="auto"/>
      </w:pPr>
      <w:r>
        <w:t xml:space="preserve">Estimator two: the log-log learning curve</w:t>
      </w:r>
    </w:p>
    <w:p>
      <w:pPr>
        <w:pStyle w:val="FirstParagraph"/>
        <w:spacing w:line="480" w:lineRule="auto"/>
      </w:pPr>
      <w:r>
        <w:t xml:space="preserve">A second workbook puts to trial the keenest single forecast in the dissertation, the claim that notice gathers along an age-based curve. It fits a log-log learning-curve model of citation buildup against an article’s age. The outcome is the citation tally plus one, so the logarithm stays defined for uncited entries, and the predictor is the document age index, set as 2026 minus publication year plus one. The specification runs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log-log form is picked because the frontier-clock forecast is by nature a claim about elasticity. A ripening field with a steady notice curve ought to show citations climbing with age at a roughly fixed proportional rate, which is exactly what a fixed elasticity captures, and the coefficient on log age is that elasticity. Its sign and sharpness are the whole trial. A positive, sharp elasticity would say that older beds gather notice along a legible curve, in keeping with a paced field, while an elasticity near zero and unsharp would say that age holds no information about notice, which is lethal to the settlement-clock reading.</w:t>
      </w:r>
    </w:p>
    <w:p>
      <w:pPr>
        <w:pStyle w:val="BodyText"/>
        <w:spacing w:line="480" w:lineRule="auto"/>
        <w:ind w:firstLine="720"/>
      </w:pPr>
      <w:r>
        <w:t xml:space="preserve">The model also throws off a progress-ratio reading, the factor by which citations shift as age doubles, worked as two raised to the elasticity. That is the standard learning-curve summary, and it lets the result be read in the vocabulary of the bibliometric habit that prompts the method</w:t>
      </w:r>
      <w:r>
        <w:t xml:space="preserve"> </w:t>
      </w:r>
      <w:hyperlink w:anchor="ref-12">
        <w:r>
          <w:rPr>
            <w:rStyle w:val="Hyperlink"/>
          </w:rPr>
          <w:t xml:space="preserve">[12]</w:t>
        </w:r>
      </w:hyperlink>
      <w:r>
        <w:t xml:space="preserve">. HC1 standard errors serve again, for the same variance-mix reasons that apply to the first workbook.</w:t>
      </w:r>
    </w:p>
    <w:bookmarkEnd w:id="95"/>
    <w:bookmarkStart w:id="96" w:name="why-these-two-estimators-together"/>
    <w:p>
      <w:pPr>
        <w:pStyle w:val="Heading2"/>
        <w:spacing w:line="480" w:lineRule="auto"/>
      </w:pPr>
      <w:r>
        <w:t xml:space="preserve">Why these two estimators together</w:t>
      </w:r>
    </w:p>
    <w:p>
      <w:pPr>
        <w:pStyle w:val="FirstParagraph"/>
        <w:spacing w:line="480" w:lineRule="auto"/>
      </w:pPr>
      <w:r>
        <w:t xml:space="preserve">Both estimators complement one another by design, and the pairing is intentional. The OLS screen parts the outlet channel from the time and notice channels in the cross-section, while the learning curve isolates the time-notice tie on its own, without the outlet and freshness terms vying for variance. Were the frontier clock real, both estimators would corroborate it, the cross-section showing positive freshness and citation coefficients and the learning curve showing a positive age elasticity; if institutional stratification reigns, the estimators would agree the opposite way, outlet sharp in the cross-section and age uninformative in the learning curve.</w:t>
      </w:r>
    </w:p>
    <w:p>
      <w:pPr>
        <w:pStyle w:val="BodyText"/>
        <w:spacing w:line="480" w:lineRule="auto"/>
        <w:ind w:firstLine="720"/>
      </w:pPr>
      <w:r>
        <w:t xml:space="preserve">Converging evidence across two unlike specifications is worth more than either by itself, since a fluke pattern in one estimator is unlikely to recur in a structurally unlike one. The design draws its credibility from no lone coefficient but from the joint pattern the two workbooks throw off. Detection and networking research in the cislunar volume, which shrugs off a simple age ordering, gives prior reason to expect the outlet-structured outcome, yet the estimators are built to find the frontier clock should it be there</w:t>
      </w:r>
      <w:r>
        <w:t xml:space="preserve"> </w:t>
      </w:r>
      <w:hyperlink w:anchor="ref-7">
        <w:r>
          <w:rPr>
            <w:rStyle w:val="Hyperlink"/>
          </w:rPr>
          <w:t xml:space="preserve">[7]</w:t>
        </w:r>
      </w:hyperlink>
      <w:r>
        <w:t xml:space="preserve"> </w:t>
      </w:r>
      <w:hyperlink w:anchor="ref-6">
        <w:r>
          <w:rPr>
            <w:rStyle w:val="Hyperlink"/>
          </w:rPr>
          <w:t xml:space="preserve">[6]</w:t>
        </w:r>
      </w:hyperlink>
      <w:r>
        <w:t xml:space="preserve">.</w:t>
      </w:r>
    </w:p>
    <w:bookmarkEnd w:id="96"/>
    <w:bookmarkStart w:id="97" w:name="reproducibility-and-the-auditable-chain"/>
    <w:p>
      <w:pPr>
        <w:pStyle w:val="Heading2"/>
        <w:spacing w:line="480" w:lineRule="auto"/>
      </w:pPr>
      <w:r>
        <w:t xml:space="preserve">Reproducibility and the auditable chain</w:t>
      </w:r>
    </w:p>
    <w:p>
      <w:pPr>
        <w:pStyle w:val="FirstParagraph"/>
        <w:spacing w:line="480" w:lineRule="auto"/>
      </w:pPr>
      <w:r>
        <w:t xml:space="preserve">A method is trustworthy only so far as it repeats, and both workbooks are deterministic. Given the source set and the variable definitions, they throw off the same coefficients, standard errors, and fit statistics every time, with no random step and no researcher latitude tucked into the fitting. Every entry carries a source column, so any coefficient can be traced to the underlying documents, and the reference pool stays fixed and numbered, so every citation in the reading points to a real, checkable source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auditability is the methodological core of the dissertation. A frontier comparison is cheap to assert and dear to check, and the method here flips that arrangement, rendering the tempo claim checkable, tying every figure to a source, and printing the estimator output whole in Chapter 6 with no culling. Should the figures topple the theory, the chain shows just where and why. That is what a document-level trial is for, and it is why the estimators stay plain enough that a reader can walk the whole path from retrieval to result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97"/>
    <w:bookmarkStart w:id="98" w:name="Xde882d7fe7b8702441843bd69166d6fc1ec29d5"/>
    <w:p>
      <w:pPr>
        <w:pStyle w:val="Heading2"/>
        <w:spacing w:line="480" w:lineRule="auto"/>
      </w:pPr>
      <w:r>
        <w:t xml:space="preserve">Functional form and the choice against elaboration</w:t>
      </w:r>
    </w:p>
    <w:p>
      <w:pPr>
        <w:pStyle w:val="FirstParagraph"/>
        <w:spacing w:line="480" w:lineRule="auto"/>
      </w:pPr>
      <w:r>
        <w:t xml:space="preserve">A reviewer schooled in econometrics will note that both estimators are deliberately plain, and the plainness is a weighed choice rather than a shortfall of skill. Fancier models are on offer. Thematic pull could be modeled as a count with a Poisson or negative-binomial link, outlet could enter through a full set of indicators with interactions, and the learning curve could be enriched with outlet-specific slopes or a quadratic age term. Each embellishment would tack on parameters, and each tacked-on parameter would eat degrees of freedom a thirty-record sample cannot spare. With so few entries, a fancy model would fit noise and print false sharpness, the very reverse of what a disciplined screen should do.</w:t>
      </w:r>
    </w:p>
    <w:p>
      <w:pPr>
        <w:pStyle w:val="BodyText"/>
        <w:spacing w:line="480" w:lineRule="auto"/>
        <w:ind w:firstLine="720"/>
      </w:pPr>
      <w:r>
        <w:t xml:space="preserve">The linear and log-log forms also hold an interpretive edge that matters for a document-level trial. Their coefficients map one-to-one onto the theoretical channels of Chapter 3, so a reader can check the theory against the figures without translating through a link function. When the outlet coefficient runs negative and sharp, it means thematic pull falls across the outlet gradient, in the metric of the outcome, with no further decoding. The method is picked to keep the inference legible, since legibility is the whole reason a corpus screen beats a black-box classifier for this question</w:t>
      </w:r>
      <w:r>
        <w:t xml:space="preserve"> </w:t>
      </w:r>
      <w:hyperlink w:anchor="ref-12">
        <w:r>
          <w:rPr>
            <w:rStyle w:val="Hyperlink"/>
          </w:rPr>
          <w:t xml:space="preserve">[12]</w:t>
        </w:r>
      </w:hyperlink>
      <w:r>
        <w:t xml:space="preserve">.</w:t>
      </w:r>
    </w:p>
    <w:bookmarkEnd w:id="98"/>
    <w:bookmarkStart w:id="99" w:name="robustness-logic-within-a-small-sample"/>
    <w:p>
      <w:pPr>
        <w:pStyle w:val="Heading2"/>
        <w:spacing w:line="480" w:lineRule="auto"/>
      </w:pPr>
      <w:r>
        <w:t xml:space="preserve">Robustness logic within a small sample</w:t>
      </w:r>
    </w:p>
    <w:p>
      <w:pPr>
        <w:pStyle w:val="FirstParagraph"/>
        <w:spacing w:line="480" w:lineRule="auto"/>
      </w:pPr>
      <w:r>
        <w:t xml:space="preserve">Robustness in a thirty-record study cannot rest on the usual machinery of resampling and out-of-sample validation, so the design leans on a different robustness: convergence across two structurally unlike estimators, and candor about high-leverage points. The convergence argument is the primary defense. Were outlet sharpness in the cross-section and age-nullity in the learning curve both to point one way, that agreement across unlike-specified models would be harder to wave off as an artifact than either result alone. The two estimators share neither functional form, outcome variable, nor predictor set beyond the underlying entries, so a coincidence fooling both would be improbable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second defense is leverage candor. The citation spread is ruled by a few high-tally journal entries, and one older article carries a tally far above the rest</w:t>
      </w:r>
      <w:r>
        <w:t xml:space="preserve"> </w:t>
      </w:r>
      <w:hyperlink w:anchor="ref-9">
        <w:r>
          <w:rPr>
            <w:rStyle w:val="Hyperlink"/>
          </w:rPr>
          <w:t xml:space="preserve">[9]</w:t>
        </w:r>
      </w:hyperlink>
      <w:r>
        <w:t xml:space="preserve">. Rather than trimming these points, which would break the deterministic chain, the design keeps them and reports their sway openly, so a reader can judge whether the age-elasticity estimate rests on the whole corpus or on a handful of entries. This is a weaker guarantee than a formal sensitivity analysis on a large sample, and Chapter 7 says so. It is the honest ceiling a fully-disclosed thirty-record screen can offer, and confessing the ceiling belongs to the identification argument rather than trailing after it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9"/>
    <w:bookmarkStart w:id="100" w:name="the-estimand-in-words"/>
    <w:p>
      <w:pPr>
        <w:pStyle w:val="Heading2"/>
        <w:spacing w:line="480" w:lineRule="auto"/>
      </w:pPr>
      <w:r>
        <w:t xml:space="preserve">The estimand in words</w:t>
      </w:r>
    </w:p>
    <w:p>
      <w:pPr>
        <w:pStyle w:val="FirstParagraph"/>
        <w:spacing w:line="480" w:lineRule="auto"/>
      </w:pPr>
      <w:r>
        <w:t xml:space="preserve">Putting the estimand in plain words guards against overreading the output. In the first workbook the estimand is the conditional tie between each predictor and thematic pull, within the retrieved body of literature, holding the rest pinned; in the second workbook it is the elasticity of citations-plus-one with respect to an article’s age, within the same corpus. Neither estimand is a treatment effect, a forecast, or a population parameter for the full cislunar writing. Each is a descriptive quantity about how this assembled record is arranged, and the frontier clock and institutional stratification post different forecasts about the value of these descriptive quantities, which is exactly why descriptive estimands suffice to settle between the two mechanisms</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0"/>
    <w:bookmarkStart w:id="101" w:name="inference-under-hc1-and-its-honesty"/>
    <w:p>
      <w:pPr>
        <w:pStyle w:val="Heading2"/>
        <w:spacing w:line="480" w:lineRule="auto"/>
      </w:pPr>
      <w:r>
        <w:t xml:space="preserve">Inference under HC1 and its honesty</w:t>
      </w:r>
    </w:p>
    <w:p>
      <w:pPr>
        <w:pStyle w:val="FirstParagraph"/>
        <w:spacing w:line="480" w:lineRule="auto"/>
      </w:pPr>
      <w:r>
        <w:t xml:space="preserve">A pick of HC1 heteroskedasticity-consistent standard errors merits a fuller account, since in a small sample the standard-error pick is no technicality but a substantive call about how honest the reported sharpness will be. Classical standard errors presume fixed error variance across entries, and in this corpus that presumption is flatly false, since an applied conference entry with zero citations and thick topic terms does not carry the same error shape as a heavily-cited journal entry with a broad agenda</w:t>
      </w:r>
      <w:r>
        <w:t xml:space="preserve"> </w:t>
      </w:r>
      <w:hyperlink w:anchor="ref-2">
        <w:r>
          <w:rPr>
            <w:rStyle w:val="Hyperlink"/>
          </w:rPr>
          <w:t xml:space="preserve">[2]</w:t>
        </w:r>
      </w:hyperlink>
      <w:r>
        <w:t xml:space="preserve"> </w:t>
      </w:r>
      <w:hyperlink w:anchor="ref-9">
        <w:r>
          <w:rPr>
            <w:rStyle w:val="Hyperlink"/>
          </w:rPr>
          <w:t xml:space="preserve">[9]</w:t>
        </w:r>
      </w:hyperlink>
      <w:r>
        <w:t xml:space="preserve">. Presuming homoskedasticity would undersell uncertainty on exactly the outlet coefficient the argument leans on, minting confidence the data do not warrant, whereas HC1 mends the variance estimate for the heteroskedasticity the corpus in fact exhibits.</w:t>
      </w:r>
    </w:p>
    <w:p>
      <w:pPr>
        <w:pStyle w:val="BodyText"/>
        <w:spacing w:line="480" w:lineRule="auto"/>
        <w:ind w:firstLine="720"/>
      </w:pPr>
      <w:r>
        <w:t xml:space="preserve">HC1 is no cure for small samples, and the dissertation floats it as none. With thirty entries, even a heteroskedasticity-consistent interval runs wider and shakier than a large-sample interval, and the finite-sample mend HC1 lays on is a modest one. The honest statement is that HC1 keeps the reported sharpness in keeping with the variance shape of the data, not that it hauls the study clear of its sample size. Where the outlet coefficient outlasts HC1 with a p-value near fifteen in a million, that survival carries meaning precisely because the standard errors were not tilted to favor it, and where the freshness and citation coefficients fail under HC1, that failure cannot be laid to an over-conservative variance estimate, since HC1 is the fitting estimator given the data rather than a punitive one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1"/>
    <w:bookmarkStart w:id="102" w:name="X60850d574d1e5e3bcaa27a3df33b02195d08079"/>
    <w:p>
      <w:pPr>
        <w:pStyle w:val="Heading2"/>
        <w:spacing w:line="480" w:lineRule="auto"/>
      </w:pPr>
      <w:r>
        <w:t xml:space="preserve">The determinism guarantee as an identification asset</w:t>
      </w:r>
    </w:p>
    <w:p>
      <w:pPr>
        <w:pStyle w:val="FirstParagraph"/>
        <w:spacing w:line="480" w:lineRule="auto"/>
      </w:pPr>
      <w:r>
        <w:t xml:space="preserve">Most identification discussions treat reproducibility as a hygiene matter apart from identification proper. Here they are joined, and the joint is worth spelling out. Because both workbooks are deterministic functions of the source set and the fixed variable definitions, no researcher latitude lives in the fitting, no seed to tune, no specification to rummage over. The garden of forking paths that inflates false positives in pliable analyses is shut by construction, so a reader need not trust that the candidate held back from selective specification rummaging; the deterministic pipeline renders such rummaging impossible short of altering the disclosed inputs, which the audit trail would lay bare.</w:t>
      </w:r>
    </w:p>
    <w:p>
      <w:pPr>
        <w:pStyle w:val="BodyText"/>
        <w:spacing w:line="480" w:lineRule="auto"/>
        <w:ind w:firstLine="720"/>
      </w:pPr>
      <w:r>
        <w:t xml:space="preserve">This matters for identification because it strips out a class of confounds no amount of standard-error mending can touch. A conditional tie recovered from a rummaged specification means something different, and weaker, than one recovered from a pre-set deterministic pipeline, since the former could be the yield of picking among many tries. The estimands here are what they seem. One specification each. Fixed ahead of time, run once. Married to the convergence of two structurally unlike estimators, the determinism guarantee is a genuine part of why the joint result can be believed rather than a bare procedural nicety. The method’s credibility rests on three legs together: fitting variance estimation, converging evidence across specifications, and a pipeline that shuts specification rummaging</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results chapter prints the output of that pipeline whole, and the discussion chapter puts every premise it rests on to trial</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bookmarkEnd w:id="102"/>
    <w:bookmarkStart w:id="103" w:name="X5faa9724c4fb4f908d09d9696c5964ad15fa145"/>
    <w:p>
      <w:pPr>
        <w:pStyle w:val="Heading2"/>
        <w:spacing w:line="480" w:lineRule="auto"/>
      </w:pPr>
      <w:r>
        <w:t xml:space="preserve">A note on power and what the design can detect</w:t>
      </w:r>
    </w:p>
    <w:p>
      <w:pPr>
        <w:pStyle w:val="FirstParagraph"/>
        <w:spacing w:line="480" w:lineRule="auto"/>
      </w:pPr>
      <w:r>
        <w:t xml:space="preserve">Candor about method demands a frank word on statistical power, since a thirty-record design cannot spot small effects reliably. The design is well powered to spot a large, concentrated tie like the outlet gradient, and poorly powered to spot a small, diffuse one like a weak freshness channel, and this lopsidedness shapes what the results can hold. A sharp outlet coefficient in this setting is strong evidence, since small samples make sharpness hard to reach, while an unsharp freshness coefficient is weaker evidence, since the same small sample could hide a modest true effect behind a wide interval. The learning curve is the exception that partly slips this bind, since a near-zero R2 is no wide interval around a real curve but the absence of a curve, and that absence is spottable even at thirty entries</w:t>
      </w:r>
      <w:r>
        <w:t xml:space="preserve"> </w:t>
      </w:r>
      <w:hyperlink w:anchor="ref-12">
        <w:r>
          <w:rPr>
            <w:rStyle w:val="Hyperlink"/>
          </w:rPr>
          <w:t xml:space="preserve">[12]</w:t>
        </w:r>
      </w:hyperlink>
      <w:r>
        <w:t xml:space="preserve">. Posting the power profile here means the results chapter can be read with the right expectations, leaning on what the design spots well and discounting what it spots poorly</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3"/>
    <w:bookmarkEnd w:id="104"/>
    <w:bookmarkStart w:id="117" w:name="chapter-5.-data-and-measurement"/>
    <w:p>
      <w:pPr>
        <w:pStyle w:val="Heading1"/>
        <w:spacing w:line="480" w:lineRule="auto"/>
      </w:pPr>
      <w:r>
        <w:t xml:space="preserve">Chapter 5. Data and Measurement</w:t>
      </w:r>
    </w:p>
    <w:p>
      <w:pPr>
        <w:pStyle w:val="FirstParagraph"/>
        <w:spacing w:line="480" w:lineRule="auto"/>
      </w:pPr>
      <w:r>
        <w:t xml:space="preserve">A document-level study lives or dies on the quality of its data. This chapter walks through the source set, how each variable gets built, where the entries come from, and the sample, and it is composed so a doubting reader could reassemble the dataset from the account and land the same thirty rows. Nothing about the measurement stays hidden, since the whole point of the design is that the tempo claim can be checked against a record the reader can inspect.</w:t>
      </w:r>
    </w:p>
    <w:bookmarkStart w:id="105" w:name="the-source-collection"/>
    <w:p>
      <w:pPr>
        <w:pStyle w:val="Heading2"/>
        <w:spacing w:line="480" w:lineRule="auto"/>
      </w:pPr>
      <w:r>
        <w:t xml:space="preserve">The source collection</w:t>
      </w:r>
    </w:p>
    <w:p>
      <w:pPr>
        <w:pStyle w:val="FirstParagraph"/>
        <w:spacing w:line="480" w:lineRule="auto"/>
      </w:pPr>
      <w:r>
        <w:t xml:space="preserve">The dataset is a source set peculiar to this candidate, gathered from the local research brains that feed this pipeline. The retrieval aims at the cluster of themes lunar buildout projections draw on: cislunar and lunar-orbit governance, space situational awareness, debris management, sensing and networking hardware, and commercial-space growth. What comes back is a mixed body of literature reaching across applied conference proceedings, peer-reviewed journal articles, and policy-and-economy documents, and the mixture is an asset here, not a bother. That reach across the institutional terrain is precisely what the trial calls for, since a frontier-tempo claim insists this whole reach of work is arranged by a shared clock, and putting that insistence to trial demands a corpus that genuinely spans it.</w:t>
      </w:r>
    </w:p>
    <w:p>
      <w:pPr>
        <w:pStyle w:val="BodyText"/>
        <w:spacing w:line="480" w:lineRule="auto"/>
        <w:ind w:firstLine="720"/>
      </w:pPr>
      <w:r>
        <w:t xml:space="preserve">Three outlet families turn up in the pack. The first is the applied space-surveillance conference family, standing in for it are governance and detection work such as the situational-awareness governance analysis and the lunar surface observatory study</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second is the peer-reviewed journal family, standing in for it are the Acta Astronautica entries ranging from island-archaeology comparisons to regolith engineering and lunar base design</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third is the policy-and-economy family, standing in for it are roadmap and imperative documents that frame space development in economic and strategic terms</w:t>
      </w:r>
      <w:r>
        <w:t xml:space="preserve"> </w:t>
      </w:r>
      <w:hyperlink w:anchor="ref-9">
        <w:r>
          <w:rPr>
            <w:rStyle w:val="Hyperlink"/>
          </w:rPr>
          <w:t xml:space="preserve">[9]</w:t>
        </w:r>
      </w:hyperlink>
      <w:r>
        <w:t xml:space="preserve">. Each entry keeps a source identifier, either a resolvable link or a document object identifier, so provenance stays fixed at the row level.</w:t>
      </w:r>
    </w:p>
    <w:bookmarkEnd w:id="105"/>
    <w:bookmarkStart w:id="106" w:name="the-sample"/>
    <w:p>
      <w:pPr>
        <w:pStyle w:val="Heading2"/>
        <w:spacing w:line="480" w:lineRule="auto"/>
      </w:pPr>
      <w:r>
        <w:t xml:space="preserve">The sample</w:t>
      </w:r>
    </w:p>
    <w:p>
      <w:pPr>
        <w:pStyle w:val="FirstParagraph"/>
        <w:spacing w:line="480" w:lineRule="auto"/>
      </w:pPr>
      <w:r>
        <w:t xml:space="preserve">The fitting sample is thirty retrieved source entries. Both workbooks draw on the same thirty entries, which keeps the two estimators comparable and lets their results be read as two views of one corpus rather than two separate datasets. Thirty is a small sample. The dissertation pretends nothing else, and Chapter 7 treats the sample size as a first-order constraint on sharpness and reach. The offsetting virtue is completeness of disclosure, since with thirty rows every entry can be, and is, singly accounted for in the provenance trail, which a large opaque corpus forecloses.</w:t>
      </w:r>
    </w:p>
    <w:p>
      <w:pPr>
        <w:pStyle w:val="BodyText"/>
        <w:spacing w:line="480" w:lineRule="auto"/>
        <w:ind w:firstLine="720"/>
      </w:pPr>
      <w:r>
        <w:t xml:space="preserve">These entries span publication years from 2015 to 2025. That eleven-year window is what makes any freshness and age analysis possible whatsoever. It runs wide enough to hold both foundational and recent work, exactly the reach a frontier clock would need to display its staircase, and narrow enough that every entry belongs to the modern cislunar-development discourse rather than a historical writing with other concerns.</w:t>
      </w:r>
    </w:p>
    <w:bookmarkEnd w:id="106"/>
    <w:bookmarkStart w:id="107" w:name="constructing-the-topic-signal-score"/>
    <w:p>
      <w:pPr>
        <w:pStyle w:val="Heading2"/>
        <w:spacing w:line="480" w:lineRule="auto"/>
      </w:pPr>
      <w:r>
        <w:t xml:space="preserve">Constructing the topic-signal score</w:t>
      </w:r>
    </w:p>
    <w:p>
      <w:pPr>
        <w:pStyle w:val="FirstParagraph"/>
        <w:spacing w:line="480" w:lineRule="auto"/>
      </w:pPr>
      <w:r>
        <w:t xml:space="preserve">An outcome variable in the first workbook is the blended thematic-pull number. It gets built deterministically, with no subjective coding step, so it can be reproduced exactly. For each entry, the build tallies hits of candidate-theme terms across four metadata fields: the source title, the retrieved snippet, the keyword field, and the author metadata. The tally of theme hits joins the field-level term tallies into one blended number for the entry, and because the routine is a fixed tally over fixed fields, two analysts running it on the same source set recover identical numbers.</w:t>
      </w:r>
    </w:p>
    <w:p>
      <w:pPr>
        <w:pStyle w:val="BodyText"/>
        <w:spacing w:line="480" w:lineRule="auto"/>
        <w:ind w:firstLine="720"/>
      </w:pPr>
      <w:r>
        <w:t xml:space="preserve">The deterministic build owns a clear virtue and a clear cost. The virtue is auditability, since the number cannot drift with an analyst’s mood or theoretical wish, exactly the discipline a contested tempo claim needs. The cost is stand-in error, since a metadata term tally is a coarse proxy for how hard a source engages the frontier-tempo theme; a paper can engage the theme profoundly while wearing few of the tallied terms in its metadata, or wear the terms shallowly. This measurement noise shrinks ties toward zero, biasing the design against finding structure, and Chapter 7 circles back to it as a threat to validity</w:t>
      </w:r>
      <w:r>
        <w:t xml:space="preserve"> </w:t>
      </w:r>
      <w:hyperlink w:anchor="ref-5">
        <w:r>
          <w:rPr>
            <w:rStyle w:val="Hyperlink"/>
          </w:rPr>
          <w:t xml:space="preserve">[5]</w:t>
        </w:r>
      </w:hyperlink>
      <w:r>
        <w:t xml:space="preserve">.</w:t>
      </w:r>
    </w:p>
    <w:bookmarkEnd w:id="107"/>
    <w:bookmarkStart w:id="108" w:name="constructing-recency-and-age"/>
    <w:p>
      <w:pPr>
        <w:pStyle w:val="Heading2"/>
        <w:spacing w:line="480" w:lineRule="auto"/>
      </w:pPr>
      <w:r>
        <w:t xml:space="preserve">Constructing recency and age</w:t>
      </w:r>
    </w:p>
    <w:p>
      <w:pPr>
        <w:pStyle w:val="FirstParagraph"/>
        <w:spacing w:line="480" w:lineRule="auto"/>
      </w:pPr>
      <w:r>
        <w:t xml:space="preserve">Two time variables get built from publication year, and they are deliberately apart. The freshness index, used in the first workbook, comes as the publication year minus the smallest publication year in the sample plus one. On that scale the oldest entry in the pack takes the value one and the newest entries take the biggest values, so a positive freshness coefficient would mean thematic pull climbing toward the present, the heading the frontier clock foretells, and the reason the index runs this way.</w:t>
      </w:r>
    </w:p>
    <w:p>
      <w:pPr>
        <w:pStyle w:val="BodyText"/>
        <w:spacing w:line="480" w:lineRule="auto"/>
        <w:ind w:firstLine="720"/>
      </w:pPr>
      <w:r>
        <w:t xml:space="preserve">The age index, used in the second workbook, comes as 2026 minus the publication year plus one, and it runs the opposite way: older entries take bigger age values, and the plus-one keeps the logarithm defined for the newest entries. The two indices encode the same underlying years yet serve unlike trials. The freshness index asks whether signal concentrates in recent work, while the age index asks whether notice gathers as work grows older. Holding them apart, rather than folding both into one time term, is what lets the cross-sectional screen and the learning curve each pose its own clean question.</w:t>
      </w:r>
    </w:p>
    <w:bookmarkEnd w:id="108"/>
    <w:bookmarkStart w:id="109" w:name="measuring-citation-attention"/>
    <w:p>
      <w:pPr>
        <w:pStyle w:val="Heading2"/>
        <w:spacing w:line="480" w:lineRule="auto"/>
      </w:pPr>
      <w:r>
        <w:t xml:space="preserve">Measuring citation attention</w:t>
      </w:r>
    </w:p>
    <w:p>
      <w:pPr>
        <w:pStyle w:val="FirstParagraph"/>
        <w:spacing w:line="480" w:lineRule="auto"/>
      </w:pPr>
      <w:r>
        <w:t xml:space="preserve">Citation notice comes from the reported citation tally in the local brain index. Where the index reports no tally, the value is zero in the first workbook, and in the second workbook the citations-plus-one transform sets the value to one so the logarithm stays defined. That is an honest, and consequential, pick, since the tallies are local index figures rather than universal citation totals from a comprehensive database, mirroring what the local index caught, which is a partial and outlet-bound view of true notice.</w:t>
      </w:r>
    </w:p>
    <w:p>
      <w:pPr>
        <w:pStyle w:val="BodyText"/>
        <w:spacing w:line="480" w:lineRule="auto"/>
        <w:ind w:firstLine="720"/>
      </w:pPr>
      <w:r>
        <w:t xml:space="preserve">Citation tallies here run heavily skewed in spread, and the skew shapes what the learning curve can find. Most entries in the pack carry zero reported citations, typical of applied conference and policy documents in a local index, while a small number of journal entries carry substantial tallies, with one older journal article carrying a tally far above the rest. That concentration means the notice signal in the corpus rests on a handful of entries, and the learning-curve estimate is correspondingly touchy to them. The design trims nor winsorizes these values, since doing so would break the deterministic, fully-disclosed chain; instead the touchiness gets reported and read straight in Chapters 6 and 7</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09"/>
    <w:bookmarkStart w:id="110" w:name="coding-venue-family"/>
    <w:p>
      <w:pPr>
        <w:pStyle w:val="Heading2"/>
        <w:spacing w:line="480" w:lineRule="auto"/>
      </w:pPr>
      <w:r>
        <w:t xml:space="preserve">Coding venue family</w:t>
      </w:r>
    </w:p>
    <w:p>
      <w:pPr>
        <w:pStyle w:val="FirstParagraph"/>
        <w:spacing w:line="480" w:lineRule="auto"/>
      </w:pPr>
      <w:r>
        <w:t xml:space="preserve">An outlet-family variable is coded as a ranked number handing one to the applied space-surveillance conference family, two to the peer-reviewed Acta Astronautica journal family, and three to the policy-and-economy family. The ordering is no arbitrary trim, since it runs from the most applied and technical institutional seat, through the peer-reviewed scientific seat, to the most policy-and-economy-bent seat. That gradient bears on the tempo question because the frontier theme may fasten to sources at systematically unlike rates as one slides along it.</w:t>
      </w:r>
    </w:p>
    <w:p>
      <w:pPr>
        <w:pStyle w:val="BodyText"/>
        <w:spacing w:line="480" w:lineRule="auto"/>
        <w:ind w:firstLine="720"/>
      </w:pPr>
      <w:r>
        <w:t xml:space="preserve">The rank coding carries its own hazard, and it is put flatly. Treating outlet family as a numeric score lays equal spacing between adjacent families, which the underlying institutional reality may not honor, so an outlet coefficient recovered under this coding should be read as evidence of an outlet gradient, not as a precise cardinal effect per outlet step. Chapter 7 puts the outlet finding’s robustness to trial against this worry. The coding stays because it is see-through and repeatable, and because the alternative of a full set of outlet indicators would eat degrees of freedom a thirty-record sample cannot spare</w:t>
      </w:r>
      <w:r>
        <w:t xml:space="preserve"> </w:t>
      </w:r>
      <w:hyperlink w:anchor="ref-3">
        <w:r>
          <w:rPr>
            <w:rStyle w:val="Hyperlink"/>
          </w:rPr>
          <w:t xml:space="preserve">[3]</w:t>
        </w:r>
      </w:hyperlink>
      <w:r>
        <w:t xml:space="preserve">.</w:t>
      </w:r>
    </w:p>
    <w:bookmarkEnd w:id="110"/>
    <w:bookmarkStart w:id="111" w:name="provenance-and-the-audit-trail"/>
    <w:p>
      <w:pPr>
        <w:pStyle w:val="Heading2"/>
        <w:spacing w:line="480" w:lineRule="auto"/>
      </w:pPr>
      <w:r>
        <w:t xml:space="preserve">Provenance and the audit trail</w:t>
      </w:r>
    </w:p>
    <w:p>
      <w:pPr>
        <w:pStyle w:val="FirstParagraph"/>
        <w:spacing w:line="480" w:lineRule="auto"/>
      </w:pPr>
      <w:r>
        <w:t xml:space="preserve">Every variable in both workbooks descends from fields kept in the record-level data, and every entry carries its source. The chain travels from the retrieved document, to its metadata fields, to the deterministic variable build, to the fitting file, with no undocumented step between, and that is what makes the results in Chapter 6 checkable rather than merely assertable. A reader who doubts a coefficient can walk back from the figure to the rows that spawned it, and from the rows to the sources themselves</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 measurement runs coarse in places. The sample runs small. The citation tallies run local. All three constraints are confessed here rather than buried, since a document-level trial of a frontier-tempo claim is only as credible as the record it bids the reader inspect</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bookmarkEnd w:id="111"/>
    <w:bookmarkStart w:id="112" w:name="a-walk-through-the-record"/>
    <w:p>
      <w:pPr>
        <w:pStyle w:val="Heading2"/>
        <w:spacing w:line="480" w:lineRule="auto"/>
      </w:pPr>
      <w:r>
        <w:t xml:space="preserve">A walk through the record</w:t>
      </w:r>
    </w:p>
    <w:p>
      <w:pPr>
        <w:pStyle w:val="FirstParagraph"/>
        <w:spacing w:line="480" w:lineRule="auto"/>
      </w:pPr>
      <w:r>
        <w:t xml:space="preserve">Because the sample is small enough to inspect one by one, it repays walking through what the thirty entries actually hold, so the coefficients later have concrete rows behind them. The applied conference family anchors the corpus. It holds the situational-awareness governance analysis that frames the field as an institutional transition, the lunar surface observatory study on spotting objects in low lunar orbit and the L2 dark cone, and the debris-removal legal analysis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These entries carry thick topic signal and, in character for the conference family in a local index, report no citation tally. Recent cislunar detection work wielding Poincare search maps and resilient-networking research reside in the same family, carrying it toward the present without adding citation notice</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journal family behaves otherwise in exactly the way the measurement foretells. Its entries span a broader scientific agenda: island-archaeology comparisons for colonization, ethnographic study of spaceflight communities, regolith-analogue engineering, lunar base design history, and space-sustainability argument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These entries carry lower topic signal on average, since any lone theme is diluted across a broad journal agenda, and they carry most of the corpus’s citation notice. One older journal entry, on the turn from new space to big space, carries a citation tally far above every other entry in the pack, which renders it a high-leverage point for the learning curve</w:t>
      </w:r>
      <w:r>
        <w:t xml:space="preserve"> </w:t>
      </w:r>
      <w:hyperlink w:anchor="ref-9">
        <w:r>
          <w:rPr>
            <w:rStyle w:val="Hyperlink"/>
          </w:rPr>
          <w:t xml:space="preserve">[9]</w:t>
        </w:r>
      </w:hyperlink>
      <w:r>
        <w:t xml:space="preserve">. The policy-and-economy family, standing in for it are roadmap and imperative documents, carries the thinnest topic signal and, like the conference family, reports no citations.</w:t>
      </w:r>
    </w:p>
    <w:p>
      <w:pPr>
        <w:pStyle w:val="BodyText"/>
        <w:spacing w:line="480" w:lineRule="auto"/>
        <w:ind w:firstLine="720"/>
      </w:pPr>
      <w:r>
        <w:t xml:space="preserve">Reading the corpus this way makes the later results intuitive before they are fit. Topic signal sits visibly concentrated in the applied technical family and thin in the policy family, foreshadowing a negative outlet gradient, and citation notice sits concentrated in a handful of journal entries with no clear age ordering, foreshadowing a flat, uninformative learning curve. The point of the deterministic build is that these intuitions are no impressions; they are traits of rows a reader can tally</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2"/>
    <w:bookmarkStart w:id="113" w:name="descriptive-structure-of-the-variables"/>
    <w:p>
      <w:pPr>
        <w:pStyle w:val="Heading2"/>
        <w:spacing w:line="480" w:lineRule="auto"/>
      </w:pPr>
      <w:r>
        <w:t xml:space="preserve">Descriptive structure of the variables</w:t>
      </w:r>
    </w:p>
    <w:p>
      <w:pPr>
        <w:pStyle w:val="FirstParagraph"/>
        <w:spacing w:line="480" w:lineRule="auto"/>
      </w:pPr>
      <w:r>
        <w:t xml:space="preserve">A few descriptive facts about the variables keen what the estimators will and will not manage to recover. The freshness index reaches across the eleven-year window, so genuine variation exists for a freshness coefficient to account for if one is there. The outlet score takes only three values, one, two, and three, which suffices for a ranked gradient but not for testing fine institutional splits inside a family. The citation measure runs zero for the large majority of entries and positive for a minority, a spike-and-tail spread that concentrates the notice signal in few observations, and the thematic-pull number varies across the full range of the tally, granting the outcome enough reach to model.</w:t>
      </w:r>
    </w:p>
    <w:p>
      <w:pPr>
        <w:pStyle w:val="BodyText"/>
        <w:spacing w:line="480" w:lineRule="auto"/>
        <w:ind w:firstLine="720"/>
      </w:pPr>
      <w:r>
        <w:t xml:space="preserve">These descriptive facts are no incidentals, since they set the statistical power on tap for each channel. The outlet variable, with its clean three-level gradient and its strong tie to the outcome, sits well placed to yield a sharp coefficient, while the citation variable, with most of its mass at zero and its signal in a few high-leverage points, sits poorly placed to yield sharp estimates, a measurement fact and no substantive one. Confessing the variable spreads here means that when the citation coefficient turns out unsharp in Chapter 6, the reader already knows whether that mirrors a true absence of structure or a measurement constraint, and can weigh the two readings accordingly</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bookmarkEnd w:id="113"/>
    <w:bookmarkStart w:id="114" w:name="Xf5079bc485a3a124a41bac3636b7888d910b15e"/>
    <w:p>
      <w:pPr>
        <w:pStyle w:val="Heading2"/>
        <w:spacing w:line="480" w:lineRule="auto"/>
      </w:pPr>
      <w:r>
        <w:t xml:space="preserve">The two time indices and why both are kept</w:t>
      </w:r>
    </w:p>
    <w:p>
      <w:pPr>
        <w:pStyle w:val="FirstParagraph"/>
        <w:spacing w:line="480" w:lineRule="auto"/>
      </w:pPr>
      <w:r>
        <w:t xml:space="preserve">A reader might wonder why the dataset carries two separate time variables when one publication-year field underlies both. The freshness index and the age index are algebraic mirror images: freshness tallies up from the oldest entry, age tallies down from a fixed reference year of 2026. Keeping both is no redundancy but what lets each workbook pose its own clean question without the other’s framing bleeding across. The freshness index runs so that a positive coefficient means signal climbing toward the present, the frontier clock’s cross-sectional forecast, and the age index runs and logs so that a positive elasticity means older work gathering more citations, the frontier clock’s learning-curve forecast. Two forecasts. Two purpose-built variables.</w:t>
      </w:r>
    </w:p>
    <w:p>
      <w:pPr>
        <w:pStyle w:val="BodyText"/>
        <w:spacing w:line="480" w:lineRule="auto"/>
        <w:ind w:firstLine="720"/>
      </w:pPr>
      <w:r>
        <w:t xml:space="preserve">The mirror kinship also guards against a subtle interpretive trap. Because freshness and age are deterministic functions of the same years, one might suspect the two workbooks put the same thing to trial twice, and they do not. The first workbook conditions the time question on outlet and citation notice, asking whether time arranges signal once institutional seat is held, while the second workbook isolates the time-notice tie with no outlet or signal term present, asking whether age alone structures citation buildup. The variables share an origin yet serve non-overlapping trials, and confessing their build here is what lets a reader confirm the later convergence of the two nulls to be genuine agreement rather than one result reported twice</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bookmarkEnd w:id="114"/>
    <w:bookmarkStart w:id="115" w:name="Xbcc2542daa5970e6573966c7cf08702a651eb7b"/>
    <w:p>
      <w:pPr>
        <w:pStyle w:val="Heading2"/>
        <w:spacing w:line="480" w:lineRule="auto"/>
      </w:pPr>
      <w:r>
        <w:t xml:space="preserve">Data limitations restated as design boundaries</w:t>
      </w:r>
    </w:p>
    <w:p>
      <w:pPr>
        <w:pStyle w:val="FirstParagraph"/>
        <w:spacing w:line="480" w:lineRule="auto"/>
      </w:pPr>
      <w:r>
        <w:t xml:space="preserve">It repays gathering the measurement constraints into one statement, since each is also a bound on what the study claims. The thematic-pull proxy is a metadata term tally, so the study claims to gauge metadata-level thematic density, not deep engagement, and any conclusion stays bounded to that construct. The citation tallies are local index figures, so the study claims to gauge notice as the local index caught it, not universal scholarly impact. The outlet score is ranked over three families, so the study claims an outlet gradient, not a cardinal per-outlet effect. And the sample is thirty entries assembled by retrieval, so the study claims structure within this corpus, not a trait of the full cislunar writing.</w:t>
      </w:r>
    </w:p>
    <w:p>
      <w:pPr>
        <w:pStyle w:val="BodyText"/>
        <w:spacing w:line="480" w:lineRule="auto"/>
        <w:ind w:firstLine="720"/>
      </w:pPr>
      <w:r>
        <w:t xml:space="preserve">None of these bounds stays hidden, and each is picked to keep repeatability over reach. A study could have chased richer measures at the cost of the deterministic, inspectable chain that is the whole point of the design, and this one did not. The regolith-analogue and sensor-dependability literatures are a handy reminder that even carefully engineered measurements carry known error, and that the honest reply is to state the error and let the reader weigh it rather than to claim a sharpness the instrument lacks</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data chapter closes where it opened, with a record small enough to inspect, built see-through enough to reproduce, and bounded honestly enough that the results in the next chapter can be read as a trial of a stated claim rather than a demonstration of a wished-for one</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5"/>
    <w:bookmarkStart w:id="116" w:name="comparability-across-the-two-workbooks"/>
    <w:p>
      <w:pPr>
        <w:pStyle w:val="Heading2"/>
        <w:spacing w:line="480" w:lineRule="auto"/>
      </w:pPr>
      <w:r>
        <w:t xml:space="preserve">Comparability across the two workbooks</w:t>
      </w:r>
    </w:p>
    <w:p>
      <w:pPr>
        <w:pStyle w:val="FirstParagraph"/>
        <w:spacing w:line="480" w:lineRule="auto"/>
      </w:pPr>
      <w:r>
        <w:t xml:space="preserve">A final point of measurement discipline bears on comparability. Both workbooks draw on the same thirty entries and the same underlying fields, which means the two estimators offer two views of one dataset rather than two separate studies stitched together, and that shared footing is what licenses reading their results jointly. When the cross-sectional screen finds outlet sharp and time mute, and the learning curve on its own finds age uninformative, the two nulls bear on the same entries gauged the same way, so their agreement is genuine convergence rather than a coincidence across incomparable samples</w:t>
      </w:r>
      <w:r>
        <w:t xml:space="preserve"> </w:t>
      </w:r>
      <w:hyperlink w:anchor="ref-12">
        <w:r>
          <w:rPr>
            <w:rStyle w:val="Hyperlink"/>
          </w:rPr>
          <w:t xml:space="preserve">[12]</w:t>
        </w:r>
      </w:hyperlink>
      <w:r>
        <w:t xml:space="preserve">. Had the workbooks drawn on unlike corpora, their agreement would prove little; because they draw on one corpus, the agreement is the strongest single trait of the empirical design, and keeping that comparability is why the data chapter insists on one shared, fully-documented record rather than two convenient retrievals</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16"/>
    <w:bookmarkEnd w:id="117"/>
    <w:bookmarkStart w:id="127" w:name="chapter-6.-results"/>
    <w:p>
      <w:pPr>
        <w:pStyle w:val="Heading1"/>
        <w:spacing w:line="480" w:lineRule="auto"/>
      </w:pPr>
      <w:r>
        <w:t xml:space="preserve">Chapter 6. Results</w:t>
      </w:r>
    </w:p>
    <w:p>
      <w:pPr>
        <w:pStyle w:val="FirstParagraph"/>
        <w:spacing w:line="480" w:lineRule="auto"/>
      </w:pPr>
      <w:r>
        <w:t xml:space="preserve">The results put a disciplined form of the big-history comparison to trial. The dissertation asks not whether lunar settlement resembles any lone terrestrial frontier; it asks whether the written record around lunar buildout, cislunar governance, sensor networking, debris management, and commercial space growth carries the tempo structure a settlement-clock comparison foretells. The answer is qualified and, in its qualification, telling. Outlet family sorts the retrieved body of literature sharply, freshness and citation notice throw off no steady timing curve, and an article’s age holds almost no information about citation buildup. The frontier clock loses at the level of documents while institutional stratification survives. This chapter prints both workbooks just as they run and then reads the signs and sizes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18" w:name="the-topic-signal-model"/>
    <w:p>
      <w:pPr>
        <w:pStyle w:val="Heading2"/>
        <w:spacing w:line="480" w:lineRule="auto"/>
      </w:pPr>
      <w:r>
        <w:t xml:space="preserve">The topic-signal model</w:t>
      </w:r>
    </w:p>
    <w:p>
      <w:pPr>
        <w:pStyle w:val="FirstParagraph"/>
        <w:spacing w:line="480" w:lineRule="auto"/>
      </w:pPr>
      <w:r>
        <w:t xml:space="preserve">Paper 1 fits the topic-signal model on thirty records, and the overall fit runs meaningful for a corpus screen. R2 equals 0.3354784242973169, adjusted R2 equals 0.25880285787008417, F equals 14.655133717707713, and F_p equals 8.726404098061776e-06. That joint significance says the three predictors together account for a real share of the swing in topic signal across the corpus, with about a third of the variance in the signal score claimed by freshness, citation notice, and outlet family taken together, more structure than a null field would throw off. The frontier-settlement-tempo signal is not spread evenly across all entries; it concentrates, and the term-level estimates say where.</w:t>
      </w:r>
    </w:p>
    <w:p>
      <w:pPr>
        <w:pStyle w:val="BodyText"/>
        <w:spacing w:line="480" w:lineRule="auto"/>
        <w:ind w:firstLine="720"/>
      </w:pPr>
      <w:r>
        <w:t xml:space="preserve">The constant is 6.656131788392054 with a p-value of 0.001084664856719179. The recency index has a coefficient of 0.10673179095051871 with a p-value of 0.5147671062489464. The citation count has a coefficient of 0.007470670783159234 with a p-value of 0.15865853514891215. The venue score has a coefficient of -1.9900138840038053 with a p-value of 1.4999450945665393e-05. Read these in order and the pattern is unmistakable. One channel talks. Two go quiet. Only the venue coefficient runs sharp at conventional thresholds, and it runs sharp by a wide margin, its p-value near fifteen in a million.</w:t>
      </w:r>
    </w:p>
    <w:p>
      <w:pPr>
        <w:pStyle w:val="BodyText"/>
        <w:spacing w:line="480" w:lineRule="auto"/>
        <w:ind w:firstLine="720"/>
      </w:pPr>
      <w:r>
        <w:t xml:space="preserve">Recency is the first defeat for the frontier clock. Chapter 3 foretold that if buildout paces like a frontier, recency ought to bear a positive, sharp coefficient, since the live edge resides in recent work. The coefficient runs positive but small and thoroughly unsharp, its p-value above one half, so the data cannot tell it apart from zero. Recent work bears no systematically greater topic signal than older work once venue and notice are held, which means whatever arranges this corpus, it is no calendar shoving the frontier theme toward the present.</w:t>
      </w:r>
    </w:p>
    <w:p>
      <w:pPr>
        <w:pStyle w:val="BodyText"/>
        <w:spacing w:line="480" w:lineRule="auto"/>
        <w:ind w:firstLine="720"/>
      </w:pPr>
      <w:r>
        <w:t xml:space="preserve">Citation attention is the second defeat, though a gentler one. The coefficient on citation count runs positive, the heading the frontier clock foretells, yet its p-value of roughly 0.16 leaves it shy of conventional significance. Notice and topic signal shift together weakly rather than decisively, so the design cannot claim that more-cited work bears more of the frontier theme. The channel through which a paced field is meant to gather notice on its advancing edge runs, in this corpus, too faint to lean on.</w:t>
      </w:r>
    </w:p>
    <w:p>
      <w:pPr>
        <w:pStyle w:val="BodyText"/>
        <w:spacing w:line="480" w:lineRule="auto"/>
        <w:ind w:firstLine="720"/>
      </w:pPr>
      <w:r>
        <w:t xml:space="preserve">Venue is where the corpus talks clearly, and its sign is as telling as its sharpness. The venue coefficient runs negative and large: topic signal falls by roughly two points for each step up the ranked venue scale, sliding from the applied conference family, through the peer-reviewed journal family, to the policy-and-economy family. The frontier-tempo theme concentrates in the applied technical venues and thins as one slides toward the commercial-and-policy discourse, a straight inversion of a naive reading of the comparison, one that would expect the settlement-and-commerce framing to bear the heaviest frontier signal. The record says the reverse, that the theme runs densest where sensors, debris, and observing geometry are studied, not where economic imperatives are proclaimed.</w:t>
      </w:r>
    </w:p>
    <w:p>
      <w:pPr>
        <w:pStyle w:val="BodyText"/>
        <w:spacing w:line="480" w:lineRule="auto"/>
        <w:ind w:firstLine="720"/>
      </w:pPr>
      <w:r>
        <w:t xml:space="preserve">This pattern squares with the sources peopling the corpus. Governance work frames space situational awareness as an institutional transition rather than a purely technical upgrade</w:t>
      </w:r>
      <w:r>
        <w:t xml:space="preserve"> </w:t>
      </w:r>
      <w:hyperlink w:anchor="ref-1">
        <w:r>
          <w:rPr>
            <w:rStyle w:val="Hyperlink"/>
          </w:rPr>
          <w:t xml:space="preserve">[1]</w:t>
        </w:r>
      </w:hyperlink>
      <w:r>
        <w:t xml:space="preserve">. Lunar surface observatory work shows hardware turning useful only once siting, visibility, and observing geometry are worked out together</w:t>
      </w:r>
      <w:r>
        <w:t xml:space="preserve"> </w:t>
      </w:r>
      <w:hyperlink w:anchor="ref-2">
        <w:r>
          <w:rPr>
            <w:rStyle w:val="Hyperlink"/>
          </w:rPr>
          <w:t xml:space="preserve">[2]</w:t>
        </w:r>
      </w:hyperlink>
      <w:r>
        <w:t xml:space="preserve">. Debris-removal and debris-drift work shows frontier growth carrying buildup effects and legal constraints before settlement reaches any romantic scale</w:t>
      </w:r>
      <w:r>
        <w:t xml:space="preserve"> </w:t>
      </w:r>
      <w:hyperlink w:anchor="ref-3">
        <w:r>
          <w:rPr>
            <w:rStyle w:val="Hyperlink"/>
          </w:rPr>
          <w:t xml:space="preserve">[3]</w:t>
        </w:r>
      </w:hyperlink>
      <w:r>
        <w:t xml:space="preserve"> </w:t>
      </w:r>
      <w:hyperlink w:anchor="ref-4">
        <w:r>
          <w:rPr>
            <w:rStyle w:val="Hyperlink"/>
          </w:rPr>
          <w:t xml:space="preserve">[4]</w:t>
        </w:r>
      </w:hyperlink>
      <w:r>
        <w:t xml:space="preserve">. Sensor-anomaly analytics and resilient networking append the data-infrastructure tier, so buildout tempo hangs on the dependability of sensing, communications, and anomaly detection rather than on launch cadence or commercial zeal alone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venue gradient the model recovers is the statistical shadow of that tiered technical reality.</w:t>
      </w:r>
    </w:p>
    <w:bookmarkEnd w:id="118"/>
    <w:bookmarkStart w:id="119" w:name="the-learning-curve-model"/>
    <w:p>
      <w:pPr>
        <w:pStyle w:val="Heading2"/>
        <w:spacing w:line="480" w:lineRule="auto"/>
      </w:pPr>
      <w:r>
        <w:t xml:space="preserve">The learning-curve model</w:t>
      </w:r>
    </w:p>
    <w:p>
      <w:pPr>
        <w:pStyle w:val="FirstParagraph"/>
        <w:spacing w:line="480" w:lineRule="auto"/>
      </w:pPr>
      <w:r>
        <w:t xml:space="preserve">Paper 2 puts to trial the keenest single forecast in the dissertation, and it fails the frontier clock decisively. The learning-curve model draws on the same thirty records. R2 equals 0.00036980207468340076, the elasticity term equals -0.050014035897689435, and the progress ratio, two raised to that elasticity, equals 0.9659269314311606. The constant is 0.9269952391038995 with a p-value of 0.14400380775409807. The log age term has a coefficient of -0.050014035897689435 with a p-value of 0.9172776515007464.</w:t>
      </w:r>
    </w:p>
    <w:p>
      <w:pPr>
        <w:pStyle w:val="BodyText"/>
        <w:spacing w:line="480" w:lineRule="auto"/>
        <w:ind w:firstLine="720"/>
      </w:pPr>
      <w:r>
        <w:t xml:space="preserve">Read these figures plainly. No curve is there. There never was one. The R2 runs essentially zero, four ten-thousandths, so an article’s age accounts for almost none of the citation buildup in the retrieved corpus. The elasticity runs negative, which points the wrong way for a ripening field, but its p-value of 0.92 means it cannot be told apart from zero in either heading, and the progress ratio sits just below one, implying that a doubling of an article’s age goes with a trivial and statistically meaningless shift in citations. No age-notice curve resides here, and the field shows none of the learning-curve regularity bibliometric analysis recovers from settled domains</w:t>
      </w:r>
      <w:r>
        <w:t xml:space="preserve"> </w:t>
      </w:r>
      <w:hyperlink w:anchor="ref-12">
        <w:r>
          <w:rPr>
            <w:rStyle w:val="Hyperlink"/>
          </w:rPr>
          <w:t xml:space="preserve">[12]</w:t>
        </w:r>
      </w:hyperlink>
      <w:r>
        <w:t xml:space="preserve">. Chapter 3 was flat that a genuine settlement-clock comparison could not outlast an age term carrying no information; the age term carries no information, and the comparison does not outlast it.</w:t>
      </w:r>
    </w:p>
    <w:p>
      <w:pPr>
        <w:pStyle w:val="BodyText"/>
        <w:spacing w:line="480" w:lineRule="auto"/>
        <w:ind w:firstLine="720"/>
      </w:pPr>
      <w:r>
        <w:t xml:space="preserve">The two workbooks converge, and their convergence is the strength of the result. The cross-sectional screen found venue sharp while freshness and notice ran weak, and the learning curve found age uninformative. A fluke pattern in one estimator is unlikely to recur in a structurally unlike one, and here the two structurally unlike estimators agree: the corpus is arranged by institutional seat, not by time. Recent cislunar detection work, resilient networking, and commercial-space analysis reside beside older governance and analytics entries without forming an age-ranked staircase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bookmarkEnd w:id="119"/>
    <w:bookmarkStart w:id="120" w:name="interpreting-the-joint-pattern"/>
    <w:p>
      <w:pPr>
        <w:pStyle w:val="Heading2"/>
        <w:spacing w:line="480" w:lineRule="auto"/>
      </w:pPr>
      <w:r>
        <w:t xml:space="preserve">Interpreting the joint pattern</w:t>
      </w:r>
    </w:p>
    <w:p>
      <w:pPr>
        <w:pStyle w:val="FirstParagraph"/>
        <w:spacing w:line="480" w:lineRule="auto"/>
      </w:pPr>
      <w:r>
        <w:t xml:space="preserve">Scale reframes the question, and the joint pattern answers it one way rather than another. Big-history comparisons hang on sequence, exploration, outpost, infrastructure, commerce, settlement, governance, each landing in order and at pace. The retrieved body of literature backs no clean documentary form of that sequence. Were it to, freshness would run sharp, notice would trail the advancing edge, and age would draw a legible buildup curve, yet none of the three holds. What holds instead is a venue gradient, the signature of a field arranged by where work is done rather than when.</w:t>
      </w:r>
    </w:p>
    <w:p>
      <w:pPr>
        <w:pStyle w:val="BodyText"/>
        <w:spacing w:line="480" w:lineRule="auto"/>
        <w:ind w:firstLine="720"/>
      </w:pPr>
      <w:r>
        <w:t xml:space="preserve">For the dissertation’s composite hypothesis, the null topples only partway, and the slice that topples is diagnostic. Topic signal is systematically bound to venue family, so the null of no relationship is rejected; topic signal is not systematically bound to publication recency or citation attention in this model, and the learning curve shows no meaningful buildup by an article’s age, so the frontier-clock form of the alternative does not survive. The alternative that does survive is a claim about institutional structure, not about temporal quickening, and that distinction is the result.</w:t>
      </w:r>
    </w:p>
    <w:p>
      <w:pPr>
        <w:pStyle w:val="BodyText"/>
        <w:spacing w:line="480" w:lineRule="auto"/>
        <w:ind w:firstLine="720"/>
      </w:pPr>
      <w:r>
        <w:t xml:space="preserve">Sizes reinforce the reading. The venue coefficient is not merely significant; it runs large enough to shift topic signal by roughly two points across the venue range, a substantial slice of the outcome’s reach. The recency and citation coefficients, by contrast, run small on top of being unsharp, so the finding is no case of low power hiding a real effect behind a wide interval. The time channels run faint and shaky. The venue channel runs strong and firm. Lunar base design history lends the interpretive frame, since concepts ripen far ahead of the missions that realize them, so the record cannot be age-ordered into a settlement staircase</w:t>
      </w:r>
      <w:r>
        <w:t xml:space="preserve"> </w:t>
      </w:r>
      <w:hyperlink w:anchor="ref-14">
        <w:r>
          <w:rPr>
            <w:rStyle w:val="Hyperlink"/>
          </w:rPr>
          <w:t xml:space="preserve">[14]</w:t>
        </w:r>
      </w:hyperlink>
      <w:r>
        <w:t xml:space="preserve">.</w:t>
      </w:r>
    </w:p>
    <w:bookmarkEnd w:id="120"/>
    <w:bookmarkStart w:id="121" w:name="Xd379a0fb9c41f92d89cdd8769c7836d236092b3"/>
    <w:p>
      <w:pPr>
        <w:pStyle w:val="Heading2"/>
        <w:spacing w:line="480" w:lineRule="auto"/>
      </w:pPr>
      <w:r>
        <w:t xml:space="preserve">What the results license, and what they forbid</w:t>
      </w:r>
    </w:p>
    <w:p>
      <w:pPr>
        <w:pStyle w:val="FirstParagraph"/>
        <w:spacing w:line="480" w:lineRule="auto"/>
      </w:pPr>
      <w:r>
        <w:t xml:space="preserve">Three cautions close the chapter and bound the claim. First, the model is a document-level screen, no predictive settlement model, so it licenses statements about how the corpus is arranged and forbids statements about when the Moon will be built. Second, the venue score is a proxy for institutional seat, no direct gauge of infrastructure ripeness, so the venue gradient describes discourse structure rather than engineering readiness. Third, the corpus runs small enough, at thirty records, that the result should steer interpretation rather than forecast dates.</w:t>
      </w:r>
    </w:p>
    <w:p>
      <w:pPr>
        <w:pStyle w:val="BodyText"/>
        <w:spacing w:line="480" w:lineRule="auto"/>
        <w:ind w:firstLine="720"/>
      </w:pPr>
      <w:r>
        <w:t xml:space="preserve">Inside those bounds the finding is clear and checkable. Lunar buildout tempo shows up in the written record as a venue-structured governance and infrastructure problem, no recency pattern and no citation-age curve. A projection borrowing a frontier schedule leans on a temporal structure this corpus lacks, while a projection that instead breaks buildout into institutional tiers, governance, sensing, network resilience, debris law, and commercial scaling, leans on the structure the record actually shows</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21"/>
    <w:bookmarkStart w:id="122" w:name="X09eced80a1c9d6f1925327fa0fb57e6b4e1aa0f"/>
    <w:p>
      <w:pPr>
        <w:pStyle w:val="Heading2"/>
        <w:spacing w:line="480" w:lineRule="auto"/>
      </w:pPr>
      <w:r>
        <w:t xml:space="preserve">Reading the fit statistics against the term estimates</w:t>
      </w:r>
    </w:p>
    <w:p>
      <w:pPr>
        <w:pStyle w:val="FirstParagraph"/>
        <w:spacing w:line="480" w:lineRule="auto"/>
      </w:pPr>
      <w:r>
        <w:t xml:space="preserve">A tension in the first workbook repays facing head on, since a careless reader could misread it. The model’s overall fit runs genuinely good for a corpus screen, with an F of 14.655133717707713 and an F_p of 8.726404098061776e-06, yet two of its three predictors run unsharp. How can a model account for a real share of variance while two of its terms cannot be told apart from zero? The answer is that the accounted variance rides almost wholly on one predictor. The venue coefficient of -1.9900138840038053, with its p-value of 1.4999450945665393e-05, does nearly all the labor, and the joint F test comes out significant because that single channel runs strong, not because all three channels chip in. The adjusted R2 of 0.25880285787008417, lower than the raw R2 of 0.3354784242973169, mirrors the penalty for hauling two predictors that add little.</w:t>
      </w:r>
    </w:p>
    <w:p>
      <w:pPr>
        <w:pStyle w:val="BodyText"/>
        <w:spacing w:line="480" w:lineRule="auto"/>
        <w:ind w:firstLine="720"/>
      </w:pPr>
      <w:r>
        <w:t xml:space="preserve">This decomposition matters for the reading because it rules out a charitable reading of the recency and citation nulls. One might hope recency and notice chip in jointly even if neither runs individually sharp, and the fit statistics say otherwise. Drop the venue channel and the model’s explanatory power would fold toward the recency-and-citation residual, which the term estimates show to be small. The structure in this corpus is no diffuse blend of three weak channels; it is one strong venue channel and two mute time channels, a cleaner and more decisive result than a merely significant F would hint on its own.</w:t>
      </w:r>
    </w:p>
    <w:bookmarkEnd w:id="122"/>
    <w:bookmarkStart w:id="123" w:name="X72003fb3e4dac022e8957f56f38907255c35526"/>
    <w:p>
      <w:pPr>
        <w:pStyle w:val="Heading2"/>
        <w:spacing w:line="480" w:lineRule="auto"/>
      </w:pPr>
      <w:r>
        <w:t xml:space="preserve">Why the negative venue sign is the substantive core</w:t>
      </w:r>
    </w:p>
    <w:p>
      <w:pPr>
        <w:pStyle w:val="FirstParagraph"/>
        <w:spacing w:line="480" w:lineRule="auto"/>
      </w:pPr>
      <w:r>
        <w:t xml:space="preserve">One sign, that of the venue coefficient, carries more meaning than its sharpness, and it repays saying why. A negative gradient of roughly two signal points per venue step says the frontier theme runs densest in the applied conference family, coded one, and thinnest in the policy-and-economy family, coded three, the journal family between. The naive reading of a frontier comparison would expect the reverse, since the settlement-and-commerce framing ruling the policy discourse is where the romantic frontier language dwells</w:t>
      </w:r>
      <w:r>
        <w:t xml:space="preserve"> </w:t>
      </w:r>
      <w:hyperlink w:anchor="ref-9">
        <w:r>
          <w:rPr>
            <w:rStyle w:val="Hyperlink"/>
          </w:rPr>
          <w:t xml:space="preserve">[9]</w:t>
        </w:r>
      </w:hyperlink>
      <w:r>
        <w:t xml:space="preserve">. The record inverts that expectation, concentrating the theme where sensors, debris dynamics, and observing geometry are the working vocabulary rather than where economic imperatives are proclaimed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inversion is the substantive core of the whole dissertation, and it alters what the frontier comparison can honestly serve. The technical tiers, not the commercial narrative, bear the gaugeable frontier signal, which squares with a field in which the hard, tiered problems of rendering the cislunar volume legible and safe are the real frontier, while the settlement rhetoric is a thinner overlay</w:t>
      </w:r>
      <w:r>
        <w:t xml:space="preserve"> </w:t>
      </w:r>
      <w:hyperlink w:anchor="ref-1">
        <w:r>
          <w:rPr>
            <w:rStyle w:val="Hyperlink"/>
          </w:rPr>
          <w:t xml:space="preserve">[1]</w:t>
        </w:r>
      </w:hyperlink>
      <w:r>
        <w:t xml:space="preserve"> </w:t>
      </w:r>
      <w:hyperlink w:anchor="ref-6">
        <w:r>
          <w:rPr>
            <w:rStyle w:val="Hyperlink"/>
          </w:rPr>
          <w:t xml:space="preserve">[6]</w:t>
        </w:r>
      </w:hyperlink>
      <w:r>
        <w:t xml:space="preserve">. A projection treating the commercial-imperative discourse as the leading edge of buildout is reading the record backward, since the leading edge, by the gauge of topic-signal density, sits in the applied technical work.</w:t>
      </w:r>
    </w:p>
    <w:bookmarkEnd w:id="123"/>
    <w:bookmarkStart w:id="124" w:name="the-learning-curve-as-the-decisive-test"/>
    <w:p>
      <w:pPr>
        <w:pStyle w:val="Heading2"/>
        <w:spacing w:line="480" w:lineRule="auto"/>
      </w:pPr>
      <w:r>
        <w:t xml:space="preserve">The learning curve as the decisive test</w:t>
      </w:r>
    </w:p>
    <w:p>
      <w:pPr>
        <w:pStyle w:val="FirstParagraph"/>
        <w:spacing w:line="480" w:lineRule="auto"/>
      </w:pPr>
      <w:r>
        <w:t xml:space="preserve">The learning-curve result merits stress as the single most decisive figure in the study. An R2 of 0.00036980207468340076 is no weak result but a near-total absence of relationship, age accounting for roughly four ten-thousandths of the swing in citation buildup. The elasticity of -0.050014035897689435, with a p-value of 0.9172776515007464, cannot be told apart from zero, and its progress ratio of 0.9659269314311606 sits so close to one that a doubling of an article’s age goes with essentially no shift in citations. A settled, paced field would throw off nothing like this, since settled fields throw off legible buildup curves, which is why the estimator was picked to recover one had it existed</w:t>
      </w:r>
      <w:r>
        <w:t xml:space="preserve"> </w:t>
      </w:r>
      <w:hyperlink w:anchor="ref-12">
        <w:r>
          <w:rPr>
            <w:rStyle w:val="Hyperlink"/>
          </w:rPr>
          <w:t xml:space="preserve">[12]</w:t>
        </w:r>
      </w:hyperlink>
      <w:r>
        <w:t xml:space="preserve">.</w:t>
      </w:r>
    </w:p>
    <w:p>
      <w:pPr>
        <w:pStyle w:val="BodyText"/>
        <w:spacing w:line="480" w:lineRule="auto"/>
        <w:ind w:firstLine="720"/>
      </w:pPr>
      <w:r>
        <w:t xml:space="preserve">The absence is decisive because it shuts the escape route the cross-sectional nulls left ajar. One might argue recency looked mute in the first workbook only because venue soaked up the time structure, yet the learning curve tries time in isolation, with no venue or citation term vying for variance, and time still bears nothing. Both approaches to the temporal question, jointly in the cross-section and alone in the learning curve, hand back the same verdict: the frontier clock’s central forecast, an age-graded buildup of notice, is simply absent from this corpus, and the two workbooks agree on its absence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24"/>
    <w:bookmarkStart w:id="125" w:name="Xdb3d17032cdeb209dce0dc6e11d72e75e58280c"/>
    <w:p>
      <w:pPr>
        <w:pStyle w:val="Heading2"/>
        <w:spacing w:line="480" w:lineRule="auto"/>
      </w:pPr>
      <w:r>
        <w:t xml:space="preserve">Mapping the coefficients back to the sources</w:t>
      </w:r>
    </w:p>
    <w:p>
      <w:pPr>
        <w:pStyle w:val="FirstParagraph"/>
        <w:spacing w:line="480" w:lineRule="auto"/>
      </w:pPr>
      <w:r>
        <w:t xml:space="preserve">The value of an auditable chain is that each coefficient can be read against the rows that spawned it, and doing so renders the figures concrete rather than abstract. The negative venue gradient answers to a visible fact about the corpus: the applied conference entries, the governance analysis, the surface observatory study, the debris-removal legal work, and the cislunar detection work, bear the densest topic signal, while the policy-and-economy roadmap and imperative documents bear the thinnest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 A reader can walk from the coefficient of -1.9900138840038053 to those rows and see the gradient in the raw signal numbers before any model is fit, which means the estimate conjures no structure but summarizes a pattern already present in the record.</w:t>
      </w:r>
    </w:p>
    <w:p>
      <w:pPr>
        <w:pStyle w:val="BodyText"/>
        <w:spacing w:line="480" w:lineRule="auto"/>
        <w:ind w:firstLine="720"/>
      </w:pPr>
      <w:r>
        <w:t xml:space="preserve">The learning-curve null maps back just as cleanly. Most entries report zero citations, so their citations-plus-one value is one, and they sit at the floor of the outcome whatever their age. The notice that does exist sits concentrated in a few journal entries, and one older article on the turn from new space to big space carries a citation tally far above every other row</w:t>
      </w:r>
      <w:r>
        <w:t xml:space="preserve"> </w:t>
      </w:r>
      <w:hyperlink w:anchor="ref-9">
        <w:r>
          <w:rPr>
            <w:rStyle w:val="Hyperlink"/>
          </w:rPr>
          <w:t xml:space="preserve">[9]</w:t>
        </w:r>
      </w:hyperlink>
      <w:r>
        <w:t xml:space="preserve">. Because that high-notice entry is old, it might seem to back a positive age elasticity, but it stands alone; other old entries carry no citations, and several recent entries carry more than their contemporaries. The upshot is that age and notice fail to line up, exactly why the elasticity of -0.050014035897689435 lands near zero with a p-value of 0.9172776515007464. The figure is the corpus. Nothing more, summarized.</w:t>
      </w:r>
    </w:p>
    <w:bookmarkEnd w:id="125"/>
    <w:bookmarkStart w:id="126" w:name="X6d23d152dd2d09d68df546f9029402b9d7665b5"/>
    <w:p>
      <w:pPr>
        <w:pStyle w:val="Heading2"/>
        <w:spacing w:line="480" w:lineRule="auto"/>
      </w:pPr>
      <w:r>
        <w:t xml:space="preserve">What a defender of the analogy could still say</w:t>
      </w:r>
    </w:p>
    <w:p>
      <w:pPr>
        <w:pStyle w:val="FirstParagraph"/>
        <w:spacing w:line="480" w:lineRule="auto"/>
      </w:pPr>
      <w:r>
        <w:t xml:space="preserve">Fairness demands putting the strongest reply on offer to someone committed to the frontier clock, since a result gains credibility once it has faced its best objection. A defender could argue the corpus runs too small and too coarsely gauged to spot a frontier clock that all the same exists in the field, and that the recency and citation nulls mirror low power rather than true absence. This objection holds force for the two cross-sectional nulls, and Chapter 7 grants it, treating those nulls as absence of evidence rather than evidence of absence. The venue result resists the objection, since low power makes sharp coefficients harder to find, not easier, and the venue coefficient runs sharp to fifteen in a million despite the small sample</w:t>
      </w:r>
      <w:r>
        <w:t xml:space="preserve"> </w:t>
      </w:r>
      <w:hyperlink w:anchor="ref-2">
        <w:r>
          <w:rPr>
            <w:rStyle w:val="Hyperlink"/>
          </w:rPr>
          <w:t xml:space="preserve">[2]</w:t>
        </w:r>
      </w:hyperlink>
      <w:r>
        <w:t xml:space="preserve">.</w:t>
      </w:r>
    </w:p>
    <w:p>
      <w:pPr>
        <w:pStyle w:val="BodyText"/>
        <w:spacing w:line="480" w:lineRule="auto"/>
        <w:ind w:firstLine="720"/>
      </w:pPr>
      <w:r>
        <w:t xml:space="preserve">The learning-curve result resists the objection most firmly of all. Low power widens intervals and shoves p-values up, but it does not by itself drive an R2 to four ten-thousandths, since a near-zero R2 is no unsharp estimate of a real curve but the near-total absence of any curve to estimate</w:t>
      </w:r>
      <w:r>
        <w:t xml:space="preserve"> </w:t>
      </w:r>
      <w:hyperlink w:anchor="ref-12">
        <w:r>
          <w:rPr>
            <w:rStyle w:val="Hyperlink"/>
          </w:rPr>
          <w:t xml:space="preserve">[12]</w:t>
        </w:r>
      </w:hyperlink>
      <w:r>
        <w:t xml:space="preserve">. A defender would have to argue that a genuine age-notice curve exists in the field yet stays wholly invisible in a corpus expressly assembled to hold the field’s foundational and recent work across an eleven-year window, and that is a hard position to keep. The honest reading is that the frontier clock’s cross-sectional forecasts fail with a caveat about power, and its central learning-curve forecast fails without one, and the venue-structured alternative outlasts both</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next chapter takes up what that means and where the inference could break.</w:t>
      </w:r>
    </w:p>
    <w:bookmarkEnd w:id="126"/>
    <w:bookmarkEnd w:id="127"/>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A result is worth only the reading it can outlast. A feeble reading drowns strong figures. This chapter takes the findings of Chapter 6 and asks three things of them: what they mean for the frontier-tempo question, where the inference could break, and what the data simply cannot reveal. The tone runs deliberately deflationary in spots, since a document-level screen that topples a settlement clock has earned a modest voice rather than a crowing one.</w:t>
      </w:r>
    </w:p>
    <w:bookmarkStart w:id="128" w:name="what-the-findings-mean"/>
    <w:p>
      <w:pPr>
        <w:pStyle w:val="Heading2"/>
        <w:spacing w:line="480" w:lineRule="auto"/>
      </w:pPr>
      <w:r>
        <w:t xml:space="preserve">What the findings mean</w:t>
      </w:r>
    </w:p>
    <w:p>
      <w:pPr>
        <w:pStyle w:val="FirstParagraph"/>
        <w:spacing w:line="480" w:lineRule="auto"/>
      </w:pPr>
      <w:r>
        <w:t xml:space="preserve">A central finding threads through both workbooks: the retrieved cislunar body of literature is arranged by institutional seat rather than by time. Outlet family bore a large, sharp tie to thematic pull, while freshness and citation notice did not, and an article’s age bore essentially no information about citation buildup. Read whole, the two workbooks say the frontier theme concentrates in the applied technical venues and thins toward the policy-and-economy discourse, and that the field shows no age-notice curve of the kind a ripening, paced domain would throw off</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meaning for buildout projections follows straight. When a projection borrows a frontier schedule, it lifts the premise that ripeness comes in a settled order at a knowable rate, and that the writing tracking buildout will therefore be paced. This corpus is not paced. Not remotely. The theme sits across outlets without an age ordering, exactly what one expects when governance, sensing, debris management, and commercial scaling each ripen on their own rhythm rather than on a shared clock. The debris writing renders the point concrete, since legal duty gathers as an unbroken pressure rather than as a tardy settlement stage, so it cannot be slotted into a frontier sequence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A projection treating governance as the capstone of a settlement staircase has the order wrong.</w:t>
      </w:r>
    </w:p>
    <w:p>
      <w:pPr>
        <w:pStyle w:val="BodyText"/>
        <w:spacing w:line="480" w:lineRule="auto"/>
        <w:ind w:firstLine="720"/>
      </w:pPr>
      <w:r>
        <w:t xml:space="preserve">A constructive reading is on offer as well, and it repays stating so the chapter is no mere teardown. The venue gradient is itself usable, telling planners where the frontier theme currently dwells, which is in the applied technical work on observing geometry, sensor dependability, and networked awareness rather than in the commercial-imperative discourse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big-history comparison is thereby no dead weight. It turns useful once broken into the institutional tiers the record actually holds and put to work as a diagnostic contrast rather than a schedule: which tier ripens first, which trails, which data systems render the frontier visible, and which commercial activity scales ahead of its safety rules</w:t>
      </w:r>
      <w:r>
        <w:t xml:space="preserve"> </w:t>
      </w:r>
      <w:hyperlink w:anchor="ref-9">
        <w:r>
          <w:rPr>
            <w:rStyle w:val="Hyperlink"/>
          </w:rPr>
          <w:t xml:space="preserve">[9]</w:t>
        </w:r>
      </w:hyperlink>
      <w:r>
        <w:t xml:space="preserve">.</w:t>
      </w:r>
    </w:p>
    <w:bookmarkEnd w:id="128"/>
    <w:bookmarkStart w:id="129" w:name="threats-to-validity"/>
    <w:p>
      <w:pPr>
        <w:pStyle w:val="Heading2"/>
        <w:spacing w:line="480" w:lineRule="auto"/>
      </w:pPr>
      <w:r>
        <w:t xml:space="preserve">Threats to validity</w:t>
      </w:r>
    </w:p>
    <w:p>
      <w:pPr>
        <w:pStyle w:val="FirstParagraph"/>
        <w:spacing w:line="480" w:lineRule="auto"/>
      </w:pPr>
      <w:r>
        <w:t xml:space="preserve">Measurement of the outcome is the first threat. The thematic-pull number is a deterministic tally of theme terms across source metadata, picked for repeatability, but a term tally is a coarse proxy for how hard a source engages the frontier-tempo theme, and stand-in error of this kind shrinks ties toward zero. That cuts two ways for the argument. It means the weak freshness and citation coefficients could in principle mirror measurement noise rather than a true absence of structure, so the failure of the frontier clock on those two channels should be held with fitting caution; it also means the venue finding runs if anything conservative, since a noisy outcome makes a large, sharp coefficient harder to win, not easier</w:t>
      </w:r>
      <w:r>
        <w:t xml:space="preserve"> </w:t>
      </w:r>
      <w:hyperlink w:anchor="ref-5">
        <w:r>
          <w:rPr>
            <w:rStyle w:val="Hyperlink"/>
          </w:rPr>
          <w:t xml:space="preserve">[5]</w:t>
        </w:r>
      </w:hyperlink>
      <w:r>
        <w:t xml:space="preserve">.</w:t>
      </w:r>
    </w:p>
    <w:p>
      <w:pPr>
        <w:pStyle w:val="BodyText"/>
        <w:spacing w:line="480" w:lineRule="auto"/>
        <w:ind w:firstLine="720"/>
      </w:pPr>
      <w:r>
        <w:t xml:space="preserve">Ranked venue coding is the second threat. Handing one, two, and three to the three outlet families lays equal spacing the underlying institutional reality may not honor, so should the true gap between the applied and journal families differ from the gap between the journal and policy families, the venue coefficient is a blend of a real gradient and a coding artifact. The finding should be read as evidence of a venue gradient rather than a precise per-step effect. A design with more entries could swap the ranked score for a full set of venue indicators and test the spacing straight, but a thirty-record sample cannot spare the degrees of freedom, so the ranked coding stays and its constraint gets confessed</w:t>
      </w:r>
      <w:r>
        <w:t xml:space="preserve"> </w:t>
      </w:r>
      <w:hyperlink w:anchor="ref-3">
        <w:r>
          <w:rPr>
            <w:rStyle w:val="Hyperlink"/>
          </w:rPr>
          <w:t xml:space="preserve">[3]</w:t>
        </w:r>
      </w:hyperlink>
      <w:r>
        <w:t xml:space="preserve">.</w:t>
      </w:r>
    </w:p>
    <w:p>
      <w:pPr>
        <w:pStyle w:val="BodyText"/>
        <w:spacing w:line="480" w:lineRule="auto"/>
        <w:ind w:firstLine="720"/>
      </w:pPr>
      <w:r>
        <w:t xml:space="preserve">Citation measurement is the third threat. The tallies are local index figures, not universal citation totals, and their spread is ruled by a few journal entries, with one older article carrying a tally far above the rest</w:t>
      </w:r>
      <w:r>
        <w:t xml:space="preserve"> </w:t>
      </w:r>
      <w:hyperlink w:anchor="ref-9">
        <w:r>
          <w:rPr>
            <w:rStyle w:val="Hyperlink"/>
          </w:rPr>
          <w:t xml:space="preserve">[9]</w:t>
        </w:r>
      </w:hyperlink>
      <w:r>
        <w:t xml:space="preserve">, so the learning-curve estimate runs touchy to a handful of high-leverage points. The near-zero, unsharp age elasticity could mirror either a genuine absence of an age-notice curve or the trouble of fitting a curve when notice sits concentrated in so few entries. Both readings point the same way for the frontier clock, since neither hands over the positive, sharp elasticity the comparison demands, but the mechanism behind the null matters for how confidently it can be stretched.</w:t>
      </w:r>
    </w:p>
    <w:p>
      <w:pPr>
        <w:pStyle w:val="BodyText"/>
        <w:spacing w:line="480" w:lineRule="auto"/>
        <w:ind w:firstLine="720"/>
      </w:pPr>
      <w:r>
        <w:t xml:space="preserve">Sample size is the fourth threat. Thirty entries is a small sample, and small samples throw off fragile coefficients and wide intervals. The venue result runs sharp enough to outlast this worry, with a p-value near fifteen in a million, but the freshness and citation nulls are exactly the sort of result low power can manufacture. An absence of evidence on those channels is no strong evidence of absence, so the honest statement is that the corpus shows no freshness or notice structure, not that no such structure exists in the wider field.</w:t>
      </w:r>
    </w:p>
    <w:bookmarkEnd w:id="129"/>
    <w:bookmarkStart w:id="130" w:name="confounding-and-identification-limits"/>
    <w:p>
      <w:pPr>
        <w:pStyle w:val="Heading2"/>
        <w:spacing w:line="480" w:lineRule="auto"/>
      </w:pPr>
      <w:r>
        <w:t xml:space="preserve">Confounding and identification limits</w:t>
      </w:r>
    </w:p>
    <w:p>
      <w:pPr>
        <w:pStyle w:val="FirstParagraph"/>
        <w:spacing w:line="480" w:lineRule="auto"/>
      </w:pPr>
      <w:r>
        <w:t xml:space="preserve">Chapter 4 was flat that the estimators pin down conditional ties in the retrieved body of literature, not causal effects, and the discussion must not quietly upgrade them. The venue coefficient does not mean that moving a paper to a different outlet would move its thematic pull; it means outlet family and thematic pull co-move in a patterned way within this sample. Unobserved traits riding along with outlet, such as the disciplinary conventions shaping how metadata gets written, could drive part of the tie, and the design cannot part a genuine institutional gradient from these outlet-correlated writing conventions, nor does it claim to</w:t>
      </w:r>
      <w:r>
        <w:t xml:space="preserve"> </w:t>
      </w:r>
      <w:hyperlink w:anchor="ref-1">
        <w:r>
          <w:rPr>
            <w:rStyle w:val="Hyperlink"/>
          </w:rPr>
          <w:t xml:space="preserve">[1]</w:t>
        </w:r>
      </w:hyperlink>
      <w:r>
        <w:t xml:space="preserve">.</w:t>
      </w:r>
    </w:p>
    <w:p>
      <w:pPr>
        <w:pStyle w:val="BodyText"/>
        <w:spacing w:line="480" w:lineRule="auto"/>
        <w:ind w:firstLine="720"/>
      </w:pPr>
      <w:r>
        <w:t xml:space="preserve">A retrieval-selection worry likewise sits upstream of every coefficient. The source set is a retrieval peculiar to this candidate, not a random or comprehensive sample of the cislunar writing, so should the retrieval itself have favored certain outlets for certain themes, the venue gradient could partly mirror how the corpus was gathered rather than how the field is arranged. This is the gravest bound on external validity, and it cannot be settled within the present design; it can only be flagged and handed to a future study built on an explicit sampling frame</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30"/>
    <w:bookmarkStart w:id="131" w:name="what-the-data-cannot-show"/>
    <w:p>
      <w:pPr>
        <w:pStyle w:val="Heading2"/>
        <w:spacing w:line="480" w:lineRule="auto"/>
      </w:pPr>
      <w:r>
        <w:t xml:space="preserve">What the data cannot show</w:t>
      </w:r>
    </w:p>
    <w:p>
      <w:pPr>
        <w:pStyle w:val="FirstParagraph"/>
        <w:spacing w:line="480" w:lineRule="auto"/>
      </w:pPr>
      <w:r>
        <w:t xml:space="preserve">Some questions lie simply out of reach, and naming them belongs to an honest inference. The data cannot reveal when lunar buildout will happen, in what order its physical stages will land, or whether any particular architecture will succeed, since those are mission questions calling for telemetry, procurement figures, and engineering-readiness numbers a document-level screen lacks</w:t>
      </w:r>
      <w:r>
        <w:t xml:space="preserve"> </w:t>
      </w:r>
      <w:hyperlink w:anchor="ref-14">
        <w:r>
          <w:rPr>
            <w:rStyle w:val="Hyperlink"/>
          </w:rPr>
          <w:t xml:space="preserve">[14]</w:t>
        </w:r>
      </w:hyperlink>
      <w:r>
        <w:t xml:space="preserve">. The regolith-engineering and landing-gear literatures are reminders that even the material and mechanical basics of buildout stay open research problems whose readiness a corpus screen cannot judge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data likewise cannot settle the deeper cultural question the comparison writing raises. Ethnographic work on how frontier imagination gets made and sustained hints that frontier tempo may be partly a rhetorical build</w:t>
      </w:r>
      <w:r>
        <w:t xml:space="preserve"> </w:t>
      </w:r>
      <w:hyperlink w:anchor="ref-11">
        <w:r>
          <w:rPr>
            <w:rStyle w:val="Hyperlink"/>
          </w:rPr>
          <w:t xml:space="preserve">[11]</w:t>
        </w:r>
      </w:hyperlink>
      <w:r>
        <w:t xml:space="preserve">, and the sustainability writing holds that buildout carries cultural and bi-cultural duties no metadata tally can gauge</w:t>
      </w:r>
      <w:r>
        <w:t xml:space="preserve"> </w:t>
      </w:r>
      <w:hyperlink w:anchor="ref-15">
        <w:r>
          <w:rPr>
            <w:rStyle w:val="Hyperlink"/>
          </w:rPr>
          <w:t xml:space="preserve">[15]</w:t>
        </w:r>
      </w:hyperlink>
      <w:r>
        <w:t xml:space="preserve">. This dissertation can show the written record lacks the temporal structure the frontier clock foretells; it cannot show whether the frontier narrative is true, false, or a serviceable fiction. That is a bound of the method, no gap to be papered over, and the concluding chapter treats it as an invitation rather than a defeat</w:t>
      </w:r>
      <w:r>
        <w:t xml:space="preserve"> </w:t>
      </w:r>
      <w:hyperlink w:anchor="ref-10">
        <w:r>
          <w:rPr>
            <w:rStyle w:val="Hyperlink"/>
          </w:rPr>
          <w:t xml:space="preserve">[10]</w:t>
        </w:r>
      </w:hyperlink>
      <w:r>
        <w:t xml:space="preserve">.</w:t>
      </w:r>
    </w:p>
    <w:bookmarkEnd w:id="131"/>
    <w:bookmarkStart w:id="132" w:name="weighing-the-evidence"/>
    <w:p>
      <w:pPr>
        <w:pStyle w:val="Heading2"/>
        <w:spacing w:line="480" w:lineRule="auto"/>
      </w:pPr>
      <w:r>
        <w:t xml:space="preserve">Weighing the evidence</w:t>
      </w:r>
    </w:p>
    <w:p>
      <w:pPr>
        <w:pStyle w:val="FirstParagraph"/>
        <w:spacing w:line="480" w:lineRule="auto"/>
      </w:pPr>
      <w:r>
        <w:t xml:space="preserve">Set the threats against the findings and the balance runs clear enough to act on, within bounds. The frontier-clock forecast failed on every channel it staked a claim to: freshness unsharp, notice shy of significance, age elasticity indistinguishable from zero. Several of those failures could be softened by measurement noise or low power, so the toppling of the clock is a document-level toppling held with stated caution rather than a universal verdict. The venue finding, by contrast, runs large, sharp, and in keeping with the tiered technical reality the sources describe, and it outlasts the likeliest threats. The defensible conclusion is that this corpus runs venue-structured rather than time-paced, and that lunar buildout projections should treat frontier comparisons as tiered diagnostics rather than schedules.</w:t>
      </w:r>
    </w:p>
    <w:bookmarkEnd w:id="132"/>
    <w:bookmarkStart w:id="133" w:name="X37bd9fb0507134dc9363fffc96f0f58091941ca"/>
    <w:p>
      <w:pPr>
        <w:pStyle w:val="Heading2"/>
        <w:spacing w:line="480" w:lineRule="auto"/>
      </w:pPr>
      <w:r>
        <w:t xml:space="preserve">Alternative explanations for the venue result</w:t>
      </w:r>
    </w:p>
    <w:p>
      <w:pPr>
        <w:pStyle w:val="FirstParagraph"/>
        <w:spacing w:line="480" w:lineRule="auto"/>
      </w:pPr>
      <w:r>
        <w:t xml:space="preserve">Intellectual candor demands taking seriously the ways the venue finding could run less interesting than it looks. The first alternative is that the venue gradient is an artifact of the thematic-pull proxy rather than a fact about the field. Because the proxy tallies theme terms in metadata, and because applied conference sources write metadata drenched in the tallied technical terms, the gradient could gauge writing conventions rather than genuine thematic concentration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is a real worry, and the design cannot fully part the two. What can be said is that writing conventions are themselves a trait of institutional stratification, so should unlike outlet families systematically write about the frontier theme in unlike vocabularies, that is a form of the very stratification the dissertation claims, even if it is not the strongest form.</w:t>
      </w:r>
    </w:p>
    <w:p>
      <w:pPr>
        <w:pStyle w:val="BodyText"/>
        <w:spacing w:line="480" w:lineRule="auto"/>
        <w:ind w:firstLine="720"/>
      </w:pPr>
      <w:r>
        <w:t xml:space="preserve">A second alternative is reverse construction. Perhaps the venue coding and the thematic-pull number are not independent, so the gradient is partly built in by how the two variables were defined, and the build argues against this. Venue family is coded from the source’s institutional seat, and thematic pull is tallied from theme terms in the source’s own metadata, so the two draw on different fields of the record. They could still correlate for substantive reasons, which is the finding, but they are not by definition linked, and a reader can verify this by inspecting the rows, which is why the audit trail was built</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A third alternative is that the whole result rides on the makeup of the retrieval. Should the source set have happened to draw high-signal technical work from conferences and low-signal work from policy venues, the gradient would mirror the retrieval rather than the field. This is the retrieval-selection worry in another guise, and it is the alternative the present design can least rule out. It is also the clearest specification for the future work Chapter 8 proposes, a study built on an explicit sampling frame rather than a retrieval peculiar to this candidate</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133"/>
    <w:bookmarkStart w:id="134" w:name="the-value-of-a-partial-rejection"/>
    <w:p>
      <w:pPr>
        <w:pStyle w:val="Heading2"/>
        <w:spacing w:line="480" w:lineRule="auto"/>
      </w:pPr>
      <w:r>
        <w:t xml:space="preserve">The value of a partial rejection</w:t>
      </w:r>
    </w:p>
    <w:p>
      <w:pPr>
        <w:pStyle w:val="FirstParagraph"/>
        <w:spacing w:line="480" w:lineRule="auto"/>
      </w:pPr>
      <w:r>
        <w:t xml:space="preserve">It would be easy to read a partial toppling as a letdown, a study that neither confirmed nor cleanly refuted its hypothesis, and that reading mistakes the design. The hypotheses were built so a partial toppling is the most telling outcome on offer, since it tells us which tier of structure the record backs. A full toppling of the null would have said the corpus is unstructured noise, which no one believes and which would teach nothing, and a full confirmation of the frontier clock would have vindicated the comparison, which would have surprised given the technical writing. The actual result, venue structure present and time structure absent, is the outcome that tells the two rival mechanisms apart most keenly</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This is why the dissertation treats the surviving alternative as a finding rather than a consolation. The claim that lunar buildout writing is arranged by institutional seat rather than by a settlement clock is a substantive, falsifiable position about how the field works, and it was reached by letting two workbooks contend the mechanisms against each other rather than by presuming either. A study that can only ever confirm its prior is no trial; this one could have found the frontier clock and did not, and the heading of what it found instead is what makes it worth reporting</w:t>
      </w:r>
      <w:r>
        <w:t xml:space="preserve"> </w:t>
      </w:r>
      <w:hyperlink w:anchor="ref-6">
        <w:r>
          <w:rPr>
            <w:rStyle w:val="Hyperlink"/>
          </w:rPr>
          <w:t xml:space="preserve">[6]</w:t>
        </w:r>
      </w:hyperlink>
      <w:r>
        <w:t xml:space="preserve">.</w:t>
      </w:r>
    </w:p>
    <w:bookmarkEnd w:id="134"/>
    <w:bookmarkStart w:id="135" w:name="X333c5ba4f16905ab781488c9d2d6f5736c51dde"/>
    <w:p>
      <w:pPr>
        <w:pStyle w:val="Heading2"/>
        <w:spacing w:line="480" w:lineRule="auto"/>
      </w:pPr>
      <w:r>
        <w:t xml:space="preserve">Generalization: what travels beyond this corpus</w:t>
      </w:r>
    </w:p>
    <w:p>
      <w:pPr>
        <w:pStyle w:val="FirstParagraph"/>
        <w:spacing w:line="480" w:lineRule="auto"/>
      </w:pPr>
      <w:r>
        <w:t xml:space="preserve">The hardest question a document-level study faces is how far its result travels, and the answer here has to be carefully bounded. Strictly, every coefficient describes the thirty-record retrieval and nothing beyond. The venue gradient is a trait of this corpus, recovered under this measurement, and stretching it to the full cislunar writing would demand a sampling frame the study lacks. That is the conservative reading, and it is the right one for any strong claim, since nothing in the results licenses a statement about the population of all cislunar buildout documents.</w:t>
      </w:r>
    </w:p>
    <w:p>
      <w:pPr>
        <w:pStyle w:val="BodyText"/>
        <w:spacing w:line="480" w:lineRule="auto"/>
        <w:ind w:firstLine="720"/>
      </w:pPr>
      <w:r>
        <w:t xml:space="preserve">A more permissive reading is on offer for weaker claims, and it repays stating precisely so it is not overreached. The venue gradient squares with, and is foretold by, a substantive account of the field, institutional stratification, that draws independent backing from the governance, technical, and commercial-scaling literatures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When an empirical pattern in a sample coincides with the forecast of a theory prompted by other evidence entirely, the pattern gains a measure of credibility beyond the sample, not as proof but as corroboration. The claim that travels is thus modest: the retrieved body of literature behaves as institutional stratification foretells and as the frontier clock does not, and that coincidence is one more brick in a wall other literatures were already raising. The claim that does not travel is any assertion about the field whole, which awaits a sampled design.</w:t>
      </w:r>
    </w:p>
    <w:bookmarkEnd w:id="135"/>
    <w:bookmarkStart w:id="136" w:name="X82999133ea2ebd78bf64ad73cf8ce0f79bb6d39"/>
    <w:p>
      <w:pPr>
        <w:pStyle w:val="Heading2"/>
        <w:spacing w:line="480" w:lineRule="auto"/>
      </w:pPr>
      <w:r>
        <w:t xml:space="preserve">Implications of the threats for how the result should be used</w:t>
      </w:r>
    </w:p>
    <w:p>
      <w:pPr>
        <w:pStyle w:val="FirstParagraph"/>
        <w:spacing w:line="480" w:lineRule="auto"/>
      </w:pPr>
      <w:r>
        <w:t xml:space="preserve">Taking the threats seriously alters how a planner should use the finding, and spelling that out keeps the discussion honest about its own bounds. The venue result runs robust enough to inform where the field’s gaugeable frontier signal concentrates, which is the applied technical tiers, and a planner can reasonably treat that as a cue about where readiness work is most active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time nulls run not robust enough to prove no temporal structure exists in the wider field, so a planner should not read them as license to shrug off timing entirely; they show only that this corpus carries no settlement clock. The fitting use is lopsided: lean on the venue finding, and hold the time nulls as suggestive rather than dispositive.</w:t>
      </w:r>
    </w:p>
    <w:p>
      <w:pPr>
        <w:pStyle w:val="BodyText"/>
        <w:spacing w:line="480" w:lineRule="auto"/>
        <w:ind w:firstLine="720"/>
      </w:pPr>
      <w:r>
        <w:t xml:space="preserve">This lopsidedness is itself a contribution, since it models the kind of calibrated inference tempo debates in space policy usually lack. A frontier comparison courts all-or-nothing thinking, either the clock is real or the frontier is a fantasy, and the disciplined reading the threats force is neither. It says the record backs a venue-structured account with confidence, casts doubt on the settlement-clock account with a stated caveat about power, and hands the wider field to a future sampled study</w:t>
      </w:r>
      <w:r>
        <w:t xml:space="preserve"> </w:t>
      </w:r>
      <w:hyperlink w:anchor="ref-8">
        <w:r>
          <w:rPr>
            <w:rStyle w:val="Hyperlink"/>
          </w:rPr>
          <w:t xml:space="preserve">[8]</w:t>
        </w:r>
      </w:hyperlink>
      <w:r>
        <w:t xml:space="preserve"> </w:t>
      </w:r>
      <w:hyperlink w:anchor="ref-12">
        <w:r>
          <w:rPr>
            <w:rStyle w:val="Hyperlink"/>
          </w:rPr>
          <w:t xml:space="preserve">[12]</w:t>
        </w:r>
      </w:hyperlink>
      <w:r>
        <w:t xml:space="preserve">. Holding those three positions at once is harder than picking a side, and it is the posture the evidence actually warrants.</w:t>
      </w:r>
    </w:p>
    <w:bookmarkEnd w:id="136"/>
    <w:bookmarkStart w:id="137" w:name="what-a-replication-would-need-to-change"/>
    <w:p>
      <w:pPr>
        <w:pStyle w:val="Heading2"/>
        <w:spacing w:line="480" w:lineRule="auto"/>
      </w:pPr>
      <w:r>
        <w:t xml:space="preserve">What a replication would need to change</w:t>
      </w:r>
    </w:p>
    <w:p>
      <w:pPr>
        <w:pStyle w:val="FirstParagraph"/>
        <w:spacing w:line="480" w:lineRule="auto"/>
      </w:pPr>
      <w:r>
        <w:t xml:space="preserve">The cleanest way to state the study’s bounds is to describe the replication that would surmount them, since a constraint you can specify a fix for is a boundary rather than a flaw. A stronger replication would alter three things. It would draw its corpus from an explicit sampling frame rather than a retrieval peculiar to this candidate, which would lift the external-validity ceiling and let the venue gradient speak for the field rather than the sample</w:t>
      </w:r>
      <w:r>
        <w:t xml:space="preserve"> </w:t>
      </w:r>
      <w:hyperlink w:anchor="ref-7">
        <w:r>
          <w:rPr>
            <w:rStyle w:val="Hyperlink"/>
          </w:rPr>
          <w:t xml:space="preserve">[7]</w:t>
        </w:r>
      </w:hyperlink>
      <w:r>
        <w:t xml:space="preserve"> </w:t>
      </w:r>
      <w:hyperlink w:anchor="ref-9">
        <w:r>
          <w:rPr>
            <w:rStyle w:val="Hyperlink"/>
          </w:rPr>
          <w:t xml:space="preserve">[9]</w:t>
        </w:r>
      </w:hyperlink>
      <w:r>
        <w:t xml:space="preserve">; it would swap the metadata term tally for direct coding of thematic engagement, which would cut the stand-in error that leaves the freshness and citation nulls ambiguous</w:t>
      </w:r>
      <w:r>
        <w:t xml:space="preserve"> </w:t>
      </w:r>
      <w:hyperlink w:anchor="ref-5">
        <w:r>
          <w:rPr>
            <w:rStyle w:val="Hyperlink"/>
          </w:rPr>
          <w:t xml:space="preserve">[5]</w:t>
        </w:r>
      </w:hyperlink>
      <w:r>
        <w:t xml:space="preserve">; and it would enlarge the sample enough that the learning curve no longer rested on a handful of high-citation entries, which would let the age-notice null be fit with real power</w:t>
      </w:r>
      <w:r>
        <w:t xml:space="preserve"> </w:t>
      </w:r>
      <w:hyperlink w:anchor="ref-12">
        <w:r>
          <w:rPr>
            <w:rStyle w:val="Hyperlink"/>
          </w:rPr>
          <w:t xml:space="preserve">[12]</w:t>
        </w:r>
      </w:hyperlink>
      <w:r>
        <w:t xml:space="preserve">. Each change aims at a specific threat named above, and together they would turn the present document-level toppling of the frontier clock, held with stated caution, into a considerably firmer verdict. The final chapter builds that calibrated conclusion into a contribution and an agenda</w:t>
      </w:r>
      <w:r>
        <w:t xml:space="preserve"> </w:t>
      </w:r>
      <w:hyperlink w:anchor="ref-8">
        <w:r>
          <w:rPr>
            <w:rStyle w:val="Hyperlink"/>
          </w:rPr>
          <w:t xml:space="preserve">[8]</w:t>
        </w:r>
      </w:hyperlink>
      <w:r>
        <w:t xml:space="preserve">.</w:t>
      </w:r>
    </w:p>
    <w:bookmarkEnd w:id="137"/>
    <w:bookmarkEnd w:id="138"/>
    <w:bookmarkStart w:id="175"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to try one thing well rather than many loosely, a single question met plainly. It asked whether the written record around lunar buildout behaves the way frontier-tempo projections presume, and it replied with two compact, fully-disclosed workbooks. The reply is that the record is arranged by institutional seat, not by a settlement clock. This closing chapter puts the offering precisely, draws out its bearing on lunar programs and governance, and lays out an agenda for the work a fuller answer would call for.</w:t>
      </w:r>
    </w:p>
    <w:bookmarkStart w:id="139" w:name="the-contribution-stated-precisely"/>
    <w:p>
      <w:pPr>
        <w:pStyle w:val="Heading2"/>
        <w:spacing w:line="480" w:lineRule="auto"/>
      </w:pPr>
      <w:r>
        <w:t xml:space="preserve">The contribution, stated precisely</w:t>
      </w:r>
    </w:p>
    <w:p>
      <w:pPr>
        <w:pStyle w:val="FirstParagraph"/>
        <w:spacing w:line="480" w:lineRule="auto"/>
      </w:pPr>
      <w:r>
        <w:t xml:space="preserve">The offering is a single falsifiable finding, checked against a record the reader can inspect. The frontier-tempo hunch, once turned into document-level forecasts, implies that freshness ought to bear topic signal, that citation notice ought to trail the advancing edge, and that citations ought to gather along an age-based curve. All three forecasts were tried. All three failed. Freshness ran unsharp, citation notice fell shy of conventional significance, and the age elasticity ran indistinguishable from zero, with a learning-curve R2 of essentially nothing. The one structural trait bearing a large and sharp tie to topic signal was venue family, and its sign lodged the frontier theme in the applied technical venues rather than the commercial-and-policy discourse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Put at the level of the hypothesis, the null of no relationship topples, but it topples in a specific and diagnostic way. Topic signal is systematically bound to venue family and is not systematically bound to recency or citation attention, so the alternative that survives is a claim about institutional structure, not about temporal quickening. That is the offering: not that lunar buildout will or will not trace a frontier curve, which no document screen could establish, but that the body of evidence buildout projections lean on lacks the temporal structure a frontier curve demands. The corpus is layered by where work is done, and the two structurally unlike estimators agree on it</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methodological offering cannot be split from the substantive one. The dissertation shows a contested tempo claim can be rendered checkable. It fixes a source set, builds every variable deterministically, prints the estimator output whole with no culling, and ties every citation to a numbered pool, so a reader who doubts the conclusion can walk from the coefficient back to the rows and from the rows to the sources. That auditable chain is the model’s answer to the ease with which frontier comparisons get asserted and the trouble with which they usually get checked</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39"/>
    <w:bookmarkStart w:id="140" w:name="relevance-for-lunar-programs"/>
    <w:p>
      <w:pPr>
        <w:pStyle w:val="Heading2"/>
        <w:spacing w:line="480" w:lineRule="auto"/>
      </w:pPr>
      <w:r>
        <w:t xml:space="preserve">Relevance for lunar programs</w:t>
      </w:r>
    </w:p>
    <w:p>
      <w:pPr>
        <w:pStyle w:val="FirstParagraph"/>
        <w:spacing w:line="480" w:lineRule="auto"/>
      </w:pPr>
      <w:r>
        <w:t xml:space="preserve">This finding wears a usable shape for anyone building lunar program plans. The first bearing is a warning about borrowed schedules. A projection lifting a frontier sequence lifts the premise that ripeness comes in a settled order at a knowable rate. This corpus shows no such order. Planners who moor budget rounds or cross-border commitments to an implied settlement clock are mooring to a structure the written record does not back. The safer stance treats buildout as a set of institutional tiers that ripen on their own rhythms, and it prices each tier’s readiness apart rather than presuming they press forward together</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second bearing is constructive and points to where notice already concentrates. The venue gradient lodged the frontier theme in the applied technical work on observing geometry, sensor dependability, and networked awareness</w:t>
      </w:r>
      <w:r>
        <w:t xml:space="preserve"> </w:t>
      </w:r>
      <w:hyperlink w:anchor="ref-2">
        <w:r>
          <w:rPr>
            <w:rStyle w:val="Hyperlink"/>
          </w:rPr>
          <w:t xml:space="preserve">[2]</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a cue about which capabilities the field currently deems the live edge of buildout. Program plans mirroring this structure, investing early in the sensing, networking, and debris-management tiers that render the cislunar volume legible, are aligning with where the research balance point sits rather than with where the commercial narrative points. The comparison turns into a diagnostic tool, raising the question of which tier ripens first and which trails, and the record answers that the applied technical tiers lead.</w:t>
      </w:r>
    </w:p>
    <w:p>
      <w:pPr>
        <w:pStyle w:val="BodyText"/>
        <w:spacing w:line="480" w:lineRule="auto"/>
        <w:ind w:firstLine="720"/>
      </w:pPr>
      <w:r>
        <w:t xml:space="preserve">A third bearing concerns governance sequencing. The debris-law writing showed legal duty gathering unbroken as activity swells, rather than landing as a tardy settlement stage</w:t>
      </w:r>
      <w:r>
        <w:t xml:space="preserve"> </w:t>
      </w:r>
      <w:hyperlink w:anchor="ref-3">
        <w:r>
          <w:rPr>
            <w:rStyle w:val="Hyperlink"/>
          </w:rPr>
          <w:t xml:space="preserve">[3]</w:t>
        </w:r>
      </w:hyperlink>
      <w:r>
        <w:t xml:space="preserve">, so a program deferring governance to the tail of a frontier staircase will find the duties have gathered anyway, unmanaged. Building governance capacity alongside the technical tiers, rather than behind them, matches both the debris-law reading and the venue-structured picture the data threw off. Lunar base design history reinforces the point, since concepts ripen far ahead of missions, so the institutions stewarding those concepts must ripen alongside them rather than awaiting a realization that lands late and out of order</w:t>
      </w:r>
      <w:r>
        <w:t xml:space="preserve"> </w:t>
      </w:r>
      <w:hyperlink w:anchor="ref-14">
        <w:r>
          <w:rPr>
            <w:rStyle w:val="Hyperlink"/>
          </w:rPr>
          <w:t xml:space="preserve">[14]</w:t>
        </w:r>
      </w:hyperlink>
      <w:r>
        <w:t xml:space="preserve">.</w:t>
      </w:r>
    </w:p>
    <w:bookmarkEnd w:id="140"/>
    <w:bookmarkStart w:id="141" w:name="relevance-for-governance-and-policy"/>
    <w:p>
      <w:pPr>
        <w:pStyle w:val="Heading2"/>
        <w:spacing w:line="480" w:lineRule="auto"/>
      </w:pPr>
      <w:r>
        <w:t xml:space="preserve">Relevance for governance and policy</w:t>
      </w:r>
    </w:p>
    <w:p>
      <w:pPr>
        <w:pStyle w:val="FirstParagraph"/>
        <w:spacing w:line="480" w:lineRule="auto"/>
      </w:pPr>
      <w:r>
        <w:t xml:space="preserve">For the wider governance conversation, the modest empirical result carries a keener methodological lesson. Space policy debate runs rich in comparison and thin in falsifiable trials of comparison, and this dissertation shows a frontier-tempo claim can be operationalized, tried, and toppled at the level of documents without feigning more certainty than a corpus screen can deliver. That template, of turning a rhetorical claim into a signed forecast and reporting the estimator honestly, carries over to other contested tempo arguments in space governance, from orbital carrying capacity to the pace of commercial regulation</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A policy takeaway runs deliberately narrow, a virtue rather than a hedge. Lunar buildout projections should not borrow frontier comparisons as schedules, though they can use them as diagnostic contrasts across institutional tiers: what infrastructure ripens first, what governance trails, what data systems render the frontier visible, what commercial activity scales ahead of safety rules, and what legal duties gather as activity swells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A big-history comparison earns its keep only once broken into measurable tiers, and the record rewards that breakdown while punishing the single-clock shortcut.</w:t>
      </w:r>
    </w:p>
    <w:bookmarkEnd w:id="141"/>
    <w:bookmarkStart w:id="142" w:name="limitations-that-shape-the-agenda"/>
    <w:p>
      <w:pPr>
        <w:pStyle w:val="Heading2"/>
        <w:spacing w:line="480" w:lineRule="auto"/>
      </w:pPr>
      <w:r>
        <w:t xml:space="preserve">Limitations that shape the agenda</w:t>
      </w:r>
    </w:p>
    <w:p>
      <w:pPr>
        <w:pStyle w:val="FirstParagraph"/>
        <w:spacing w:line="480" w:lineRule="auto"/>
      </w:pPr>
      <w:r>
        <w:t xml:space="preserve">The conclusions run bounded by constraints the previous chapter set out, and those constraints define the next studies rather than merely qualifying this one. The outcome is a coarse metadata proxy, the venue coding is ranked, the citation tallies are local index figures ruled by a few entries, the sample is thirty, and the source set is a retrieval peculiar to this candidate rather than a sampled census. Each constraint is a threat to the present inference and, read forward, a specification for the design that would answer the question more fully</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bookmarkEnd w:id="142"/>
    <w:bookmarkStart w:id="143" w:name="future-work"/>
    <w:p>
      <w:pPr>
        <w:pStyle w:val="Heading2"/>
        <w:spacing w:line="480" w:lineRule="auto"/>
      </w:pPr>
      <w:r>
        <w:t xml:space="preserve">Future work</w:t>
      </w:r>
    </w:p>
    <w:p>
      <w:pPr>
        <w:pStyle w:val="FirstParagraph"/>
        <w:spacing w:line="480" w:lineRule="auto"/>
      </w:pPr>
      <w:r>
        <w:t xml:space="preserve">Three studies follow of themselves. The first swaps the deterministic metadata proxy for direct document coding. Human or model-assisted coding of how hard each source engages the frontier-tempo theme would cut the stand-in error that shrinks the freshness and notice channels, and would test whether those channels run truly mute or merely muffled by measurement noise. Should they stay mute under a keener outcome, the toppling of the frontier clock hardens considerably</w:t>
      </w:r>
      <w:r>
        <w:t xml:space="preserve"> </w:t>
      </w:r>
      <w:hyperlink w:anchor="ref-5">
        <w:r>
          <w:rPr>
            <w:rStyle w:val="Hyperlink"/>
          </w:rPr>
          <w:t xml:space="preserve">[5]</w:t>
        </w:r>
      </w:hyperlink>
      <w:r>
        <w:t xml:space="preserve">.</w:t>
      </w:r>
    </w:p>
    <w:p>
      <w:pPr>
        <w:pStyle w:val="BodyText"/>
        <w:spacing w:line="480" w:lineRule="auto"/>
        <w:ind w:firstLine="720"/>
      </w:pPr>
      <w:r>
        <w:t xml:space="preserve">A second study raises an explicit sampling frame over the cislunar writing and draws a larger corpus at random within it. That would lift the external-validity ceiling, let venue family enter as a full set of indicators rather than a ranked score, and grant the learning curve enough entries that its estimate no longer rests on a handful of high-citation points</w:t>
      </w:r>
      <w:r>
        <w:t xml:space="preserve"> </w:t>
      </w:r>
      <w:hyperlink w:anchor="ref-7">
        <w:r>
          <w:rPr>
            <w:rStyle w:val="Hyperlink"/>
          </w:rPr>
          <w:t xml:space="preserve">[7]</w:t>
        </w:r>
      </w:hyperlink>
      <w:r>
        <w:t xml:space="preserve"> </w:t>
      </w:r>
      <w:hyperlink w:anchor="ref-12">
        <w:r>
          <w:rPr>
            <w:rStyle w:val="Hyperlink"/>
          </w:rPr>
          <w:t xml:space="preserve">[12]</w:t>
        </w:r>
      </w:hyperlink>
      <w:r>
        <w:t xml:space="preserve">. With those changes, the venue gradient could be tried for the equal-spacing premise straight, and the age-notice null could be fit with genuine power.</w:t>
      </w:r>
    </w:p>
    <w:p>
      <w:pPr>
        <w:pStyle w:val="BodyText"/>
        <w:spacing w:line="480" w:lineRule="auto"/>
        <w:ind w:firstLine="720"/>
      </w:pPr>
      <w:r>
        <w:t xml:space="preserve">A third study joins the document tier to the mission tier. The strongest form of the tempo question asks whether the physical stages of buildout land in a paced order, and that calls for telemetry, procurement figures, and engineering-readiness data no corpus screen holds. Regolith-engineering and landing-gear research shows even the material and mechanical basics stay open, so a mission-grounded tempo study would need to track those readiness curves straight</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Marrying a hardened document-coding design to a mission-readiness dataset would let a future dissertation ask not only whether the writing is paced but whether the buildout itself is, the question the frontier comparison really poses</w:t>
      </w:r>
      <w:r>
        <w:t xml:space="preserve"> </w:t>
      </w:r>
      <w:hyperlink w:anchor="ref-10">
        <w:r>
          <w:rPr>
            <w:rStyle w:val="Hyperlink"/>
          </w:rPr>
          <w:t xml:space="preserve">[10]</w:t>
        </w:r>
      </w:hyperlink>
      <w:r>
        <w:t xml:space="preserve">.</w:t>
      </w:r>
    </w:p>
    <w:bookmarkEnd w:id="143"/>
    <w:bookmarkStart w:id="144" w:name="X499906f77f0e7cd426f4a9e64489f551ae9ae2a"/>
    <w:p>
      <w:pPr>
        <w:pStyle w:val="Heading2"/>
        <w:spacing w:line="480" w:lineRule="auto"/>
      </w:pPr>
      <w:r>
        <w:t xml:space="preserve">A note on what a negative result contributes</w:t>
      </w:r>
    </w:p>
    <w:p>
      <w:pPr>
        <w:pStyle w:val="FirstParagraph"/>
        <w:spacing w:line="480" w:lineRule="auto"/>
      </w:pPr>
      <w:r>
        <w:t xml:space="preserve">It repays defending the value of a study whose central move is to topple a comforting comparison, since negative results run undervalued and this one carries real weight. The frontier clock is no fringe notion in space advocacy but near a default framing, summoned whenever a projection wants to borrow the momentum of terrestrial expansion for a lunar schedule. A default framing never tried at the level of documents, and one that fails when it finally is, is exactly the kind of belief a discipline profits from examining. The offering is not that the comparison is dead weight but that its temporal pledge stays unbacked by the record it leans on, a more precise and more useful statement than either credulous embrace or blanket refusal</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negative result also does protective work for planners. A schedule borrowed from an untried comparison can misjudge risk on both sides, hurrying commitments to fit a fantasy clock or postponing infrastructure a slower reality demands earlier. Showing the clock absent from the record strips out a false source of confidence and hands the tempo question back to where it belongs, the tier-by-tier readiness judgment the technical writing has been tacitly conducting all along</w:t>
      </w:r>
      <w:r>
        <w:t xml:space="preserve"> </w:t>
      </w:r>
      <w:hyperlink w:anchor="ref-2">
        <w:r>
          <w:rPr>
            <w:rStyle w:val="Hyperlink"/>
          </w:rPr>
          <w:t xml:space="preserve">[2]</w:t>
        </w:r>
      </w:hyperlink>
      <w:r>
        <w:t xml:space="preserve"> </w:t>
      </w:r>
      <w:hyperlink w:anchor="ref-4">
        <w:r>
          <w:rPr>
            <w:rStyle w:val="Hyperlink"/>
          </w:rPr>
          <w:t xml:space="preserve">[4]</w:t>
        </w:r>
      </w:hyperlink>
      <w:r>
        <w:t xml:space="preserve">. A discipline that knows which of its hunches run unbacked plans better than one that does not.</w:t>
      </w:r>
    </w:p>
    <w:bookmarkEnd w:id="144"/>
    <w:bookmarkStart w:id="145" w:name="Xe23375238d13ff31f0e74dab4608b1345d4515f"/>
    <w:p>
      <w:pPr>
        <w:pStyle w:val="Heading2"/>
        <w:spacing w:line="480" w:lineRule="auto"/>
      </w:pPr>
      <w:r>
        <w:t xml:space="preserve">Situating the finding in the broader research program</w:t>
      </w:r>
    </w:p>
    <w:p>
      <w:pPr>
        <w:pStyle w:val="FirstParagraph"/>
        <w:spacing w:line="480" w:lineRule="auto"/>
      </w:pPr>
      <w:r>
        <w:t xml:space="preserve">This dissertation is one document-level study, and its proper seat is as the opening move in a longer program rather than a final word. The venue-structured picture it recovers is a hypothesis-generating result for the mission-grounded studies that should follow. It says, concretely, that the applied technical tiers, sensing, networking, debris management, and observing geometry, are where the field’s gaugeable balance point sits, which tells a program of research where to look for the readiness curves that actually steward buildout tempo</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 comparison writing, the technical writing, the governance writing, and the bibliometric method have each chipped in a piece, and this study tries to make them answer a single question together.</w:t>
      </w:r>
    </w:p>
    <w:p>
      <w:pPr>
        <w:pStyle w:val="BodyText"/>
        <w:spacing w:line="480" w:lineRule="auto"/>
        <w:ind w:firstLine="720"/>
      </w:pPr>
      <w:r>
        <w:t xml:space="preserve">A larger ambition is a tempo science for lunar development that runs empirical rather than rhetorical. Such a science would break buildout into its institutional and infrastructural tiers, gauge the readiness of each, and ask whether the tiers press forward in a paced order or apart. This dissertation cannot deliver that science; it can show the written record backs no single-clock shortcut, and it can hand the next studies a keener question and an auditable method</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That is the fitting scope for a document-level trial, and claiming more would betray the discipline the whole design was raised to enforce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145"/>
    <w:bookmarkStart w:id="146" w:name="program-relevance-in-concrete-terms"/>
    <w:p>
      <w:pPr>
        <w:pStyle w:val="Heading2"/>
        <w:spacing w:line="480" w:lineRule="auto"/>
      </w:pPr>
      <w:r>
        <w:t xml:space="preserve">Program relevance in concrete terms</w:t>
      </w:r>
    </w:p>
    <w:p>
      <w:pPr>
        <w:pStyle w:val="FirstParagraph"/>
        <w:spacing w:line="480" w:lineRule="auto"/>
      </w:pPr>
      <w:r>
        <w:t xml:space="preserve">To render the program relevance concrete rather than abstract, weigh how the finding would recast a specific planning artifact, a lunar buildout roadmap of the kind that circulates in agency and policy settings</w:t>
      </w:r>
      <w:r>
        <w:t xml:space="preserve"> </w:t>
      </w:r>
      <w:hyperlink w:anchor="ref-9">
        <w:r>
          <w:rPr>
            <w:rStyle w:val="Hyperlink"/>
          </w:rPr>
          <w:t xml:space="preserve">[9]</w:t>
        </w:r>
      </w:hyperlink>
      <w:r>
        <w:t xml:space="preserve">. A roadmap arranged by the frontier clock lays out stages in sequence, pins each a date, and treats the sequence as the backbone of the plan, and the finding says that backbone stays unbacked by the record. A roadmap heeding the finding would swap the stage sequence for a tier matrix: governance, sensing, networking, debris management, commercial scaling, and material readiness as rows, each with its own ripeness judgment and its own gating dependencies</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3">
        <w:r>
          <w:rPr>
            <w:rStyle w:val="Hyperlink"/>
          </w:rPr>
          <w:t xml:space="preserve">[13]</w:t>
        </w:r>
      </w:hyperlink>
      <w:r>
        <w:t xml:space="preserve">. The plan’s schedule would then emerge from the slowest binding tier rather than from a presumed order of stages.</w:t>
      </w:r>
    </w:p>
    <w:p>
      <w:pPr>
        <w:pStyle w:val="BodyText"/>
        <w:spacing w:line="480" w:lineRule="auto"/>
        <w:ind w:firstLine="720"/>
      </w:pPr>
      <w:r>
        <w:t xml:space="preserve">This is no merely cosmetic change. A stage-based roadmap masks the chance that a late-narrative tier, such as governance, is in truth an early and unbroken constraint, which the debris-law writing shows it to be</w:t>
      </w:r>
      <w:r>
        <w:t xml:space="preserve"> </w:t>
      </w:r>
      <w:hyperlink w:anchor="ref-3">
        <w:r>
          <w:rPr>
            <w:rStyle w:val="Hyperlink"/>
          </w:rPr>
          <w:t xml:space="preserve">[3]</w:t>
        </w:r>
      </w:hyperlink>
      <w:r>
        <w:t xml:space="preserve">. A tier matrix surfaces that constraint and forces the plan to price it from the start. The venue gradient recovered in this study points to which tiers the field currently deems most active, the applied technical ones, and a roadmap could use that gradient to check whether its own emphasis matches where the research balance point actually sits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finding thus does real planning work, arguing for an unlike structure of plan rather than merely an unlike attitude toward comparison.</w:t>
      </w:r>
    </w:p>
    <w:bookmarkEnd w:id="146"/>
    <w:bookmarkStart w:id="147" w:name="closing-statement"/>
    <w:p>
      <w:pPr>
        <w:pStyle w:val="Heading2"/>
        <w:spacing w:line="480" w:lineRule="auto"/>
      </w:pPr>
      <w:r>
        <w:t xml:space="preserve">Closing statement</w:t>
      </w:r>
    </w:p>
    <w:p>
      <w:pPr>
        <w:pStyle w:val="FirstParagraph"/>
        <w:spacing w:line="480" w:lineRule="auto"/>
      </w:pPr>
      <w:r>
        <w:t xml:space="preserve">The dissertation opened on a rhetoric problem and closes with an empirical correction to it. Lunar buildout gets argued for in the language of frontiers, and that language carries a tacit clock. The clock was tried at the level of documents, on a small but fully inspectable corpus, with two deterministic workbooks whose output was printed whole, and it went unfound, having been presumed rather than gauged. What was found instead is a corpus arranged by institutional seat, with the frontier theme concentrated in the applied technical venues and no age-graded buildup of notice anywhere in the record</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frontier comparison outlasts as a diagnostic, breakable into tiers, but not as a schedule. Keep the diagnostic. Shed the schedule.</w:t>
      </w:r>
    </w:p>
    <w:p>
      <w:pPr>
        <w:pStyle w:val="BodyText"/>
        <w:spacing w:line="480" w:lineRule="auto"/>
        <w:ind w:firstLine="720"/>
      </w:pPr>
      <w:r>
        <w:t xml:space="preserve">The thread holds to the end: keep the chain of evidence open to inspection, let the record talk in the terms it backs, and hand the operational claims to designs with mission data behind them. On that discipline, this dissertation delivers one clear result: lunar buildout tempo shows up in the written record as a venue-structured governance and infrastructure problem, and the frontier clock projections so often presume is not there to be found</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last reflection on method is owed, since the study’s form is part of its argument. The dissertation could have made its case in narrative, marshaling the technical, governance, and comparison literatures into a persuasive essay against the frontier clock, and the essay would have read well and probably convinced. It chose instead to stake the case on two compact workbooks whose full output a doubter can reproduce and reject. That choice cost reach, since a thirty-record screen cannot claim the field, but it bought something the essay could not: a result that hangs on no reader trusting the author. The venue coefficient is what it is. The age elasticity is what it is. A reader who doubts either can walk the chain back to the rows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In a field where tempo claims usually get settled by rhetorical force, a modest, checkable, reproducible result is worth more than a grander unfalsifiable one, and building that result is what this dissertation set out to do</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finding likewise carries a quiet lesson about how space policy might argue better. Comparisons will not, and should not, quit the field, since they squeeze complexity into something a decision-maker can hold, and that service is real</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lesson runs narrower: when a comparison carries a load-bearing claim, such as a schedule, that claim can be lifted out, operationalized, and tried against the record before it is let drive commitments. This dissertation did that for one comparison and one claim, and the comparison’s temporal pledge did not survive. A field that habitually put its load-bearing comparisons to this kind of document-level check would make fewer costly tempo errors, and it would know which of its hunches to trust and which to hold loosely</w:t>
      </w:r>
      <w:r>
        <w:t xml:space="preserve"> </w:t>
      </w:r>
      <w:hyperlink w:anchor="ref-4">
        <w:r>
          <w:rPr>
            <w:rStyle w:val="Hyperlink"/>
          </w:rPr>
          <w:t xml:space="preserve">[4]</w:t>
        </w:r>
      </w:hyperlink>
      <w:r>
        <w:t xml:space="preserve">. That habit, more than any single coefficient, is what a study built on an inspectable chain hopes to model, and it is the note on which this work closes</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offering repays one final restatement for the reader who wants the single sentence to carry away. Lunar buildout projections borrow a frontier schedule, that schedule implies an age-graded, notice-trailing, freshness-weighted written record, and the record instead shows a venue gradient with no working clock, so the schedule stays unbacked by the evidence it leans on. Every clause of that sentence is checkable against the workbooks, which is the whole point. The regolith, landing-gear, and base-design literatures remind us the physical tiers of buildout stay open engineering problems whose readiness no document screen can certify, so the deeper tempo question stays open for the mission-grounded studies to come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6">
        <w:r>
          <w:rPr>
            <w:rStyle w:val="Hyperlink"/>
          </w:rPr>
          <w:t xml:space="preserve">[16]</w:t>
        </w:r>
      </w:hyperlink>
      <w:r>
        <w:t xml:space="preserve">. What this dissertation settles is smaller and firm: the frontier clock is a rhetorical inheritance, no finding, and the cislunar record does not carry it</w:t>
      </w:r>
      <w:r>
        <w:t xml:space="preserve"> </w:t>
      </w:r>
      <w:hyperlink w:anchor="ref-3">
        <w:r>
          <w:rPr>
            <w:rStyle w:val="Hyperlink"/>
          </w:rPr>
          <w:t xml:space="preserve">[3]</w:t>
        </w:r>
      </w:hyperlink>
      <w:r>
        <w:t xml:space="preserve"> </w:t>
      </w:r>
      <w:hyperlink w:anchor="ref-12">
        <w:r>
          <w:rPr>
            <w:rStyle w:val="Hyperlink"/>
          </w:rPr>
          <w:t xml:space="preserve">[12]</w:t>
        </w:r>
      </w:hyperlink>
      <w:r>
        <w:t xml:space="preserve">.</w:t>
      </w:r>
    </w:p>
    <w:bookmarkEnd w:id="147"/>
    <w:bookmarkStart w:id="174" w:name="references"/>
    <w:p>
      <w:pPr>
        <w:pStyle w:val="Heading2"/>
        <w:spacing w:line="480" w:lineRule="auto"/>
      </w:pPr>
      <w:r>
        <w:t xml:space="preserve">References</w:t>
      </w:r>
    </w:p>
    <w:p>
      <w:pPr>
        <w:pStyle w:val="FirstParagraph"/>
        <w:spacing w:line="480" w:lineRule="auto"/>
      </w:pPr>
      <w:bookmarkStart w:id="148" w:name="ref-1"/>
      <w:bookmarkEnd w:id="148"/>
      <w:r>
        <w:t xml:space="preserve">1. Ralph “Dinz” Dinsley, Northern Space and Security, Reflecting Space; Christopher Newman, Northumbria University and Reflecting Space. The Governance of Space Situational Awareness – Revolution not Evolution (2018). [AMOS]</w:t>
      </w:r>
    </w:p>
    <w:p>
      <w:pPr>
        <w:pStyle w:val="BodyText"/>
        <w:spacing w:line="480" w:lineRule="auto"/>
        <w:ind w:firstLine="720"/>
      </w:pPr>
      <w:bookmarkStart w:id="149" w:name="ref-2"/>
      <w:bookmarkEnd w:id="149"/>
      <w:r>
        <w:t xml:space="preserve">2. Jeffrey Van Cleve, Ball Aerospace; Anna Lawitzke, Ball Aerospace; Emily MacAnlis, Ball Aerospace; Jacob Griesbach, Ball Aerospace; Melissa Sampson, Ball Aerospace; David Osterman, Ball Aerospace; Elvis Silva, Ball Aerospace; Christopher Grant, Ball Aerospace; Amelia Bloom, Ball Aerospace. Hiding in Plain Sight: Observing Objects in Low Lunar Orbit and the L2 Dark Cone from a Lunar Surface Observatory (2021). [AMOS]</w:t>
      </w:r>
    </w:p>
    <w:p>
      <w:pPr>
        <w:pStyle w:val="BodyText"/>
        <w:spacing w:line="480" w:lineRule="auto"/>
        <w:ind w:firstLine="720"/>
      </w:pPr>
      <w:bookmarkStart w:id="150" w:name="ref-3"/>
      <w:bookmarkEnd w:id="150"/>
      <w:r>
        <w:t xml:space="preserve">3. Scott Steele, The Open University. Can International Law Provide a Basis for Actively Removing Space Debris? (2020). [AMOS]</w:t>
      </w:r>
    </w:p>
    <w:p>
      <w:pPr>
        <w:pStyle w:val="BodyText"/>
        <w:spacing w:line="480" w:lineRule="auto"/>
        <w:ind w:firstLine="720"/>
      </w:pPr>
      <w:bookmarkStart w:id="151" w:name="ref-4"/>
      <w:bookmarkEnd w:id="151"/>
      <w:r>
        <w:t xml:space="preserve">4. Nathan R. Boone, Air Force Institute of Technology; Robert A. Bettinger, Air Force Institute of Technology. Long-Term Evolution of Debris Clouds in Low Lunar Orbit (2022). [AMOS]</w:t>
      </w:r>
    </w:p>
    <w:p>
      <w:pPr>
        <w:pStyle w:val="BodyText"/>
        <w:spacing w:line="480" w:lineRule="auto"/>
        <w:ind w:firstLine="720"/>
      </w:pPr>
      <w:bookmarkStart w:id="152" w:name="ref-5"/>
      <w:bookmarkEnd w:id="152"/>
      <w:r>
        <w:t xml:space="preserve">5. Rohit Mital, SGT, Joseph Coughlin, SGT, Mike Canaday, SGT. Using Big Data Technologies and Analytics to Predict Sensor Anomalies (2015). [AMOS]</w:t>
      </w:r>
    </w:p>
    <w:p>
      <w:pPr>
        <w:pStyle w:val="BodyText"/>
        <w:spacing w:line="480" w:lineRule="auto"/>
        <w:ind w:firstLine="720"/>
      </w:pPr>
      <w:bookmarkStart w:id="153" w:name="ref-6"/>
      <w:bookmarkEnd w:id="153"/>
      <w:r>
        <w:t xml:space="preserve">6. TJ Pruden, Anduril Industries; Braden Smith, US Space Force. Resilient Networking Keeps Critical Sensors Connected (2023). doi:</w:t>
      </w:r>
      <w:r>
        <w:t xml:space="preserve"> </w:t>
      </w:r>
      <w:hyperlink r:id="rId154">
        <w:r>
          <w:rPr>
            <w:rStyle w:val="Hyperlink"/>
          </w:rPr>
          <w:t xml:space="preserve">10.64861/UPXT3411</w:t>
        </w:r>
      </w:hyperlink>
    </w:p>
    <w:p>
      <w:pPr>
        <w:pStyle w:val="BodyText"/>
        <w:spacing w:line="480" w:lineRule="auto"/>
        <w:ind w:firstLine="720"/>
      </w:pPr>
      <w:bookmarkStart w:id="155" w:name="ref-7"/>
      <w:bookmarkEnd w:id="155"/>
      <w:r>
        <w:t xml:space="preserve">7. Raymond Wright, BAE Systems; Naomi Owens-Fahrner, BAE Systems; Luke Tafur, BAE Systems; Joshua Wysack, BAE Systems. Applications of Poincare Search Maps for Space-Based Cislunar SDA Detection (2024). doi:</w:t>
      </w:r>
      <w:r>
        <w:t xml:space="preserve"> </w:t>
      </w:r>
      <w:hyperlink r:id="rId156">
        <w:r>
          <w:rPr>
            <w:rStyle w:val="Hyperlink"/>
          </w:rPr>
          <w:t xml:space="preserve">10.64861/UAMB9924</w:t>
        </w:r>
      </w:hyperlink>
    </w:p>
    <w:p>
      <w:pPr>
        <w:pStyle w:val="BodyText"/>
        <w:spacing w:line="480" w:lineRule="auto"/>
        <w:ind w:firstLine="720"/>
      </w:pPr>
      <w:bookmarkStart w:id="157" w:name="ref-8"/>
      <w:bookmarkEnd w:id="157"/>
      <w:r>
        <w:t xml:space="preserve">8. Susan Skone, University of Calgary; M. Najmafshar, University of Calgary. Earth’s Ionosphere and its Impact on Global Navigation Satellite Systems (2020). [AMOS]</w:t>
      </w:r>
    </w:p>
    <w:p>
      <w:pPr>
        <w:pStyle w:val="BodyText"/>
        <w:spacing w:line="480" w:lineRule="auto"/>
        <w:ind w:firstLine="720"/>
      </w:pPr>
      <w:bookmarkStart w:id="158" w:name="ref-9"/>
      <w:bookmarkEnd w:id="158"/>
      <w:r>
        <w:t xml:space="preserve">9. Gil Denis; Didier Alary; Xavier Pasco; Nathalie Pisot; D. Texier; Sandrine Toulza. From new space to big space: How commercial space dream is becoming a reality (2019). doi:</w:t>
      </w:r>
      <w:r>
        <w:t xml:space="preserve"> </w:t>
      </w:r>
      <w:hyperlink r:id="rId159">
        <w:r>
          <w:rPr>
            <w:rStyle w:val="Hyperlink"/>
          </w:rPr>
          <w:t xml:space="preserve">10.1016/j.actaastro.2019.08.031</w:t>
        </w:r>
      </w:hyperlink>
    </w:p>
    <w:p>
      <w:pPr>
        <w:pStyle w:val="BodyText"/>
        <w:spacing w:line="480" w:lineRule="auto"/>
        <w:ind w:firstLine="720"/>
      </w:pPr>
      <w:bookmarkStart w:id="160" w:name="ref-10"/>
      <w:bookmarkEnd w:id="160"/>
      <w:r>
        <w:t xml:space="preserve">10. Thomas P. Leppard; Scott M. Fitzpatrick; Justin A. Holcomb. How to successfully colonize space: Lessons from island archaeology (2025). doi:</w:t>
      </w:r>
      <w:r>
        <w:t xml:space="preserve"> </w:t>
      </w:r>
      <w:hyperlink r:id="rId161">
        <w:r>
          <w:rPr>
            <w:rStyle w:val="Hyperlink"/>
          </w:rPr>
          <w:t xml:space="preserve">10.1016/j.actaastro.2025.10.053</w:t>
        </w:r>
      </w:hyperlink>
    </w:p>
    <w:p>
      <w:pPr>
        <w:pStyle w:val="BodyText"/>
        <w:spacing w:line="480" w:lineRule="auto"/>
        <w:ind w:firstLine="720"/>
      </w:pPr>
      <w:bookmarkStart w:id="162" w:name="ref-11"/>
      <w:bookmarkEnd w:id="162"/>
      <w:r>
        <w:t xml:space="preserve">11. Anna Szołucha. A disappearing frontier?: An ethnographic study of the labour of imagination of SpaceX fans and space creators in South Texas (2024). doi:</w:t>
      </w:r>
      <w:r>
        <w:t xml:space="preserve"> </w:t>
      </w:r>
      <w:hyperlink r:id="rId163">
        <w:r>
          <w:rPr>
            <w:rStyle w:val="Hyperlink"/>
          </w:rPr>
          <w:t xml:space="preserve">10.1016/j.actaastro.2024.06.001</w:t>
        </w:r>
      </w:hyperlink>
    </w:p>
    <w:p>
      <w:pPr>
        <w:pStyle w:val="BodyText"/>
        <w:spacing w:line="480" w:lineRule="auto"/>
        <w:ind w:firstLine="720"/>
      </w:pPr>
      <w:bookmarkStart w:id="164" w:name="ref-12"/>
      <w:bookmarkEnd w:id="164"/>
      <w:r>
        <w:t xml:space="preserve">12. Christian Lorenz; Bruno Hay Mele; Carmen Arena. Where is the plant-space research going? An overview on the last two decades through bibliometric network multi-analysis (2024). doi:</w:t>
      </w:r>
      <w:r>
        <w:t xml:space="preserve"> </w:t>
      </w:r>
      <w:hyperlink r:id="rId165">
        <w:r>
          <w:rPr>
            <w:rStyle w:val="Hyperlink"/>
          </w:rPr>
          <w:t xml:space="preserve">10.1016/j.actaastro.2024.05.022</w:t>
        </w:r>
      </w:hyperlink>
    </w:p>
    <w:p>
      <w:pPr>
        <w:pStyle w:val="BodyText"/>
        <w:spacing w:line="480" w:lineRule="auto"/>
        <w:ind w:firstLine="720"/>
      </w:pPr>
      <w:bookmarkStart w:id="166" w:name="ref-13"/>
      <w:bookmarkEnd w:id="166"/>
      <w:r>
        <w:t xml:space="preserve">13. Gunter H. Just; K. H. Joy; M.J. Roy; Katherine Smith. Geotechnical characterisation of two new low-fidelity lunar regolith analogues (UoM-B and UoM-W) for use in large-scale engineering experiments (2020). doi:</w:t>
      </w:r>
      <w:r>
        <w:t xml:space="preserve"> </w:t>
      </w:r>
      <w:hyperlink r:id="rId167">
        <w:r>
          <w:rPr>
            <w:rStyle w:val="Hyperlink"/>
          </w:rPr>
          <w:t xml:space="preserve">10.1016/j.actaastro.2020.04.025</w:t>
        </w:r>
      </w:hyperlink>
    </w:p>
    <w:p>
      <w:pPr>
        <w:pStyle w:val="BodyText"/>
        <w:spacing w:line="480" w:lineRule="auto"/>
        <w:ind w:firstLine="720"/>
      </w:pPr>
      <w:bookmarkStart w:id="168" w:name="ref-14"/>
      <w:bookmarkEnd w:id="168"/>
      <w:r>
        <w:t xml:space="preserve">14. Sandra Häuplik‐Meusburger; Olga Bannova. Reflections on early lunar base design – From sketch to the first moon landing (2022). doi:</w:t>
      </w:r>
      <w:r>
        <w:t xml:space="preserve"> </w:t>
      </w:r>
      <w:hyperlink r:id="rId169">
        <w:r>
          <w:rPr>
            <w:rStyle w:val="Hyperlink"/>
          </w:rPr>
          <w:t xml:space="preserve">10.1016/j.actaastro.2022.09.021</w:t>
        </w:r>
      </w:hyperlink>
    </w:p>
    <w:p>
      <w:pPr>
        <w:pStyle w:val="BodyText"/>
        <w:spacing w:line="480" w:lineRule="auto"/>
        <w:ind w:firstLine="720"/>
      </w:pPr>
      <w:bookmarkStart w:id="170" w:name="ref-15"/>
      <w:bookmarkEnd w:id="170"/>
      <w:r>
        <w:t xml:space="preserve">15.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71">
        <w:r>
          <w:rPr>
            <w:rStyle w:val="Hyperlink"/>
          </w:rPr>
          <w:t xml:space="preserve">10.1016/j.actaastro.2023.07.009</w:t>
        </w:r>
      </w:hyperlink>
    </w:p>
    <w:p>
      <w:pPr>
        <w:pStyle w:val="BodyText"/>
        <w:spacing w:line="480" w:lineRule="auto"/>
        <w:ind w:firstLine="720"/>
      </w:pPr>
      <w:bookmarkStart w:id="172" w:name="ref-16"/>
      <w:bookmarkEnd w:id="172"/>
      <w:r>
        <w:t xml:space="preserve">16. Masatsugu Otsuki; Junji Kikuchi; Tetsuo Yoshimitsu; Tatsuaki Hashimoto. Development of hybrid landing gear for OMOTENASHI surface probe (2024). doi:</w:t>
      </w:r>
      <w:r>
        <w:t xml:space="preserve"> </w:t>
      </w:r>
      <w:hyperlink r:id="rId173">
        <w:r>
          <w:rPr>
            <w:rStyle w:val="Hyperlink"/>
          </w:rPr>
          <w:t xml:space="preserve">10.1016/j.actaastro.2024.08.018</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ce02ae2d320911256301bb9c65a5ab1991c9089"/>
    <w:p>
      <w:pPr>
        <w:pStyle w:val="Heading2"/>
        <w:spacing w:line="480" w:lineRule="auto"/>
      </w:pPr>
      <w:r>
        <w:t xml:space="preserve">A.1 Signal Intensity in Big-History Analogues and Frontier Settlement Pacing Do Lunar Buildout Projecti: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6.6561</w:t>
            </w:r>
          </w:p>
        </w:tc>
        <w:tc>
          <w:tcPr>
            <w:tcW w:w="0" w:type="auto"/>
          </w:tcPr>
          <w:p>
            <w:pPr>
              <w:spacing w:line="240" w:lineRule="auto" w:before="0" w:after="0"/>
              <w:pStyle w:val="Compact"/>
            </w:pPr>
            <w:r>
              <w:rPr>
                <w:sz w:val="20"/>
                <w:szCs w:val="20"/>
              </w:rPr>
              <w:t xml:space="preserve">2.037</w:t>
            </w:r>
          </w:p>
        </w:tc>
        <w:tc>
          <w:tcPr>
            <w:tcW w:w="0" w:type="auto"/>
          </w:tcPr>
          <w:p>
            <w:pPr>
              <w:spacing w:line="240" w:lineRule="auto" w:before="0" w:after="0"/>
              <w:pStyle w:val="Compact"/>
            </w:pPr>
            <w:r>
              <w:rPr>
                <w:sz w:val="20"/>
                <w:szCs w:val="20"/>
              </w:rPr>
              <w:t xml:space="preserve">3.2676</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[2.6637, 10.6486]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0.1067</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0.6514</w:t>
            </w:r>
          </w:p>
        </w:tc>
        <w:tc>
          <w:tcPr>
            <w:tcW w:w="0" w:type="auto"/>
          </w:tcPr>
          <w:p>
            <w:pPr>
              <w:spacing w:line="240" w:lineRule="auto" w:before="0" w:after="0"/>
              <w:pStyle w:val="Compact"/>
            </w:pPr>
            <w:r>
              <w:rPr>
                <w:sz w:val="20"/>
                <w:szCs w:val="20"/>
              </w:rPr>
              <w:t xml:space="preserve">0.5148</w:t>
            </w:r>
          </w:p>
        </w:tc>
        <w:tc>
          <w:tcPr>
            <w:tcW w:w="0" w:type="auto"/>
          </w:tcPr>
          <w:p>
            <w:pPr>
              <w:spacing w:line="240" w:lineRule="auto" w:before="0" w:after="0"/>
              <w:pStyle w:val="Compact"/>
            </w:pPr>
            <w:r>
              <w:rPr>
                <w:sz w:val="20"/>
                <w:szCs w:val="20"/>
              </w:rPr>
              <w:t xml:space="preserve">[-0.2144, 0.4279]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1.4096</w:t>
            </w:r>
          </w:p>
        </w:tc>
        <w:tc>
          <w:tcPr>
            <w:tcW w:w="0" w:type="auto"/>
          </w:tcPr>
          <w:p>
            <w:pPr>
              <w:spacing w:line="240" w:lineRule="auto" w:before="0" w:after="0"/>
              <w:pStyle w:val="Compact"/>
            </w:pPr>
            <w:r>
              <w:rPr>
                <w:sz w:val="20"/>
                <w:szCs w:val="20"/>
              </w:rPr>
              <w:t xml:space="preserve">0.1587</w:t>
            </w:r>
          </w:p>
        </w:tc>
        <w:tc>
          <w:tcPr>
            <w:tcW w:w="0" w:type="auto"/>
          </w:tcPr>
          <w:p>
            <w:pPr>
              <w:spacing w:line="240" w:lineRule="auto" w:before="0" w:after="0"/>
              <w:pStyle w:val="Compact"/>
            </w:pPr>
            <w:r>
              <w:rPr>
                <w:sz w:val="20"/>
                <w:szCs w:val="20"/>
              </w:rPr>
              <w:t xml:space="preserve">[-0.0029, 0.0179]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0.4597</w:t>
            </w:r>
          </w:p>
        </w:tc>
        <w:tc>
          <w:tcPr>
            <w:tcW w:w="0" w:type="auto"/>
          </w:tcPr>
          <w:p>
            <w:pPr>
              <w:spacing w:line="240" w:lineRule="auto" w:before="0" w:after="0"/>
              <w:pStyle w:val="Compact"/>
            </w:pPr>
            <w:r>
              <w:rPr>
                <w:sz w:val="20"/>
                <w:szCs w:val="20"/>
              </w:rPr>
              <w:t xml:space="preserve">-4.3287</w:t>
            </w:r>
          </w:p>
        </w:tc>
        <w:tc>
          <w:tcPr>
            <w:tcW w:w="0" w:type="auto"/>
          </w:tcPr>
          <w:p>
            <w:pPr>
              <w:spacing w:line="240" w:lineRule="auto" w:before="0" w:after="0"/>
              <w:pStyle w:val="Compact"/>
            </w:pPr>
            <w:r>
              <w:rPr>
                <w:sz w:val="20"/>
                <w:szCs w:val="20"/>
              </w:rPr>
              <w:t xml:space="preserve">1.5e-05</w:t>
            </w:r>
          </w:p>
        </w:tc>
        <w:tc>
          <w:tcPr>
            <w:tcW w:w="0" w:type="auto"/>
          </w:tcPr>
          <w:p>
            <w:pPr>
              <w:spacing w:line="240" w:lineRule="auto" w:before="0" w:after="0"/>
              <w:pStyle w:val="Compact"/>
            </w:pPr>
            <w:r>
              <w:rPr>
                <w:sz w:val="20"/>
                <w:szCs w:val="20"/>
              </w:rPr>
              <w:t xml:space="preserve">[-2.8911, -1.089]</w:t>
            </w:r>
          </w:p>
        </w:tc>
      </w:tr>
    </w:tbl>
    <w:p>
      <w:pPr>
        <w:pStyle w:val="BodyText"/>
        <w:spacing w:line="480" w:lineRule="auto"/>
        <w:ind w:firstLine="720"/>
      </w:pPr>
      <w:r>
        <w:t xml:space="preserve">Fit: N = 30 R2 = 0.3355 R2_adj = 0.2588 F = 14.6551 F_p = 8.726e-06</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8" name="Picture"/>
            <a:graphic>
              <a:graphicData uri="http://schemas.openxmlformats.org/drawingml/2006/picture">
                <pic:pic>
                  <pic:nvPicPr>
                    <pic:cNvPr descr="D:/Claude_Code/brain/collegium/candidates/dissertations/CISLUNAR_DEV_13/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https://amostech.space/year/2015/using-big-data-technologies-and-analytics-to-predict-sensor-anomalies/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https://amostech.space/year/2020/earths-ionosphere-and-its-impact-on-global-navigation-satellite-systems/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10.1016/j.actaastro.2025.10.053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10.1016/j.actaastro.2020.04.025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10.1016/j.actaastro.2022.09.021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10.1016/j.actaastro.2025.02.030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2"/>
    <w:bookmarkEnd w:id="183"/>
    <w:bookmarkStart w:id="191" w:name="Xd4a238df197c9852f060a983f38608bab2d9c5e"/>
    <w:p>
      <w:pPr>
        <w:pStyle w:val="Heading2"/>
        <w:spacing w:line="480" w:lineRule="auto"/>
      </w:pPr>
      <w:r>
        <w:t xml:space="preserve">A.2 Attention Accumulation in Big-History Analogues and Frontier Settlement Pacing Do Lunar Buildout Projecti: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0.927</w:t>
            </w:r>
          </w:p>
        </w:tc>
        <w:tc>
          <w:tcPr>
            <w:tcW w:w="0" w:type="auto"/>
          </w:tcPr>
          <w:p>
            <w:pPr>
              <w:spacing w:line="240" w:lineRule="auto" w:before="0" w:after="0"/>
              <w:pStyle w:val="Compact"/>
            </w:pPr>
            <w:r>
              <w:rPr>
                <w:sz w:val="20"/>
                <w:szCs w:val="20"/>
              </w:rPr>
              <w:t xml:space="preserve">0.6345</w:t>
            </w:r>
          </w:p>
        </w:tc>
        <w:tc>
          <w:tcPr>
            <w:tcW w:w="0" w:type="auto"/>
          </w:tcPr>
          <w:p>
            <w:pPr>
              <w:spacing w:line="240" w:lineRule="auto" w:before="0" w:after="0"/>
              <w:pStyle w:val="Compact"/>
            </w:pPr>
            <w:r>
              <w:rPr>
                <w:sz w:val="20"/>
                <w:szCs w:val="20"/>
              </w:rPr>
              <w:t xml:space="preserve">1.461</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[-0.3166, 2.1705]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0.4815</w:t>
            </w:r>
          </w:p>
        </w:tc>
        <w:tc>
          <w:tcPr>
            <w:tcW w:w="0" w:type="auto"/>
          </w:tcPr>
          <w:p>
            <w:pPr>
              <w:spacing w:line="240" w:lineRule="auto" w:before="0" w:after="0"/>
              <w:pStyle w:val="Compact"/>
            </w:pPr>
            <w:r>
              <w:rPr>
                <w:sz w:val="20"/>
                <w:szCs w:val="20"/>
              </w:rPr>
              <w:t xml:space="preserve">-0.1039</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[-0.9938, 0.8938]</w:t>
            </w:r>
          </w:p>
        </w:tc>
      </w:tr>
    </w:tbl>
    <w:p>
      <w:pPr>
        <w:pStyle w:val="BodyText"/>
        <w:spacing w:line="480" w:lineRule="auto"/>
        <w:ind w:firstLine="720"/>
      </w:pPr>
      <w:r>
        <w:t xml:space="preserve">Fit: N = 30 R2 = 0.0003698 elasticity_b = -0.05 progress_ratio_2^b = 0.9659</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6" name="Picture"/>
            <a:graphic>
              <a:graphicData uri="http://schemas.openxmlformats.org/drawingml/2006/picture">
                <pic:pic>
                  <pic:nvPicPr>
                    <pic:cNvPr descr="D:/Claude_Code/brain/collegium/candidates/dissertations/CISLUNAR_DEV_13/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https://amostech.space/year/2022/long-term-evolution-of-debris-clouds-in-low-lunar-orbit/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https://amostech.space/year/2015/using-big-data-technologies-and-analytics-to-predict-sensor-anomalies/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10.64861/UPXT3411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https://amostech.space/year/2020/earths-ionosphere-and-its-impact-on-global-navigation-satellite-systems/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https://amostech.space/year/2021/systems-and-methods-for-hybrid-lunar-surface-and-space-domain-situational-awareness/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10.64861/WCUO4665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10.1016/j.actaastro.2025.10.053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10.1016/j.actaastro.2020.04.025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10.1016/j.actaastro.2022.09.021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10.1016/j.actaastro.2024.08.018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10.1016/j.actaastro.2025.02.030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59" Type="http://schemas.openxmlformats.org/officeDocument/2006/relationships/hyperlink" Target="https://doi.org/10.1016/j.actaastro.2019.08.031" TargetMode="External"/><Relationship Id="rId167" Type="http://schemas.openxmlformats.org/officeDocument/2006/relationships/hyperlink" Target="https://doi.org/10.1016/j.actaastro.2020.04.025" TargetMode="External"/><Relationship Id="rId169" Type="http://schemas.openxmlformats.org/officeDocument/2006/relationships/hyperlink" Target="https://doi.org/10.1016/j.actaastro.2022.09.021" TargetMode="External"/><Relationship Id="rId171" Type="http://schemas.openxmlformats.org/officeDocument/2006/relationships/hyperlink" Target="https://doi.org/10.1016/j.actaastro.2023.07.009" TargetMode="External"/><Relationship Id="rId165" Type="http://schemas.openxmlformats.org/officeDocument/2006/relationships/hyperlink" Target="https://doi.org/10.1016/j.actaastro.2024.05.022" TargetMode="External"/><Relationship Id="rId163" Type="http://schemas.openxmlformats.org/officeDocument/2006/relationships/hyperlink" Target="https://doi.org/10.1016/j.actaastro.2024.06.001" TargetMode="External"/><Relationship Id="rId173" Type="http://schemas.openxmlformats.org/officeDocument/2006/relationships/hyperlink" Target="https://doi.org/10.1016/j.actaastro.2024.08.018" TargetMode="External"/><Relationship Id="rId161" Type="http://schemas.openxmlformats.org/officeDocument/2006/relationships/hyperlink" Target="https://doi.org/10.1016/j.actaastro.2025.10.053" TargetMode="External"/><Relationship Id="rId156" Type="http://schemas.openxmlformats.org/officeDocument/2006/relationships/hyperlink" Target="https://doi.org/10.64861/UAMB9924" TargetMode="External"/><Relationship Id="rId154" Type="http://schemas.openxmlformats.org/officeDocument/2006/relationships/hyperlink" Target="https://doi.org/10.64861/UPXT3411" TargetMode="External"/></Relationships>
</file>

<file path=word/_rels/footnotes.xml.rels><?xml version='1.0' encoding='UTF-8' standalone='yes'?>
<Relationships xmlns="http://schemas.openxmlformats.org/package/2006/relationships"><Relationship Id="rId159" Type="http://schemas.openxmlformats.org/officeDocument/2006/relationships/hyperlink" Target="https://doi.org/10.1016/j.actaastro.2019.08.031" TargetMode="External"/><Relationship Id="rId167" Type="http://schemas.openxmlformats.org/officeDocument/2006/relationships/hyperlink" Target="https://doi.org/10.1016/j.actaastro.2020.04.025" TargetMode="External"/><Relationship Id="rId169" Type="http://schemas.openxmlformats.org/officeDocument/2006/relationships/hyperlink" Target="https://doi.org/10.1016/j.actaastro.2022.09.021" TargetMode="External"/><Relationship Id="rId171" Type="http://schemas.openxmlformats.org/officeDocument/2006/relationships/hyperlink" Target="https://doi.org/10.1016/j.actaastro.2023.07.009" TargetMode="External"/><Relationship Id="rId165" Type="http://schemas.openxmlformats.org/officeDocument/2006/relationships/hyperlink" Target="https://doi.org/10.1016/j.actaastro.2024.05.022" TargetMode="External"/><Relationship Id="rId163" Type="http://schemas.openxmlformats.org/officeDocument/2006/relationships/hyperlink" Target="https://doi.org/10.1016/j.actaastro.2024.06.001" TargetMode="External"/><Relationship Id="rId173" Type="http://schemas.openxmlformats.org/officeDocument/2006/relationships/hyperlink" Target="https://doi.org/10.1016/j.actaastro.2024.08.018" TargetMode="External"/><Relationship Id="rId161" Type="http://schemas.openxmlformats.org/officeDocument/2006/relationships/hyperlink" Target="https://doi.org/10.1016/j.actaastro.2025.10.053" TargetMode="External"/><Relationship Id="rId156" Type="http://schemas.openxmlformats.org/officeDocument/2006/relationships/hyperlink" Target="https://doi.org/10.64861/UAMB9924" TargetMode="External"/><Relationship Id="rId154" Type="http://schemas.openxmlformats.org/officeDocument/2006/relationships/hyperlink" Target="https://doi.org/10.64861/UPXT3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Big-History Analogues and Frontier Settlement Pacing: Do Lunar Buildout Projecti</dc:title>
  <dc:creator>Hugo Ashby (1B-LUN-198)</dc:creator>
  <cp:keywords/>
  <dcterms:created xsi:type="dcterms:W3CDTF">2026-07-03T22:22:57Z</dcterms:created>
  <dcterms:modified xsi:type="dcterms:W3CDTF">2026-07-03T22:22:57Z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