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2.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0" w:name="X8b5428a6c5730a202df379463d79111ce06481a"/>
    <w:p>
      <w:pPr>
        <w:pStyle w:val="Heading1"/>
      </w:pPr>
      <w:r>
        <w:t xml:space="preserve">Attention Accumulation in Energy Return on Investment of Lunar ISRU Does Producing Propellant on the Moon: A Learning-Curve Analysis of Citation Growth by Article Age</w:t>
      </w:r>
    </w:p>
    <w:bookmarkStart w:id="61" w:name="introduction"/>
    <w:p>
      <w:pPr>
        <w:pStyle w:val="Heading2"/>
      </w:pPr>
      <w:r>
        <w:t xml:space="preserve">1. Introduction</w:t>
      </w:r>
    </w:p>
    <w:p>
      <w:pPr>
        <w:pStyle w:val="FirstParagraph"/>
      </w:pPr>
      <w:r>
        <w:t xml:space="preserve">This empirical paper supports Saskia Beckett (1B-LUN-197) and the dissertation project</w:t>
      </w:r>
      <w:r>
        <w:t xml:space="preserve"> </w:t>
      </w:r>
      <w:r>
        <w:rPr>
          <w:i/>
          <w:iCs/>
        </w:rPr>
        <w:t xml:space="preserve">Energy Return on Investment of Lunar ISRU: Does Producing Propellant on the Moon</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R2=0.00041125166340483243, elasticity_b=0.050125855695594246, progress_ratio_2^b=1.0353552406905964. The exact term summary is: const coef=0.8530783945140155 p=0.16026812928967116; _ln_x coef=0.050125855695594246 p=0.9070755892500413.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80" w:name="references"/>
    <w:p>
      <w:pPr>
        <w:pStyle w:val="Heading2"/>
      </w:pPr>
      <w:r>
        <w:t xml:space="preserve">References</w:t>
      </w:r>
    </w:p>
    <w:p>
      <w:pPr>
        <w:pStyle w:val="FirstParagraph"/>
      </w:pPr>
      <w:bookmarkStart w:id="67" w:name="ref-1"/>
      <w:bookmarkEnd w:id="67"/>
      <w:r>
        <w:t xml:space="preserve">1. Harvey Reed, MITRE; Nick Tsamis, MITRE; Nathaniel Dailey, MITRE. Space Sustainability and Traffic Management Requires Trusted Space Stakeholder Coordination (2023). doi:</w:t>
      </w:r>
      <w:r>
        <w:t xml:space="preserve"> </w:t>
      </w:r>
      <w:hyperlink r:id="rId68">
        <w:r>
          <w:rPr>
            <w:rStyle w:val="Hyperlink"/>
          </w:rPr>
          <w:t xml:space="preserve">10.64861/MVHC2799</w:t>
        </w:r>
      </w:hyperlink>
      <w:r>
        <w:t xml:space="preserve"> </w:t>
      </w:r>
      <w:bookmarkStart w:id="69" w:name="ref-2"/>
      <w:bookmarkEnd w:id="69"/>
      <w:r>
        <w:t xml:space="preserve">2. Professor Douglas Currie (University of Maryland, NASA Lunar Science Institute, Istituto Nazionale di Fisica Nucleare Laboratori), Dr. Simone Dell Agnello (Istituto Nazionale di Fisica Nucleare Laboratori, Nazionali di Frascati), Dr. Giovanni Delle Monache (Istituto Nazionale di Fisica Nucleare Laboratori). A Lunar Laser Ranging Retroreflector for the 21st Century (2009). [AMOS]</w:t>
      </w:r>
      <w:r>
        <w:t xml:space="preserve"> </w:t>
      </w:r>
      <w:bookmarkStart w:id="70" w:name="ref-3"/>
      <w:bookmarkEnd w:id="70"/>
      <w:r>
        <w:t xml:space="preserve">3. Kaitlyn Raub, InTrack Radar Technologies, Inc.; Tim McLaughlin, InTrack Radar Technologies, Inc.; Nathan Holzrichter, MITRE; Stefan Doucette, MITRE; Francis Chun, United States Air Force Academy. Motion Hypothesis Satellite Detection for Cislunar Spacecraft (2024). doi:</w:t>
      </w:r>
      <w:r>
        <w:t xml:space="preserve"> </w:t>
      </w:r>
      <w:hyperlink r:id="rId71">
        <w:r>
          <w:rPr>
            <w:rStyle w:val="Hyperlink"/>
          </w:rPr>
          <w:t xml:space="preserve">10.64861/PHAC8145</w:t>
        </w:r>
      </w:hyperlink>
      <w:r>
        <w:t xml:space="preserve"> </w:t>
      </w:r>
      <w:bookmarkStart w:id="72" w:name="ref-4"/>
      <w:bookmarkEnd w:id="72"/>
      <w:r>
        <w:t xml:space="preserve">4. Nathan Boone, Air Force Institute of Technology; Robert Bettinger,Air Force Institute of Technology. Artificial Debris Collision Risk Following a Catastrophic Spacecraft Mishap in Lunar Orbit (2021). [AMOS]</w:t>
      </w:r>
      <w:r>
        <w:t xml:space="preserve"> </w:t>
      </w:r>
      <w:bookmarkStart w:id="73" w:name="ref-5"/>
      <w:bookmarkEnd w:id="73"/>
      <w:r>
        <w:t xml:space="preserve">5. Adam P. Wilmer, Air Force Institute of Technology; Robert A. Bettinger, U.S. Air Force. Near-Rectilinear Halo Orbit Surveillance using Cislunar Periodic Orbits (2022). [AMOS]</w:t>
      </w:r>
      <w:r>
        <w:t xml:space="preserve"> </w:t>
      </w:r>
      <w:bookmarkStart w:id="74" w:name="ref-6"/>
      <w:bookmarkEnd w:id="74"/>
      <w:r>
        <w:t xml:space="preserve">6. Joshua Wysack, Ball Aerospace; Kevin Ferrant, Ball Aerospace. Contrasting Architectures for Cislunar SDA and STM (2023). doi:</w:t>
      </w:r>
      <w:r>
        <w:t xml:space="preserve"> </w:t>
      </w:r>
      <w:hyperlink r:id="rId75">
        <w:r>
          <w:rPr>
            <w:rStyle w:val="Hyperlink"/>
          </w:rPr>
          <w:t xml:space="preserve">10.64861/KUQJ3053</w:t>
        </w:r>
      </w:hyperlink>
      <w:r>
        <w:t xml:space="preserve"> </w:t>
      </w:r>
      <w:bookmarkStart w:id="76" w:name="ref-7"/>
      <w:bookmarkEnd w:id="76"/>
      <w:r>
        <w:t xml:space="preserve">7. Adrienne Rudolph, ExoAnalytic Solutions; Phillip Cunio, ExoAnalytic Solutions; Marcus Bever, ExoAnalytic Solutions; Christopher Bolig, ExoAnalytic Solutions; Doug Hendrix, ExoAnalytic Solutions; Stuart Eves, SJE Space Ltd. Analysis of Spacecraft Propellant Plumes in the GEO Plasma Environment (2023). doi:</w:t>
      </w:r>
      <w:r>
        <w:t xml:space="preserve"> </w:t>
      </w:r>
      <w:hyperlink r:id="rId77">
        <w:r>
          <w:rPr>
            <w:rStyle w:val="Hyperlink"/>
          </w:rPr>
          <w:t xml:space="preserve">10.64861/LPWQ5164</w:t>
        </w:r>
      </w:hyperlink>
      <w:r>
        <w:t xml:space="preserve"> </w:t>
      </w:r>
      <w:bookmarkStart w:id="78" w:name="ref-8"/>
      <w:bookmarkEnd w:id="78"/>
      <w:r>
        <w:t xml:space="preserve">8. Yuri Shimane, Georgia Institute of Technology; Kento Tomita, Georgia Institute of Technology; Koki Ho, Georgia Institute of Technology. Strategic Regions for Monitoring Incoming Low-Energy Transfers to Low-Lunar Orbits (2023). doi:</w:t>
      </w:r>
      <w:r>
        <w:t xml:space="preserve"> </w:t>
      </w:r>
      <w:hyperlink r:id="rId79">
        <w:r>
          <w:rPr>
            <w:rStyle w:val="Hyperlink"/>
          </w:rPr>
          <w:t xml:space="preserve">10.64861/QARN5518</w:t>
        </w:r>
      </w:hyperlink>
    </w:p>
    <w:bookmarkEnd w:id="80"/>
    <w:bookmarkStart w:id="81"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81"/>
    <w:bookmarkStart w:id="85"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0.8531</w:t>
            </w:r>
          </w:p>
        </w:tc>
        <w:tc>
          <w:tcPr>
            <w:tcW w:w="0" w:type="auto"/>
          </w:tcPr>
          <w:p>
            <w:pPr>
              <w:spacing w:line="240" w:lineRule="auto" w:before="0" w:after="0"/>
              <w:pStyle w:val="Compact"/>
            </w:pPr>
            <w:r>
              <w:rPr>
                <w:sz w:val="20"/>
                <w:szCs w:val="20"/>
              </w:rPr>
              <w:t xml:space="preserve">0.6075</w:t>
            </w:r>
          </w:p>
        </w:tc>
        <w:tc>
          <w:tcPr>
            <w:tcW w:w="0" w:type="auto"/>
          </w:tcPr>
          <w:p>
            <w:pPr>
              <w:spacing w:line="240" w:lineRule="auto" w:before="0" w:after="0"/>
              <w:pStyle w:val="Compact"/>
            </w:pPr>
            <w:r>
              <w:rPr>
                <w:sz w:val="20"/>
                <w:szCs w:val="20"/>
              </w:rPr>
              <w:t xml:space="preserve">1.4042</w:t>
            </w:r>
          </w:p>
        </w:tc>
        <w:tc>
          <w:tcPr>
            <w:tcW w:w="0" w:type="auto"/>
          </w:tcPr>
          <w:p>
            <w:pPr>
              <w:spacing w:line="240" w:lineRule="auto" w:before="0" w:after="0"/>
              <w:pStyle w:val="Compact"/>
            </w:pPr>
            <w:r>
              <w:rPr>
                <w:sz w:val="20"/>
                <w:szCs w:val="20"/>
              </w:rPr>
              <w:t xml:space="preserve">0.1603</w:t>
            </w:r>
          </w:p>
        </w:tc>
        <w:tc>
          <w:tcPr>
            <w:tcW w:w="0" w:type="auto"/>
          </w:tcPr>
          <w:p>
            <w:pPr>
              <w:spacing w:line="240" w:lineRule="auto" w:before="0" w:after="0"/>
              <w:pStyle w:val="Compact"/>
            </w:pPr>
            <w:r>
              <w:rPr>
                <w:sz w:val="20"/>
                <w:szCs w:val="20"/>
              </w:rPr>
              <w:t xml:space="preserve">[-0.3377, 2.0438]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0.0501</w:t>
            </w:r>
          </w:p>
        </w:tc>
        <w:tc>
          <w:tcPr>
            <w:tcW w:w="0" w:type="auto"/>
          </w:tcPr>
          <w:p>
            <w:pPr>
              <w:spacing w:line="240" w:lineRule="auto" w:before="0" w:after="0"/>
              <w:pStyle w:val="Compact"/>
            </w:pPr>
            <w:r>
              <w:rPr>
                <w:sz w:val="20"/>
                <w:szCs w:val="20"/>
              </w:rPr>
              <w:t xml:space="preserve">0.4294</w:t>
            </w:r>
          </w:p>
        </w:tc>
        <w:tc>
          <w:tcPr>
            <w:tcW w:w="0" w:type="auto"/>
          </w:tcPr>
          <w:p>
            <w:pPr>
              <w:spacing w:line="240" w:lineRule="auto" w:before="0" w:after="0"/>
              <w:pStyle w:val="Compact"/>
            </w:pPr>
            <w:r>
              <w:rPr>
                <w:sz w:val="20"/>
                <w:szCs w:val="20"/>
              </w:rPr>
              <w:t xml:space="preserve">0.1167</w:t>
            </w:r>
          </w:p>
        </w:tc>
        <w:tc>
          <w:tcPr>
            <w:tcW w:w="0" w:type="auto"/>
          </w:tcPr>
          <w:p>
            <w:pPr>
              <w:spacing w:line="240" w:lineRule="auto" w:before="0" w:after="0"/>
              <w:pStyle w:val="Compact"/>
            </w:pPr>
            <w:r>
              <w:rPr>
                <w:sz w:val="20"/>
                <w:szCs w:val="20"/>
              </w:rPr>
              <w:t xml:space="preserve">0.9071</w:t>
            </w:r>
          </w:p>
        </w:tc>
        <w:tc>
          <w:tcPr>
            <w:tcW w:w="0" w:type="auto"/>
          </w:tcPr>
          <w:p>
            <w:pPr>
              <w:spacing w:line="240" w:lineRule="auto" w:before="0" w:after="0"/>
              <w:pStyle w:val="Compact"/>
            </w:pPr>
            <w:r>
              <w:rPr>
                <w:sz w:val="20"/>
                <w:szCs w:val="20"/>
              </w:rPr>
              <w:t xml:space="preserve">[-0.7915, 0.8918]</w:t>
            </w:r>
          </w:p>
        </w:tc>
      </w:tr>
    </w:tbl>
    <w:p>
      <w:pPr>
        <w:pStyle w:val="BodyText"/>
      </w:pPr>
      <w:r>
        <w:t xml:space="preserve">Fit: N = 30 R2 = 0.0004113 elasticity_b = 0.0501 progress_ratio_2^b = 1.0354</w:t>
      </w:r>
    </w:p>
    <w:p>
      <w:pPr>
        <w:pStyle w:val="CaptionedFigure"/>
      </w:pPr>
      <w:r>
        <w:drawing>
          <wp:inline>
            <wp:extent cx="5669280" cy="3657600"/>
            <wp:effectExtent b="0" l="0" r="0" t="0"/>
            <wp:docPr descr="Figure 1. Citation accumulation against article age in the retrieved topic literature." title="" id="83" name="Picture"/>
            <a:graphic>
              <a:graphicData uri="http://schemas.openxmlformats.org/drawingml/2006/picture">
                <pic:pic>
                  <pic:nvPicPr>
                    <pic:cNvPr descr="D:\Claude_Code\brain\collegium\candidates\dissertations\CISLUNAR_DEV_12\research_papers\p2\paper_fig1.png" id="84" name="Picture"/>
                    <pic:cNvPicPr>
                      <a:picLocks noChangeArrowheads="1" noChangeAspect="1"/>
                    </pic:cNvPicPr>
                  </pic:nvPicPr>
                  <pic:blipFill>
                    <a:blip r:embed="rId8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5"/>
    <w:bookmarkStart w:id="89"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6"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10.64861/MVHC2799</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https://amostech.space/year/2009/a-lunar-laser-ranging-retroreflector-for-the-21st-century/</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10.64861/PHAC8145</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https://amostech.space/year/2021/artificial-debris-collision-risk-following-a-catastrophic-spacecraft-mishap-in-lunar-orbit/</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https://amostech.space/year/2022/near-rectilinear-halo-orbit-surveillance-using-cislunar-periodic-orbits/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10.64861/KUQJ3053</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10.64861/LPWQ5164</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10.64861/QARN5518</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https://amostech.space/year/2022/earth-gravity-assisted-inclination-change-to-reduce-lunar-constellation-deployment-delta-v/</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10.64861/GAAT4421</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https://amostech.space/year/2021/tracking-objects-in-cis-lunar-space-the-change-5-case/</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10.64861/RBTM5104</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10.1016/j.actaastro.2026.04.012</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10.1016/j.actaastro.2025.02.004</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10.1016/j.actaastro.2023.04.029</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10.1016/j.actaastro.2021.01.009</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10.1016/j.actaastro.2025.05.008</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10.1016/j.actaastro.2021.01.045</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10.1016/j.actaastro.2025.04.041</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10.1016/j.actaastro.2019.04.018</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10.1016/j.actaastro.2025.07.033</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10.1016/j.actaastro.2020.02.005</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10.1016/j.actaastro.2024.07.003</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10.1016/j.actaastro.2021.06.017</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 Forecasting the Space Economy</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MITRE white paper arguing that Australia’s geolocational Delta-V advantage, automated mining expertise, and university smallsat capacity can underpin a commercial space economy analogous to Japan’s and Germany’s post-WWII economic miracles, provided the country prioritizes LTS Guidelines, orbital debris governance, and Artemis Accords leadership over defense-budget reliance.</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bl>
    <w:bookmarkEnd w:id="86"/>
    <w:bookmarkStart w:id="87"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7"/>
    <w:bookmarkStart w:id="88"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0.8531</w:t>
            </w:r>
          </w:p>
        </w:tc>
        <w:tc>
          <w:tcPr>
            <w:tcW w:w="0" w:type="auto"/>
          </w:tcPr>
          <w:p>
            <w:pPr>
              <w:spacing w:line="240" w:lineRule="auto" w:before="0" w:after="0"/>
              <w:pStyle w:val="Compact"/>
            </w:pPr>
            <w:r>
              <w:rPr>
                <w:sz w:val="20"/>
                <w:szCs w:val="20"/>
              </w:rPr>
              <w:t xml:space="preserve">0.6075</w:t>
            </w:r>
          </w:p>
        </w:tc>
        <w:tc>
          <w:tcPr>
            <w:tcW w:w="0" w:type="auto"/>
          </w:tcPr>
          <w:p>
            <w:pPr>
              <w:spacing w:line="240" w:lineRule="auto" w:before="0" w:after="0"/>
              <w:pStyle w:val="Compact"/>
            </w:pPr>
            <w:r>
              <w:rPr>
                <w:sz w:val="20"/>
                <w:szCs w:val="20"/>
              </w:rPr>
              <w:t xml:space="preserve">1.4042</w:t>
            </w:r>
          </w:p>
        </w:tc>
        <w:tc>
          <w:tcPr>
            <w:tcW w:w="0" w:type="auto"/>
          </w:tcPr>
          <w:p>
            <w:pPr>
              <w:spacing w:line="240" w:lineRule="auto" w:before="0" w:after="0"/>
              <w:pStyle w:val="Compact"/>
            </w:pPr>
            <w:r>
              <w:rPr>
                <w:sz w:val="20"/>
                <w:szCs w:val="20"/>
              </w:rPr>
              <w:t xml:space="preserve">0.1603</w:t>
            </w:r>
          </w:p>
        </w:tc>
        <w:tc>
          <w:tcPr>
            <w:tcW w:w="0" w:type="auto"/>
          </w:tcPr>
          <w:p>
            <w:pPr>
              <w:spacing w:line="240" w:lineRule="auto" w:before="0" w:after="0"/>
              <w:pStyle w:val="Compact"/>
            </w:pPr>
            <w:r>
              <w:rPr>
                <w:sz w:val="20"/>
                <w:szCs w:val="20"/>
              </w:rPr>
              <w:t xml:space="preserve">[-0.3377, 2.0438]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0.0501</w:t>
            </w:r>
          </w:p>
        </w:tc>
        <w:tc>
          <w:tcPr>
            <w:tcW w:w="0" w:type="auto"/>
          </w:tcPr>
          <w:p>
            <w:pPr>
              <w:spacing w:line="240" w:lineRule="auto" w:before="0" w:after="0"/>
              <w:pStyle w:val="Compact"/>
            </w:pPr>
            <w:r>
              <w:rPr>
                <w:sz w:val="20"/>
                <w:szCs w:val="20"/>
              </w:rPr>
              <w:t xml:space="preserve">0.4294</w:t>
            </w:r>
          </w:p>
        </w:tc>
        <w:tc>
          <w:tcPr>
            <w:tcW w:w="0" w:type="auto"/>
          </w:tcPr>
          <w:p>
            <w:pPr>
              <w:spacing w:line="240" w:lineRule="auto" w:before="0" w:after="0"/>
              <w:pStyle w:val="Compact"/>
            </w:pPr>
            <w:r>
              <w:rPr>
                <w:sz w:val="20"/>
                <w:szCs w:val="20"/>
              </w:rPr>
              <w:t xml:space="preserve">0.1167</w:t>
            </w:r>
          </w:p>
        </w:tc>
        <w:tc>
          <w:tcPr>
            <w:tcW w:w="0" w:type="auto"/>
          </w:tcPr>
          <w:p>
            <w:pPr>
              <w:spacing w:line="240" w:lineRule="auto" w:before="0" w:after="0"/>
              <w:pStyle w:val="Compact"/>
            </w:pPr>
            <w:r>
              <w:rPr>
                <w:sz w:val="20"/>
                <w:szCs w:val="20"/>
              </w:rPr>
              <w:t xml:space="preserve">0.9071</w:t>
            </w:r>
          </w:p>
        </w:tc>
        <w:tc>
          <w:tcPr>
            <w:tcW w:w="0" w:type="auto"/>
          </w:tcPr>
          <w:p>
            <w:pPr>
              <w:spacing w:line="240" w:lineRule="auto" w:before="0" w:after="0"/>
              <w:pStyle w:val="Compact"/>
            </w:pPr>
            <w:r>
              <w:rPr>
                <w:sz w:val="20"/>
                <w:szCs w:val="20"/>
              </w:rPr>
              <w:t xml:space="preserve">[-0.7915, 0.8918]</w:t>
            </w:r>
          </w:p>
        </w:tc>
      </w:tr>
    </w:tbl>
    <w:p>
      <w:pPr>
        <w:pStyle w:val="BodyText"/>
      </w:pPr>
      <w:r>
        <w:t xml:space="preserve">Fit: N = 30 R2 = 0.0004113 elasticity_b = 0.0501 progress_ratio_2^b = 1.0354</w:t>
      </w:r>
    </w:p>
    <w:bookmarkEnd w:id="88"/>
    <w:bookmarkEnd w:id="89"/>
    <w:bookmarkEnd w:id="90"/>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2" Target="media/rId82.png" /><Relationship Type="http://schemas.openxmlformats.org/officeDocument/2006/relationships/hyperlink" Id="rId75" Target="https://doi.org/10.64861/KUQJ3053" TargetMode="External" /><Relationship Type="http://schemas.openxmlformats.org/officeDocument/2006/relationships/hyperlink" Id="rId77" Target="https://doi.org/10.64861/LPWQ5164" TargetMode="External" /><Relationship Type="http://schemas.openxmlformats.org/officeDocument/2006/relationships/hyperlink" Id="rId68" Target="https://doi.org/10.64861/MVHC2799" TargetMode="External" /><Relationship Type="http://schemas.openxmlformats.org/officeDocument/2006/relationships/hyperlink" Id="rId71" Target="https://doi.org/10.64861/PHAC8145" TargetMode="External" /><Relationship Type="http://schemas.openxmlformats.org/officeDocument/2006/relationships/hyperlink" Id="rId79" Target="https://doi.org/10.64861/QARN5518" TargetMode="External" /></Relationships>
</file>

<file path=word/_rels/footnotes.xml.rels><?xml version="1.0" encoding="UTF-8"?><Relationships xmlns="http://schemas.openxmlformats.org/package/2006/relationships"><Relationship Type="http://schemas.openxmlformats.org/officeDocument/2006/relationships/hyperlink" Id="rId75" Target="https://doi.org/10.64861/KUQJ3053" TargetMode="External" /><Relationship Type="http://schemas.openxmlformats.org/officeDocument/2006/relationships/hyperlink" Id="rId77" Target="https://doi.org/10.64861/LPWQ5164" TargetMode="External" /><Relationship Type="http://schemas.openxmlformats.org/officeDocument/2006/relationships/hyperlink" Id="rId68" Target="https://doi.org/10.64861/MVHC2799" TargetMode="External" /><Relationship Type="http://schemas.openxmlformats.org/officeDocument/2006/relationships/hyperlink" Id="rId71" Target="https://doi.org/10.64861/PHAC8145" TargetMode="External" /><Relationship Type="http://schemas.openxmlformats.org/officeDocument/2006/relationships/hyperlink" Id="rId79" Target="https://doi.org/10.64861/QARN551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2026-06-29T09:36:21Z</dcterms:created>
  <dcterms:modified xsi:type="dcterms:W3CDTF">2026-06-29T09:36:21Z</dcterms:modified>
</cp:coreProperties>
</file>

<file path=docProps/custom.xml><?xml version="1.0" encoding="utf-8"?>
<Properties xmlns="http://schemas.openxmlformats.org/officeDocument/2006/custom-properties" xmlns:vt="http://schemas.openxmlformats.org/officeDocument/2006/docPropsVTypes"/>
</file>