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50ed7d81a953470ae7b822c3c3dd0b18042d3d4"/>
    <w:p>
      <w:pPr>
        <w:pStyle w:val="Heading1"/>
      </w:pPr>
      <w:r>
        <w:t xml:space="preserve">Signal Intensity in Energy Return on Investment of Lunar ISRU Does Producing Propellant on the Moon: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Saskia Beckett (1B-LUN-197) and the dissertation project</w:t>
      </w:r>
      <w:r>
        <w:t xml:space="preserve"> </w:t>
      </w:r>
      <w:r>
        <w:rPr>
          <w:i/>
          <w:iCs/>
        </w:rPr>
        <w:t xml:space="preserve">Energy Return on Investment of Lunar ISRU: Does Producing Propellant on the Moon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R2=0.7233232038285599, R2_adj=0.6913989581164706, F=51.6526848835112, F_p=4.3319299325856365e-11. The exact term summary is: const coef=10.100484734302308 p=1.7611243097785996e-10; recency_index coef=0.17247735249118298 p=0.055918021029707304; cites_num coef=0.09602941533762174 p=1.6949544546554882e-14; venue_score coef=-3.45027541958142 p=4.3691742110892956e-16.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Harvey Reed, MITRE; Nick Tsamis, MITRE; Nathaniel Dailey, MITRE. Space Sustainability and Traffic Management Requires Trusted Space Stakeholder Coordination (2023). doi:</w:t>
      </w:r>
      <w:r>
        <w:t xml:space="preserve"> </w:t>
      </w:r>
      <w:hyperlink r:id="rId68">
        <w:r>
          <w:rPr>
            <w:rStyle w:val="Hyperlink"/>
          </w:rPr>
          <w:t xml:space="preserve">10.64861/MVHC2799</w:t>
        </w:r>
      </w:hyperlink>
      <w:r>
        <w:t xml:space="preserve"> </w:t>
      </w:r>
      <w:bookmarkStart w:id="69" w:name="ref-2"/>
      <w:bookmarkEnd w:id="69"/>
      <w:r>
        <w:t xml:space="preserve">2.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 [AMOS]</w:t>
      </w:r>
      <w:r>
        <w:t xml:space="preserve"> </w:t>
      </w:r>
      <w:bookmarkStart w:id="70" w:name="ref-3"/>
      <w:bookmarkEnd w:id="70"/>
      <w:r>
        <w:t xml:space="preserve">3. Kaitlyn Raub, InTrack Radar Technologies, Inc.; Tim McLaughlin, InTrack Radar Technologies, Inc.; Nathan Holzrichter, MITRE; Stefan Doucette, MITRE; Francis Chun, United States Air Force Academy. Motion Hypothesis Satellite Detection for Cislunar Spacecraft (2024). doi:</w:t>
      </w:r>
      <w:r>
        <w:t xml:space="preserve"> </w:t>
      </w:r>
      <w:hyperlink r:id="rId71">
        <w:r>
          <w:rPr>
            <w:rStyle w:val="Hyperlink"/>
          </w:rPr>
          <w:t xml:space="preserve">10.64861/PHAC8145</w:t>
        </w:r>
      </w:hyperlink>
      <w:r>
        <w:t xml:space="preserve"> </w:t>
      </w:r>
      <w:bookmarkStart w:id="72" w:name="ref-4"/>
      <w:bookmarkEnd w:id="72"/>
      <w:r>
        <w:t xml:space="preserve">4. Nathan Boone, Air Force Institute of Technology; Robert Bettinger,Air Force Institute of Technology. Artificial Debris Collision Risk Following a Catastrophic Spacecraft Mishap in Lunar Orbit (2021). [AMOS]</w:t>
      </w:r>
      <w:r>
        <w:t xml:space="preserve"> </w:t>
      </w:r>
      <w:bookmarkStart w:id="73" w:name="ref-5"/>
      <w:bookmarkEnd w:id="73"/>
      <w:r>
        <w:t xml:space="preserve">5. Adam P. Wilmer, Air Force Institute of Technology; Robert A. Bettinger, U.S. Air Force. Near-Rectilinear Halo Orbit Surveillance using Cislunar Periodic Orbits (2022). [AMOS]</w:t>
      </w:r>
      <w:r>
        <w:t xml:space="preserve"> </w:t>
      </w:r>
      <w:bookmarkStart w:id="74" w:name="ref-6"/>
      <w:bookmarkEnd w:id="74"/>
      <w:r>
        <w:t xml:space="preserve">6. Joshua Wysack, Ball Aerospace; Kevin Ferrant, Ball Aerospace. Contrasting Architectures for Cislunar SDA and STM (2023). doi:</w:t>
      </w:r>
      <w:r>
        <w:t xml:space="preserve"> </w:t>
      </w:r>
      <w:hyperlink r:id="rId75">
        <w:r>
          <w:rPr>
            <w:rStyle w:val="Hyperlink"/>
          </w:rPr>
          <w:t xml:space="preserve">10.64861/KUQJ3053</w:t>
        </w:r>
      </w:hyperlink>
      <w:r>
        <w:t xml:space="preserve"> </w:t>
      </w:r>
      <w:bookmarkStart w:id="76" w:name="ref-7"/>
      <w:bookmarkEnd w:id="76"/>
      <w:r>
        <w:t xml:space="preserve">7. Adrienne Rudolph, ExoAnalytic Solutions; Phillip Cunio, ExoAnalytic Solutions; Marcus Bever, ExoAnalytic Solutions; Christopher Bolig, ExoAnalytic Solutions; Doug Hendrix, ExoAnalytic Solutions; Stuart Eves, SJE Space Ltd. Analysis of Spacecraft Propellant Plumes in the GEO Plasma Environment (2023). doi:</w:t>
      </w:r>
      <w:r>
        <w:t xml:space="preserve"> </w:t>
      </w:r>
      <w:hyperlink r:id="rId77">
        <w:r>
          <w:rPr>
            <w:rStyle w:val="Hyperlink"/>
          </w:rPr>
          <w:t xml:space="preserve">10.64861/LPWQ5164</w:t>
        </w:r>
      </w:hyperlink>
      <w:r>
        <w:t xml:space="preserve"> </w:t>
      </w:r>
      <w:bookmarkStart w:id="78" w:name="ref-8"/>
      <w:bookmarkEnd w:id="78"/>
      <w:r>
        <w:t xml:space="preserve">8. Yuri Shimane, Georgia Institute of Technology; Kento Tomita, Georgia Institute of Technology; Koki Ho, Georgia Institute of Technology. Strategic Regions for Monitoring Incoming Low-Energy Transfers to Low-Lunar Orbits (2023). doi:</w:t>
      </w:r>
      <w:r>
        <w:t xml:space="preserve"> </w:t>
      </w:r>
      <w:hyperlink r:id="rId79">
        <w:r>
          <w:rPr>
            <w:rStyle w:val="Hyperlink"/>
          </w:rPr>
          <w:t xml:space="preserve">10.64861/QARN5518</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10.1005</w:t>
            </w:r>
          </w:p>
        </w:tc>
        <w:tc>
          <w:tcPr>
            <w:tcW w:w="0" w:type="auto"/>
          </w:tcPr>
          <w:p>
            <w:pPr>
              <w:spacing w:line="240" w:lineRule="auto" w:before="0" w:after="0"/>
              <w:pStyle w:val="Compact"/>
            </w:pPr>
            <w:r>
              <w:rPr>
                <w:sz w:val="20"/>
                <w:szCs w:val="20"/>
              </w:rPr>
              <w:t xml:space="preserve">1.5829</w:t>
            </w:r>
          </w:p>
        </w:tc>
        <w:tc>
          <w:tcPr>
            <w:tcW w:w="0" w:type="auto"/>
          </w:tcPr>
          <w:p>
            <w:pPr>
              <w:spacing w:line="240" w:lineRule="auto" w:before="0" w:after="0"/>
              <w:pStyle w:val="Compact"/>
            </w:pPr>
            <w:r>
              <w:rPr>
                <w:sz w:val="20"/>
                <w:szCs w:val="20"/>
              </w:rPr>
              <w:t xml:space="preserve">6.3808</w:t>
            </w:r>
          </w:p>
        </w:tc>
        <w:tc>
          <w:tcPr>
            <w:tcW w:w="0" w:type="auto"/>
          </w:tcPr>
          <w:p>
            <w:pPr>
              <w:spacing w:line="240" w:lineRule="auto" w:before="0" w:after="0"/>
              <w:pStyle w:val="Compact"/>
            </w:pPr>
            <w:r>
              <w:rPr>
                <w:sz w:val="20"/>
                <w:szCs w:val="20"/>
              </w:rPr>
              <w:t xml:space="preserve">1.761e-10</w:t>
            </w:r>
          </w:p>
        </w:tc>
        <w:tc>
          <w:tcPr>
            <w:tcW w:w="0" w:type="auto"/>
          </w:tcPr>
          <w:p>
            <w:pPr>
              <w:spacing w:line="240" w:lineRule="auto" w:before="0" w:after="0"/>
              <w:pStyle w:val="Compact"/>
            </w:pPr>
            <w:r>
              <w:rPr>
                <w:sz w:val="20"/>
                <w:szCs w:val="20"/>
              </w:rPr>
              <w:t xml:space="preserve">[6.998, 13.203]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0.1725</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1.9117</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[-0.0044, 0.3493]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7.6719</w:t>
            </w:r>
          </w:p>
        </w:tc>
        <w:tc>
          <w:tcPr>
            <w:tcW w:w="0" w:type="auto"/>
          </w:tcPr>
          <w:p>
            <w:pPr>
              <w:spacing w:line="240" w:lineRule="auto" w:before="0" w:after="0"/>
              <w:pStyle w:val="Compact"/>
            </w:pPr>
            <w:r>
              <w:rPr>
                <w:sz w:val="20"/>
                <w:szCs w:val="20"/>
              </w:rPr>
              <w:t xml:space="preserve">1.695e-14</w:t>
            </w:r>
          </w:p>
        </w:tc>
        <w:tc>
          <w:tcPr>
            <w:tcW w:w="0" w:type="auto"/>
          </w:tcPr>
          <w:p>
            <w:pPr>
              <w:spacing w:line="240" w:lineRule="auto" w:before="0" w:after="0"/>
              <w:pStyle w:val="Compact"/>
            </w:pPr>
            <w:r>
              <w:rPr>
                <w:sz w:val="20"/>
                <w:szCs w:val="20"/>
              </w:rPr>
              <w:t xml:space="preserve">[0.0715, 0.1206]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-3.4503</w:t>
            </w:r>
          </w:p>
        </w:tc>
        <w:tc>
          <w:tcPr>
            <w:tcW w:w="0" w:type="auto"/>
          </w:tcPr>
          <w:p>
            <w:pPr>
              <w:spacing w:line="240" w:lineRule="auto" w:before="0" w:after="0"/>
              <w:pStyle w:val="Compact"/>
            </w:pPr>
            <w:r>
              <w:rPr>
                <w:sz w:val="20"/>
                <w:szCs w:val="20"/>
              </w:rPr>
              <w:t xml:space="preserve">0.4245</w:t>
            </w:r>
          </w:p>
        </w:tc>
        <w:tc>
          <w:tcPr>
            <w:tcW w:w="0" w:type="auto"/>
          </w:tcPr>
          <w:p>
            <w:pPr>
              <w:spacing w:line="240" w:lineRule="auto" w:before="0" w:after="0"/>
              <w:pStyle w:val="Compact"/>
            </w:pPr>
            <w:r>
              <w:rPr>
                <w:sz w:val="20"/>
                <w:szCs w:val="20"/>
              </w:rPr>
              <w:t xml:space="preserve">-8.1279</w:t>
            </w:r>
          </w:p>
        </w:tc>
        <w:tc>
          <w:tcPr>
            <w:tcW w:w="0" w:type="auto"/>
          </w:tcPr>
          <w:p>
            <w:pPr>
              <w:spacing w:line="240" w:lineRule="auto" w:before="0" w:after="0"/>
              <w:pStyle w:val="Compact"/>
            </w:pPr>
            <w:r>
              <w:rPr>
                <w:sz w:val="20"/>
                <w:szCs w:val="20"/>
              </w:rPr>
              <w:t xml:space="preserve">4.369e-16</w:t>
            </w:r>
          </w:p>
        </w:tc>
        <w:tc>
          <w:tcPr>
            <w:tcW w:w="0" w:type="auto"/>
          </w:tcPr>
          <w:p>
            <w:pPr>
              <w:spacing w:line="240" w:lineRule="auto" w:before="0" w:after="0"/>
              <w:pStyle w:val="Compact"/>
            </w:pPr>
            <w:r>
              <w:rPr>
                <w:sz w:val="20"/>
                <w:szCs w:val="20"/>
              </w:rPr>
              <w:t xml:space="preserve">[-4.2823, -2.6183]</w:t>
            </w:r>
          </w:p>
        </w:tc>
      </w:tr>
    </w:tbl>
    <w:p>
      <w:pPr>
        <w:pStyle w:val="BodyText"/>
      </w:pPr>
      <w:r>
        <w:t xml:space="preserve">Fit: N = 30 R2 = 0.7233 R2_adj = 0.6914 F = 51.6527 F_p = 4.332e-11</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CISLUNAR_DEV_12\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https://amostech.space/year/2009/a-lunar-laser-ranging-retroreflector-for-the-21st-century/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10.64861/PHAC8145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10.64861/LPWQ5164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10.64861/QARN5518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10.1016/j.actaastro.2021.01.045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10.1016/j.actaastro.2019.04.018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10.1016/j.actaastro.2020.02.005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10.1016/j.actaastro.2024.07.003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10.1005</w:t>
            </w:r>
          </w:p>
        </w:tc>
        <w:tc>
          <w:tcPr>
            <w:tcW w:w="0" w:type="auto"/>
          </w:tcPr>
          <w:p>
            <w:pPr>
              <w:spacing w:line="240" w:lineRule="auto" w:before="0" w:after="0"/>
              <w:pStyle w:val="Compact"/>
            </w:pPr>
            <w:r>
              <w:rPr>
                <w:sz w:val="20"/>
                <w:szCs w:val="20"/>
              </w:rPr>
              <w:t xml:space="preserve">1.5829</w:t>
            </w:r>
          </w:p>
        </w:tc>
        <w:tc>
          <w:tcPr>
            <w:tcW w:w="0" w:type="auto"/>
          </w:tcPr>
          <w:p>
            <w:pPr>
              <w:spacing w:line="240" w:lineRule="auto" w:before="0" w:after="0"/>
              <w:pStyle w:val="Compact"/>
            </w:pPr>
            <w:r>
              <w:rPr>
                <w:sz w:val="20"/>
                <w:szCs w:val="20"/>
              </w:rPr>
              <w:t xml:space="preserve">6.3808</w:t>
            </w:r>
          </w:p>
        </w:tc>
        <w:tc>
          <w:tcPr>
            <w:tcW w:w="0" w:type="auto"/>
          </w:tcPr>
          <w:p>
            <w:pPr>
              <w:spacing w:line="240" w:lineRule="auto" w:before="0" w:after="0"/>
              <w:pStyle w:val="Compact"/>
            </w:pPr>
            <w:r>
              <w:rPr>
                <w:sz w:val="20"/>
                <w:szCs w:val="20"/>
              </w:rPr>
              <w:t xml:space="preserve">1.761e-10</w:t>
            </w:r>
          </w:p>
        </w:tc>
        <w:tc>
          <w:tcPr>
            <w:tcW w:w="0" w:type="auto"/>
          </w:tcPr>
          <w:p>
            <w:pPr>
              <w:spacing w:line="240" w:lineRule="auto" w:before="0" w:after="0"/>
              <w:pStyle w:val="Compact"/>
            </w:pPr>
            <w:r>
              <w:rPr>
                <w:sz w:val="20"/>
                <w:szCs w:val="20"/>
              </w:rPr>
              <w:t xml:space="preserve">[6.998, 13.203]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0.1725</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1.9117</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[-0.0044, 0.3493]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7.6719</w:t>
            </w:r>
          </w:p>
        </w:tc>
        <w:tc>
          <w:tcPr>
            <w:tcW w:w="0" w:type="auto"/>
          </w:tcPr>
          <w:p>
            <w:pPr>
              <w:spacing w:line="240" w:lineRule="auto" w:before="0" w:after="0"/>
              <w:pStyle w:val="Compact"/>
            </w:pPr>
            <w:r>
              <w:rPr>
                <w:sz w:val="20"/>
                <w:szCs w:val="20"/>
              </w:rPr>
              <w:t xml:space="preserve">1.695e-14</w:t>
            </w:r>
          </w:p>
        </w:tc>
        <w:tc>
          <w:tcPr>
            <w:tcW w:w="0" w:type="auto"/>
          </w:tcPr>
          <w:p>
            <w:pPr>
              <w:spacing w:line="240" w:lineRule="auto" w:before="0" w:after="0"/>
              <w:pStyle w:val="Compact"/>
            </w:pPr>
            <w:r>
              <w:rPr>
                <w:sz w:val="20"/>
                <w:szCs w:val="20"/>
              </w:rPr>
              <w:t xml:space="preserve">[0.0715, 0.1206]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-3.4503</w:t>
            </w:r>
          </w:p>
        </w:tc>
        <w:tc>
          <w:tcPr>
            <w:tcW w:w="0" w:type="auto"/>
          </w:tcPr>
          <w:p>
            <w:pPr>
              <w:spacing w:line="240" w:lineRule="auto" w:before="0" w:after="0"/>
              <w:pStyle w:val="Compact"/>
            </w:pPr>
            <w:r>
              <w:rPr>
                <w:sz w:val="20"/>
                <w:szCs w:val="20"/>
              </w:rPr>
              <w:t xml:space="preserve">0.4245</w:t>
            </w:r>
          </w:p>
        </w:tc>
        <w:tc>
          <w:tcPr>
            <w:tcW w:w="0" w:type="auto"/>
          </w:tcPr>
          <w:p>
            <w:pPr>
              <w:spacing w:line="240" w:lineRule="auto" w:before="0" w:after="0"/>
              <w:pStyle w:val="Compact"/>
            </w:pPr>
            <w:r>
              <w:rPr>
                <w:sz w:val="20"/>
                <w:szCs w:val="20"/>
              </w:rPr>
              <w:t xml:space="preserve">-8.1279</w:t>
            </w:r>
          </w:p>
        </w:tc>
        <w:tc>
          <w:tcPr>
            <w:tcW w:w="0" w:type="auto"/>
          </w:tcPr>
          <w:p>
            <w:pPr>
              <w:spacing w:line="240" w:lineRule="auto" w:before="0" w:after="0"/>
              <w:pStyle w:val="Compact"/>
            </w:pPr>
            <w:r>
              <w:rPr>
                <w:sz w:val="20"/>
                <w:szCs w:val="20"/>
              </w:rPr>
              <w:t xml:space="preserve">4.369e-16</w:t>
            </w:r>
          </w:p>
        </w:tc>
        <w:tc>
          <w:tcPr>
            <w:tcW w:w="0" w:type="auto"/>
          </w:tcPr>
          <w:p>
            <w:pPr>
              <w:spacing w:line="240" w:lineRule="auto" w:before="0" w:after="0"/>
              <w:pStyle w:val="Compact"/>
            </w:pPr>
            <w:r>
              <w:rPr>
                <w:sz w:val="20"/>
                <w:szCs w:val="20"/>
              </w:rPr>
              <w:t xml:space="preserve">[-4.2823, -2.6183]</w:t>
            </w:r>
          </w:p>
        </w:tc>
      </w:tr>
    </w:tbl>
    <w:p>
      <w:pPr>
        <w:pStyle w:val="BodyText"/>
      </w:pPr>
      <w:r>
        <w:t xml:space="preserve">Fit: N = 30 R2 = 0.7233 R2_adj = 0.6914 F = 51.6527 F_p = 4.332e-11</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5" Target="https://doi.org/10.64861/KUQJ3053" TargetMode="External" /><Relationship Type="http://schemas.openxmlformats.org/officeDocument/2006/relationships/hyperlink" Id="rId77" Target="https://doi.org/10.64861/LPWQ5164" TargetMode="External" /><Relationship Type="http://schemas.openxmlformats.org/officeDocument/2006/relationships/hyperlink" Id="rId68" Target="https://doi.org/10.64861/MVHC2799" TargetMode="External" /><Relationship Type="http://schemas.openxmlformats.org/officeDocument/2006/relationships/hyperlink" Id="rId71" Target="https://doi.org/10.64861/PHAC8145" TargetMode="External" /><Relationship Type="http://schemas.openxmlformats.org/officeDocument/2006/relationships/hyperlink" Id="rId79" Target="https://doi.org/10.64861/QARN551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KUQJ3053" TargetMode="External" /><Relationship Type="http://schemas.openxmlformats.org/officeDocument/2006/relationships/hyperlink" Id="rId77" Target="https://doi.org/10.64861/LPWQ5164" TargetMode="External" /><Relationship Type="http://schemas.openxmlformats.org/officeDocument/2006/relationships/hyperlink" Id="rId68" Target="https://doi.org/10.64861/MVHC2799" TargetMode="External" /><Relationship Type="http://schemas.openxmlformats.org/officeDocument/2006/relationships/hyperlink" Id="rId71" Target="https://doi.org/10.64861/PHAC8145" TargetMode="External" /><Relationship Type="http://schemas.openxmlformats.org/officeDocument/2006/relationships/hyperlink" Id="rId79" Target="https://doi.org/10.64861/QARN55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2026-06-29T09:36:19Z</dcterms:created>
  <dcterms:modified xsi:type="dcterms:W3CDTF">2026-06-29T09:36:19Z</dcterms:modified>
</cp:coreProperties>
</file>

<file path=docProps/custom.xml><?xml version="1.0" encoding="utf-8"?>
<Properties xmlns="http://schemas.openxmlformats.org/officeDocument/2006/custom-properties" xmlns:vt="http://schemas.openxmlformats.org/officeDocument/2006/docPropsVTypes"/>
</file>