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ENERGY RETURN ON INVESTMENT OF LUNAR ISRU: DOES PRODUCING PROPELLANT ON THE MOON</w:t>
      </w:r>
    </w:p>
    <w:p>
      <w:pPr>
        <w:jc w:val="center"/>
      </w:pPr>
    </w:p>
    <w:p>
      <w:pPr>
        <w:jc w:val="center"/>
      </w:pPr>
      <w:r>
        <w:rPr>
          <w:rFonts w:ascii="Times New Roman" w:hAnsi="Times New Roman"/>
          <w:sz w:val="24"/>
        </w:rPr>
        <w:t>by</w:t>
      </w:r>
    </w:p>
    <w:p>
      <w:pPr>
        <w:jc w:val="center"/>
      </w:pPr>
      <w:r>
        <w:rPr>
          <w:rFonts w:ascii="Times New Roman" w:hAnsi="Times New Roman"/>
          <w:b/>
          <w:sz w:val="28"/>
        </w:rPr>
        <w:t>Saskia Beckett</w:t>
      </w:r>
    </w:p>
    <w:p>
      <w:pPr>
        <w:jc w:val="center"/>
      </w:pPr>
      <w:r>
        <w:rPr>
          <w:rFonts w:ascii="Times New Roman" w:hAnsi="Times New Roman"/>
          <w:sz w:val="24"/>
        </w:rPr>
        <w:t>1B-LUN-197</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0" w:name="chapter-1.-introduction"/>
    <w:p>
      <w:pPr>
        <w:pStyle w:val="Heading1"/>
        <w:spacing w:line="480" w:lineRule="auto"/>
      </w:pPr>
      <w:r>
        <w:t xml:space="preserve">Chapter 1. Introduction</w:t>
      </w:r>
    </w:p>
    <w:p>
      <w:pPr>
        <w:pStyle w:val="FirstParagraph"/>
        <w:spacing w:line="480" w:lineRule="auto"/>
      </w:pPr>
      <w:r>
        <w:t xml:space="preserve">To many readers, making rocket fuel on the Moon looks like settled engineering. Frozen water hides in the sunless basins ringing both poles, running a current through it separates the molecule into its hydrogen and oxygen halves, and a vehicle tanks up in orbit instead of dragging every last kilogram of propellant out of Earth’s gravity. So appealing is the picture that it shows up across mission plans, agency strategy documents, and investor decks, carried by an assurance that has left the underlying data behind. Saskia Beckett’s dissertation,</w:t>
      </w:r>
      <w:r>
        <w:t xml:space="preserve"> </w:t>
      </w:r>
      <w:r>
        <w:rPr>
          <w:i/>
          <w:iCs/>
        </w:rPr>
        <w:t xml:space="preserve">Energy Return on Investment of Lunar ISRU: Does Producing Propellant on the Moon</w:t>
      </w:r>
      <w:r>
        <w:t xml:space="preserve">, withholds the free pass such assurance usually collects, substituting for it a tighter and more candid line of questioning. Ahead of any assertion that lunar in-situ resource utilization gives back more usable energy than it draws down, can that assertion even be cast as a falsifiable test set against evidence a doctoral candidate is genuinely positioned to gather and audit</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Everything hinges on that recasting, and the recasting begins with bookkeeping. Energy return on investment, a tool lifted from resource economics on Earth, holds the energy a resource yields up against the energy burned to win it. Run that comparison on the Moon and it turns pitiless, since winning the resource means paying for digging, for heating, for the current that splits the water, for keeping the product cold, and for moving it, the whole sequence unfolding in a thermal and radiation regime that grinds on every piece of hardware exposed to it</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A fuel depot that eats more energy than it returns is a cost masquerading as a capital asset, and the people who build these systems grasp the point without difficulty. Where they still come up short is in any orderly method for stating how far the backing evidence has ripened, what the argument leans on, and which of its claims stand on flown hardware as against which stand on hope.</w:t>
      </w:r>
    </w:p>
    <w:p>
      <w:pPr>
        <w:pStyle w:val="BodyText"/>
        <w:spacing w:line="480" w:lineRule="auto"/>
        <w:ind w:firstLine="720"/>
      </w:pPr>
      <w:r>
        <w:t xml:space="preserve">What follows is a design-stage study, and it conducts itself accordingly. It stops well short of clocking joules against each kilogram of oxygen a live plant produces, for the plain reason that no such plant runs at scale and its telemetry would be beyond any candidate’s reach regardless. The object it can hold up for inspection is the written record itself. A retrieved body of technical, governance, and policy writing turns into countable evidence about the way the lunar ISRU energy problem gets arranged: the venues that carry it, the way citation attention spreads over it, and whether the writing has grown into a cumulative literature or still sits as loose neighboring pieces</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Wiring together local source entries, a pair of exact empirical screens, and an auditable reference pool means that each figure in the manuscript can be walked back to a workbook a committee is free to run again.</w:t>
      </w:r>
    </w:p>
    <w:bookmarkStart w:id="61" w:name="Xbaf9fa11ffc9fc90a1ae0f71e34e51786c7c387"/>
    <w:p>
      <w:pPr>
        <w:pStyle w:val="Heading2"/>
        <w:spacing w:line="480" w:lineRule="auto"/>
      </w:pPr>
      <w:r>
        <w:t xml:space="preserve">1.1 The problem and why it resists easy answers</w:t>
      </w:r>
    </w:p>
    <w:p>
      <w:pPr>
        <w:pStyle w:val="FirstParagraph"/>
        <w:spacing w:line="480" w:lineRule="auto"/>
      </w:pPr>
      <w:r>
        <w:t xml:space="preserve">Governance problems in space have a habit of appearing before the bodies responsible for them settle on any handling. A capability shows up first in the journals, next in flight demonstrations, then in the language of contracts, and only well down the line in a fixed operating rule. Producing propellant on the Moon is planted early along that trajectory, its engineering feasibility argued over, its business case unsettled, and the governance scaffolding for cislunar work still being drawn</w:t>
      </w:r>
      <w:r>
        <w:t xml:space="preserve"> </w:t>
      </w:r>
      <w:hyperlink w:anchor="ref-1">
        <w:r>
          <w:rPr>
            <w:rStyle w:val="Hyperlink"/>
          </w:rPr>
          <w:t xml:space="preserve">[1]</w:t>
        </w:r>
      </w:hyperlink>
      <w:r>
        <w:t xml:space="preserve"> </w:t>
      </w:r>
      <w:hyperlink w:anchor="ref-6">
        <w:r>
          <w:rPr>
            <w:rStyle w:val="Hyperlink"/>
          </w:rPr>
          <w:t xml:space="preserve">[6]</w:t>
        </w:r>
      </w:hyperlink>
      <w:r>
        <w:t xml:space="preserve">. That early planting is exactly what makes the evidence question live, since a young field feels the pull toward overclaiming most acutely, confident sentences smoothing over sparse data with hardly any friction.</w:t>
      </w:r>
    </w:p>
    <w:p>
      <w:pPr>
        <w:pStyle w:val="BodyText"/>
        <w:spacing w:line="480" w:lineRule="auto"/>
        <w:ind w:firstLine="720"/>
      </w:pPr>
      <w:r>
        <w:t xml:space="preserve">The problem takes its shape from two separations, each of them wide. One separation stands between the technical work and its institutional reading. A source entry can flag an operational danger, a heat constraint, or a fuel-handling hazard while saying nothing about why the governance vocabulary around that danger sets firm in one instance and stays pliable in another</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technical paper logs the phenomenon and leaves the institutional reaction unbuilt. The other separation stands between policy prominence and measurement, because citation attention, publication timing, and venue family expose how a topic sits across a corpus while staying, at root, indirect readings that call for careful handling before anyone treats them as proof of engineering ripeness</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Beckett’s design steps into both separations rather than papering them over. It grants that a metadata screen can never fill in for a mass-and-power model of a real plant, and it maintains in the same motion that the screen pulls its weight, since a dissertation that cannot even find its evidence inside the written record has no standing to push a causal claim about energy return. Stated this bluntly, the difference looks small. It is nonetheless the entire distance separating a doctoral inference that holds from an essay trading on authority it never worked for.</w:t>
      </w:r>
    </w:p>
    <w:bookmarkEnd w:id="61"/>
    <w:bookmarkStart w:id="62" w:name="the-single-falsifiable-contribution"/>
    <w:p>
      <w:pPr>
        <w:pStyle w:val="Heading2"/>
        <w:spacing w:line="480" w:lineRule="auto"/>
      </w:pPr>
      <w:r>
        <w:t xml:space="preserve">1.2 The single falsifiable contribution</w:t>
      </w:r>
    </w:p>
    <w:p>
      <w:pPr>
        <w:pStyle w:val="FirstParagraph"/>
        <w:spacing w:line="480" w:lineRule="auto"/>
      </w:pPr>
      <w:r>
        <w:t xml:space="preserve">By intent the contribution comes to one thing, phrased so that it can turn out false. The prospectus casts it as a document-level test of whether the candidate topic signal runs structured or runs random inside the retrieved corpus.</w:t>
      </w:r>
    </w:p>
    <w:p>
      <w:pPr>
        <w:pStyle w:val="BodyText"/>
        <w:spacing w:line="480" w:lineRule="auto"/>
        <w:ind w:firstLine="720"/>
      </w:pPr>
      <w:r>
        <w:t xml:space="preserve">H0 holds that the candidate topic signal is unrelated to publication recency, citation attention, and venue family in the retrieved source corpus. H1 holds that the topic signal is systematically related to those three features. Let the null hold and the honest reading becomes that the written record has yet to arrange the lunar ISRU energy problem in any measurable fashion, a verdict the dissertation is bound to deliver in plain terms. Let the null give way and the reading stays tighter than a policy judgment, coming to this: the record carries arrangement, particular sources bear the signal, and the argument owns a traceable evidentiary backbone even as it waits on data from actual missions.</w:t>
      </w:r>
    </w:p>
    <w:p>
      <w:pPr>
        <w:pStyle w:val="BodyText"/>
        <w:spacing w:line="480" w:lineRule="auto"/>
        <w:ind w:firstLine="720"/>
      </w:pPr>
      <w:r>
        <w:t xml:space="preserve">The whole project draws its intellectual nerve from that stance. It permits the dissertation to flag where the evidence runs firm, where it runs merely suggestive, and where a later round of collection would have to sharpen things. A small empirical workbook can steady interpretation this way, and it can never stand in for engineering trials, procurement files, flight telemetry, or a program-scale cost model, a substitution the dissertation refuses to attempt.</w:t>
      </w:r>
    </w:p>
    <w:bookmarkEnd w:id="62"/>
    <w:bookmarkStart w:id="63" w:name="the-empirical-spine"/>
    <w:p>
      <w:pPr>
        <w:pStyle w:val="Heading2"/>
        <w:spacing w:line="480" w:lineRule="auto"/>
      </w:pPr>
      <w:r>
        <w:t xml:space="preserve">1.3 The empirical spine</w:t>
      </w:r>
    </w:p>
    <w:p>
      <w:pPr>
        <w:pStyle w:val="FirstParagraph"/>
        <w:spacing w:line="480" w:lineRule="auto"/>
      </w:pPr>
      <w:r>
        <w:t xml:space="preserve">The empirical load rides on two papers, and they round each other out rather than echo one another. One examines structure across a slice in time; the other examines buildup along it.</w:t>
      </w:r>
    </w:p>
    <w:p>
      <w:pPr>
        <w:pStyle w:val="BodyText"/>
        <w:spacing w:line="480" w:lineRule="auto"/>
        <w:ind w:firstLine="720"/>
      </w:pPr>
      <w:r>
        <w:t xml:space="preserve">Paper 1 asks how the topic surfaces in retrieved source metadata, and its own hypotheses restate the dissertation’s: the topic-signal score is either unrelated to recency, citation attention, and venue family, or it climbs with recency and attention. The estimator is ordinary least squares with robust HC1 standard errors over 30 retrieved source records, and the fit comes back strong. R-squared reaches 0.7233, adjusted R-squared 0.6914, the F statistic is 51.65, and the F p-value is 4.33e-11</w:t>
      </w:r>
      <w:r>
        <w:t xml:space="preserve"> </w:t>
      </w:r>
      <w:hyperlink w:anchor="ref-1">
        <w:r>
          <w:rPr>
            <w:rStyle w:val="Hyperlink"/>
          </w:rPr>
          <w:t xml:space="preserve">[1]</w:t>
        </w:r>
      </w:hyperlink>
      <w:r>
        <w:t xml:space="preserve">. The term estimates locate the structure with some precision. The constant is 10.1005 with p equal to 1.76e-10. Recency index carries a coefficient of 0.1725 with p equal to 0.0559. Citation count carries 0.0960 with p equal to 1.69e-14. Venue score carries a negative coefficient of -3.4503 with p equal to 4.37e-16. Attention and venue family, rather than recency alone, are what organize the signal.</w:t>
      </w:r>
    </w:p>
    <w:p>
      <w:pPr>
        <w:pStyle w:val="BodyText"/>
        <w:spacing w:line="480" w:lineRule="auto"/>
        <w:ind w:firstLine="720"/>
      </w:pPr>
      <w:r>
        <w:t xml:space="preserve">Paper 2 takes up a separate matter, whether attention piles up along a curve that can be measured. Its hypotheses cast citation accumulation as either unrelated to article age or following an age-based attention curve, and the estimator is a log-log learning-curve model with robust HC1 standard errors, again over 30 records. Here the result is a near-total absence of structure: R-squared is 0.000411, the elasticity is 0.0501, and the progress ratio at doubled age is 1.0354</w:t>
      </w:r>
      <w:r>
        <w:t xml:space="preserve"> </w:t>
      </w:r>
      <w:hyperlink w:anchor="ref-2">
        <w:r>
          <w:rPr>
            <w:rStyle w:val="Hyperlink"/>
          </w:rPr>
          <w:t xml:space="preserve">[2]</w:t>
        </w:r>
      </w:hyperlink>
      <w:r>
        <w:t xml:space="preserve">. The constant is 0.8531 with p equal to 0.1603, and the log-age term has p equal to 0.9071. Article age does nothing to explain citation accumulation in this corpus, and the learning curve comes back flat.</w:t>
      </w:r>
    </w:p>
    <w:p>
      <w:pPr>
        <w:pStyle w:val="BodyText"/>
        <w:spacing w:line="480" w:lineRule="auto"/>
        <w:ind w:firstLine="720"/>
      </w:pPr>
      <w:r>
        <w:t xml:space="preserve">Set side by side, the two screens hand back a qualified rejection of the broad null. The topic signal binds systematically to citation attention and venue family, and it comes back with no clean sorting by recency and no age-based citation curve whatever. So the lunar ISRU energy problem registers as institutionally present in the record while stopping short of a ripened engineering-economic literature, and that pairing is the substantive finding the chapters ahead work to open up.</w:t>
      </w:r>
    </w:p>
    <w:bookmarkEnd w:id="63"/>
    <w:bookmarkStart w:id="64" w:name="what-the-dissertation-does-not-claim"/>
    <w:p>
      <w:pPr>
        <w:pStyle w:val="Heading2"/>
        <w:spacing w:line="480" w:lineRule="auto"/>
      </w:pPr>
      <w:r>
        <w:t xml:space="preserve">1.4 What the dissertation does not claim</w:t>
      </w:r>
    </w:p>
    <w:p>
      <w:pPr>
        <w:pStyle w:val="FirstParagraph"/>
        <w:spacing w:line="480" w:lineRule="auto"/>
      </w:pPr>
      <w:r>
        <w:t xml:space="preserve">Being exact about the limits is a piece of the contribution in its own right. The dissertation gauges the arrangement of the corpus, not the physical energy return, so citation counts and venue families serve as stand-ins for attention and institutional placement rather than as direct readouts of joules delivered per joule spent. A 30-record corpus can filter the evidence and steady the interpretation, and it cannot double for an engineering mass-and-power model or a mission cost analysis</w:t>
      </w:r>
      <w:r>
        <w:t xml:space="preserve"> </w:t>
      </w:r>
      <w:hyperlink w:anchor="ref-10">
        <w:r>
          <w:rPr>
            <w:rStyle w:val="Hyperlink"/>
          </w:rPr>
          <w:t xml:space="preserve">[10]</w:t>
        </w:r>
      </w:hyperlink>
      <w:r>
        <w:t xml:space="preserve"> </w:t>
      </w:r>
      <w:hyperlink w:anchor="ref-14">
        <w:r>
          <w:rPr>
            <w:rStyle w:val="Hyperlink"/>
          </w:rPr>
          <w:t xml:space="preserve">[14]</w:t>
        </w:r>
      </w:hyperlink>
      <w:r>
        <w:t xml:space="preserve">. None of that reads as apology. These are the fences that keep the inference sound and let a reader watch precisely how far the numbers pull an argument before mission data has to shoulder the rest.</w:t>
      </w:r>
    </w:p>
    <w:bookmarkEnd w:id="64"/>
    <w:bookmarkStart w:id="65" w:name="roadmap"/>
    <w:p>
      <w:pPr>
        <w:pStyle w:val="Heading2"/>
        <w:spacing w:line="480" w:lineRule="auto"/>
      </w:pPr>
      <w:r>
        <w:t xml:space="preserve">1.5 Roadmap</w:t>
      </w:r>
    </w:p>
    <w:p>
      <w:pPr>
        <w:pStyle w:val="FirstParagraph"/>
        <w:spacing w:line="480" w:lineRule="auto"/>
      </w:pPr>
      <w:r>
        <w:t xml:space="preserve">Each chapter tracks the contour of the inquiry. Chapter 2 sets the work beside the technical and measurement literatures, running from lunar oxygen extraction and hybrid ISRU plants through to cislunar surveillance and space-economy framing</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w:t>
      </w:r>
      <w:hyperlink w:anchor="ref-15">
        <w:r>
          <w:rPr>
            <w:rStyle w:val="Hyperlink"/>
          </w:rPr>
          <w:t xml:space="preserve">[15]</w:t>
        </w:r>
      </w:hyperlink>
      <w:r>
        <w:t xml:space="preserve">. Chapter 3 lays down the mechanism and the testable predictions, spelling out why a written signal ought to behave as the hypotheses expect once the field starts organizing around the energy-return problem. Chapter 4 works up the methodology and the identification logic under both estimators, arguing why they pick out structure in the corpus. Chapter 5 sets down the real dataset, the rules for building each variable, the sources, and the 30-record sample. Chapter 6 lays out the exact estimator output from both papers and reads the signs and magnitudes. Chapter 7 weighs what the findings carry and where the threats to validity press hardest. Chapter 8 closes on the knowledge contribution, the governance and program relevance, and the empirical step to come</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claim that results lands tighter than a policy prescription, and the tightness is elected rather than imposed. It shows the way the written record arranges a technical governance problem, which sources carry the signal, and which stretches of the argument still want mission-level evidence before they can prop up institutional commitments. A dissertation can render its evidentiary chain legible or bury weak inference under confident sentences, and this one takes the former route, handling each figure as a workbook result conditional on the sources the candidate could reach.</w:t>
      </w:r>
    </w:p>
    <w:bookmarkEnd w:id="65"/>
    <w:bookmarkStart w:id="66" w:name="X615556632520fbadb6a1077f7937f69f5c3772f"/>
    <w:p>
      <w:pPr>
        <w:pStyle w:val="Heading2"/>
        <w:spacing w:line="480" w:lineRule="auto"/>
      </w:pPr>
      <w:r>
        <w:t xml:space="preserve">1.6 Energy return on investment as an imported concept</w:t>
      </w:r>
    </w:p>
    <w:p>
      <w:pPr>
        <w:pStyle w:val="FirstParagraph"/>
        <w:spacing w:line="480" w:lineRule="auto"/>
      </w:pPr>
      <w:r>
        <w:t xml:space="preserve">The organizing idea earns a closer look, in no small part because it arrives on loan rather than born of space engineering. Energy return on investment came up in the resource economics of Earth, where analysts set the energy a fuel hands over against the energy sunk into finding, pulling out, refining, and moving it. A ratio over one tags the resource as a net supplier of energy, and a ratio under one tags it as a sink that pays off only when some other worth, portability or strategic reach, offsets the loss. Oil, coal, and biofuels have each been graded on this scale, and the framing has stayed durable exactly because it compels an honest whole-chain reckoning in place of a cherry-picked look at output.</w:t>
      </w:r>
    </w:p>
    <w:p>
      <w:pPr>
        <w:pStyle w:val="BodyText"/>
        <w:spacing w:line="480" w:lineRule="auto"/>
        <w:ind w:firstLine="720"/>
      </w:pPr>
      <w:r>
        <w:t xml:space="preserve">Move that framing to the Moon and nearly every quantity in the reckoning shifts. On Earth the invested energy sits mostly in extraction and haulage over a settled logistics grid, while on the Moon the investment opens with making the power to begin with, in a setting where the night stretches a fortnight and solar panels idle unless matched to storage or a nuclear feed</w:t>
      </w:r>
      <w:r>
        <w:t xml:space="preserve"> </w:t>
      </w:r>
      <w:hyperlink w:anchor="ref-11">
        <w:r>
          <w:rPr>
            <w:rStyle w:val="Hyperlink"/>
          </w:rPr>
          <w:t xml:space="preserve">[11]</w:t>
        </w:r>
      </w:hyperlink>
      <w:r>
        <w:t xml:space="preserve">. It folds in the heat needed to run reduction or electrolysis, the cold needed to hold the product liquid, and the energy baked into gear that had to fly up from Earth before a single lunar step could start</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The energy delivered, on its side, is propellant standing in for Earth-launched fuel, so the return registers not in joules spent on the spot but in launch mass sidestepped. The concept comes through the move intact even as its quantities flip, and that flip is precisely why a disciplined evidence base has to come before any lunar ratio gets reported.</w:t>
      </w:r>
    </w:p>
    <w:p>
      <w:pPr>
        <w:pStyle w:val="BodyText"/>
        <w:spacing w:line="480" w:lineRule="auto"/>
        <w:ind w:firstLine="720"/>
      </w:pPr>
      <w:r>
        <w:t xml:space="preserve">The same flip is the deeper reason the dissertation studies the written record instead of putting forward a figure of its own. A lunar energy-return number quoted apart from its full chain is not evidence but salesmanship, and the design declines to toss one more such number onto the heap. It asks in its place whether the literature that would have to furnish the chain has arranged itself around the problem, a question a metadata screen is actually built to settle.</w:t>
      </w:r>
    </w:p>
    <w:bookmarkEnd w:id="66"/>
    <w:bookmarkStart w:id="67" w:name="why-a-design-stage-dissertation"/>
    <w:p>
      <w:pPr>
        <w:pStyle w:val="Heading2"/>
        <w:spacing w:line="480" w:lineRule="auto"/>
      </w:pPr>
      <w:r>
        <w:t xml:space="preserve">1.7 Why a design-stage dissertation</w:t>
      </w:r>
    </w:p>
    <w:p>
      <w:pPr>
        <w:pStyle w:val="FirstParagraph"/>
        <w:spacing w:line="480" w:lineRule="auto"/>
      </w:pPr>
      <w:r>
        <w:t xml:space="preserve">The COLLEGIUM pipeline slots this work as a design-stage dissertation, and the tag bears genuine methodological freight rather than working as a dodge. A design-stage inquiry takes on board that the decisive experiment is not yet runnable and asks in its stead what can be pinned down now to make the eventual experiment cut sharper. In a field where a working lunar extraction plant is absent and its telemetry cannot be had, the design-stage stance amounts to no surrender of rigor. It is the honest form rigor assumes while the physical apparatus sits years out</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Weighed up, the alternative stances fare worse. A dissertation that manufactured an engineering model out of assumed parameters would turn out a number wearing false precision, open to any reader who pressed on the inputs, while a dissertation that walked through the literature as narrative would turn out an impression in place of a test. The design-stage metadata screen threads between those two failures, binding itself to a falsifiable hypothesis, running an exact and reproducible estimator, and handing back a result that pins down what the next study is licensed to assume. What rides on getting this right is anything but abstract. Lunar propellant infrastructure stands as a candidate for heavy public and private money, and money committed on an unexamined energy-return hunch can misdirect resources across a decade at a stretch. A study that lays bare just how green the backing evidence stays is a brake on that misdirection, and the brake is worth a doctorate even where it halts short of the physical verdict</w:t>
      </w:r>
      <w:r>
        <w:t xml:space="preserve"> </w:t>
      </w:r>
      <w:hyperlink w:anchor="ref-1">
        <w:r>
          <w:rPr>
            <w:rStyle w:val="Hyperlink"/>
          </w:rPr>
          <w:t xml:space="preserve">[1]</w:t>
        </w:r>
      </w:hyperlink>
      <w:r>
        <w:t xml:space="preserve"> </w:t>
      </w:r>
      <w:hyperlink w:anchor="ref-16">
        <w:r>
          <w:rPr>
            <w:rStyle w:val="Hyperlink"/>
          </w:rPr>
          <w:t xml:space="preserve">[16]</w:t>
        </w:r>
      </w:hyperlink>
      <w:r>
        <w:t xml:space="preserve">.</w:t>
      </w:r>
    </w:p>
    <w:bookmarkEnd w:id="67"/>
    <w:bookmarkStart w:id="68" w:name="X943a07f5885dc51ef81a0964fe4353e4c93bb16"/>
    <w:p>
      <w:pPr>
        <w:pStyle w:val="Heading2"/>
        <w:spacing w:line="480" w:lineRule="auto"/>
      </w:pPr>
      <w:r>
        <w:t xml:space="preserve">1.8 The cislunar setting and why it raises the stakes</w:t>
      </w:r>
    </w:p>
    <w:p>
      <w:pPr>
        <w:pStyle w:val="FirstParagraph"/>
        <w:spacing w:line="480" w:lineRule="auto"/>
      </w:pPr>
      <w:r>
        <w:t xml:space="preserve">The lunar propellant question keeps no isolation. It lodges inside a fast-moving cislunar operating setting where several actors, public and private alike, are aiming missions at the same stretches of orbit. That congestion hones the energy-return question, since a depot is never a chemical plant alone but a shared asset obliged to be tracked, coordinated, and guarded in a region whose governance is still setting</w:t>
      </w:r>
      <w:r>
        <w:t xml:space="preserve"> </w:t>
      </w:r>
      <w:hyperlink w:anchor="ref-6">
        <w:r>
          <w:rPr>
            <w:rStyle w:val="Hyperlink"/>
          </w:rPr>
          <w:t xml:space="preserve">[6]</w:t>
        </w:r>
      </w:hyperlink>
      <w:r>
        <w:t xml:space="preserve"> </w:t>
      </w:r>
      <w:hyperlink w:anchor="ref-8">
        <w:r>
          <w:rPr>
            <w:rStyle w:val="Hyperlink"/>
          </w:rPr>
          <w:t xml:space="preserve">[8]</w:t>
        </w:r>
      </w:hyperlink>
      <w:r>
        <w:t xml:space="preserve">. So the energy sunk into a lunar propellant operation drags along an institutional term that terrestrial energy-return bookkeeping seldom meets, the overhead of running safely in the company of other actors.</w:t>
      </w:r>
    </w:p>
    <w:p>
      <w:pPr>
        <w:pStyle w:val="BodyText"/>
        <w:spacing w:line="480" w:lineRule="auto"/>
        <w:ind w:firstLine="720"/>
      </w:pPr>
      <w:r>
        <w:t xml:space="preserve">Weigh what that overhead really involves. Objects in cislunar space resist detection against the awkward glare of the Earth-Moon system, and dependable detection is the entry price for any coordination rule</w:t>
      </w:r>
      <w:r>
        <w:t xml:space="preserve"> </w:t>
      </w:r>
      <w:hyperlink w:anchor="ref-3">
        <w:r>
          <w:rPr>
            <w:rStyle w:val="Hyperlink"/>
          </w:rPr>
          <w:t xml:space="preserve">[3]</w:t>
        </w:r>
      </w:hyperlink>
      <w:r>
        <w:t xml:space="preserve">. Keeping watch over the halo and periodic orbits that lunar logistics would fill calls for purpose-built observing geometry</w:t>
      </w:r>
      <w:r>
        <w:t xml:space="preserve"> </w:t>
      </w:r>
      <w:hyperlink w:anchor="ref-5">
        <w:r>
          <w:rPr>
            <w:rStyle w:val="Hyperlink"/>
          </w:rPr>
          <w:t xml:space="preserve">[5]</w:t>
        </w:r>
      </w:hyperlink>
      <w:r>
        <w:t xml:space="preserve">. A mishap involving an energetic propellant asset could sow a debris field in a region where cleanup runs far harder than in low Earth orbit</w:t>
      </w:r>
      <w:r>
        <w:t xml:space="preserve"> </w:t>
      </w:r>
      <w:hyperlink w:anchor="ref-4">
        <w:r>
          <w:rPr>
            <w:rStyle w:val="Hyperlink"/>
          </w:rPr>
          <w:t xml:space="preserve">[4]</w:t>
        </w:r>
      </w:hyperlink>
      <w:r>
        <w:t xml:space="preserve">. Every one of these is an energy and resource cost a serious lunar propellant reckoning will in time have to take on. The dissertation cannot put a price on these costs, and by showing that the written record already ties propellant production to coordination and monitoring, it settles that the institutional overhead is no late addition. It belongs to the problem the literature is arranging around.</w:t>
      </w:r>
    </w:p>
    <w:p>
      <w:pPr>
        <w:pStyle w:val="BodyText"/>
        <w:spacing w:line="480" w:lineRule="auto"/>
        <w:ind w:firstLine="720"/>
      </w:pPr>
      <w:r>
        <w:t xml:space="preserve">The setting further accounts for why the dissertation stretches its corpus across such mixed venues. Extraction chemistry by itself would drop the coordination dimension, surveillance work by itself would drop the production dimension, and economic sources by themselves would drop both. The energy-return question, framed as it should be, reaches across all three, and only a corpus reaching across all three can reveal whether the field handles the question as the integrated problem it really is</w:t>
      </w:r>
      <w:r>
        <w:t xml:space="preserve"> </w:t>
      </w:r>
      <w:hyperlink w:anchor="ref-1">
        <w:r>
          <w:rPr>
            <w:rStyle w:val="Hyperlink"/>
          </w:rPr>
          <w:t xml:space="preserve">[1]</w:t>
        </w:r>
      </w:hyperlink>
      <w:r>
        <w:t xml:space="preserve"> </w:t>
      </w:r>
      <w:hyperlink w:anchor="ref-9">
        <w:r>
          <w:rPr>
            <w:rStyle w:val="Hyperlink"/>
          </w:rPr>
          <w:t xml:space="preserve">[9]</w:t>
        </w:r>
      </w:hyperlink>
      <w:r>
        <w:t xml:space="preserve">. The reach of the corpus answers to the reach of the setting.</w:t>
      </w:r>
    </w:p>
    <w:bookmarkEnd w:id="68"/>
    <w:bookmarkStart w:id="69" w:name="Xb403bb30f1efbc852a556930cc9cdd851adadb0"/>
    <w:p>
      <w:pPr>
        <w:pStyle w:val="Heading2"/>
        <w:spacing w:line="480" w:lineRule="auto"/>
      </w:pPr>
      <w:r>
        <w:t xml:space="preserve">1.9 What the reader should carry into the chapters</w:t>
      </w:r>
    </w:p>
    <w:p>
      <w:pPr>
        <w:pStyle w:val="FirstParagraph"/>
        <w:spacing w:line="480" w:lineRule="auto"/>
      </w:pPr>
      <w:r>
        <w:t xml:space="preserve">Anyone opening this dissertation ought to keep three commitments in view, since they steer all that comes after. The first is that what gets studied is the written record and not the physical plant, so every figure reported is a fact about how the literature arranges rather than a reading of joules delivered or spent. The second is that the result is by design fenced and falsifiable, meaning the hypotheses can fail, the estimators can hand back nulls, and the dissertation reports whatever they hand back with no push toward confirming a preferred tale. The third is that the limits sit inside the contribution rather than trailing it as afterthoughts, because a study that charts exactly where an argument stands and exactly where it cannot yet reach leaves a more useful inheritance than one that overreaches.</w:t>
      </w:r>
    </w:p>
    <w:p>
      <w:pPr>
        <w:pStyle w:val="BodyText"/>
        <w:spacing w:line="480" w:lineRule="auto"/>
        <w:ind w:firstLine="720"/>
      </w:pPr>
      <w:r>
        <w:t xml:space="preserve">With those commitments set, the empirical spine reads as what it is, a disciplined instrument for gauging a field’s ripeness off its own traces. The two estimators, run over 30 auditable records, hand back a qualified rejection of the broad null, placing the energy-return debate in the technical and journal strata while showing it has not firmed into a cumulative body</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The chapters ahead assemble the case for that reading out of the literature, the theory, the method, the data, and the exact results, and they close by rendering it into the governance and program terms a decision-maker can put to use.</w:t>
      </w:r>
    </w:p>
    <w:bookmarkEnd w:id="69"/>
    <w:bookmarkEnd w:id="70"/>
    <w:bookmarkStart w:id="81" w:name="chapter-2.-literature"/>
    <w:p>
      <w:pPr>
        <w:pStyle w:val="Heading1"/>
        <w:spacing w:line="480" w:lineRule="auto"/>
      </w:pPr>
      <w:r>
        <w:t xml:space="preserve">Chapter 2. Literature</w:t>
      </w:r>
    </w:p>
    <w:p>
      <w:pPr>
        <w:pStyle w:val="FirstParagraph"/>
        <w:spacing w:line="480" w:lineRule="auto"/>
      </w:pPr>
      <w:r>
        <w:t xml:space="preserve">Writing on lunar in-situ resource utilization runs large, patchy, and divided among communities that seldom cite each other at any depth. Engineers put out extraction chemistry, mission designers put out architectures, surveillance specialists put out tracking geometry, and economists and policy analysts put out demand forecasts and governance frameworks. Each community handles lunar propellant as a neighbor to its own concern rather than as a shared object measured against one common standard. This chapter charts that splintering, because the splintering is just what the dissertation’s empirical screens are made to catch. Had the field converged on the energy-return question, it would leave a structured written footprint; having not converged, it leaves a scattered one.</w:t>
      </w:r>
    </w:p>
    <w:bookmarkStart w:id="71" w:name="X770065b546b598957bbc2a37d28d50e67efb2e2"/>
    <w:p>
      <w:pPr>
        <w:pStyle w:val="Heading2"/>
        <w:spacing w:line="480" w:lineRule="auto"/>
      </w:pPr>
      <w:r>
        <w:t xml:space="preserve">2.1 Extraction chemistry and the energy problem</w:t>
      </w:r>
    </w:p>
    <w:p>
      <w:pPr>
        <w:pStyle w:val="FirstParagraph"/>
        <w:spacing w:line="480" w:lineRule="auto"/>
      </w:pPr>
      <w:r>
        <w:t xml:space="preserve">Since the most immediate writing concerns how to draw usable material out of regolith, the chemistry is where to open. Robinot and colleagues survey in-situ oxygen extraction, dwelling on solar thermal and laser vacuum pyrolysis and logging the reaction pathways together with the energy each one asks for</w:t>
      </w:r>
      <w:r>
        <w:t xml:space="preserve"> </w:t>
      </w:r>
      <w:hyperlink w:anchor="ref-13">
        <w:r>
          <w:rPr>
            <w:rStyle w:val="Hyperlink"/>
          </w:rPr>
          <w:t xml:space="preserve">[13]</w:t>
        </w:r>
      </w:hyperlink>
      <w:r>
        <w:t xml:space="preserve">. Their survey speaks plainly to the core strain, that oxygen abounds in lunar regolith, locked into oxides, and prying it loose demands heat while heat demands power. No honest energy-return sum can skip charging that power against the propellant it finally hands back.</w:t>
      </w:r>
    </w:p>
    <w:p>
      <w:pPr>
        <w:pStyle w:val="BodyText"/>
        <w:spacing w:line="480" w:lineRule="auto"/>
        <w:ind w:firstLine="720"/>
      </w:pPr>
      <w:r>
        <w:t xml:space="preserve">Ikeya and colleagues carry the comparison onward with a hybrid ISRU plant that pits carbothermal reduction against water extraction</w:t>
      </w:r>
      <w:r>
        <w:t xml:space="preserve"> </w:t>
      </w:r>
      <w:hyperlink w:anchor="ref-10">
        <w:r>
          <w:rPr>
            <w:rStyle w:val="Hyperlink"/>
          </w:rPr>
          <w:t xml:space="preserve">[10]</w:t>
        </w:r>
      </w:hyperlink>
      <w:r>
        <w:t xml:space="preserve">. Their contribution counts for this dissertation because it renders the energy bookkeeping open rather than assuming it out of sight. Different extraction routes drag different power budgets, different heat loads, and different equipment masses, and choosing among them decides whether the plant returns net energy at all. The hybrid framing grants that no lone route wins across every constraint, which is by itself a sign the field has not yet come to rest.</w:t>
      </w:r>
    </w:p>
    <w:p>
      <w:pPr>
        <w:pStyle w:val="BodyText"/>
        <w:spacing w:line="480" w:lineRule="auto"/>
        <w:ind w:firstLine="720"/>
      </w:pPr>
      <w:r>
        <w:t xml:space="preserve">Baasch and colleagues push the material question somewhere unexpected, trialing regolith as a stand-in mold material for casting aluminum on the Moon</w:t>
      </w:r>
      <w:r>
        <w:t xml:space="preserve"> </w:t>
      </w:r>
      <w:hyperlink w:anchor="ref-14">
        <w:r>
          <w:rPr>
            <w:rStyle w:val="Hyperlink"/>
          </w:rPr>
          <w:t xml:space="preserve">[14]</w:t>
        </w:r>
      </w:hyperlink>
      <w:r>
        <w:t xml:space="preserve">. That work skips propellant entirely, and it still earns its slot in the corpus because it turns on the same underlying logic, swapping in local material to spare Earth-launched mass. The energy-return question reaches past fuel, since regolith substituting for launched material anywhere along the production chain shifts the mass and energy ledger to match. Baasch’s casting study widens the frame from propellant on its own toward the larger manufacturing base a lunar outpost would demand.</w:t>
      </w:r>
    </w:p>
    <w:bookmarkEnd w:id="71"/>
    <w:bookmarkStart w:id="72" w:name="X730b017d1e7ac90cd700295971e46dfe4718568"/>
    <w:p>
      <w:pPr>
        <w:pStyle w:val="Heading2"/>
        <w:spacing w:line="480" w:lineRule="auto"/>
      </w:pPr>
      <w:r>
        <w:t xml:space="preserve">2.2 System deployment and the maturity question</w:t>
      </w:r>
    </w:p>
    <w:p>
      <w:pPr>
        <w:pStyle w:val="FirstParagraph"/>
        <w:spacing w:line="480" w:lineRule="auto"/>
      </w:pPr>
      <w:r>
        <w:t xml:space="preserve">A second literature moves off individual processes to ask when and how ISRU capability actually turns up at an outpost. Spedding, Lim, and Nuttall mount a Delphi survey of expert opinion on ISRU technology deployment at a lunar outpost in 2040</w:t>
      </w:r>
      <w:r>
        <w:t xml:space="preserve"> </w:t>
      </w:r>
      <w:hyperlink w:anchor="ref-12">
        <w:r>
          <w:rPr>
            <w:rStyle w:val="Hyperlink"/>
          </w:rPr>
          <w:t xml:space="preserve">[12]</w:t>
        </w:r>
      </w:hyperlink>
      <w:r>
        <w:t xml:space="preserve">. The method alone gives the game away, since a field leaning on structured expert elicitation to forecast deployment timelines is flagging that hard operational data has yet to arrive. Their survey gathers informed judgment for the precise reason that the deployment record still runs ahead of the field rather than trailing it.</w:t>
      </w:r>
    </w:p>
    <w:p>
      <w:pPr>
        <w:pStyle w:val="BodyText"/>
        <w:spacing w:line="480" w:lineRule="auto"/>
        <w:ind w:firstLine="720"/>
      </w:pPr>
      <w:r>
        <w:t xml:space="preserve">McKeown and colleagues drop lunar resources research into the frame of terrestrial mining feasibility studies</w:t>
      </w:r>
      <w:r>
        <w:t xml:space="preserve"> </w:t>
      </w:r>
      <w:hyperlink w:anchor="ref-15">
        <w:r>
          <w:rPr>
            <w:rStyle w:val="Hyperlink"/>
          </w:rPr>
          <w:t xml:space="preserve">[15]</w:t>
        </w:r>
      </w:hyperlink>
      <w:r>
        <w:t xml:space="preserve">, one of the steadier moves in the literature. Terrestrial mining carries a ripened methodology for judging whether a deposit merits development, staged feasibility gates included, and the authors ask how lunar resource work stacks up against that yardstick. The verdict they imply is that most lunar resource research lands at a pre-feasibility stage by mining-industry standards, and that framing backs the dissertation’s own stance: the field is early, and evidence discipline weighs more when a field is early than when it has settled.</w:t>
      </w:r>
    </w:p>
    <w:p>
      <w:pPr>
        <w:pStyle w:val="BodyText"/>
        <w:spacing w:line="480" w:lineRule="auto"/>
        <w:ind w:firstLine="720"/>
      </w:pPr>
      <w:r>
        <w:t xml:space="preserve">Sherwood’s principles for a practical Moon base supply the architectural mirror image</w:t>
      </w:r>
      <w:r>
        <w:t xml:space="preserve"> </w:t>
      </w:r>
      <w:hyperlink w:anchor="ref-16">
        <w:r>
          <w:rPr>
            <w:rStyle w:val="Hyperlink"/>
          </w:rPr>
          <w:t xml:space="preserve">[16]</w:t>
        </w:r>
      </w:hyperlink>
      <w:r>
        <w:t xml:space="preserve">. Instead of tuning a single subsystem, Sherwood presses for design principles that hold a base practical across its whole lifecycle, and propellant production turns up there not as a standalone victory but as one element in a base whose subsystems bargain against one another for power, mass, and crew attention. That systems eye is just why an energy-return claim cannot be closed at the level of one extraction reactor.</w:t>
      </w:r>
    </w:p>
    <w:bookmarkEnd w:id="72"/>
    <w:bookmarkStart w:id="73" w:name="the-cislunar-operating-environment"/>
    <w:p>
      <w:pPr>
        <w:pStyle w:val="Heading2"/>
        <w:spacing w:line="480" w:lineRule="auto"/>
      </w:pPr>
      <w:r>
        <w:t xml:space="preserve">2.3 The cislunar operating environment</w:t>
      </w:r>
    </w:p>
    <w:p>
      <w:pPr>
        <w:pStyle w:val="FirstParagraph"/>
        <w:spacing w:line="480" w:lineRule="auto"/>
      </w:pPr>
      <w:r>
        <w:t xml:space="preserve">Chemistry does not carry the whole load, since a propellant plant runs in no governance vacuum. It lodges inside a cislunar traffic and surveillance setting that a third literature records. Wysack and Ferrant set architectures for cislunar space domain awareness against traffic management, laying out the sensing and coordination choices for a region on the verge of crowding</w:t>
      </w:r>
      <w:r>
        <w:t xml:space="preserve"> </w:t>
      </w:r>
      <w:hyperlink w:anchor="ref-6">
        <w:r>
          <w:rPr>
            <w:rStyle w:val="Hyperlink"/>
          </w:rPr>
          <w:t xml:space="preserve">[6]</w:t>
        </w:r>
      </w:hyperlink>
      <w:r>
        <w:t xml:space="preserve">. Their work reminds the dissertation that propellant production is more than a chemistry problem, since a depot is an asset obliged to be tracked, coordinated, and shielded inside a shared operating volume.</w:t>
      </w:r>
    </w:p>
    <w:p>
      <w:pPr>
        <w:pStyle w:val="BodyText"/>
        <w:spacing w:line="480" w:lineRule="auto"/>
        <w:ind w:firstLine="720"/>
      </w:pPr>
      <w:r>
        <w:t xml:space="preserve">Shimane, Tomita, and Ho pick out strategic regions for watching incoming low-energy transfers to low-lunar orbits, charting where surveillance assets should sit to intercept traffic bound for the Moon</w:t>
      </w:r>
      <w:r>
        <w:t xml:space="preserve"> </w:t>
      </w:r>
      <w:hyperlink w:anchor="ref-8">
        <w:r>
          <w:rPr>
            <w:rStyle w:val="Hyperlink"/>
          </w:rPr>
          <w:t xml:space="preserve">[8]</w:t>
        </w:r>
      </w:hyperlink>
      <w:r>
        <w:t xml:space="preserve">. Wilmer and Bettinger work through near-rectilinear halo orbit surveillance by way of cislunar periodic orbits, taking on how to observe the very orbit families a lunar gateway and its logistics would occupy</w:t>
      </w:r>
      <w:r>
        <w:t xml:space="preserve"> </w:t>
      </w:r>
      <w:hyperlink w:anchor="ref-5">
        <w:r>
          <w:rPr>
            <w:rStyle w:val="Hyperlink"/>
          </w:rPr>
          <w:t xml:space="preserve">[5]</w:t>
        </w:r>
      </w:hyperlink>
      <w:r>
        <w:t xml:space="preserve">. Both papers sketch the geometry inside which a propellant depot would have to be seen and serviced, and neither runs an energy return, and both nonetheless shape the institutional overhead any energy-return reckoning will eventually take on.</w:t>
      </w:r>
    </w:p>
    <w:p>
      <w:pPr>
        <w:pStyle w:val="BodyText"/>
        <w:spacing w:line="480" w:lineRule="auto"/>
        <w:ind w:firstLine="720"/>
      </w:pPr>
      <w:r>
        <w:t xml:space="preserve">Boone and Bettinger put a number to artificial debris collision risk in the wake of a catastrophic spacecraft mishap in lunar orbit</w:t>
      </w:r>
      <w:r>
        <w:t xml:space="preserve"> </w:t>
      </w:r>
      <w:hyperlink w:anchor="ref-4">
        <w:r>
          <w:rPr>
            <w:rStyle w:val="Hyperlink"/>
          </w:rPr>
          <w:t xml:space="preserve">[4]</w:t>
        </w:r>
      </w:hyperlink>
      <w:r>
        <w:t xml:space="preserve">. That study wires straight into the propellant question through risk, since a depot packs energetic material into orbit and a mishap involving a propellant asset would sow just the debris field the authors model. Taken in earnest, the energy-return ledger has to charge the risk-management cost of running volatile assets in a shared and thinly governed region.</w:t>
      </w:r>
    </w:p>
    <w:bookmarkEnd w:id="73"/>
    <w:bookmarkStart w:id="74" w:name="Xce4411f5b4a8061c500b82fc2fce96ce7469817"/>
    <w:p>
      <w:pPr>
        <w:pStyle w:val="Heading2"/>
        <w:spacing w:line="480" w:lineRule="auto"/>
      </w:pPr>
      <w:r>
        <w:t xml:space="preserve">2.4 Detection, ranging, and the sensing baseline</w:t>
      </w:r>
    </w:p>
    <w:p>
      <w:pPr>
        <w:pStyle w:val="FirstParagraph"/>
        <w:spacing w:line="480" w:lineRule="auto"/>
      </w:pPr>
      <w:r>
        <w:t xml:space="preserve">Beneath surveillance lies the bare physical problem of seeing objects at cislunar range at all. Raub and colleagues build motion-hypothesis satellite detection for cislunar spacecraft, tackling how to pull faint, far objects out of the awkward glare of the Earth-Moon system</w:t>
      </w:r>
      <w:r>
        <w:t xml:space="preserve"> </w:t>
      </w:r>
      <w:hyperlink w:anchor="ref-3">
        <w:r>
          <w:rPr>
            <w:rStyle w:val="Hyperlink"/>
          </w:rPr>
          <w:t xml:space="preserve">[3]</w:t>
        </w:r>
      </w:hyperlink>
      <w:r>
        <w:t xml:space="preserve">. Their detection work underlies any claim that cislunar operations can be watched, since assets that resist reliable detection cannot be held to coordination rules, and the institutional overhead on propellant operations climbs the moment detection slips.</w:t>
      </w:r>
    </w:p>
    <w:p>
      <w:pPr>
        <w:pStyle w:val="BodyText"/>
        <w:spacing w:line="480" w:lineRule="auto"/>
        <w:ind w:firstLine="720"/>
      </w:pPr>
      <w:r>
        <w:t xml:space="preserve">Currie, Dell’Agnello, and Delle Monache describe a lunar laser ranging retroreflector fit for the twenty-first century, stretching a measurement lineage that runs back to the Apollo era</w:t>
      </w:r>
      <w:r>
        <w:t xml:space="preserve"> </w:t>
      </w:r>
      <w:hyperlink w:anchor="ref-2">
        <w:r>
          <w:rPr>
            <w:rStyle w:val="Hyperlink"/>
          </w:rPr>
          <w:t xml:space="preserve">[2]</w:t>
        </w:r>
      </w:hyperlink>
      <w:r>
        <w:t xml:space="preserve">. Retroreflector ranging sits among the oldest continuous lunar measurement programs, and its place in the corpus ties the modern surveillance literature to a long instrumental past. The dissertation takes its inclusion as evidence that the cislunar sensing baseline is old even where the traffic problem is new.</w:t>
      </w:r>
    </w:p>
    <w:p>
      <w:pPr>
        <w:pStyle w:val="BodyText"/>
        <w:spacing w:line="480" w:lineRule="auto"/>
        <w:ind w:firstLine="720"/>
      </w:pPr>
      <w:r>
        <w:t xml:space="preserve">Rudolph and colleagues work through spacecraft propellant plumes in the GEO plasma environment</w:t>
      </w:r>
      <w:r>
        <w:t xml:space="preserve"> </w:t>
      </w:r>
      <w:hyperlink w:anchor="ref-7">
        <w:r>
          <w:rPr>
            <w:rStyle w:val="Hyperlink"/>
          </w:rPr>
          <w:t xml:space="preserve">[7]</w:t>
        </w:r>
      </w:hyperlink>
      <w:r>
        <w:t xml:space="preserve">. That paper skips the Moon, and it earns its place because it studies the observable environmental and operational signatures of propellant use. A plume is a physical event with a footprint that can be detected, and the energy-return question, once it lands in operations, has to reckon that propellant handling throws off measurable disturbances surveillance systems will pick up and operators will have to manage.</w:t>
      </w:r>
    </w:p>
    <w:bookmarkEnd w:id="74"/>
    <w:bookmarkStart w:id="75" w:name="X4a559073ec0963145cde06921a3e7c2bf2f36da"/>
    <w:p>
      <w:pPr>
        <w:pStyle w:val="Heading2"/>
        <w:spacing w:line="480" w:lineRule="auto"/>
      </w:pPr>
      <w:r>
        <w:t xml:space="preserve">2.5 Coordination, governance, and the economic frame</w:t>
      </w:r>
    </w:p>
    <w:p>
      <w:pPr>
        <w:pStyle w:val="FirstParagraph"/>
        <w:spacing w:line="480" w:lineRule="auto"/>
      </w:pPr>
      <w:r>
        <w:t xml:space="preserve">Institutions arrive last, and the closing cluster moves off sensing toward governance. Reed, Tsamis, and Dailey hold that space sustainability and traffic management demand trusted space-stakeholder coordination</w:t>
      </w:r>
      <w:r>
        <w:t xml:space="preserve"> </w:t>
      </w:r>
      <w:hyperlink w:anchor="ref-1">
        <w:r>
          <w:rPr>
            <w:rStyle w:val="Hyperlink"/>
          </w:rPr>
          <w:t xml:space="preserve">[1]</w:t>
        </w:r>
      </w:hyperlink>
      <w:r>
        <w:t xml:space="preserve">. Their thesis runs that the technical wherewithal to track objects is necessary and not sufficient, since absent trusted coordination among operators the tracking data never becomes safe operations. For a propellant depot serving several users that coordination demand sits nowhere near the margin. It belongs to the operating cost.</w:t>
      </w:r>
    </w:p>
    <w:p>
      <w:pPr>
        <w:pStyle w:val="BodyText"/>
        <w:spacing w:line="480" w:lineRule="auto"/>
        <w:ind w:firstLine="720"/>
      </w:pPr>
      <w:r>
        <w:t xml:space="preserve">The space-economy sources in the corpus furnish the demand-side and governance framing. They take in forecasting work on the space economy, analysis of space’s role in driving sustainability, security, and development, economic statecraft framing, a national roadmap for a space economic renaissance, and a circular-economy argument for space sustainability. One MITRE white paper holds that a country’s geolocational delta-V advantage, automated mining expertise, and university smallsat capacity could underpin a commercial space economy, so long as it puts long-term sustainability guidelines, orbital debris governance, and Artemis Accords leadership ahead of defense-budget reliance. These sources furnish the vocabulary of demand, statecraft, and sustainability that rings the lunar propellant case even though not one of them runs an energy return.</w:t>
      </w:r>
    </w:p>
    <w:p>
      <w:pPr>
        <w:pStyle w:val="BodyText"/>
        <w:spacing w:line="480" w:lineRule="auto"/>
        <w:ind w:firstLine="720"/>
      </w:pPr>
      <w:r>
        <w:t xml:space="preserve">Malone and colleagues carry out a controlled user study on the part situational awareness plays in design decisions for future lunar ISRU systems</w:t>
      </w:r>
      <w:r>
        <w:t xml:space="preserve"> </w:t>
      </w:r>
      <w:hyperlink w:anchor="ref-9">
        <w:r>
          <w:rPr>
            <w:rStyle w:val="Hyperlink"/>
          </w:rPr>
          <w:t xml:space="preserve">[9]</w:t>
        </w:r>
      </w:hyperlink>
      <w:r>
        <w:t xml:space="preserve">. That study is the nearest the corpus comes to studying the decision process itself, and it shows situational awareness steering design choices before any energy return gets computed, which sets the human and institutional context upstream of the engineering ledger rather than downstream.</w:t>
      </w:r>
    </w:p>
    <w:bookmarkEnd w:id="75"/>
    <w:bookmarkStart w:id="76" w:name="the-gap-this-dissertation-occupies"/>
    <w:p>
      <w:pPr>
        <w:pStyle w:val="Heading2"/>
        <w:spacing w:line="480" w:lineRule="auto"/>
      </w:pPr>
      <w:r>
        <w:t xml:space="preserve">2.6 The gap this dissertation occupies</w:t>
      </w:r>
    </w:p>
    <w:p>
      <w:pPr>
        <w:pStyle w:val="FirstParagraph"/>
        <w:spacing w:line="480" w:lineRule="auto"/>
      </w:pPr>
      <w:r>
        <w:t xml:space="preserve">Read whole, the literature runs rich in components and thin in integration. Extraction chemistry</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deployment forecasting</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 base architecture</w:t>
      </w:r>
      <w:r>
        <w:t xml:space="preserve"> </w:t>
      </w:r>
      <w:hyperlink w:anchor="ref-16">
        <w:r>
          <w:rPr>
            <w:rStyle w:val="Hyperlink"/>
          </w:rPr>
          <w:t xml:space="preserve">[16]</w:t>
        </w:r>
      </w:hyperlink>
      <w:r>
        <w:t xml:space="preserve">, cislunar surveillance</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 detection and ranging</w:t>
      </w:r>
      <w:r>
        <w:t xml:space="preserve"> </w:t>
      </w:r>
      <w:hyperlink w:anchor="ref-2">
        <w:r>
          <w:rPr>
            <w:rStyle w:val="Hyperlink"/>
          </w:rPr>
          <w:t xml:space="preserve">[2]</w:t>
        </w:r>
      </w:hyperlink>
      <w:r>
        <w:t xml:space="preserve"> </w:t>
      </w:r>
      <w:hyperlink w:anchor="ref-3">
        <w:r>
          <w:rPr>
            <w:rStyle w:val="Hyperlink"/>
          </w:rPr>
          <w:t xml:space="preserve">[3]</w:t>
        </w:r>
      </w:hyperlink>
      <w:r>
        <w:t xml:space="preserve">, plume signatures</w:t>
      </w:r>
      <w:r>
        <w:t xml:space="preserve"> </w:t>
      </w:r>
      <w:hyperlink w:anchor="ref-7">
        <w:r>
          <w:rPr>
            <w:rStyle w:val="Hyperlink"/>
          </w:rPr>
          <w:t xml:space="preserve">[7]</w:t>
        </w:r>
      </w:hyperlink>
      <w:r>
        <w:t xml:space="preserve">, coordination</w:t>
      </w:r>
      <w:r>
        <w:t xml:space="preserve"> </w:t>
      </w:r>
      <w:hyperlink w:anchor="ref-1">
        <w:r>
          <w:rPr>
            <w:rStyle w:val="Hyperlink"/>
          </w:rPr>
          <w:t xml:space="preserve">[1]</w:t>
        </w:r>
      </w:hyperlink>
      <w:r>
        <w:t xml:space="preserve">, the economic frame, and the design-decision process</w:t>
      </w:r>
      <w:r>
        <w:t xml:space="preserve"> </w:t>
      </w:r>
      <w:hyperlink w:anchor="ref-9">
        <w:r>
          <w:rPr>
            <w:rStyle w:val="Hyperlink"/>
          </w:rPr>
          <w:t xml:space="preserve">[9]</w:t>
        </w:r>
      </w:hyperlink>
      <w:r>
        <w:t xml:space="preserve"> </w:t>
      </w:r>
      <w:r>
        <w:t xml:space="preserve">each carry a piece of the problem forward. Not one of them fits those pieces into a cumulative energy-return reckoning a policymaker could lean on, and that missing fit is the gap. The dissertation declines to plug it with an engineering model, which no candidate could get. It records the gap’s outline by testing whether the retrieved corpus runs structured or random, and so shows how far the written evidence has arranged itself around the lunar propellant energy question and where the integration has yet to be built.</w:t>
      </w:r>
    </w:p>
    <w:bookmarkEnd w:id="76"/>
    <w:bookmarkStart w:id="77" w:name="X7450b6700061b86aeaf53e0249981ce149eda4a"/>
    <w:p>
      <w:pPr>
        <w:pStyle w:val="Heading2"/>
        <w:spacing w:line="480" w:lineRule="auto"/>
      </w:pPr>
      <w:r>
        <w:t xml:space="preserve">2.7 The measurement literature and bibliometric reading</w:t>
      </w:r>
    </w:p>
    <w:p>
      <w:pPr>
        <w:pStyle w:val="FirstParagraph"/>
        <w:spacing w:line="480" w:lineRule="auto"/>
      </w:pPr>
      <w:r>
        <w:t xml:space="preserve">A second body of work stands behind this dissertation’s method rather than its subject, the practice of gauging a field’s ripeness off its written traces. Scientometric work reads citation counts, publication timing, and venue as measurable signals of the way a research community spreads its attention, on the premise that a field arranging around a problem leaves a structured footprint while a scattered field leaves a diffuse one. The dissertation takes on that premise and turns it onto lunar ISRU, which makes the measurement literature anything but incidental, since it grants the warrant for reading metadata as evidence in the first place.</w:t>
      </w:r>
    </w:p>
    <w:p>
      <w:pPr>
        <w:pStyle w:val="BodyText"/>
        <w:spacing w:line="480" w:lineRule="auto"/>
        <w:ind w:firstLine="720"/>
      </w:pPr>
      <w:r>
        <w:t xml:space="preserve">Two cautions out of that practice steer the design. The first is that citation counts are stand-ins with familiar pathologies: they build up with age, they swing by field norm, and they mirror visibility as much as importance, so any reading of citation attention has to hold age and venue fixed rather than take raw counts as a clean gauge of quality, which is just why Paper 1 brings in recency and venue alongside citation count and why Paper 2 pulls age out on its own</w:t>
      </w:r>
      <w:r>
        <w:t xml:space="preserve"> </w:t>
      </w:r>
      <w:hyperlink w:anchor="ref-3">
        <w:r>
          <w:rPr>
            <w:rStyle w:val="Hyperlink"/>
          </w:rPr>
          <w:t xml:space="preserve">[3]</w:t>
        </w:r>
      </w:hyperlink>
      <w:r>
        <w:t xml:space="preserve"> </w:t>
      </w:r>
      <w:hyperlink w:anchor="ref-8">
        <w:r>
          <w:rPr>
            <w:rStyle w:val="Hyperlink"/>
          </w:rPr>
          <w:t xml:space="preserve">[8]</w:t>
        </w:r>
      </w:hyperlink>
      <w:r>
        <w:t xml:space="preserve">. The second caution is that venue coding squeezes qualitative difference into an ordinal, and conference proceedings, journal articles, and policy sources differ in kind, so a single ordinal scale forces an ordering the analyst has to defend rather than presume. The dissertation defends its AMOS-to-Acta-to-economy ordering as a shift along the operational-to-institutional spectrum, and it flags the ordinal’s limits in the open</w:t>
      </w:r>
      <w:r>
        <w:t xml:space="preserve"> </w:t>
      </w:r>
      <w:hyperlink w:anchor="ref-6">
        <w:r>
          <w:rPr>
            <w:rStyle w:val="Hyperlink"/>
          </w:rPr>
          <w:t xml:space="preserve">[6]</w:t>
        </w:r>
      </w:hyperlink>
      <w:r>
        <w:t xml:space="preserve">.</w:t>
      </w:r>
    </w:p>
    <w:p>
      <w:pPr>
        <w:pStyle w:val="BodyText"/>
        <w:spacing w:line="480" w:lineRule="auto"/>
        <w:ind w:firstLine="720"/>
      </w:pPr>
      <w:r>
        <w:t xml:space="preserve">The learning-curve practice supplies the second estimator’s logic. In production economics, learning curves capture how cost or effort drops predictably with piled-up experience, and the log-log slope gives an elasticity, so bending that form onto citation accumulation is a deliberate analogy: where a field’s attention builds up predictably with elapsed time, the log-log slope of citations against age gauges the elasticity of attention with respect to ripeness. A field with a settled cumulative literature would throw a positive slope, its foundational works pulling steadily more citations, while a field still assembling its evidence base would throw a flat one. That contrast is what Paper 2 is built to catch, and its intellectual roots lie in this measurement practice rather than in lunar engineering</w:t>
      </w:r>
      <w:r>
        <w:t xml:space="preserve"> </w:t>
      </w:r>
      <w:hyperlink w:anchor="ref-12">
        <w:r>
          <w:rPr>
            <w:rStyle w:val="Hyperlink"/>
          </w:rPr>
          <w:t xml:space="preserve">[12]</w:t>
        </w:r>
      </w:hyperlink>
      <w:r>
        <w:t xml:space="preserve">.</w:t>
      </w:r>
    </w:p>
    <w:bookmarkEnd w:id="77"/>
    <w:bookmarkStart w:id="78" w:name="X847f18aa3ca42c4460eca13f6390a3b251282f0"/>
    <w:p>
      <w:pPr>
        <w:pStyle w:val="Heading2"/>
        <w:spacing w:line="480" w:lineRule="auto"/>
      </w:pPr>
      <w:r>
        <w:t xml:space="preserve">2.8 How the clusters connect through the propellant question</w:t>
      </w:r>
    </w:p>
    <w:p>
      <w:pPr>
        <w:pStyle w:val="FirstParagraph"/>
        <w:spacing w:line="480" w:lineRule="auto"/>
      </w:pPr>
      <w:r>
        <w:t xml:space="preserve">The apparent scatter of the literature resolves into a pattern the moment the propellant question is set at the center. Extraction chemistry fixes the power budget for making propellant</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base architecture fixes the systems context that budget competes inside</w:t>
      </w:r>
      <w:r>
        <w:t xml:space="preserve"> </w:t>
      </w:r>
      <w:hyperlink w:anchor="ref-16">
        <w:r>
          <w:rPr>
            <w:rStyle w:val="Hyperlink"/>
          </w:rPr>
          <w:t xml:space="preserve">[16]</w:t>
        </w:r>
      </w:hyperlink>
      <w:r>
        <w:t xml:space="preserve">, and surveillance and detection fix the operating volume the depot has to be visible inside</w:t>
      </w:r>
      <w:r>
        <w:t xml:space="preserve"> </w:t>
      </w:r>
      <w:hyperlink w:anchor="ref-3">
        <w:r>
          <w:rPr>
            <w:rStyle w:val="Hyperlink"/>
          </w:rPr>
          <w:t xml:space="preserve">[3]</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 Debris-risk modeling prices the hazard of packing energetic material into orbit</w:t>
      </w:r>
      <w:r>
        <w:t xml:space="preserve"> </w:t>
      </w:r>
      <w:hyperlink w:anchor="ref-4">
        <w:r>
          <w:rPr>
            <w:rStyle w:val="Hyperlink"/>
          </w:rPr>
          <w:t xml:space="preserve">[4]</w:t>
        </w:r>
      </w:hyperlink>
      <w:r>
        <w:t xml:space="preserve">, plume analysis names the observable signature propellant use throws off</w:t>
      </w:r>
      <w:r>
        <w:t xml:space="preserve"> </w:t>
      </w:r>
      <w:hyperlink w:anchor="ref-7">
        <w:r>
          <w:rPr>
            <w:rStyle w:val="Hyperlink"/>
          </w:rPr>
          <w:t xml:space="preserve">[7]</w:t>
        </w:r>
      </w:hyperlink>
      <w:r>
        <w:t xml:space="preserve">, and coordination arguments lift the institutional overhead of shared operation</w:t>
      </w:r>
      <w:r>
        <w:t xml:space="preserve"> </w:t>
      </w:r>
      <w:hyperlink w:anchor="ref-1">
        <w:r>
          <w:rPr>
            <w:rStyle w:val="Hyperlink"/>
          </w:rPr>
          <w:t xml:space="preserve">[1]</w:t>
        </w:r>
      </w:hyperlink>
      <w:r>
        <w:t xml:space="preserve">. Economic sources frame the demand that would warrant the whole enterprise, and design-decision studies show human situational awareness steering choices before any energy figure gets computed</w:t>
      </w:r>
      <w:r>
        <w:t xml:space="preserve"> </w:t>
      </w:r>
      <w:hyperlink w:anchor="ref-9">
        <w:r>
          <w:rPr>
            <w:rStyle w:val="Hyperlink"/>
          </w:rPr>
          <w:t xml:space="preserve">[9]</w:t>
        </w:r>
      </w:hyperlink>
      <w:r>
        <w:t xml:space="preserve">.</w:t>
      </w:r>
    </w:p>
    <w:p>
      <w:pPr>
        <w:pStyle w:val="BodyText"/>
        <w:spacing w:line="480" w:lineRule="auto"/>
        <w:ind w:firstLine="720"/>
      </w:pPr>
      <w:r>
        <w:t xml:space="preserve">Set out this way, the literature reads less as scattered than as unintegrated. Each cluster meets the propellant question from its own flank, the flanks genuinely join, and still no source draws them into one reckoning. The dissertation’s empirical screens are built to catch just this condition, a topic present across venues and attention without being firmed into a cumulative body. Whether the retrieved corpus shows that arrangement, or instead a diffuse scatter with no organizing signal, is the question the estimators answer. The literature review settles that the components exist and that their integration does not, which is the precise gap a written-structure test is fit to characterize.</w:t>
      </w:r>
    </w:p>
    <w:bookmarkEnd w:id="78"/>
    <w:bookmarkStart w:id="79" w:name="Xc23d49855068c04eba1266c8bb33077adce57bc"/>
    <w:p>
      <w:pPr>
        <w:pStyle w:val="Heading2"/>
        <w:spacing w:line="480" w:lineRule="auto"/>
      </w:pPr>
      <w:r>
        <w:t xml:space="preserve">2.9 The power problem underneath every extraction route</w:t>
      </w:r>
    </w:p>
    <w:p>
      <w:pPr>
        <w:pStyle w:val="FirstParagraph"/>
        <w:spacing w:line="480" w:lineRule="auto"/>
      </w:pPr>
      <w:r>
        <w:t xml:space="preserve">One thread runs under the extraction literature and merits pulling out on its own, because it is where the energy-return question bites deepest. Every proposed route to lunar propellant hangs on power, and power on the Moon runs costly to a degree terrestrial industry never has to face. The lunar night lasts roughly fourteen Earth days, across which solar arrays make nothing and any continuous process has to pull on stored energy or an alternative generator. That diurnal constraint shapes the whole feasibility sum, since a plant that can run only half the month either doubles its equipment to make up the difference or takes halved output</w:t>
      </w:r>
      <w:r>
        <w:t xml:space="preserve"> </w:t>
      </w:r>
      <w:hyperlink w:anchor="ref-13">
        <w:r>
          <w:rPr>
            <w:rStyle w:val="Hyperlink"/>
          </w:rPr>
          <w:t xml:space="preserve">[13]</w:t>
        </w:r>
      </w:hyperlink>
      <w:r>
        <w:t xml:space="preserve">.</w:t>
      </w:r>
    </w:p>
    <w:p>
      <w:pPr>
        <w:pStyle w:val="BodyText"/>
        <w:spacing w:line="480" w:lineRule="auto"/>
        <w:ind w:firstLine="720"/>
      </w:pPr>
      <w:r>
        <w:t xml:space="preserve">The extraction reviews grant the constraint even where they leave it unresolved. Solar thermal pyrolysis hangs directly on sunlight and stalls in shadow, while laser vacuum approaches move the power demand onto whatever source drives the laser</w:t>
      </w:r>
      <w:r>
        <w:t xml:space="preserve"> </w:t>
      </w:r>
      <w:hyperlink w:anchor="ref-13">
        <w:r>
          <w:rPr>
            <w:rStyle w:val="Hyperlink"/>
          </w:rPr>
          <w:t xml:space="preserve">[13]</w:t>
        </w:r>
      </w:hyperlink>
      <w:r>
        <w:t xml:space="preserve">. Carbothermal reduction and water extraction, weighed against each other in the hybrid plant analysis, drag different power profiles, and the comparison turns quietly on which route makes better use of scarce and broken power</w:t>
      </w:r>
      <w:r>
        <w:t xml:space="preserve"> </w:t>
      </w:r>
      <w:hyperlink w:anchor="ref-10">
        <w:r>
          <w:rPr>
            <w:rStyle w:val="Hyperlink"/>
          </w:rPr>
          <w:t xml:space="preserve">[10]</w:t>
        </w:r>
      </w:hyperlink>
      <w:r>
        <w:t xml:space="preserve">. The unspoken common term is that no one of these routes runs power-cheap, and the energy sunk into making and storing lunar power is the largest and least-examined term in any energy-return ledger. Advanced power concepts, compact nuclear and fusion approaches explored for other deep-space uses among them, hint at the scale of generation a serious lunar industrial base might want</w:t>
      </w:r>
      <w:r>
        <w:t xml:space="preserve"> </w:t>
      </w:r>
      <w:hyperlink w:anchor="ref-11">
        <w:r>
          <w:rPr>
            <w:rStyle w:val="Hyperlink"/>
          </w:rPr>
          <w:t xml:space="preserve">[11]</w:t>
        </w:r>
      </w:hyperlink>
      <w:r>
        <w:t xml:space="preserve">.</w:t>
      </w:r>
    </w:p>
    <w:p>
      <w:pPr>
        <w:pStyle w:val="BodyText"/>
        <w:spacing w:line="480" w:lineRule="auto"/>
        <w:ind w:firstLine="720"/>
      </w:pPr>
      <w:r>
        <w:t xml:space="preserve">This is why the dissertation treats the energy-return question as unresolved rather than merely uncomputed. Even the engineering literature that comes nearest the question tends to hold power supply as an assumption rather than an object of full accounting. A genuine energy-return figure would have to price the power system end to end, the mass flown up from Earth to build it included, and the literature has yet to do that with any consistency. The metadata screen cannot plug the gap, and it can confirm the gap sits at the heart of the field’s technical cluster.</w:t>
      </w:r>
    </w:p>
    <w:bookmarkEnd w:id="79"/>
    <w:bookmarkStart w:id="80" w:name="Xf52be420f53ce4d051066965f87e129619200eb"/>
    <w:p>
      <w:pPr>
        <w:pStyle w:val="Heading2"/>
        <w:spacing w:line="480" w:lineRule="auto"/>
      </w:pPr>
      <w:r>
        <w:t xml:space="preserve">2.10 Situating this dissertation among its neighbors</w:t>
      </w:r>
    </w:p>
    <w:p>
      <w:pPr>
        <w:pStyle w:val="FirstParagraph"/>
        <w:spacing w:line="480" w:lineRule="auto"/>
      </w:pPr>
      <w:r>
        <w:t xml:space="preserve">Where does this work land relative to the studies it cites? It is no extraction study, since it builds no reactor and gauges no yield</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it is no surveillance study, since it puts forward no sensor geometry</w:t>
      </w:r>
      <w:r>
        <w:t xml:space="preserve"> </w:t>
      </w:r>
      <w:hyperlink w:anchor="ref-3">
        <w:r>
          <w:rPr>
            <w:rStyle w:val="Hyperlink"/>
          </w:rPr>
          <w:t xml:space="preserve">[3]</w:t>
        </w:r>
      </w:hyperlink>
      <w:r>
        <w:t xml:space="preserve"> </w:t>
      </w:r>
      <w:hyperlink w:anchor="ref-5">
        <w:r>
          <w:rPr>
            <w:rStyle w:val="Hyperlink"/>
          </w:rPr>
          <w:t xml:space="preserve">[5]</w:t>
        </w:r>
      </w:hyperlink>
      <w:r>
        <w:t xml:space="preserve"> </w:t>
      </w:r>
      <w:hyperlink w:anchor="ref-8">
        <w:r>
          <w:rPr>
            <w:rStyle w:val="Hyperlink"/>
          </w:rPr>
          <w:t xml:space="preserve">[8]</w:t>
        </w:r>
      </w:hyperlink>
      <w:r>
        <w:t xml:space="preserve">; and it is no economic forecast, since it models no demand. What it is instead is a study of the literature itself, planted on purpose at a meta level above the technical clusters it surveys. That placement is uncommon in the lunar ISRU field, where most work carries a component forward, and it is the dissertation’s distinctive move.</w:t>
      </w:r>
    </w:p>
    <w:p>
      <w:pPr>
        <w:pStyle w:val="BodyText"/>
        <w:spacing w:line="480" w:lineRule="auto"/>
        <w:ind w:firstLine="720"/>
      </w:pPr>
      <w:r>
        <w:t xml:space="preserve">The nearest neighbors are the maturity-assessment works. McKeown and colleagues ask how lunar resource research measures against terrestrial mining feasibility standards, a maturity question put against an external benchmark</w:t>
      </w:r>
      <w:r>
        <w:t xml:space="preserve"> </w:t>
      </w:r>
      <w:hyperlink w:anchor="ref-15">
        <w:r>
          <w:rPr>
            <w:rStyle w:val="Hyperlink"/>
          </w:rPr>
          <w:t xml:space="preserve">[15]</w:t>
        </w:r>
      </w:hyperlink>
      <w:r>
        <w:t xml:space="preserve">. Spedding and colleagues run Delphi elicitation to forecast deployment, a maturity question put through expert judgment</w:t>
      </w:r>
      <w:r>
        <w:t xml:space="preserve"> </w:t>
      </w:r>
      <w:hyperlink w:anchor="ref-12">
        <w:r>
          <w:rPr>
            <w:rStyle w:val="Hyperlink"/>
          </w:rPr>
          <w:t xml:space="preserve">[12]</w:t>
        </w:r>
      </w:hyperlink>
      <w:r>
        <w:t xml:space="preserve">. This dissertation puts a maturity question too, and it puts that question through the arrangement of the written record, a third and complementary route. Where McKeown benchmarks against mining practice and Spedding pools expert opinion, this work reads the traces the field drops in its own publications. The three approaches triangulate the same underlying concern from different angles, and the written route adds a reproducible, quantitative instrument to a conversation that has otherwise run on benchmarking and elicitation</w:t>
      </w:r>
      <w:r>
        <w:t xml:space="preserve"> </w:t>
      </w:r>
      <w:hyperlink w:anchor="ref-1">
        <w:r>
          <w:rPr>
            <w:rStyle w:val="Hyperlink"/>
          </w:rPr>
          <w:t xml:space="preserve">[1]</w:t>
        </w:r>
      </w:hyperlink>
      <w:r>
        <w:t xml:space="preserve"> </w:t>
      </w:r>
      <w:hyperlink w:anchor="ref-16">
        <w:r>
          <w:rPr>
            <w:rStyle w:val="Hyperlink"/>
          </w:rPr>
          <w:t xml:space="preserve">[16]</w:t>
        </w:r>
      </w:hyperlink>
      <w:r>
        <w:t xml:space="preserve">. That is the neighborhood this dissertation joins, and the exact corner of it that it holds.</w:t>
      </w:r>
    </w:p>
    <w:bookmarkEnd w:id="80"/>
    <w:bookmarkEnd w:id="81"/>
    <w:bookmarkStart w:id="93" w:name="chapter-3.-theory-and-hypotheses"/>
    <w:p>
      <w:pPr>
        <w:pStyle w:val="Heading1"/>
        <w:spacing w:line="480" w:lineRule="auto"/>
      </w:pPr>
      <w:r>
        <w:t xml:space="preserve">Chapter 3. Theory and Hypotheses</w:t>
      </w:r>
    </w:p>
    <w:p>
      <w:pPr>
        <w:pStyle w:val="FirstParagraph"/>
        <w:spacing w:line="480" w:lineRule="auto"/>
      </w:pPr>
      <w:r>
        <w:t xml:space="preserve">A dissertation that studies a written record instead of a physical plant owes the reader an account of why the record should hold any signal worth gauging. Were citation counts and venue families noise, the empirical screens would burn effort for nothing, so this chapter assembles the mechanism that earns them their run. The claim comes in three linked parts: scholarly attention drops structured traces, those traces encode where a technical governance problem gets worked, and the arrangement of the traces can be read as evidence about the ripeness and placement of the lunar propellant energy-return debate.</w:t>
      </w:r>
    </w:p>
    <w:bookmarkStart w:id="82" w:name="Xdcc415c9bd618e1868d0ab66632d92432d10fca"/>
    <w:p>
      <w:pPr>
        <w:pStyle w:val="Heading2"/>
        <w:spacing w:line="480" w:lineRule="auto"/>
      </w:pPr>
      <w:r>
        <w:t xml:space="preserve">3.1 The mechanism: attention as a structured trace</w:t>
      </w:r>
    </w:p>
    <w:p>
      <w:pPr>
        <w:pStyle w:val="FirstParagraph"/>
        <w:spacing w:line="480" w:lineRule="auto"/>
      </w:pPr>
      <w:r>
        <w:t xml:space="preserve">The premise fits in a sentence, that researchers do not scatter their attention at random. They gather around problems that funding agencies rank high, that missions make pressing, and that peer communities pay out for. Once a technical governance problem grows salient, the scholarly record talks back: papers surface in particular venues, pile up citations at particular rates, and bunch in particular years. Those responses are not the problem itself but its shadow thrown on the written wall, and this dissertation’s theory is that the shadow can be read.</w:t>
      </w:r>
    </w:p>
    <w:p>
      <w:pPr>
        <w:pStyle w:val="BodyText"/>
        <w:spacing w:line="480" w:lineRule="auto"/>
        <w:ind w:firstLine="720"/>
      </w:pPr>
      <w:r>
        <w:t xml:space="preserve">For lunar ISRU energy return the salience drivers already stand out in the literature. Extraction chemistry advances raise fresh questions about power budgets</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deployment forecasts fix timelines that mobilize research</w:t>
      </w:r>
      <w:r>
        <w:t xml:space="preserve"> </w:t>
      </w:r>
      <w:hyperlink w:anchor="ref-12">
        <w:r>
          <w:rPr>
            <w:rStyle w:val="Hyperlink"/>
          </w:rPr>
          <w:t xml:space="preserve">[12]</w:t>
        </w:r>
      </w:hyperlink>
      <w:r>
        <w:t xml:space="preserve">, cislunar surveillance work defines the operating setting any depot has to work inside</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 and coordination arguments raise the institutional stakes</w:t>
      </w:r>
      <w:r>
        <w:t xml:space="preserve"> </w:t>
      </w:r>
      <w:hyperlink w:anchor="ref-1">
        <w:r>
          <w:rPr>
            <w:rStyle w:val="Hyperlink"/>
          </w:rPr>
          <w:t xml:space="preserve">[1]</w:t>
        </w:r>
      </w:hyperlink>
      <w:r>
        <w:t xml:space="preserve">. Each driver shoves attention toward the topic, and each shove ought to drop a measurable trace if the field is truly arranging around the energy-return question.</w:t>
      </w:r>
    </w:p>
    <w:p>
      <w:pPr>
        <w:pStyle w:val="BodyText"/>
        <w:spacing w:line="480" w:lineRule="auto"/>
        <w:ind w:firstLine="720"/>
      </w:pPr>
      <w:r>
        <w:t xml:space="preserve">The mechanism carries a falsifiable edge, which is what holds it honest. Were attention unstructured, the traces would come back flat: signal scores would not swing systematically with recency, citation attention, or venue, and citation accumulation would not track age. The dissertation’s contribution is to check whether the traces run structured or flat and to report in good faith whichever answer the data hand over.</w:t>
      </w:r>
    </w:p>
    <w:bookmarkEnd w:id="82"/>
    <w:bookmarkStart w:id="83" w:name="why-venue-family-should-matter"/>
    <w:p>
      <w:pPr>
        <w:pStyle w:val="Heading2"/>
        <w:spacing w:line="480" w:lineRule="auto"/>
      </w:pPr>
      <w:r>
        <w:t xml:space="preserve">3.2 Why venue family should matter</w:t>
      </w:r>
    </w:p>
    <w:p>
      <w:pPr>
        <w:pStyle w:val="FirstParagraph"/>
        <w:spacing w:line="480" w:lineRule="auto"/>
      </w:pPr>
      <w:r>
        <w:t xml:space="preserve">Venue is no neutral container, since different scholarly venues carry different epistemic commitments, different review standards, and different audiences. The corpus stretches across three venue families, coded ordinally as AMOS conference proceedings, Acta Astronautica journal articles, and space-economy sources, and each family lands at a different point on the spectrum running from operational-technical to economic-institutional.</w:t>
      </w:r>
    </w:p>
    <w:p>
      <w:pPr>
        <w:pStyle w:val="BodyText"/>
        <w:spacing w:line="480" w:lineRule="auto"/>
        <w:ind w:firstLine="720"/>
      </w:pPr>
      <w:r>
        <w:t xml:space="preserve">AMOS proceedings dwell on surveillance, detection, and space domain awareness, the operational sensing stratum of cislunar activity</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Acta Astronautica articles dwell on engineering systems, extraction processes, and mission design, the technical production stratum</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w:t>
      </w:r>
      <w:hyperlink w:anchor="ref-16">
        <w:r>
          <w:rPr>
            <w:rStyle w:val="Hyperlink"/>
          </w:rPr>
          <w:t xml:space="preserve">[16]</w:t>
        </w:r>
      </w:hyperlink>
      <w:r>
        <w:t xml:space="preserve">. The space-economy sources dwell on demand, statecraft, and sustainability, the institutional-economic stratum. Because these families hold different strata of the same problem, the topic signal should spread unevenly across them, and the theory calls venue family a strong organizing variable exactly because the lunar propellant energy question lives more thickly in some strata than others.</w:t>
      </w:r>
    </w:p>
    <w:p>
      <w:pPr>
        <w:pStyle w:val="BodyText"/>
        <w:spacing w:line="480" w:lineRule="auto"/>
        <w:ind w:firstLine="720"/>
      </w:pPr>
      <w:r>
        <w:t xml:space="preserve">The call carries a directional expectation the data can back or overturn. If the technical extraction stratum carries the thickest topic signal, venue family should throw a systematic tie to signal score even after attention and recency are held fixed. A flat venue tie would suggest the topic spreads evenly across strata, which would itself carry information, since it would point to no clear disciplinary home.</w:t>
      </w:r>
    </w:p>
    <w:bookmarkEnd w:id="83"/>
    <w:bookmarkStart w:id="84" w:name="why-citation-attention-should-matter"/>
    <w:p>
      <w:pPr>
        <w:pStyle w:val="Heading2"/>
        <w:spacing w:line="480" w:lineRule="auto"/>
      </w:pPr>
      <w:r>
        <w:t xml:space="preserve">3.3 Why citation attention should matter</w:t>
      </w:r>
    </w:p>
    <w:p>
      <w:pPr>
        <w:pStyle w:val="FirstParagraph"/>
        <w:spacing w:line="480" w:lineRule="auto"/>
      </w:pPr>
      <w:r>
        <w:t xml:space="preserve">Citation attention gauges how far the community has engaged a source, so a heavily cited paper has become a reference point while a thinly cited one has not. The theory holds that inside a topic corpus, citation attention tracks the sources that anchor the debate, and if the lunar propellant energy question is arranged, the anchoring sources should carry more topic signal because the community circles back to the works that frame the problem most usefully.</w:t>
      </w:r>
    </w:p>
    <w:p>
      <w:pPr>
        <w:pStyle w:val="BodyText"/>
        <w:spacing w:line="480" w:lineRule="auto"/>
        <w:ind w:firstLine="720"/>
      </w:pPr>
      <w:r>
        <w:t xml:space="preserve">Two forces muddy the expectation, and the theory has to grip both at once. Citation counts here are local index readings pulled from a brain search field, not universal citation counts, so they come bounded and noisy. Older papers, in turn, have had longer to pile up citations, which snarls attention together with age. The dissertation prises these forces apart on purpose: Paper 1 holds recency fixed while gauging the citation-attention tie, prising attention off simple aging, and Paper 2 then tests age straight on to see whether accumulation tracks a temporal curve. The two-model design is no duplication. It is how the theory unsnarls attention from time.</w:t>
      </w:r>
    </w:p>
    <w:bookmarkEnd w:id="84"/>
    <w:bookmarkStart w:id="85" w:name="why-recency-is-the-ambiguous-predictor"/>
    <w:p>
      <w:pPr>
        <w:pStyle w:val="Heading2"/>
        <w:spacing w:line="480" w:lineRule="auto"/>
      </w:pPr>
      <w:r>
        <w:t xml:space="preserve">3.4 Why recency is the ambiguous predictor</w:t>
      </w:r>
    </w:p>
    <w:p>
      <w:pPr>
        <w:pStyle w:val="FirstParagraph"/>
        <w:spacing w:line="480" w:lineRule="auto"/>
      </w:pPr>
      <w:r>
        <w:t xml:space="preserve">Recency is the predictor the theory handles with the most care. A naive tale says the field only lately stumbled on the energy-return problem, so recent papers should carry more signal, while a rival tale says the foundational work is older, with recent papers building by increments on a settled sensing and extraction base</w:t>
      </w:r>
      <w:r>
        <w:t xml:space="preserve"> </w:t>
      </w:r>
      <w:hyperlink w:anchor="ref-2">
        <w:r>
          <w:rPr>
            <w:rStyle w:val="Hyperlink"/>
          </w:rPr>
          <w:t xml:space="preserve">[2]</w:t>
        </w:r>
      </w:hyperlink>
      <w:r>
        <w:t xml:space="preserve"> </w:t>
      </w:r>
      <w:hyperlink w:anchor="ref-16">
        <w:r>
          <w:rPr>
            <w:rStyle w:val="Hyperlink"/>
          </w:rPr>
          <w:t xml:space="preserve">[16]</w:t>
        </w:r>
      </w:hyperlink>
      <w:r>
        <w:t xml:space="preserve">. These tales call for opposite recency effects, which is why the theory declines to lock in a strong directional claim on recency ahead of time.</w:t>
      </w:r>
    </w:p>
    <w:p>
      <w:pPr>
        <w:pStyle w:val="BodyText"/>
        <w:spacing w:line="480" w:lineRule="auto"/>
        <w:ind w:firstLine="720"/>
      </w:pPr>
      <w:r>
        <w:t xml:space="preserve">The ambiguity works as a feature and not a flaw. By leaving recency the contested predictor, the dissertation stands up a genuine test, and should recency come back weak or marginal while attention and venue come back strong, the reading is that the topic gets arranged by where and how hard it is worked rather than by bare novelty. That would count as a substantive finding about the field’s arrangement, not a null result to be talked away.</w:t>
      </w:r>
    </w:p>
    <w:bookmarkEnd w:id="85"/>
    <w:bookmarkStart w:id="86" w:name="the-formal-hypotheses"/>
    <w:p>
      <w:pPr>
        <w:pStyle w:val="Heading2"/>
        <w:spacing w:line="480" w:lineRule="auto"/>
      </w:pPr>
      <w:r>
        <w:t xml:space="preserve">3.5 The formal hypotheses</w:t>
      </w:r>
    </w:p>
    <w:p>
      <w:pPr>
        <w:pStyle w:val="FirstParagraph"/>
        <w:spacing w:line="480" w:lineRule="auto"/>
      </w:pPr>
      <w:r>
        <w:t xml:space="preserve">The dissertation’s master hypotheses are pitched at the corpus level. H0 holds that the candidate topic signal is unrelated to publication recency, citation attention, and venue family in the retrieved source corpus. H1 holds that the topic signal is systematically related to those three features. The two empirical papers put this pair to work in complementary fashions.</w:t>
      </w:r>
    </w:p>
    <w:p>
      <w:pPr>
        <w:pStyle w:val="BodyText"/>
        <w:spacing w:line="480" w:lineRule="auto"/>
        <w:ind w:firstLine="720"/>
      </w:pPr>
      <w:r>
        <w:t xml:space="preserve">Paper 1, the cross-sectional model, fixes its null as the topic-signal score being unrelated to publication recency, citation attention, and venue family, and its alternative as the signal rising with recency and citation attention. The estimator is ordinary least squares over the composite signal score, with recency index, citation count, and venue score as predictors, and the theory calls for a strong overall fit if the corpus is arranged, with attention and venue bearing more explanatory weight than recency.</w:t>
      </w:r>
    </w:p>
    <w:p>
      <w:pPr>
        <w:pStyle w:val="BodyText"/>
        <w:spacing w:line="480" w:lineRule="auto"/>
        <w:ind w:firstLine="720"/>
      </w:pPr>
      <w:r>
        <w:t xml:space="preserve">Paper 2, the temporal model, fixes its null as citation accumulation being unrelated to article age, and its alternative as accumulation tracking a measurable age-based attention curve. The estimator is a log-log learning-curve model regressing the log of citation count plus one on the log of an age index. The theory here runs deliberately open: a field with a ripe cumulative literature would throw a positive age-attention slope, since older anchoring works would have drawn more citations in a predictable way, while a field still assembling its evidence base, its attention driven by topical pull rather than piled-up age, would throw a flat slope.</w:t>
      </w:r>
    </w:p>
    <w:bookmarkEnd w:id="86"/>
    <w:bookmarkStart w:id="87" w:name="what-each-outcome-would-mean"/>
    <w:p>
      <w:pPr>
        <w:pStyle w:val="Heading2"/>
        <w:spacing w:line="480" w:lineRule="auto"/>
      </w:pPr>
      <w:r>
        <w:t xml:space="preserve">3.6 What each outcome would mean</w:t>
      </w:r>
    </w:p>
    <w:p>
      <w:pPr>
        <w:pStyle w:val="FirstParagraph"/>
        <w:spacing w:line="480" w:lineRule="auto"/>
      </w:pPr>
      <w:r>
        <w:t xml:space="preserve">Pitching predictions in advance pays off because each possible outcome carries a clear reading, so the space of results the two models could hand back is worth walking.</w:t>
      </w:r>
    </w:p>
    <w:p>
      <w:pPr>
        <w:pStyle w:val="BodyText"/>
        <w:spacing w:line="480" w:lineRule="auto"/>
        <w:ind w:firstLine="720"/>
      </w:pPr>
      <w:r>
        <w:t xml:space="preserve">Should Paper 1 fit strongly with attention and venue on top, the topic gets arranged by institutional placement and community engagement rather than by novelty, and the energy-return question would then stand visible in the record, anchored where authors tie extraction to operations and coordination</w:t>
      </w:r>
      <w:r>
        <w:t xml:space="preserve"> </w:t>
      </w:r>
      <w:hyperlink w:anchor="ref-1">
        <w:r>
          <w:rPr>
            <w:rStyle w:val="Hyperlink"/>
          </w:rPr>
          <w:t xml:space="preserve">[1]</w:t>
        </w:r>
      </w:hyperlink>
      <w:r>
        <w:t xml:space="preserve"> </w:t>
      </w:r>
      <w:hyperlink w:anchor="ref-6">
        <w:r>
          <w:rPr>
            <w:rStyle w:val="Hyperlink"/>
          </w:rPr>
          <w:t xml:space="preserve">[6]</w:t>
        </w:r>
      </w:hyperlink>
      <w:r>
        <w:t xml:space="preserve"> </w:t>
      </w:r>
      <w:hyperlink w:anchor="ref-9">
        <w:r>
          <w:rPr>
            <w:rStyle w:val="Hyperlink"/>
          </w:rPr>
          <w:t xml:space="preserve">[9]</w:t>
        </w:r>
      </w:hyperlink>
      <w:r>
        <w:t xml:space="preserve">. Should Paper 1 fit weakly, the topic would run diffuse, and the dissertation would report that the written record has yet to arrange the question in any measurable way.</w:t>
      </w:r>
    </w:p>
    <w:p>
      <w:pPr>
        <w:pStyle w:val="BodyText"/>
        <w:spacing w:line="480" w:lineRule="auto"/>
        <w:ind w:firstLine="720"/>
      </w:pPr>
      <w:r>
        <w:t xml:space="preserve">Should Paper 2 throw a positive age slope, the literature would be ripening along a predictable accumulation curve, and older high-attention records could stand as a firmer footing for synthesis. Should Paper 2 throw a flat slope, the record would be a set of neighboring contributions rather than a cumulative body, and any energy-return synthesis would have to handle the sources as loosely joined rather than as a ripe literature.</w:t>
      </w:r>
    </w:p>
    <w:p>
      <w:pPr>
        <w:pStyle w:val="BodyText"/>
        <w:spacing w:line="480" w:lineRule="auto"/>
        <w:ind w:firstLine="720"/>
      </w:pPr>
      <w:r>
        <w:t xml:space="preserve">The theory settles none of this in advance. What it does is frame the reading so that whatever the estimators hand back can be taken cleanly, and that is the discipline the dissertation asks of itself: a mechanism that makes the traces mean something, hypotheses that can turn out false, and a reading grid that hands a defensible take to every outcome. The chapters ahead carry that grid into the estimator design</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data construction, and the exact results.</w:t>
      </w:r>
    </w:p>
    <w:bookmarkEnd w:id="87"/>
    <w:bookmarkStart w:id="88" w:name="Xc878e177299b68aa9ed356e20a12fd0bb4b5684"/>
    <w:p>
      <w:pPr>
        <w:pStyle w:val="Heading2"/>
        <w:spacing w:line="480" w:lineRule="auto"/>
      </w:pPr>
      <w:r>
        <w:t xml:space="preserve">3.7 The bridge from documentary signal to energy return</w:t>
      </w:r>
    </w:p>
    <w:p>
      <w:pPr>
        <w:pStyle w:val="FirstParagraph"/>
        <w:spacing w:line="480" w:lineRule="auto"/>
      </w:pPr>
      <w:r>
        <w:t xml:space="preserve">A fair objection leans on the mechanism at its weakest joint. Grant that scholarly attention drops structured traces, and why should the arrangement of those traces tell us anything about lunar propellant energy return, a physical quantity clocked in joules? The theory’s answer runs careful and hemmed in. The traces do not gauge energy return; they gauge whether the community that would in time compute energy return has begun handling the problem as a coherent object of study, and where across the institutional landscape that study concentrates.</w:t>
      </w:r>
    </w:p>
    <w:p>
      <w:pPr>
        <w:pStyle w:val="BodyText"/>
        <w:spacing w:line="480" w:lineRule="auto"/>
        <w:ind w:firstLine="720"/>
      </w:pPr>
      <w:r>
        <w:t xml:space="preserve">The distinction is the old one dividing a map from the territory. A structured written signal is a map of scholarly attention, showing authors tie extraction to operations, coordination, and monitoring, and showing which venues host that tie thickly</w:t>
      </w:r>
      <w:r>
        <w:t xml:space="preserve"> </w:t>
      </w:r>
      <w:hyperlink w:anchor="ref-1">
        <w:r>
          <w:rPr>
            <w:rStyle w:val="Hyperlink"/>
          </w:rPr>
          <w:t xml:space="preserve">[1]</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 The energy-return figure is a feature of the territory, computable only off engineering data the map does not carry. The theory holds that a good map is the entry price for exploring the territory efficiently, since a field whose written map is structured knows where its open questions gather while a field whose map runs diffuse has yet to learn what it is even trying to answer. Settling which condition grips lunar ISRU is a genuine contribution even where it halts at the map’s edge.</w:t>
      </w:r>
    </w:p>
    <w:p>
      <w:pPr>
        <w:pStyle w:val="BodyText"/>
        <w:spacing w:line="480" w:lineRule="auto"/>
        <w:ind w:firstLine="720"/>
      </w:pPr>
      <w:r>
        <w:t xml:space="preserve">This is why the mechanism calls for venue and attention structure without calling out a value for energy return. The structure test asks whether the map holds resolution; the energy-return question asks what the territory holds. To conflate the two would be the very overreach the dissertation is built to sidestep, and the theory keeps them apart by design</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w:t>
      </w:r>
    </w:p>
    <w:bookmarkEnd w:id="88"/>
    <w:bookmarkStart w:id="89" w:name="X9fdc33a0647b1d63030464ae6caf940ad2bdc5d"/>
    <w:p>
      <w:pPr>
        <w:pStyle w:val="Heading2"/>
        <w:spacing w:line="480" w:lineRule="auto"/>
      </w:pPr>
      <w:r>
        <w:t xml:space="preserve">3.8 Rival explanations the design must survive</w:t>
      </w:r>
    </w:p>
    <w:p>
      <w:pPr>
        <w:pStyle w:val="FirstParagraph"/>
        <w:spacing w:line="480" w:lineRule="auto"/>
      </w:pPr>
      <w:r>
        <w:t xml:space="preserve">A mechanism wins confidence only by outlasting the rival explanations that could throw the same traces for dull reasons. Three rivals merit naming, because the design either holds them fixed or grants them as limits.</w:t>
      </w:r>
    </w:p>
    <w:p>
      <w:pPr>
        <w:pStyle w:val="BodyText"/>
        <w:spacing w:line="480" w:lineRule="auto"/>
        <w:ind w:firstLine="720"/>
      </w:pPr>
      <w:r>
        <w:t xml:space="preserve">The first rival is bare aging. Were citation attention simply to grow with time, a raw correlation between attention and topic signal could mirror nothing beyond the passage of years, and the design holds this fixed by conditioning Paper 1 on recency and testing age straight on in Paper 2. Were attention arranging the signal only through aging, Paper 2 would throw a strong age-citation slope, and its absence knocks the rival out</w:t>
      </w:r>
      <w:r>
        <w:t xml:space="preserve"> </w:t>
      </w:r>
      <w:hyperlink w:anchor="ref-3">
        <w:r>
          <w:rPr>
            <w:rStyle w:val="Hyperlink"/>
          </w:rPr>
          <w:t xml:space="preserve">[3]</w:t>
        </w:r>
      </w:hyperlink>
      <w:r>
        <w:t xml:space="preserve">.</w:t>
      </w:r>
    </w:p>
    <w:p>
      <w:pPr>
        <w:pStyle w:val="BodyText"/>
        <w:spacing w:line="480" w:lineRule="auto"/>
        <w:ind w:firstLine="720"/>
      </w:pPr>
      <w:r>
        <w:t xml:space="preserve">The second rival is venue artifact. Should some venues simply index richer metadata than others, the venue coefficient could mirror indexing conventions rather than genuine topical concentration. The theory grants this rival in part, since the space-economy sources do carry thin indexed metadata, so the reading takes the venue term as a gradient in indexed topic density rather than as a pure gauge of intrinsic relevance, a concession the results chapter honors in the open</w:t>
      </w:r>
      <w:r>
        <w:t xml:space="preserve"> </w:t>
      </w:r>
      <w:hyperlink w:anchor="ref-6">
        <w:r>
          <w:rPr>
            <w:rStyle w:val="Hyperlink"/>
          </w:rPr>
          <w:t xml:space="preserve">[6]</w:t>
        </w:r>
      </w:hyperlink>
      <w:r>
        <w:t xml:space="preserve">.</w:t>
      </w:r>
    </w:p>
    <w:p>
      <w:pPr>
        <w:pStyle w:val="BodyText"/>
        <w:spacing w:line="480" w:lineRule="auto"/>
        <w:ind w:firstLine="720"/>
      </w:pPr>
      <w:r>
        <w:t xml:space="preserve">The third rival is sampling design. Because the corpus gets assembled to stand for the topic rather than drawn at random, any structure could in part mirror the assembler’s choices, and the theory answers that the structure test stays informative conditional on the assembled corpus: it characterizes how the retrieved record arranges, which is the stated scope, and it declines to generalize past that record. Naming these rivals in advance is what parts a mechanism from a hopeful tale. The design does not knock out every rival, and it states which it holds fixed, which it grants, and which it fences, and that candor is the theoretical backbone the estimators then test</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89"/>
    <w:bookmarkStart w:id="90" w:name="X2685b69604e413721d5c73588b61634caf55a65"/>
    <w:p>
      <w:pPr>
        <w:pStyle w:val="Heading2"/>
        <w:spacing w:line="480" w:lineRule="auto"/>
      </w:pPr>
      <w:r>
        <w:t xml:space="preserve">3.9 From maturity theory to two distinct predictions</w:t>
      </w:r>
    </w:p>
    <w:p>
      <w:pPr>
        <w:pStyle w:val="FirstParagraph"/>
        <w:spacing w:line="480" w:lineRule="auto"/>
      </w:pPr>
      <w:r>
        <w:t xml:space="preserve">The mechanism throws two predictions that run genuinely distinct, and their distinctness is what warrants running two models rather than one. A single composite test would blur the cross-sectional and temporal dimensions of maturity into one verdict, whereas the theory holds them separate properties of a field and calls them separately.</w:t>
      </w:r>
    </w:p>
    <w:p>
      <w:pPr>
        <w:pStyle w:val="BodyText"/>
        <w:spacing w:line="480" w:lineRule="auto"/>
        <w:ind w:firstLine="720"/>
      </w:pPr>
      <w:r>
        <w:t xml:space="preserve">The cross-sectional prediction concerns arrangement at a moment. A field working a problem coherently will throw its topic signal concentrated by institutional placement and community engagement, so venue and attention should carry explanatory weight, and this is a claim about how the literature stands arranged right now, apart from how it got there. The temporal prediction concerns buildup over time. A field with a firmed cumulative base will throw attention accruing predictably as works age, so the log-age slope should run positive and meaningful, and this is a claim about the literature’s trajectory, apart from its current arrangement.</w:t>
      </w:r>
    </w:p>
    <w:p>
      <w:pPr>
        <w:pStyle w:val="BodyText"/>
        <w:spacing w:line="480" w:lineRule="auto"/>
        <w:ind w:firstLine="720"/>
      </w:pPr>
      <w:r>
        <w:t xml:space="preserve">A field can meet one prediction and miss the other, and each pairing carries a distinct meaning. Arrangement without buildup, which the theory allows as a live possibility, describes an active field that has gathered around a problem lately enough that its attention has yet to sort by age. Buildup without arrangement would describe a field with old anchoring works but no current coherence, an odd and likely unstable condition. Both arrangement and buildup together would mark a ripe, firmed field, and neither would mark a genuinely diffuse topic with no scholarly home. By calling the two dimensions separately, the theory can tell these conditions apart, and that discriminating power is just what a single model would throw away</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w:t>
      </w:r>
    </w:p>
    <w:bookmarkEnd w:id="90"/>
    <w:bookmarkStart w:id="91" w:name="X95b1bbaae4bec5fd0647d871b03afe1957ba3ae"/>
    <w:p>
      <w:pPr>
        <w:pStyle w:val="Heading2"/>
        <w:spacing w:line="480" w:lineRule="auto"/>
      </w:pPr>
      <w:r>
        <w:t xml:space="preserve">3.10 Why the predictions are worth testing rather than assuming</w:t>
      </w:r>
    </w:p>
    <w:p>
      <w:pPr>
        <w:pStyle w:val="FirstParagraph"/>
        <w:spacing w:line="480" w:lineRule="auto"/>
      </w:pPr>
      <w:r>
        <w:t xml:space="preserve">A skeptic might argue the outcome is plain in advance, that of course an emerging field runs arranged but not yet firmed. Were the prediction certain, the test would sit idle, and the theory answers that the outcome is not certain because plausible arguments run both ways. Lunar ISRU has decades of foundational sensing and extraction work at its back, reaching to Apollo-era ranging</w:t>
      </w:r>
      <w:r>
        <w:t xml:space="preserve"> </w:t>
      </w:r>
      <w:hyperlink w:anchor="ref-2">
        <w:r>
          <w:rPr>
            <w:rStyle w:val="Hyperlink"/>
          </w:rPr>
          <w:t xml:space="preserve">[2]</w:t>
        </w:r>
      </w:hyperlink>
      <w:r>
        <w:t xml:space="preserve"> </w:t>
      </w:r>
      <w:r>
        <w:t xml:space="preserve">and carrying on through ripe surveillance and detection studies</w:t>
      </w:r>
      <w:r>
        <w:t xml:space="preserve"> </w:t>
      </w:r>
      <w:hyperlink w:anchor="ref-3">
        <w:r>
          <w:rPr>
            <w:rStyle w:val="Hyperlink"/>
          </w:rPr>
          <w:t xml:space="preserve">[3]</w:t>
        </w:r>
      </w:hyperlink>
      <w:r>
        <w:t xml:space="preserve"> </w:t>
      </w:r>
      <w:hyperlink w:anchor="ref-5">
        <w:r>
          <w:rPr>
            <w:rStyle w:val="Hyperlink"/>
          </w:rPr>
          <w:t xml:space="preserve">[5]</w:t>
        </w:r>
      </w:hyperlink>
      <w:r>
        <w:t xml:space="preserve">, so a field with that depth of footing could plausibly throw temporal buildup, its older anchoring works pulling steady citations. Whether it actually does is an empirical question, not a settled matter.</w:t>
      </w:r>
    </w:p>
    <w:p>
      <w:pPr>
        <w:pStyle w:val="BodyText"/>
        <w:spacing w:line="480" w:lineRule="auto"/>
        <w:ind w:firstLine="720"/>
      </w:pPr>
      <w:r>
        <w:t xml:space="preserve">The arrangement prediction runs non-trivial in its own right. A topic assembled across surveillance proceedings, engineering journals, and economic sources could readily miss coherent venue structure if the propellant question were merely a label pasted over unrelated works, so the chance that it throws strong venue and attention structure is a hypothesis the data can overturn. The theory’s worth is not that it guarantees a particular result but that it spells out, ahead of the estimation, what each result would mean. That spelling-out is what lets the exact numbers of the results chapter read as evidence rather than as an inkblot, and it is why the mechanism merits stating at this length before a single coefficient gets reported</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91"/>
    <w:bookmarkStart w:id="92" w:name="X9b13b5168c3a7b662123ae2abbe4c332c32d4c2"/>
    <w:p>
      <w:pPr>
        <w:pStyle w:val="Heading2"/>
        <w:spacing w:line="480" w:lineRule="auto"/>
      </w:pPr>
      <w:r>
        <w:t xml:space="preserve">3.11 The mechanism applied to the propellant chain</w:t>
      </w:r>
    </w:p>
    <w:p>
      <w:pPr>
        <w:pStyle w:val="FirstParagraph"/>
        <w:spacing w:line="480" w:lineRule="auto"/>
      </w:pPr>
      <w:r>
        <w:t xml:space="preserve">One further application makes the theory concrete. The energy-return question breaks into a chain: make power, pull out material, work it into propellant, hold it cryogenically, move it, and coordinate all of this inside a monitored operating volume. Were the field arranging around the full chain, its written traces should mirror that breadth, with topic signal turning up not in extraction venues alone but across the surveillance, coordination, and design-decision literatures the chain touches</w:t>
      </w:r>
      <w:r>
        <w:t xml:space="preserve"> </w:t>
      </w:r>
      <w:hyperlink w:anchor="ref-1">
        <w:r>
          <w:rPr>
            <w:rStyle w:val="Hyperlink"/>
          </w:rPr>
          <w:t xml:space="preserve">[1]</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theory calls for exactly this cross-chain spread, and the call is testable. Should the topic signal gather narrowly in extraction chemistry alone, the reading would be that the field handles propellant as a processing problem and has yet to take in the full energy chain. Should the signal spread across the operational and coordination strata as well, the reading would be that the field grasps the chain’s breadth even short of folding it into one reckoning. The venue coefficient in the cross-sectional model is the direct test of this spread, since its size and sign report how the signal spreads across the ordered venue families, and a strong venue effect points to a topic genuinely spread across the chain’s strata rather than penned in one</w:t>
      </w:r>
      <w:r>
        <w:t xml:space="preserve"> </w:t>
      </w:r>
      <w:hyperlink w:anchor="ref-6">
        <w:r>
          <w:rPr>
            <w:rStyle w:val="Hyperlink"/>
          </w:rPr>
          <w:t xml:space="preserve">[6]</w:t>
        </w:r>
      </w:hyperlink>
      <w:r>
        <w:t xml:space="preserve"> </w:t>
      </w:r>
      <w:hyperlink w:anchor="ref-13">
        <w:r>
          <w:rPr>
            <w:rStyle w:val="Hyperlink"/>
          </w:rPr>
          <w:t xml:space="preserve">[13]</w:t>
        </w:r>
      </w:hyperlink>
      <w:r>
        <w:t xml:space="preserve">. The mechanism thus ties the abstract idea of written structure to the concrete anatomy of the lunar propellant problem, and it hands the estimator a specific quantity to gauge.</w:t>
      </w:r>
    </w:p>
    <w:bookmarkEnd w:id="92"/>
    <w:bookmarkEnd w:id="93"/>
    <w:bookmarkStart w:id="106" w:name="X940caaf6d3ac92c12a69529db0381ad3e868d7e"/>
    <w:p>
      <w:pPr>
        <w:pStyle w:val="Heading1"/>
        <w:spacing w:line="480" w:lineRule="auto"/>
      </w:pPr>
      <w:r>
        <w:t xml:space="preserve">Chapter 4. Methodology and Identification</w:t>
      </w:r>
    </w:p>
    <w:p>
      <w:pPr>
        <w:pStyle w:val="FirstParagraph"/>
        <w:spacing w:line="480" w:lineRule="auto"/>
      </w:pPr>
      <w:r>
        <w:t xml:space="preserve">Two estimators carry this dissertation, and each is picked to settle a different question about the written record. The first is an ordinary least squares regression asking whether the topic signal runs structured across recency, attention, and venue. The second is a log-log learning-curve model asking whether citation attention piles up along a measurable age curve. This chapter argues for both picks, walks through the standard-error treatment, and states in plain terms what the estimators can and cannot identify. The point is not statistical polish for its own sake but a see-through chain running from the retained records to numbers a committee can reproduce.</w:t>
      </w:r>
    </w:p>
    <w:bookmarkStart w:id="94" w:name="the-cross-sectional-estimator"/>
    <w:p>
      <w:pPr>
        <w:pStyle w:val="Heading2"/>
        <w:spacing w:line="480" w:lineRule="auto"/>
      </w:pPr>
      <w:r>
        <w:t xml:space="preserve">4.1 The cross-sectional estimator</w:t>
      </w:r>
    </w:p>
    <w:p>
      <w:pPr>
        <w:pStyle w:val="FirstParagraph"/>
        <w:spacing w:line="480" w:lineRule="auto"/>
      </w:pPr>
      <w:r>
        <w:t xml:space="preserve">Paper 1 gauges the composite topic-signal score as a linear function of three predictors. The specification is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Ordinary least squares is the fitting tool here for reasons that clear convenience. The outcome is a continuous count-derived score, the sample runs small at 30 records, and the aim is to read the sign, magnitude, and precision of each predictor rather than to build a prediction engine. OLS hands over interpretable coefficients whose units map cleanly onto the substantive questions, how far the signal shifts per unit of recency, per added citation, and per step up the venue-family ordinal. A fancier estimator would fog that mapping without buying identification the data cannot back.</w:t>
      </w:r>
    </w:p>
    <w:p>
      <w:pPr>
        <w:pStyle w:val="BodyText"/>
        <w:spacing w:line="480" w:lineRule="auto"/>
        <w:ind w:firstLine="720"/>
      </w:pPr>
      <w:r>
        <w:t xml:space="preserve">The three predictors get picked because the theory names them. Recency index catches whether the topic runs as a function of novelty, citation count catches community engagement, and venue score catches institutional placement on the ordinal running from AMOS proceedings through Acta Astronautica to space-economy sources. Together they let the model part three plausible organizing forces and report which ones actually structure the signal.</w:t>
      </w:r>
    </w:p>
    <w:bookmarkEnd w:id="94"/>
    <w:bookmarkStart w:id="95" w:name="Xd445c545d7ada541db2ce382f50d578a773bafa"/>
    <w:p>
      <w:pPr>
        <w:pStyle w:val="Heading2"/>
        <w:spacing w:line="480" w:lineRule="auto"/>
      </w:pPr>
      <w:r>
        <w:t xml:space="preserve">4.2 Robust standard errors and why they matter here</w:t>
      </w:r>
    </w:p>
    <w:p>
      <w:pPr>
        <w:pStyle w:val="FirstParagraph"/>
        <w:spacing w:line="480" w:lineRule="auto"/>
      </w:pPr>
      <w:r>
        <w:t xml:space="preserve">Both papers run robust HC1 standard errors, and the reason is concrete rather than reflexive. With a small, mixed corpus stretching across three venue families and a broad range of citation counts, the assumption of constant error variance looks implausible on its face. Records from the space-economy family, their topic-term density near zero, behave nothing like records from the Acta Astronautica family with rich keyword fields, and heteroskedasticity of that stripe swells the risk of understated standard errors under classical assumptions.</w:t>
      </w:r>
    </w:p>
    <w:p>
      <w:pPr>
        <w:pStyle w:val="BodyText"/>
        <w:spacing w:line="480" w:lineRule="auto"/>
        <w:ind w:firstLine="720"/>
      </w:pPr>
      <w:r>
        <w:t xml:space="preserve">The HC1 correction tunes the variance estimates to tolerate unequal error variance across records while leaving the coefficient estimates themselves untouched. The coefficients stay the OLS point estimates, and only their reported precision gets corrected. For a dissertation leaning on the precision of individual terms to part strong structure from weak, that correction is anything but cosmetic. It is what lets the manuscript hold that the citation and venue terms come precisely estimated while handling the recency term as marginal, a split that drives the substantive reading in Chapter 6.</w:t>
      </w:r>
    </w:p>
    <w:bookmarkEnd w:id="95"/>
    <w:bookmarkStart w:id="96" w:name="the-temporal-estimator"/>
    <w:p>
      <w:pPr>
        <w:pStyle w:val="Heading2"/>
        <w:spacing w:line="480" w:lineRule="auto"/>
      </w:pPr>
      <w:r>
        <w:t xml:space="preserve">4.3 The temporal estimator</w:t>
      </w:r>
    </w:p>
    <w:p>
      <w:pPr>
        <w:pStyle w:val="FirstParagraph"/>
        <w:spacing w:line="480" w:lineRule="auto"/>
      </w:pPr>
      <w:r>
        <w:t xml:space="preserve">Paper 2 gauges citation accumulation as a function of article age through a log-log learning-curve form:</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The learning-curve form comes on loan from production economics, where output sharpens predictably with piled-up experience and the log-log slope gives an elasticity. Here the analogy runs to attention rather than production: where the literature piles up citations predictably with age, the log-log slope gauges the elasticity of citation count with respect to age, and the progress ratio at doubled age sums how attention scales.</w:t>
      </w:r>
    </w:p>
    <w:p>
      <w:pPr>
        <w:pStyle w:val="BodyText"/>
        <w:spacing w:line="480" w:lineRule="auto"/>
        <w:ind w:firstLine="720"/>
      </w:pPr>
      <w:r>
        <w:t xml:space="preserve">Two construction rules hold the log transform defensible. Citation count gets bumped by one before logging, so that uncited records with zero citations do not slip out of the log-defined domain, and age index gets computed as 2026 minus publication year plus one, handing every record a positive age of at least one. These rules are no arbitrary smoothing. They are the least adjustments that let a log-log model take in the full 30-record sample rather than quietly shedding the many zero-citation records, a move that would tilt the estimate toward the cited subset.</w:t>
      </w:r>
    </w:p>
    <w:bookmarkEnd w:id="96"/>
    <w:bookmarkStart w:id="97" w:name="what-the-two-model-design-identifies"/>
    <w:p>
      <w:pPr>
        <w:pStyle w:val="Heading2"/>
        <w:spacing w:line="480" w:lineRule="auto"/>
      </w:pPr>
      <w:r>
        <w:t xml:space="preserve">4.4 What the two-model design identifies</w:t>
      </w:r>
    </w:p>
    <w:p>
      <w:pPr>
        <w:pStyle w:val="FirstParagraph"/>
        <w:spacing w:line="480" w:lineRule="auto"/>
      </w:pPr>
      <w:r>
        <w:t xml:space="preserve">The pairing of models is the identification strategy, not a byproduct of having two papers to place. A single cross-sectional model cannot part citation attention from age, since in any snapshot older papers have had longer to pile up citations. Paper 1 addresses this in part by conditioning on recency while gauging the attention effect, and Paper 2 addresses it head on by making age the sole predictor of accumulation. If Paper 1 turns up a strong attention effect and Paper 2 turns up a flat age effect, the combination pins attention as topically driven rather than mechanically piled up with time, and that inference would be off the table from either model alone</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design also pins the venue structure cleanly. Because venue score enters Paper 1 alongside recency and attention, its coefficient reports the venue-family tie net of those two forces, so a large venue coefficient that outlasts conditioning is evidence that institutional placement arranges the signal on its own rather than serving as a stand-in for older or more-cited work</w:t>
      </w:r>
      <w:r>
        <w:t xml:space="preserve"> </w:t>
      </w:r>
      <w:hyperlink w:anchor="ref-6">
        <w:r>
          <w:rPr>
            <w:rStyle w:val="Hyperlink"/>
          </w:rPr>
          <w:t xml:space="preserve">[6]</w:t>
        </w:r>
      </w:hyperlink>
      <w:r>
        <w:t xml:space="preserve">.</w:t>
      </w:r>
    </w:p>
    <w:bookmarkEnd w:id="97"/>
    <w:bookmarkStart w:id="98" w:name="what-the-estimators-cannot-identify"/>
    <w:p>
      <w:pPr>
        <w:pStyle w:val="Heading2"/>
        <w:spacing w:line="480" w:lineRule="auto"/>
      </w:pPr>
      <w:r>
        <w:t xml:space="preserve">4.5 What the estimators cannot identify</w:t>
      </w:r>
    </w:p>
    <w:p>
      <w:pPr>
        <w:pStyle w:val="FirstParagraph"/>
        <w:spacing w:line="480" w:lineRule="auto"/>
      </w:pPr>
      <w:r>
        <w:t xml:space="preserve">Candor about the limits of identification sits at the center of the dissertation’s posture, and three things these models cannot do merit stating up front.</w:t>
      </w:r>
    </w:p>
    <w:p>
      <w:pPr>
        <w:pStyle w:val="BodyText"/>
        <w:spacing w:line="480" w:lineRule="auto"/>
        <w:ind w:firstLine="720"/>
      </w:pPr>
      <w:r>
        <w:t xml:space="preserve">They cannot pin physical energy return. The outcome is a written signal score, not joules delivered per joule spent, and no coefficient in either model speaks to whether a lunar propellant plant would run energetically favorable</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The models pin the arrangement of the literature about the question, never the answer to the question.</w:t>
      </w:r>
    </w:p>
    <w:p>
      <w:pPr>
        <w:pStyle w:val="BodyText"/>
        <w:spacing w:line="480" w:lineRule="auto"/>
        <w:ind w:firstLine="720"/>
      </w:pPr>
      <w:r>
        <w:t xml:space="preserve">They cannot pin causation. With 30 observational records and no exogenous variation, the coefficients describe association inside the retrieved corpus, so a precise, signed coefficient points to structure without licensing a claim that recency, attention, or venue causes the topic signal. The dissertation reads every estimate as corpus-screen evidence, the firmest reading the design backs.</w:t>
      </w:r>
    </w:p>
    <w:p>
      <w:pPr>
        <w:pStyle w:val="BodyText"/>
        <w:spacing w:line="480" w:lineRule="auto"/>
        <w:ind w:firstLine="720"/>
      </w:pPr>
      <w:r>
        <w:t xml:space="preserve">They cannot generalize past the retrieved corpus. The sample is the candidate-specific corpus, assembled to stand for the topic rather than drawn at random from all lunar ISRU literature, so the estimates characterize this corpus, and stretching them to the universe of relevant work would want a sampling frame the design lays no claim to.</w:t>
      </w:r>
    </w:p>
    <w:bookmarkEnd w:id="98"/>
    <w:bookmarkStart w:id="99" w:name="X9b8c5f9b189975acf3f102d59962be7442dcfae"/>
    <w:p>
      <w:pPr>
        <w:pStyle w:val="Heading2"/>
        <w:spacing w:line="480" w:lineRule="auto"/>
      </w:pPr>
      <w:r>
        <w:t xml:space="preserve">4.6 Reproducibility as a methodological commitment</w:t>
      </w:r>
    </w:p>
    <w:p>
      <w:pPr>
        <w:pStyle w:val="FirstParagraph"/>
        <w:spacing w:line="480" w:lineRule="auto"/>
      </w:pPr>
      <w:r>
        <w:t xml:space="preserve">Every methodological pick serves one overriding aim, that a committee should be able to rerun the analysis and land the same numbers. The estimators are standard, the standard-error treatment is named, and the variable transforms are documented. Each data row keeps a source column so that any coefficient can be walked back to the records that throw it, and the workbooks run deterministic, which means the reported fit statistics and term estimates are not drawn from a stochastic procedure but computed exactly off the retained data.</w:t>
      </w:r>
    </w:p>
    <w:p>
      <w:pPr>
        <w:pStyle w:val="BodyText"/>
        <w:spacing w:line="480" w:lineRule="auto"/>
        <w:ind w:firstLine="720"/>
      </w:pPr>
      <w:r>
        <w:t xml:space="preserve">That determinism is what makes the exact numbers in Chapter 6 defensible to report to the last significant digit. When the manuscript states that Paper 1 turns up an R-squared of 0.7233 and a citation coefficient of 0.0960, those are not approximations but the workbook output, reproducible by anyone holding the data file and the specification</w:t>
      </w:r>
      <w:r>
        <w:t xml:space="preserve"> </w:t>
      </w:r>
      <w:hyperlink w:anchor="ref-1">
        <w:r>
          <w:rPr>
            <w:rStyle w:val="Hyperlink"/>
          </w:rPr>
          <w:t xml:space="preserve">[1]</w:t>
        </w:r>
      </w:hyperlink>
      <w:r>
        <w:t xml:space="preserve"> </w:t>
      </w:r>
      <w:hyperlink w:anchor="ref-2">
        <w:r>
          <w:rPr>
            <w:rStyle w:val="Hyperlink"/>
          </w:rPr>
          <w:t xml:space="preserve">[2]</w:t>
        </w:r>
      </w:hyperlink>
      <w:r>
        <w:t xml:space="preserve">. A dissertation built on a metadata screen earns its authority exactly by making that chain inspectable, and the methodology chapter exists to show the chain holds from raw record to reported estimate.</w:t>
      </w:r>
    </w:p>
    <w:bookmarkEnd w:id="99"/>
    <w:bookmarkStart w:id="100" w:name="reading-the-fit-statistics-correctly"/>
    <w:p>
      <w:pPr>
        <w:pStyle w:val="Heading2"/>
        <w:spacing w:line="480" w:lineRule="auto"/>
      </w:pPr>
      <w:r>
        <w:t xml:space="preserve">4.7 Reading the fit statistics correctly</w:t>
      </w:r>
    </w:p>
    <w:p>
      <w:pPr>
        <w:pStyle w:val="FirstParagraph"/>
        <w:spacing w:line="480" w:lineRule="auto"/>
      </w:pPr>
      <w:r>
        <w:t xml:space="preserve">The two models report their overall fit through different statistics, and reading them correctly is a piece of the methodology rather than a mechanical afterthought. Paper 1’s R-squared gauges the share of variation in the topic-signal score the three predictors jointly explain, while its F statistic and F p-value test whether that joint explanation clears what chance would throw. A high R-squared with a decisive F p-value, which is what Paper 1 turns up, licenses the claim that the corpus runs structured, and it does not license a claim about the size of any individual effect, since that reading comes only from the term coefficients and their p-values, which is why the results chapter reports both layers apart.</w:t>
      </w:r>
    </w:p>
    <w:p>
      <w:pPr>
        <w:pStyle w:val="BodyText"/>
        <w:spacing w:line="480" w:lineRule="auto"/>
        <w:ind w:firstLine="720"/>
      </w:pPr>
      <w:r>
        <w:t xml:space="preserve">Paper 2’s fit statistics run the other way and have to be read for what they miss. A near-zero R-squared in a learning-curve model is no defect in estimation but the substantive result: age explains close to none of the variation in citation accumulation. The elasticity and the progress ratio sum the same non-finding from the slope’s angle, since an elasticity near zero and a progress ratio near one both say that doubling a record’s age barely nudges its expected citation count. The methodology holds that a null result reported in good faith is as much a finding as a strong coefficient, and Paper 2’s flat curve is exactly such a finding</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w:t>
      </w:r>
    </w:p>
    <w:bookmarkEnd w:id="100"/>
    <w:bookmarkStart w:id="101" w:name="X7bc9ae37c8b88eb22cfd49c1827850232742acd"/>
    <w:p>
      <w:pPr>
        <w:pStyle w:val="Heading2"/>
        <w:spacing w:line="480" w:lineRule="auto"/>
      </w:pPr>
      <w:r>
        <w:t xml:space="preserve">4.8 Alternative specifications and why they were not chosen</w:t>
      </w:r>
    </w:p>
    <w:p>
      <w:pPr>
        <w:pStyle w:val="FirstParagraph"/>
        <w:spacing w:line="480" w:lineRule="auto"/>
      </w:pPr>
      <w:r>
        <w:t xml:space="preserve">Arguing for a specification means naming the alternatives and spelling out their rejection. A logistic or count model, Poisson or negative binomial say, might read as the natural pick for a count-derived outcome, and the dissertation holds to OLS on the signal score because the score is a bounded composite rather than a raw event count, because the aim is interpretable linear effects rather than a rate model, and because the small sample would strain the distributional assumptions of a count estimator without buying clearer inference. OLS with robust standard errors is the conservative, see-through pick for a 30-record screen</w:t>
      </w:r>
      <w:r>
        <w:t xml:space="preserve"> </w:t>
      </w:r>
      <w:hyperlink w:anchor="ref-7">
        <w:r>
          <w:rPr>
            <w:rStyle w:val="Hyperlink"/>
          </w:rPr>
          <w:t xml:space="preserve">[7]</w:t>
        </w:r>
      </w:hyperlink>
      <w:r>
        <w:t xml:space="preserve">.</w:t>
      </w:r>
    </w:p>
    <w:p>
      <w:pPr>
        <w:pStyle w:val="BodyText"/>
        <w:spacing w:line="480" w:lineRule="auto"/>
        <w:ind w:firstLine="720"/>
      </w:pPr>
      <w:r>
        <w:t xml:space="preserve">For the temporal question, a raw linear regression of citations on age got set aside for the log-log form because citation distributions run heavily right-skewed, a few records carrying dozens of citations and many carrying none. Logging both sides tames that skew and yields an elasticity comparable across scales, the natural quantity for a learning-curve reading, and the plus-one bump on citations is the least device that keeps zero-citation records in the log domain rather than shedding them, since shedding them would have tilted the estimate toward the cited journal subset</w:t>
      </w:r>
      <w:r>
        <w:t xml:space="preserve"> </w:t>
      </w:r>
      <w:hyperlink w:anchor="ref-10">
        <w:r>
          <w:rPr>
            <w:rStyle w:val="Hyperlink"/>
          </w:rPr>
          <w:t xml:space="preserve">[10]</w:t>
        </w:r>
      </w:hyperlink>
      <w:r>
        <w:t xml:space="preserve">. Each rejected alternative got set aside for a stated reason tied to the shape of the data rather than out of taste, and that reasoning is itself a piece of the auditable chain the methodology promises.</w:t>
      </w:r>
    </w:p>
    <w:bookmarkEnd w:id="101"/>
    <w:bookmarkStart w:id="102" w:name="the-identification-logic-stated-plainly"/>
    <w:p>
      <w:pPr>
        <w:pStyle w:val="Heading2"/>
        <w:spacing w:line="480" w:lineRule="auto"/>
      </w:pPr>
      <w:r>
        <w:t xml:space="preserve">4.9 The identification logic stated plainly</w:t>
      </w:r>
    </w:p>
    <w:p>
      <w:pPr>
        <w:pStyle w:val="FirstParagraph"/>
        <w:spacing w:line="480" w:lineRule="auto"/>
      </w:pPr>
      <w:r>
        <w:t xml:space="preserve">It helps to state, stripped of technical apparatus, exactly what each model is entitled to conclude. Paper 1 is entitled to conclude that the topic signal runs or does not run structured by the three predictors inside the retrieved corpus, so when it turns up a strong joint fit and precise individual terms, the warranted conclusion is that recency, attention, and venue jointly arrange the signal, with attention and venue doing so at high precision net of one another. The model is not entitled to conclude that these variables cause the signal, nor that the tie would grip a different corpus, since its identification is associational and corpus-bound, and the methodology states that fence rather than letting the reader assume more</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Paper 2 is entitled to conclude that citation accumulation does or does not track an age-based curve inside the corpus, so when it turns up a flat slope and a near-zero fit, the warranted conclusion is that age does not arrange accumulation in this record. The model is not entitled to conclude that age never matters for citation accumulation at large, only that it does not matter measurably here, which makes this a null result with a precise scope, and a precise null is a genuine finding rather than a failure to find one</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two entitlements fold into the dissertation’s core identification claim. Because Paper 1 conditions on recency while gauging attention, and Paper 2 tests age straight on and finds it flat, the pair pins the attention structure in Paper 1 as topically driven rather than a mechanical byproduct of older works piling up citations over time. That combined inference is the firmest thing the design backs, and it is available only from the two models together. Stating it plainly, stripped of hedging or inflation, is what the identification section owes the committee.</w:t>
      </w:r>
    </w:p>
    <w:bookmarkEnd w:id="102"/>
    <w:bookmarkStart w:id="103" w:name="diagnostics-and-the-small-sample-posture"/>
    <w:p>
      <w:pPr>
        <w:pStyle w:val="Heading2"/>
        <w:spacing w:line="480" w:lineRule="auto"/>
      </w:pPr>
      <w:r>
        <w:t xml:space="preserve">4.10 Diagnostics and the small-sample posture</w:t>
      </w:r>
    </w:p>
    <w:p>
      <w:pPr>
        <w:pStyle w:val="FirstParagraph"/>
        <w:spacing w:line="480" w:lineRule="auto"/>
      </w:pPr>
      <w:r>
        <w:t xml:space="preserve">A 30-record sample calls for a specific posture toward diagnostics. Conventional residual diagnostics, influence measures, and specification tests all shed power at this sample size, so the methodology declines to lean on them to certify the models and leans instead on transparency and robustness. The robust HC1 standard errors guard against the likeliest violation, heteroskedasticity across the mixed venue families, and the deterministic construction means there is no sampling variability to diagnose inside the workbook itself, since the numbers are exact functions of the retained data.</w:t>
      </w:r>
    </w:p>
    <w:p>
      <w:pPr>
        <w:pStyle w:val="BodyText"/>
        <w:spacing w:line="480" w:lineRule="auto"/>
        <w:ind w:firstLine="720"/>
      </w:pPr>
      <w:r>
        <w:t xml:space="preserve">The small sample also disciplines how far the individual coefficients should be trusted. A precisely estimated term, the citation and venue terms in Paper 1 say, mirrors a genuinely strong tie, since landing precision with only 30 records demands a large and consistent effect. A marginal term, recency say, mirrors a tie the small sample cannot settle, and the methodology handles it as ambiguous rather than forcing a verdict. This posture, trusting strong terms, doubting marginal ones, and declining to over-diagnose a small deterministic workbook, is the honest methodological stance for a design-stage screen. It neither overstates the models’ reach nor abandons the real structure they catch, and it hands the results chapter a clear rule for reading each coefficient by its precision</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03"/>
    <w:bookmarkStart w:id="104" w:name="X890808ddd61f9a210bde9f49ab49f919ae5d2a7"/>
    <w:p>
      <w:pPr>
        <w:pStyle w:val="Heading2"/>
        <w:spacing w:line="480" w:lineRule="auto"/>
      </w:pPr>
      <w:r>
        <w:t xml:space="preserve">4.11 The progress ratio and its interpretation</w:t>
      </w:r>
    </w:p>
    <w:p>
      <w:pPr>
        <w:pStyle w:val="FirstParagraph"/>
        <w:spacing w:line="480" w:lineRule="auto"/>
      </w:pPr>
      <w:r>
        <w:t xml:space="preserve">Paper 2 reports a progress ratio at doubled age, a quantity that merits its own gloss because it is the least familiar of the reported statistics. In production learning curves, the progress ratio captures how a quantity shifts when the driving variable doubles, so a progress ratio of 0.8 in a manufacturing cost curve means cost drops to eighty percent of its prior value each time cumulative output doubles, a strong learning effect. Turned onto citation accumulation against age, the progress ratio captures how expected citations shift when a record’s age doubles.</w:t>
      </w:r>
    </w:p>
    <w:p>
      <w:pPr>
        <w:pStyle w:val="BodyText"/>
        <w:spacing w:line="480" w:lineRule="auto"/>
        <w:ind w:firstLine="720"/>
      </w:pPr>
      <w:r>
        <w:t xml:space="preserve">The interpretive anchor is the value one. A progress ratio of exactly one means doubling age does nothing to expected citations, the signature of no age effect at all, while a ratio over one means older records pile up more citations in a compounding way and a ratio under one means the reverse. Reading Paper 2’s reported ratio against that anchor is what lets the results chapter state cleanly whether the learning curve runs flat, rising, or falling. Because the ratio comes straight off the log-age elasticity, it and the elasticity tell the same tale from two angles, and reporting both hands the reader two complementary grips on the same underlying slope</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w:t>
      </w:r>
    </w:p>
    <w:bookmarkEnd w:id="104"/>
    <w:bookmarkStart w:id="105" w:name="robustness-of-the-reporting-standard"/>
    <w:p>
      <w:pPr>
        <w:pStyle w:val="Heading2"/>
        <w:spacing w:line="480" w:lineRule="auto"/>
      </w:pPr>
      <w:r>
        <w:t xml:space="preserve">4.12 Robustness of the reporting standard</w:t>
      </w:r>
    </w:p>
    <w:p>
      <w:pPr>
        <w:pStyle w:val="FirstParagraph"/>
        <w:spacing w:line="480" w:lineRule="auto"/>
      </w:pPr>
      <w:r>
        <w:t xml:space="preserve">A methodology chapter should argue not only for the estimators but for the standard by which their output gets reported, because a metadata screen lives or dies on the credibility of its numbers. The reporting standard here is exactness. Fit statistics and term estimates get reported as the deterministic workbook threw them, with no rounding that could fog the difference between a marginal and a decisive result, so when a p-value is 0.0559, the manuscript reports 0.0559 rather than rounding to 0.06 or claiming significance, because the split between just-inside and just-outside conventional thresholds runs substantively load-bearing for the recency term</w:t>
      </w:r>
      <w:r>
        <w:t xml:space="preserve"> </w:t>
      </w:r>
      <w:hyperlink w:anchor="ref-2">
        <w:r>
          <w:rPr>
            <w:rStyle w:val="Hyperlink"/>
          </w:rPr>
          <w:t xml:space="preserve">[2]</w:t>
        </w:r>
      </w:hyperlink>
      <w:r>
        <w:t xml:space="preserve">.</w:t>
      </w:r>
    </w:p>
    <w:p>
      <w:pPr>
        <w:pStyle w:val="BodyText"/>
        <w:spacing w:line="480" w:lineRule="auto"/>
        <w:ind w:firstLine="720"/>
      </w:pPr>
      <w:r>
        <w:t xml:space="preserve">This exactness serves reproducibility head on. A committee member who reruns the workbook should match the reported numbers to the last digit, and any divergence would flag an error in the chain, whereas rounding would break that check by working slack between what the manuscript claims and what the workbook computes. The standard also serves candor. Reporting a p-value of 0.9071 for the log-age term, rather than summing it vaguely as insignificant, forces the manuscript to face just how wholly age fails to explain accumulation. Exact reporting strips the author’s leeway to soften an inconvenient number, and that stripping is itself a methodological safeguard. The estimators pin structure in the corpus, and the reporting standard makes sure what they pin reaches the reader undistorted, the final link in the auditable chain from record to conclusion</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End w:id="105"/>
    <w:bookmarkEnd w:id="106"/>
    <w:bookmarkStart w:id="119" w:name="chapter-5.-data-and-measurement"/>
    <w:p>
      <w:pPr>
        <w:pStyle w:val="Heading1"/>
        <w:spacing w:line="480" w:lineRule="auto"/>
      </w:pPr>
      <w:r>
        <w:t xml:space="preserve">Chapter 5. Data and Measurement</w:t>
      </w:r>
    </w:p>
    <w:p>
      <w:pPr>
        <w:pStyle w:val="FirstParagraph"/>
        <w:spacing w:line="480" w:lineRule="auto"/>
      </w:pPr>
      <w:r>
        <w:t xml:space="preserve">The evidence base of this dissertation is a candidate-specific corpus of 30 retrieved records, worked into a deterministic feature table both empirical papers gauge. This chapter sets down that dataset in full: where the records originate, how each variable gets built, what the sample looks like across venue families and years, and where the measurement picks let noise in. The commitment throughout is auditability. Every row bears a source identifier and every variable tracks a stated rule, so that the numbers in Chapter 6 walk back to records a reader can locate.</w:t>
      </w:r>
    </w:p>
    <w:bookmarkStart w:id="107" w:name="the-sample"/>
    <w:p>
      <w:pPr>
        <w:pStyle w:val="Heading2"/>
        <w:spacing w:line="480" w:lineRule="auto"/>
      </w:pPr>
      <w:r>
        <w:t xml:space="preserve">5.1 The sample</w:t>
      </w:r>
    </w:p>
    <w:p>
      <w:pPr>
        <w:pStyle w:val="FirstParagraph"/>
        <w:spacing w:line="480" w:lineRule="auto"/>
      </w:pPr>
      <w:r>
        <w:t xml:space="preserve">The sample runs small by any yardstick. The estimation file holds 30 records spanning publication years from 2009 to 2026. They fall into three venue families. Twelve come from AMOS conference proceedings and MITRE-indexed technical sources, coded venue score 1. Twelve come from Acta Astronautica journal articles, coded venue score 2. Six come from space-economy sources, coded venue score 3. That spread is off balance, and the imbalance itself carries information, since the topic’s technical and journal literature outweighs its explicit economic literature four to one, which forecasts where the topic signal gathers.</w:t>
      </w:r>
    </w:p>
    <w:p>
      <w:pPr>
        <w:pStyle w:val="BodyText"/>
        <w:spacing w:line="480" w:lineRule="auto"/>
        <w:ind w:firstLine="720"/>
      </w:pPr>
      <w:r>
        <w:t xml:space="preserve">The records are no random sample of lunar ISRU literature. They are the assembled corpus the candidate retrieved to stand for the topic across its technical, surveillance, and economic dimensions, and the included works run from lunar oxygen extraction reviews and hybrid ISRU plant analyses</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w:t>
      </w:r>
      <w:r>
        <w:t xml:space="preserve">to cislunar surveillance and detection studies</w:t>
      </w:r>
      <w:r>
        <w:t xml:space="preserve"> </w:t>
      </w:r>
      <w:hyperlink w:anchor="ref-3">
        <w:r>
          <w:rPr>
            <w:rStyle w:val="Hyperlink"/>
          </w:rPr>
          <w:t xml:space="preserve">[3]</w:t>
        </w:r>
      </w:hyperlink>
      <w:r>
        <w:t xml:space="preserve"> </w:t>
      </w:r>
      <w:hyperlink w:anchor="ref-5">
        <w:r>
          <w:rPr>
            <w:rStyle w:val="Hyperlink"/>
          </w:rPr>
          <w:t xml:space="preserve">[5]</w:t>
        </w:r>
      </w:hyperlink>
      <w:r>
        <w:t xml:space="preserve"> </w:t>
      </w:r>
      <w:hyperlink w:anchor="ref-8">
        <w:r>
          <w:rPr>
            <w:rStyle w:val="Hyperlink"/>
          </w:rPr>
          <w:t xml:space="preserve">[8]</w:t>
        </w:r>
      </w:hyperlink>
      <w:r>
        <w:t xml:space="preserve"> </w:t>
      </w:r>
      <w:r>
        <w:t xml:space="preserve">to trusted-coordination and space-economy framing</w:t>
      </w:r>
      <w:r>
        <w:t xml:space="preserve"> </w:t>
      </w:r>
      <w:hyperlink w:anchor="ref-1">
        <w:r>
          <w:rPr>
            <w:rStyle w:val="Hyperlink"/>
          </w:rPr>
          <w:t xml:space="preserve">[1]</w:t>
        </w:r>
      </w:hyperlink>
      <w:r>
        <w:t xml:space="preserve">. That deliberate breadth is what lets the venue-score variable carry meaning, since the corpus genuinely stretches across the strata the theory names.</w:t>
      </w:r>
    </w:p>
    <w:bookmarkEnd w:id="107"/>
    <w:bookmarkStart w:id="108" w:name="the-outcome-variable-signal-score"/>
    <w:p>
      <w:pPr>
        <w:pStyle w:val="Heading2"/>
        <w:spacing w:line="480" w:lineRule="auto"/>
      </w:pPr>
      <w:r>
        <w:t xml:space="preserve">5.2 The outcome variable: signal score</w:t>
      </w:r>
    </w:p>
    <w:p>
      <w:pPr>
        <w:pStyle w:val="FirstParagraph"/>
        <w:spacing w:line="480" w:lineRule="auto"/>
      </w:pPr>
      <w:r>
        <w:t xml:space="preserve">Take the outcome first. The dependent variable in Paper 1 is a composite topic-signal score, a deterministic count assembled from candidate-theme term hits across four fields of each source record: the title, the snippet, the keyword field, and the author metadata. A record that names the candidate theme in its title, bears topic keywords, and comes from a topically relevant author racks up a higher score, while a record whose fields barely graze the theme scores low.</w:t>
      </w:r>
    </w:p>
    <w:p>
      <w:pPr>
        <w:pStyle w:val="BodyText"/>
        <w:spacing w:line="480" w:lineRule="auto"/>
        <w:ind w:firstLine="720"/>
      </w:pPr>
      <w:r>
        <w:t xml:space="preserve">The scores in the sample run a wide range. The highest is 13, for a heavily keyworded Acta Astronautica record, and several records score 11, gathering among the technical AMOS and Acta sources. The space-economy sources, their snippet and keyword fields near-empty in the retrieved index, score at the floor of 1, bar a single exception at 4 for the MITRE white paper whose long descriptive text bears a theme hit. This spread matters, since the outcome is not constant; it swings enough across records to let the estimator catch structure if structure is there.</w:t>
      </w:r>
    </w:p>
    <w:p>
      <w:pPr>
        <w:pStyle w:val="BodyText"/>
        <w:spacing w:line="480" w:lineRule="auto"/>
        <w:ind w:firstLine="720"/>
      </w:pPr>
      <w:r>
        <w:t xml:space="preserve">The construction rule runs deliberately mechanical. Signal score counts term hits rather than judging relevance by hand, which holds the measure reproducible, and the cost is that a record can score low simply because its indexed metadata runs thin, even where the underlying work sits topically central. That measurement limit is real, and Chapter 7 circles back to it.</w:t>
      </w:r>
    </w:p>
    <w:bookmarkEnd w:id="108"/>
    <w:bookmarkStart w:id="109" w:name="the-predictors"/>
    <w:p>
      <w:pPr>
        <w:pStyle w:val="Heading2"/>
        <w:spacing w:line="480" w:lineRule="auto"/>
      </w:pPr>
      <w:r>
        <w:t xml:space="preserve">5.3 The predictors</w:t>
      </w:r>
    </w:p>
    <w:p>
      <w:pPr>
        <w:pStyle w:val="FirstParagraph"/>
        <w:spacing w:line="480" w:lineRule="auto"/>
      </w:pPr>
      <w:r>
        <w:t xml:space="preserve">Recency index encodes publication timing, computed as the publication year minus the minimum publication year in the sample plus one. With the earliest record from 2009, the 2009 laser-ranging retroreflector paper scores 1</w:t>
      </w:r>
      <w:r>
        <w:t xml:space="preserve"> </w:t>
      </w:r>
      <w:hyperlink w:anchor="ref-2">
        <w:r>
          <w:rPr>
            <w:rStyle w:val="Hyperlink"/>
          </w:rPr>
          <w:t xml:space="preserve">[2]</w:t>
        </w:r>
      </w:hyperlink>
      <w:r>
        <w:t xml:space="preserve"> </w:t>
      </w:r>
      <w:r>
        <w:t xml:space="preserve">while the 2026 lunar ISRU user study scores 18</w:t>
      </w:r>
      <w:r>
        <w:t xml:space="preserve"> </w:t>
      </w:r>
      <w:hyperlink w:anchor="ref-9">
        <w:r>
          <w:rPr>
            <w:rStyle w:val="Hyperlink"/>
          </w:rPr>
          <w:t xml:space="preserve">[9]</w:t>
        </w:r>
      </w:hyperlink>
      <w:r>
        <w:t xml:space="preserve">. The transform hands every record a positive recency value and holds the ordering of years without laying down a raw calendar scale, and higher values mean more recent work.</w:t>
      </w:r>
    </w:p>
    <w:p>
      <w:pPr>
        <w:pStyle w:val="BodyText"/>
        <w:spacing w:line="480" w:lineRule="auto"/>
        <w:ind w:firstLine="720"/>
      </w:pPr>
      <w:r>
        <w:t xml:space="preserve">Citation count is the reported citation figure pulled from the local brain index, set to zero where the index reported no count. The variable runs bounded and uneven. Twelve records, all from the AMOS and technical family, bear a citation count of zero, mirroring that the local index did not report counts for those proceedings, while among the Acta Astronautica records the counts run from 0 to 81, with the 2020 record on top</w:t>
      </w:r>
      <w:r>
        <w:t xml:space="preserve"> </w:t>
      </w:r>
      <w:hyperlink w:anchor="ref-10">
        <w:r>
          <w:rPr>
            <w:rStyle w:val="Hyperlink"/>
          </w:rPr>
          <w:t xml:space="preserve">[10]</w:t>
        </w:r>
      </w:hyperlink>
      <w:r>
        <w:t xml:space="preserve">. This gathering of nonzero counts in one venue family is a structural feature of the data both papers have to handle, and it is just why Paper 1 conditions on venue while gauging the attention effect.</w:t>
      </w:r>
    </w:p>
    <w:p>
      <w:pPr>
        <w:pStyle w:val="BodyText"/>
        <w:spacing w:line="480" w:lineRule="auto"/>
        <w:ind w:firstLine="720"/>
      </w:pPr>
      <w:r>
        <w:t xml:space="preserve">Venue score is the ordinal venue-family code, AMOS at 1, Acta Astronautica at 2, space economy at 3. The ordinal is a coding convenience rather than a claim that space-economy sources run three times some AMOS quantity, and it orders the families along the operational-to-institutional spectrum the theory sketches. Chapter 7 flags the hazard of over-reading an ordinal as though it were cardinal.</w:t>
      </w:r>
    </w:p>
    <w:bookmarkEnd w:id="109"/>
    <w:bookmarkStart w:id="110" w:name="variables-specific-to-the-temporal-model"/>
    <w:p>
      <w:pPr>
        <w:pStyle w:val="Heading2"/>
        <w:spacing w:line="480" w:lineRule="auto"/>
      </w:pPr>
      <w:r>
        <w:t xml:space="preserve">5.4 Variables specific to the temporal model</w:t>
      </w:r>
    </w:p>
    <w:p>
      <w:pPr>
        <w:pStyle w:val="FirstParagraph"/>
        <w:spacing w:line="480" w:lineRule="auto"/>
      </w:pPr>
      <w:r>
        <w:t xml:space="preserve">Paper 2 brings in two derived variables. Age index is computed as 2026 minus the publication year plus one, so the 2026 records score 1 and the 2009 record scores 18. This mirrors recency, oriented so that older works bear larger age values, the natural orientation for a learning-curve model of accumulation over elapsed time.</w:t>
      </w:r>
    </w:p>
    <w:p>
      <w:pPr>
        <w:pStyle w:val="BodyText"/>
        <w:spacing w:line="480" w:lineRule="auto"/>
        <w:ind w:firstLine="720"/>
      </w:pPr>
      <w:r>
        <w:t xml:space="preserve">Citation count plus one is the citation figure bumped by one. The bump exists so the log transform in the learning-curve model stays defined for the many zero-citation records, since without it twelve records would drop from the log-log estimation, tilting the sample toward the cited Acta Astronautica subset. With it, the full 30-record sample enters the model, and the zero-citation records land at log-of-one, or zero on the log scale, which holds them as low-attention observations rather than shedding them.</w:t>
      </w:r>
    </w:p>
    <w:bookmarkEnd w:id="110"/>
    <w:bookmarkStart w:id="111" w:name="the-shape-of-the-data"/>
    <w:p>
      <w:pPr>
        <w:pStyle w:val="Heading2"/>
        <w:spacing w:line="480" w:lineRule="auto"/>
      </w:pPr>
      <w:r>
        <w:t xml:space="preserve">5.5 The shape of the data</w:t>
      </w:r>
    </w:p>
    <w:p>
      <w:pPr>
        <w:pStyle w:val="FirstParagraph"/>
        <w:spacing w:line="480" w:lineRule="auto"/>
      </w:pPr>
      <w:r>
        <w:t xml:space="preserve">A few patterns in the assembled table merit naming because they forecast the results. Citation attention is not spread evenly; it lives almost wholly in the Acta Astronautica family while the AMOS and space-economy families sit near zero. Topic signal runs high across the technical AMOS and Acta records and drops to the floor among the space-economy sources. Recency runs broad, records bunched heavily in 2020 through 2025 and a few older anchors reaching to 2009 and 2019</w:t>
      </w:r>
      <w:r>
        <w:t xml:space="preserve"> </w:t>
      </w:r>
      <w:hyperlink w:anchor="ref-2">
        <w:r>
          <w:rPr>
            <w:rStyle w:val="Hyperlink"/>
          </w:rPr>
          <w:t xml:space="preserve">[2]</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These patterns mean the three predictors are not independent of one another in the raw data. Venue family correlates with citation attention, since the cited records are journal records, and that correlation is just why the multivariate specification matters: it lets each coefficient report its tie net of the others, so the venue effect is not simply a citation effect under a different label</w:t>
      </w:r>
      <w:r>
        <w:t xml:space="preserve"> </w:t>
      </w:r>
      <w:hyperlink w:anchor="ref-6">
        <w:r>
          <w:rPr>
            <w:rStyle w:val="Hyperlink"/>
          </w:rPr>
          <w:t xml:space="preserve">[6]</w:t>
        </w:r>
      </w:hyperlink>
      <w:r>
        <w:t xml:space="preserve">.</w:t>
      </w:r>
    </w:p>
    <w:bookmarkEnd w:id="111"/>
    <w:bookmarkStart w:id="112" w:name="provenance-and-auditability"/>
    <w:p>
      <w:pPr>
        <w:pStyle w:val="Heading2"/>
        <w:spacing w:line="480" w:lineRule="auto"/>
      </w:pPr>
      <w:r>
        <w:t xml:space="preserve">5.6 Provenance and auditability</w:t>
      </w:r>
    </w:p>
    <w:p>
      <w:pPr>
        <w:pStyle w:val="FirstParagraph"/>
        <w:spacing w:line="480" w:lineRule="auto"/>
      </w:pPr>
      <w:r>
        <w:t xml:space="preserve">Every record in the estimation file keeps a source column. For the journal records this is a DOI, the hybrid ISRU plant analysis at 10.1016/j.actaastro.2025.02.004</w:t>
      </w:r>
      <w:r>
        <w:t xml:space="preserve"> </w:t>
      </w:r>
      <w:hyperlink w:anchor="ref-10">
        <w:r>
          <w:rPr>
            <w:rStyle w:val="Hyperlink"/>
          </w:rPr>
          <w:t xml:space="preserve">[10]</w:t>
        </w:r>
      </w:hyperlink>
      <w:r>
        <w:t xml:space="preserve"> </w:t>
      </w:r>
      <w:r>
        <w:t xml:space="preserve">or the oxygen-extraction review at 10.1016/j.actaastro.2025.05.008</w:t>
      </w:r>
      <w:r>
        <w:t xml:space="preserve"> </w:t>
      </w:r>
      <w:hyperlink w:anchor="ref-13">
        <w:r>
          <w:rPr>
            <w:rStyle w:val="Hyperlink"/>
          </w:rPr>
          <w:t xml:space="preserve">[13]</w:t>
        </w:r>
      </w:hyperlink>
      <w:r>
        <w:t xml:space="preserve"> </w:t>
      </w:r>
      <w:r>
        <w:t xml:space="preserve">say; for the AMOS records it is a proceedings URL or a MITRE document identifier; and for the space-economy sources it is a descriptive title or, in one case, the full text of a white-paper argument. This source column is the backbone of the dissertation’s auditability, since any coefficient can be walked to the specific rows that throw it, and any reader can pull an individual record and check that its signal score, citation count, and venue coding track the stated rules.</w:t>
      </w:r>
    </w:p>
    <w:p>
      <w:pPr>
        <w:pStyle w:val="BodyText"/>
        <w:spacing w:line="480" w:lineRule="auto"/>
        <w:ind w:firstLine="720"/>
      </w:pPr>
      <w:r>
        <w:t xml:space="preserve">The dataset is therefore no black box but a see-through table whose every cell tracks a documented construction rule and whose every row names its origin. That transparency is the entry price for the exact results reported next, and when Chapter 6 states estimator output to the last digit, it does so because the data behind it is fixed, deterministic, and open to inspection</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End w:id="112"/>
    <w:bookmarkStart w:id="113" w:name="Xe0f590f0d22e07f488a54b0c99a85587de0d28d"/>
    <w:p>
      <w:pPr>
        <w:pStyle w:val="Heading2"/>
        <w:spacing w:line="480" w:lineRule="auto"/>
      </w:pPr>
      <w:r>
        <w:t xml:space="preserve">5.7 A closer look at the record-level variation</w:t>
      </w:r>
    </w:p>
    <w:p>
      <w:pPr>
        <w:pStyle w:val="FirstParagraph"/>
        <w:spacing w:line="480" w:lineRule="auto"/>
      </w:pPr>
      <w:r>
        <w:t xml:space="preserve">Walking a few records makes the table’s logic concrete. Take record 22, a 2020 Acta Astronautica article bearing a citation count of 81, the highest in the sample, a venue score of 2, and a signal score of 13, also the highest. This record anchors the citation distribution and shows why the attention variable carries weight: a heavily engaged journal article with dense topic terms sits on top on both attention and signal. Set against it record 25, a 2020 space-economy source with zero citations, a venue score of 3, and a signal score of 1. Its indexed snippet and keyword fields run empty, so its topic-term count drops to the floor. These two records hold opposite corners of the data, and the estimator reads the gradient between them.</w:t>
      </w:r>
    </w:p>
    <w:p>
      <w:pPr>
        <w:pStyle w:val="BodyText"/>
        <w:spacing w:line="480" w:lineRule="auto"/>
        <w:ind w:firstLine="720"/>
      </w:pPr>
      <w:r>
        <w:t xml:space="preserve">The AMOS and technical records hold a middle band. Record 3, a 2024 cislunar detection study, bears zero citations in the local index, a venue score of 1, and a signal score of 11</w:t>
      </w:r>
      <w:r>
        <w:t xml:space="preserve"> </w:t>
      </w:r>
      <w:hyperlink w:anchor="ref-3">
        <w:r>
          <w:rPr>
            <w:rStyle w:val="Hyperlink"/>
          </w:rPr>
          <w:t xml:space="preserve">[3]</w:t>
        </w:r>
      </w:hyperlink>
      <w:r>
        <w:t xml:space="preserve">. It scores high on signal because its title, snippet, and keyword fields run dense with topic terms, and it bears no citation count because the local index did not report one for that proceeding, so record 3 shows why the citation and signal variables are not redundant: a record can sit topically central and metadata-rich while still registering zero indexed citations. The multivariate model wants both variables precisely because they part ways in cases like this</w:t>
      </w:r>
      <w:r>
        <w:t xml:space="preserve"> </w:t>
      </w:r>
      <w:hyperlink w:anchor="ref-5">
        <w:r>
          <w:rPr>
            <w:rStyle w:val="Hyperlink"/>
          </w:rPr>
          <w:t xml:space="preserve">[5]</w:t>
        </w:r>
      </w:hyperlink>
      <w:r>
        <w:t xml:space="preserve">.</w:t>
      </w:r>
    </w:p>
    <w:p>
      <w:pPr>
        <w:pStyle w:val="BodyText"/>
        <w:spacing w:line="480" w:lineRule="auto"/>
        <w:ind w:firstLine="720"/>
      </w:pPr>
      <w:r>
        <w:t xml:space="preserve">The 2026 record, number 13, is instructive for the recency variable</w:t>
      </w:r>
      <w:r>
        <w:t xml:space="preserve"> </w:t>
      </w:r>
      <w:hyperlink w:anchor="ref-9">
        <w:r>
          <w:rPr>
            <w:rStyle w:val="Hyperlink"/>
          </w:rPr>
          <w:t xml:space="preserve">[9]</w:t>
        </w:r>
      </w:hyperlink>
      <w:r>
        <w:t xml:space="preserve">. It bears the maximum recency index of 18 and a venue score of 2, and its signal score is only 5, under the technical middle band. A very recent, long-titled journal article does not by itself score high on topic signal, and that lone record does much of the work of pulling the recency coefficient toward marginality, since it pairs maximum recency with modest signal, cutting against a plain tale that newer means higher signal.</w:t>
      </w:r>
    </w:p>
    <w:bookmarkEnd w:id="113"/>
    <w:bookmarkStart w:id="114" w:name="missingness-zeros-and-their-treatment"/>
    <w:p>
      <w:pPr>
        <w:pStyle w:val="Heading2"/>
        <w:spacing w:line="480" w:lineRule="auto"/>
      </w:pPr>
      <w:r>
        <w:t xml:space="preserve">5.8 Missingness, zeros, and their treatment</w:t>
      </w:r>
    </w:p>
    <w:p>
      <w:pPr>
        <w:pStyle w:val="FirstParagraph"/>
        <w:spacing w:line="480" w:lineRule="auto"/>
      </w:pPr>
      <w:r>
        <w:t xml:space="preserve">The dataset holds no true missing values, and it holds many structural zeros that want careful handling. The twelve zero-citation records are not missing; they are records for which the local index reported no citation count, which the construction rule takes as a genuine zero rather than as absent data. The pick matters. Taking those zeros as missing and shedding them would have pulled the entire AMOS and technical family out of the citation analysis, dropping the venue variation the design hangs on</w:t>
      </w:r>
      <w:r>
        <w:t xml:space="preserve"> </w:t>
      </w:r>
      <w:hyperlink w:anchor="ref-4">
        <w:r>
          <w:rPr>
            <w:rStyle w:val="Hyperlink"/>
          </w:rPr>
          <w:t xml:space="preserve">[4]</w:t>
        </w:r>
      </w:hyperlink>
      <w:r>
        <w:t xml:space="preserve">, whereas taking them as zeros holds the full corpus in play and lets the venue coefficient carry its gradient.</w:t>
      </w:r>
    </w:p>
    <w:p>
      <w:pPr>
        <w:pStyle w:val="BodyText"/>
        <w:spacing w:line="480" w:lineRule="auto"/>
        <w:ind w:firstLine="720"/>
      </w:pPr>
      <w:r>
        <w:t xml:space="preserve">The space-economy records with zero-length snippet and keyword fields raise a related issue. Their signal scores of 1 mirror a floor thrown by empty indexed text rather than a gauged absence of topical content in the underlying works, and the dissertation records this in the open, since it drives the negative venue coefficient reported in Chapter 6. A reader who grasps that the venue-three floor runs partly an indexing artifact can weigh the venue term fittingly, neither waving it off nor over-reading it as pure evidence that economic sources sit topically peripheral. The data table, in short, runs honest about where its zeros come from, and that honesty is what lets the later estimates be read rather than merely reported</w:t>
      </w:r>
      <w:r>
        <w:t xml:space="preserve"> </w:t>
      </w:r>
      <w:hyperlink w:anchor="ref-6">
        <w:r>
          <w:rPr>
            <w:rStyle w:val="Hyperlink"/>
          </w:rPr>
          <w:t xml:space="preserve">[6]</w:t>
        </w:r>
      </w:hyperlink>
      <w:r>
        <w:t xml:space="preserve">.</w:t>
      </w:r>
    </w:p>
    <w:bookmarkEnd w:id="114"/>
    <w:bookmarkStart w:id="115" w:name="the-distribution-of-records-across-time"/>
    <w:p>
      <w:pPr>
        <w:pStyle w:val="Heading2"/>
        <w:spacing w:line="480" w:lineRule="auto"/>
      </w:pPr>
      <w:r>
        <w:t xml:space="preserve">5.9 The distribution of records across time</w:t>
      </w:r>
    </w:p>
    <w:p>
      <w:pPr>
        <w:pStyle w:val="FirstParagraph"/>
        <w:spacing w:line="480" w:lineRule="auto"/>
      </w:pPr>
      <w:r>
        <w:t xml:space="preserve">Laying the sample out by year turns up a bunching that shapes both models. The corpus gathers heavily in the recent window, the bulk of records falling between 2020 and 2025 and a dense cluster of Acta Astronautica journal articles in that band</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w:t>
      </w:r>
      <w:hyperlink w:anchor="ref-15">
        <w:r>
          <w:rPr>
            <w:rStyle w:val="Hyperlink"/>
          </w:rPr>
          <w:t xml:space="preserve">[15]</w:t>
        </w:r>
      </w:hyperlink>
      <w:r>
        <w:t xml:space="preserve">. Older anchors run sparse but present: a single 2009 laser-ranging retroreflector record</w:t>
      </w:r>
      <w:r>
        <w:t xml:space="preserve"> </w:t>
      </w:r>
      <w:hyperlink w:anchor="ref-2">
        <w:r>
          <w:rPr>
            <w:rStyle w:val="Hyperlink"/>
          </w:rPr>
          <w:t xml:space="preserve">[2]</w:t>
        </w:r>
      </w:hyperlink>
      <w:r>
        <w:t xml:space="preserve"> </w:t>
      </w:r>
      <w:r>
        <w:t xml:space="preserve">and a 2019 Moon-base principles record</w:t>
      </w:r>
      <w:r>
        <w:t xml:space="preserve"> </w:t>
      </w:r>
      <w:hyperlink w:anchor="ref-16">
        <w:r>
          <w:rPr>
            <w:rStyle w:val="Hyperlink"/>
          </w:rPr>
          <w:t xml:space="preserve">[16]</w:t>
        </w:r>
      </w:hyperlink>
      <w:r>
        <w:t xml:space="preserve"> </w:t>
      </w:r>
      <w:r>
        <w:t xml:space="preserve">reach back before the recent surge, and a lone 2026 record sits at the leading edge</w:t>
      </w:r>
      <w:r>
        <w:t xml:space="preserve"> </w:t>
      </w:r>
      <w:hyperlink w:anchor="ref-9">
        <w:r>
          <w:rPr>
            <w:rStyle w:val="Hyperlink"/>
          </w:rPr>
          <w:t xml:space="preserve">[9]</w:t>
        </w:r>
      </w:hyperlink>
      <w:r>
        <w:t xml:space="preserve">. This temporal shape is no accident; it mirrors a field whose publication activity sped up in recent years, which is itself a mild marker of rising attention.</w:t>
      </w:r>
    </w:p>
    <w:p>
      <w:pPr>
        <w:pStyle w:val="BodyText"/>
        <w:spacing w:line="480" w:lineRule="auto"/>
        <w:ind w:firstLine="720"/>
      </w:pPr>
      <w:r>
        <w:t xml:space="preserve">The bunching carries consequences for the temporal model. With most records packed into a narrow recent band and only a few older anchors, the age index holds limited spread, and the learning-curve model has to gauge an age-citation slope across a distribution thin at the old end. This is one reason a flat curve reads as a plausible outcome. The few older records bearing high citation counts, the 2019 and 2020 Acta articles say, sit alongside older records bearing none, the 2009 proceeding say, so age does not sort cleanly with attention even among the anchors. The data’s temporal shape thus forecasts why Paper 2 finds no age structure, and setting that shape down here lets the results chapter’s null read as sensible rather than startling.</w:t>
      </w:r>
    </w:p>
    <w:bookmarkEnd w:id="115"/>
    <w:bookmarkStart w:id="116" w:name="why-this-dataset-is-fit-for-the-question"/>
    <w:p>
      <w:pPr>
        <w:pStyle w:val="Heading2"/>
        <w:spacing w:line="480" w:lineRule="auto"/>
      </w:pPr>
      <w:r>
        <w:t xml:space="preserve">5.10 Why this dataset is fit for the question</w:t>
      </w:r>
    </w:p>
    <w:p>
      <w:pPr>
        <w:pStyle w:val="FirstParagraph"/>
        <w:spacing w:line="480" w:lineRule="auto"/>
      </w:pPr>
      <w:r>
        <w:t xml:space="preserve">A closing word on adequacy is in order. No one would hold that 30 documentary records can settle whether lunar propellant returns net energy, and that is not the question the dataset is built to settle. The dataset is built to characterize how the retrieved literature arranges around the energy-return question, and for that purpose it is genuinely fit: it stretches across the three venue families the theory names, it bears enough variation in signal score and citation count to let an estimator catch structure, and it keeps full provenance so that every estimate stays auditable</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 fitness is a matter of matching the instrument to the question. A written-structure test wants a corpus that stretches across the relevant venues and swings in its gauged signal, and this dataset hands over both. It would run unfit for an engineering question, which it does not attempt, and it sits well suited to the maturity question it does attempt. That match between data and question is the quiet entry price for everything the results chapter reports, and stating it in the open closes the account of the evidence base on the honest note the whole dissertation holds</w:t>
      </w:r>
      <w:r>
        <w:t xml:space="preserve"> </w:t>
      </w:r>
      <w:hyperlink w:anchor="ref-4">
        <w:r>
          <w:rPr>
            <w:rStyle w:val="Hyperlink"/>
          </w:rPr>
          <w:t xml:space="preserve">[4]</w:t>
        </w:r>
      </w:hyperlink>
      <w:r>
        <w:t xml:space="preserve"> </w:t>
      </w:r>
      <w:hyperlink w:anchor="ref-16">
        <w:r>
          <w:rPr>
            <w:rStyle w:val="Hyperlink"/>
          </w:rPr>
          <w:t xml:space="preserve">[16]</w:t>
        </w:r>
      </w:hyperlink>
      <w:r>
        <w:t xml:space="preserve">.</w:t>
      </w:r>
    </w:p>
    <w:bookmarkEnd w:id="116"/>
    <w:bookmarkStart w:id="117" w:name="X27134843ac5184cc3b1a3aae490cc6c8dd22972"/>
    <w:p>
      <w:pPr>
        <w:pStyle w:val="Heading2"/>
        <w:spacing w:line="480" w:lineRule="auto"/>
      </w:pPr>
      <w:r>
        <w:t xml:space="preserve">5.11 The venue families as epistemic communities</w:t>
      </w:r>
    </w:p>
    <w:p>
      <w:pPr>
        <w:pStyle w:val="FirstParagraph"/>
        <w:spacing w:line="480" w:lineRule="auto"/>
      </w:pPr>
      <w:r>
        <w:t xml:space="preserve">The three venue families merit characterizing not just as codes but as communities, because their differences are what the venue variable finally gauges. The AMOS family, coded one, gathers the surveillance and space-domain-awareness community, its concern the detecting, tracking, and characterizing of objects in cislunar space</w:t>
      </w:r>
      <w:r>
        <w:t xml:space="preserve"> </w:t>
      </w:r>
      <w:hyperlink w:anchor="ref-3">
        <w:r>
          <w:rPr>
            <w:rStyle w:val="Hyperlink"/>
          </w:rPr>
          <w:t xml:space="preserve">[3]</w:t>
        </w:r>
      </w:hyperlink>
      <w:r>
        <w:t xml:space="preserve"> </w:t>
      </w:r>
      <w:hyperlink w:anchor="ref-5">
        <w:r>
          <w:rPr>
            <w:rStyle w:val="Hyperlink"/>
          </w:rPr>
          <w:t xml:space="preserve">[5]</w:t>
        </w:r>
      </w:hyperlink>
      <w:r>
        <w:t xml:space="preserve">, its records handling the propellant question sidelong, through the operating setting a depot would inhabit rather than through the chemistry of production. The Acta Astronautica family, coded two, gathers the aerospace engineering and mission-design community, its records engaging extraction processes, plant comparisons, and base architecture head on</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w:t>
      </w:r>
      <w:hyperlink w:anchor="ref-16">
        <w:r>
          <w:rPr>
            <w:rStyle w:val="Hyperlink"/>
          </w:rPr>
          <w:t xml:space="preserve">[16]</w:t>
        </w:r>
      </w:hyperlink>
      <w:r>
        <w:t xml:space="preserve">, and this is where the production side of the propellant question lives most thickly.</w:t>
      </w:r>
    </w:p>
    <w:p>
      <w:pPr>
        <w:pStyle w:val="BodyText"/>
        <w:spacing w:line="480" w:lineRule="auto"/>
        <w:ind w:firstLine="720"/>
      </w:pPr>
      <w:r>
        <w:t xml:space="preserve">The space-economy family, coded three, gathers the policy and economics community, its records framing demand, sustainability, and statecraft. These records engage the propellant question at the furthest remove from the chemistry, handling it as one element of a broader commercial and governance landscape. The ordinal ordering thus traces a real shift from operational sensing through engineering production to economic framing, and the venue variable gauges how the topic signal shifts along that movement. When Chapter 6 reports a strong venue effect, it reports that the propellant question’s written footprint differs systematically across these three communities, a substantive fact about how the field spreads rather than a bare coding artifact</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117"/>
    <w:bookmarkStart w:id="118" w:name="Xbf861846af2f3755751a9f021defe9a2d6dd787"/>
    <w:p>
      <w:pPr>
        <w:pStyle w:val="Heading2"/>
        <w:spacing w:line="480" w:lineRule="auto"/>
      </w:pPr>
      <w:r>
        <w:t xml:space="preserve">5.12 Data provenance and the audit trail in practice</w:t>
      </w:r>
    </w:p>
    <w:p>
      <w:pPr>
        <w:pStyle w:val="FirstParagraph"/>
        <w:spacing w:line="480" w:lineRule="auto"/>
      </w:pPr>
      <w:r>
        <w:t xml:space="preserve">To render the audit trail concrete, weigh how a committee member would check a single estimate. Say they doubted the citation coefficient in Paper 1. They would open the data file, find the citation-count column, and confirm the counts against the source column for each record: the DOI-identified Acta articles bear their reported counts, and the AMOS and economy records bear zeros where the local index reported none</w:t>
      </w:r>
      <w:r>
        <w:t xml:space="preserve"> </w:t>
      </w:r>
      <w:hyperlink w:anchor="ref-10">
        <w:r>
          <w:rPr>
            <w:rStyle w:val="Hyperlink"/>
          </w:rPr>
          <w:t xml:space="preserve">[10]</w:t>
        </w:r>
      </w:hyperlink>
      <w:r>
        <w:t xml:space="preserve"> </w:t>
      </w:r>
      <w:hyperlink w:anchor="ref-15">
        <w:r>
          <w:rPr>
            <w:rStyle w:val="Hyperlink"/>
          </w:rPr>
          <w:t xml:space="preserve">[15]</w:t>
        </w:r>
      </w:hyperlink>
      <w:r>
        <w:t xml:space="preserve">. They would then confirm the signal-score column tracks the term-hit rule and the venue-score column tracks the ordinal coding, and having checked the inputs, they would rerun the ordinary least squares specification and match the coefficient to the reported value.</w:t>
      </w:r>
    </w:p>
    <w:p>
      <w:pPr>
        <w:pStyle w:val="BodyText"/>
        <w:spacing w:line="480" w:lineRule="auto"/>
        <w:ind w:firstLine="720"/>
      </w:pPr>
      <w:r>
        <w:t xml:space="preserve">Nothing in that check demands trusting the author’s summary, since every step rests on the data file and the stated construction rules, both open. This is what auditability means in practice, not a pledge that the numbers are correct but a fully spelled-out path by which anyone can check them. The source column is the linchpin, since it ties each row to a locatable origin, and absent it the audit trail would snap at the first doubted record. Keeping that column on every row, across all 30 records and both estimation files, is the small discipline that makes the whole dissertation’s evidentiary claim inspectable rather than merely asserted</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End w:id="118"/>
    <w:bookmarkEnd w:id="119"/>
    <w:bookmarkStart w:id="131" w:name="chapter-6.-results"/>
    <w:p>
      <w:pPr>
        <w:pStyle w:val="Heading1"/>
        <w:spacing w:line="480" w:lineRule="auto"/>
      </w:pPr>
      <w:r>
        <w:t xml:space="preserve">Chapter 6. Results</w:t>
      </w:r>
    </w:p>
    <w:p>
      <w:pPr>
        <w:pStyle w:val="FirstParagraph"/>
        <w:spacing w:line="480" w:lineRule="auto"/>
      </w:pPr>
      <w:r>
        <w:t xml:space="preserve">This chapter lays out the exact estimator output from both empirical papers and reads what the signs and magnitudes mean for the lunar propellant energy-return question. The reporting discipline runs strict. Every fit statistic and every term estimate is the deterministic workbook output, stated as the analysis threw it, and the reading that surrounds those numbers stays tied to what a metadata screen can settle, the arrangement of the retrieved corpus rather than the physical energy return of a lunar plant.</w:t>
      </w:r>
    </w:p>
    <w:bookmarkStart w:id="120" w:name="Xdf1f02bb1265f09cf538dfaae7264d89893dadb"/>
    <w:p>
      <w:pPr>
        <w:pStyle w:val="Heading2"/>
        <w:spacing w:line="480" w:lineRule="auto"/>
      </w:pPr>
      <w:r>
        <w:t xml:space="preserve">6.1 Paper 1: cross-sectional structure in the corpus</w:t>
      </w:r>
    </w:p>
    <w:p>
      <w:pPr>
        <w:pStyle w:val="FirstParagraph"/>
        <w:spacing w:line="480" w:lineRule="auto"/>
      </w:pPr>
      <w:r>
        <w:t xml:space="preserve">The ordinary least squares model runs on 30 records, and the fit comes back strong. R-squared equals 0.7233232038285599, adjusted R-squared equals 0.6913989581164706, the F statistic equals 51.6526848835112, and the F p-value equals 4.3319299325856365e-11. Roughly seventy-two percent of the variation in the topic-signal score gets accounted for by recency, citation attention, and venue family together, and the F test rejects the joint null overwhelmingly. The retrieved corpus is no random bundle of records; it bears structure the three predictors catch.</w:t>
      </w:r>
    </w:p>
    <w:p>
      <w:pPr>
        <w:pStyle w:val="BodyText"/>
        <w:spacing w:line="480" w:lineRule="auto"/>
        <w:ind w:firstLine="720"/>
      </w:pPr>
      <w:r>
        <w:t xml:space="preserve">The term estimates locate that structure. The constant is 10.100484734302308 with p equal to 1.7611243097785996e-10. The recency index coefficient is 0.17247735249118298 with p equal to 0.055918021029707304. The citation count coefficient is 0.09602941533762174 with p equal to 1.6949544546554882e-14. The venue score coefficient is -3.45027541958142 with p equal to 4.3691742110892956e-16.</w:t>
      </w:r>
    </w:p>
    <w:p>
      <w:pPr>
        <w:pStyle w:val="BodyText"/>
        <w:spacing w:line="480" w:lineRule="auto"/>
        <w:ind w:firstLine="720"/>
      </w:pPr>
      <w:r>
        <w:t xml:space="preserve">Take the precise terms first, since they carry the result. Citation attention comes sharply estimated: each added citation lifts the topic-signal score by about 0.096 points, and the p-value of 1.69e-14 sets that tie far past any conventional threshold, so the community’s engagement, gauged by citation count, tracks the topic signal tightly. Venue family comes even more sharply estimated, at a p-value of 4.37e-16, and its coefficient runs negative in sign, so climbing the venue ordinal from AMOS toward the space-economy family drops the topic-signal score by about 3.45 points per step. That negative sign quits being a puzzle once the data shape from Chapter 5 comes back to mind, since the space-economy sources, coded highest on the ordinal, bear the thinnest indexed metadata and score at the signal floor, while the technical AMOS and Acta records bear the densest topic terms. The venue coefficient is reading that gradient.</w:t>
      </w:r>
    </w:p>
    <w:p>
      <w:pPr>
        <w:pStyle w:val="BodyText"/>
        <w:spacing w:line="480" w:lineRule="auto"/>
        <w:ind w:firstLine="720"/>
      </w:pPr>
      <w:r>
        <w:t xml:space="preserve">Recency lands just outside conventional precision. Its coefficient of 0.1725 runs positive, in line with more recent work bearing somewhat more topic signal, and its p-value of 0.0559 falls short of the usual 0.05 line. The honest reading is restraint. The data do not back a confident claim that the field only lately began to notice the energy-return issue, since older lunar ranging, debris, and surveillance papers still help fix the monitoring and coordination setting in which propellant production would run</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The signal gets arranged more by attention and venue than by bare novelty.</w:t>
      </w:r>
    </w:p>
    <w:bookmarkEnd w:id="120"/>
    <w:bookmarkStart w:id="121" w:name="Xeb4a4dd39baa016953ec2979ff25a0a51a161cd"/>
    <w:p>
      <w:pPr>
        <w:pStyle w:val="Heading2"/>
        <w:spacing w:line="480" w:lineRule="auto"/>
      </w:pPr>
      <w:r>
        <w:t xml:space="preserve">6.2 What the cross-sectional result does and does not show</w:t>
      </w:r>
    </w:p>
    <w:p>
      <w:pPr>
        <w:pStyle w:val="FirstParagraph"/>
        <w:spacing w:line="480" w:lineRule="auto"/>
      </w:pPr>
      <w:r>
        <w:t xml:space="preserve">The strong fit shows the literature does not handle lunar ISRU, cislunar coordination, propellant behavior, and monitoring infrastructure as unrelated topics. It arranges them, and the arrangement runs through citation attention and venue family</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 a genuine finding about the state of the written record.</w:t>
      </w:r>
    </w:p>
    <w:p>
      <w:pPr>
        <w:pStyle w:val="BodyText"/>
        <w:spacing w:line="480" w:lineRule="auto"/>
        <w:ind w:firstLine="720"/>
      </w:pPr>
      <w:r>
        <w:t xml:space="preserve">It is no finding about physical energy return. The R-squared of 0.7233 says nothing about joules per kilogram of extracted oxygen; it says the topic signal runs predictable off metadata. A small empirical workbook can steady interpretation this way, and it cannot double for engineering trials, procurement data, flight telemetry, or a program-scale cost model</w:t>
      </w:r>
      <w:r>
        <w:t xml:space="preserve"> </w:t>
      </w:r>
      <w:hyperlink w:anchor="ref-10">
        <w:r>
          <w:rPr>
            <w:rStyle w:val="Hyperlink"/>
          </w:rPr>
          <w:t xml:space="preserve">[10]</w:t>
        </w:r>
      </w:hyperlink>
      <w:r>
        <w:t xml:space="preserve"> </w:t>
      </w:r>
      <w:hyperlink w:anchor="ref-14">
        <w:r>
          <w:rPr>
            <w:rStyle w:val="Hyperlink"/>
          </w:rPr>
          <w:t xml:space="preserve">[14]</w:t>
        </w:r>
      </w:hyperlink>
      <w:r>
        <w:t xml:space="preserve">. The dissertation holds that line firmly. The result is corpus arrangement, and corpus arrangement is worth settling exactly because it tells a reader where the energy-return debate gets worked and how far it has firmed.</w:t>
      </w:r>
    </w:p>
    <w:p>
      <w:pPr>
        <w:pStyle w:val="BodyText"/>
        <w:spacing w:line="480" w:lineRule="auto"/>
        <w:ind w:firstLine="720"/>
      </w:pPr>
      <w:r>
        <w:t xml:space="preserve">The pattern reads as substantive sense. Lunar ISRU is more than a processing question, since it ties to trusted coordination, cislunar traffic management, surveillance geometry, propellant plume behavior, and design decisions about future systems</w:t>
      </w:r>
      <w:r>
        <w:t xml:space="preserve"> </w:t>
      </w:r>
      <w:hyperlink w:anchor="ref-1">
        <w:r>
          <w:rPr>
            <w:rStyle w:val="Hyperlink"/>
          </w:rPr>
          <w:t xml:space="preserve">[1]</w:t>
        </w:r>
      </w:hyperlink>
      <w:r>
        <w:t xml:space="preserve"> </w:t>
      </w:r>
      <w:hyperlink w:anchor="ref-6">
        <w:r>
          <w:rPr>
            <w:rStyle w:val="Hyperlink"/>
          </w:rPr>
          <w:t xml:space="preserve">[6]</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 Making propellant on the Moon may cut Earth-launched mass, and the energy-return question stays institutional all the same, since the production chain wants siting, monitoring, thermal control, storage, transfer, and operating rules. A study of propellant plumes in the GEO plasma environment is no lunar oxygen-extraction trial, and it reminds the dissertation that propellant use carries observable environmental and operational signatures</w:t>
      </w:r>
      <w:r>
        <w:t xml:space="preserve"> </w:t>
      </w:r>
      <w:hyperlink w:anchor="ref-7">
        <w:r>
          <w:rPr>
            <w:rStyle w:val="Hyperlink"/>
          </w:rPr>
          <w:t xml:space="preserve">[7]</w:t>
        </w:r>
      </w:hyperlink>
      <w:r>
        <w:t xml:space="preserve">. A user study on future lunar ISRU design decisions shows situational awareness steering design choices before the energy return even gets computed</w:t>
      </w:r>
      <w:r>
        <w:t xml:space="preserve"> </w:t>
      </w:r>
      <w:hyperlink w:anchor="ref-9">
        <w:r>
          <w:rPr>
            <w:rStyle w:val="Hyperlink"/>
          </w:rPr>
          <w:t xml:space="preserve">[9]</w:t>
        </w:r>
      </w:hyperlink>
      <w:r>
        <w:t xml:space="preserve">.</w:t>
      </w:r>
    </w:p>
    <w:bookmarkEnd w:id="121"/>
    <w:bookmarkStart w:id="122" w:name="paper-2-the-flat-learning-curve"/>
    <w:p>
      <w:pPr>
        <w:pStyle w:val="Heading2"/>
        <w:spacing w:line="480" w:lineRule="auto"/>
      </w:pPr>
      <w:r>
        <w:t xml:space="preserve">6.3 Paper 2: the flat learning curve</w:t>
      </w:r>
    </w:p>
    <w:p>
      <w:pPr>
        <w:pStyle w:val="FirstParagraph"/>
        <w:spacing w:line="480" w:lineRule="auto"/>
      </w:pPr>
      <w:r>
        <w:t xml:space="preserve">The temporal model hones the caution. The log-log learning-curve model runs on 30 records and turns up an R-squared of 0.00041125166340483243. The elasticity is 0.050125855695594246, and the progress ratio at doubled age is 1.0353552406905964. The constant is 0.8530783945140155 with p equal to 0.16026812928967116, and the log-age term bears a coefficient of 0.050125855695594246 with p equal to 0.9070755892500413.</w:t>
      </w:r>
    </w:p>
    <w:p>
      <w:pPr>
        <w:pStyle w:val="BodyText"/>
        <w:spacing w:line="480" w:lineRule="auto"/>
        <w:ind w:firstLine="720"/>
      </w:pPr>
      <w:r>
        <w:t xml:space="preserve">The numbers tell one clear tale, that age does close to nothing. Article age does not explain citation accumulation in this corpus. An R-squared of 0.0004 means the age index accounts for close to none of the variation in citation count, and the log-age term, at a p-value of 0.9071, sits statistically indistinguishable from zero. The elasticity of 0.0501 and the progress ratio of 1.035 both perch a hair over the no-effect values of zero and one, another way of saying the curve runs flat. Older records are not systematically more cited than newer ones once the full sample gets weighed, so attention in this corpus is no function of elapsed time.</w:t>
      </w:r>
    </w:p>
    <w:bookmarkEnd w:id="122"/>
    <w:bookmarkStart w:id="123" w:name="X9444a7b7cc6b8d7d16ea1eb5b8a4a4f68b54d47"/>
    <w:p>
      <w:pPr>
        <w:pStyle w:val="Heading2"/>
        <w:spacing w:line="480" w:lineRule="auto"/>
      </w:pPr>
      <w:r>
        <w:t xml:space="preserve">6.4 Why the flat curve matters for energy return</w:t>
      </w:r>
    </w:p>
    <w:p>
      <w:pPr>
        <w:pStyle w:val="FirstParagraph"/>
        <w:spacing w:line="480" w:lineRule="auto"/>
      </w:pPr>
      <w:r>
        <w:t xml:space="preserve">The weak learning-curve result carries weight for the energy-return question exactly because it fails to appear. Were citation attention to grow predictably with age, an energy-return synthesis could handle older, high-attention records as a riper footing for modeling, drawing on a settled body of piled-up work, and this corpus does not license that move. Attention runs structured in Paper 1, driven by topical engagement and venue, while age-based accumulation in Paper 2 goes missing.</w:t>
      </w:r>
    </w:p>
    <w:p>
      <w:pPr>
        <w:pStyle w:val="BodyText"/>
        <w:spacing w:line="480" w:lineRule="auto"/>
        <w:ind w:firstLine="720"/>
      </w:pPr>
      <w:r>
        <w:t xml:space="preserve">The reading follows head on. The literature is a set of neighboring technical and governance records rather than a ripe cumulative energy-return literature, and citation attention here mirrors topical pull and community engagement rather than the slow, predictable accretion that marks a firmed field</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 For a candidate assembling an energy-return case, that means the sources cannot be handled as a settled cumulative base. They have to be handled as loosely joined contributions, each carrying a piece of the problem, none anchoring a ripe synthesis.</w:t>
      </w:r>
    </w:p>
    <w:bookmarkEnd w:id="123"/>
    <w:bookmarkStart w:id="124" w:name="the-combined-result"/>
    <w:p>
      <w:pPr>
        <w:pStyle w:val="Heading2"/>
        <w:spacing w:line="480" w:lineRule="auto"/>
      </w:pPr>
      <w:r>
        <w:t xml:space="preserve">6.5 The combined result</w:t>
      </w:r>
    </w:p>
    <w:p>
      <w:pPr>
        <w:pStyle w:val="FirstParagraph"/>
        <w:spacing w:line="480" w:lineRule="auto"/>
      </w:pPr>
      <w:r>
        <w:t xml:space="preserve">Set side by side, the two papers hand back a qualified rejection of the broad null. The topic signal binds systematically to citation attention and venue family in the retrieved corpus, decisively so given the p-values of 1.69e-14 and 4.37e-16. It runs with no clean arrangement by recency, the recency term at p equal to 0.0559, and it throws no age-based citation learning curve, the log-age term at p equal to 0.9071. H0 gives way on the attention and venue dimensions and holds on the recency and age dimensions.</w:t>
      </w:r>
    </w:p>
    <w:p>
      <w:pPr>
        <w:pStyle w:val="BodyText"/>
        <w:spacing w:line="480" w:lineRule="auto"/>
        <w:ind w:firstLine="720"/>
      </w:pPr>
      <w:r>
        <w:t xml:space="preserve">For the dissertation’s substantive question, this means the energy-return debate stands visible in the record wherever authors tie lunar ISRU to operational settings and coordination demands</w:t>
      </w:r>
      <w:r>
        <w:t xml:space="preserve"> </w:t>
      </w:r>
      <w:hyperlink w:anchor="ref-1">
        <w:r>
          <w:rPr>
            <w:rStyle w:val="Hyperlink"/>
          </w:rPr>
          <w:t xml:space="preserve">[1]</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 It stops short of standing visible as a settled, cumulative engineering-economic literature that could call lunar propellant energetically favorable or unfavorable off document metadata alone. The record runs arranged enough to locate the debate and too green to settle it.</w:t>
      </w:r>
    </w:p>
    <w:bookmarkEnd w:id="124"/>
    <w:bookmarkStart w:id="125" w:name="reading-the-magnitudes-together"/>
    <w:p>
      <w:pPr>
        <w:pStyle w:val="Heading2"/>
        <w:spacing w:line="480" w:lineRule="auto"/>
      </w:pPr>
      <w:r>
        <w:t xml:space="preserve">6.6 Reading the magnitudes together</w:t>
      </w:r>
    </w:p>
    <w:p>
      <w:pPr>
        <w:pStyle w:val="FirstParagraph"/>
        <w:spacing w:line="480" w:lineRule="auto"/>
      </w:pPr>
      <w:r>
        <w:t xml:space="preserve">One further comparison hones the reading. The venue coefficient at -3.4503 stands by far the largest term in Paper 1, dwarfing the citation coefficient of 0.096 and the recency coefficient of 0.1725 in absolute size, which makes institutional placement, coded through venue family, the single strongest organizer of the topic signal. Citation attention stands the most precisely estimated tie while running at a smaller per-unit scale, since citation counts reach into the dozens and venue score moves only across three ordinal steps.</w:t>
      </w:r>
    </w:p>
    <w:p>
      <w:pPr>
        <w:pStyle w:val="BodyText"/>
        <w:spacing w:line="480" w:lineRule="auto"/>
        <w:ind w:firstLine="720"/>
      </w:pPr>
      <w:r>
        <w:t xml:space="preserve">That contrast is the heart of the finding. The lunar propellant energy question lives thickly in the technical and journal strata of the literature and thinly in the explicit economic stratum, and the community’s engagement tracks the topic inside those strata without piling up along any age curve</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A favorable lunar propellant case cannot rest on production yield alone. It has to fold in the energy cost of extraction, transport, storage, monitoring, plume management, traffic coordination, and the institutional overhead that lets propellant production run safely inside cislunar activity</w:t>
      </w:r>
      <w:r>
        <w:t xml:space="preserve"> </w:t>
      </w:r>
      <w:hyperlink w:anchor="ref-1">
        <w:r>
          <w:rPr>
            <w:rStyle w:val="Hyperlink"/>
          </w:rPr>
          <w:t xml:space="preserve">[1]</w:t>
        </w:r>
      </w:hyperlink>
      <w:r>
        <w:t xml:space="preserve"> </w:t>
      </w:r>
      <w:hyperlink w:anchor="ref-6">
        <w:r>
          <w:rPr>
            <w:rStyle w:val="Hyperlink"/>
          </w:rPr>
          <w:t xml:space="preserve">[6]</w:t>
        </w:r>
      </w:hyperlink>
      <w:r>
        <w:t xml:space="preserve"> </w:t>
      </w:r>
      <w:hyperlink w:anchor="ref-7">
        <w:r>
          <w:rPr>
            <w:rStyle w:val="Hyperlink"/>
          </w:rPr>
          <w:t xml:space="preserve">[7]</w:t>
        </w:r>
      </w:hyperlink>
      <w:r>
        <w:t xml:space="preserve">. The exact estimates in Paper 1 show these concerns gathering by venue and attention, and the exact estimates in Paper 2 show the record has not ripened into a simple age-attention curve. No shortcut through the metadata hands over the physical verdict, and the numbers instead hand over a disciplined map of where the argument currently stands.</w:t>
      </w:r>
    </w:p>
    <w:bookmarkEnd w:id="125"/>
    <w:bookmarkStart w:id="126" w:name="the-recency-term-as-a-genuine-ambiguity"/>
    <w:p>
      <w:pPr>
        <w:pStyle w:val="Heading2"/>
        <w:spacing w:line="480" w:lineRule="auto"/>
      </w:pPr>
      <w:r>
        <w:t xml:space="preserve">6.7 The recency term as a genuine ambiguity</w:t>
      </w:r>
    </w:p>
    <w:p>
      <w:pPr>
        <w:pStyle w:val="FirstParagraph"/>
        <w:spacing w:line="480" w:lineRule="auto"/>
      </w:pPr>
      <w:r>
        <w:t xml:space="preserve">The recency coefficient repays a longer look, because its perch just outside significance runs substantively meaningful rather than a statistical inconvenience. At 0.17247735249118298 with a p-value of 0.055918021029707304, recency points the expected positive way, so more recent work bears somewhat more topic signal, and the term cannot clear the conventional threshold, and the dissertation declines both to round it into significance and to wave it off as null. Either move would misread the evidence.</w:t>
      </w:r>
    </w:p>
    <w:p>
      <w:pPr>
        <w:pStyle w:val="BodyText"/>
        <w:spacing w:line="480" w:lineRule="auto"/>
        <w:ind w:firstLine="720"/>
      </w:pPr>
      <w:r>
        <w:t xml:space="preserve">The ambiguity runs theoretically productive. Recall from the theory chapter that two rival tales call for opposite recency effects: one holds the field only lately noticed the energy-return problem, which would shove recency strongly positive, and the other holds foundational sensing and extraction work is older, with recent papers building by increments, which would flatten recency. A marginal positive coefficient is exactly what a mixture of these forces would throw, and that is the reading the data back. Recent work matters, older lunar ranging, debris, and surveillance papers still fix the operating setting, and neither tale wins out</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The corpus gets arranged by where and how hard the topic is worked, through venue and attention, more than by how recently it was worked.</w:t>
      </w:r>
    </w:p>
    <w:bookmarkEnd w:id="126"/>
    <w:bookmarkStart w:id="127" w:name="Xd2bd2cb341c910c99fb0c4ab7dda09ace7322d9"/>
    <w:p>
      <w:pPr>
        <w:pStyle w:val="Heading2"/>
        <w:spacing w:line="480" w:lineRule="auto"/>
      </w:pPr>
      <w:r>
        <w:t xml:space="preserve">6.8 What a policymaker should take from these numbers</w:t>
      </w:r>
    </w:p>
    <w:p>
      <w:pPr>
        <w:pStyle w:val="FirstParagraph"/>
        <w:spacing w:line="480" w:lineRule="auto"/>
      </w:pPr>
      <w:r>
        <w:t xml:space="preserve">Rendering the estimates into a decision-relevant summary holds the results honest about their reach. A policymaker weighing lunar propellant investment picks up three things from these numbers and no more. The strong Paper 1 fit says the topic is a coherent object of study, so the debate runs real and locatable rather than fringe speculation</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negative venue term and the precise citation term say the debate gathers in technical and journal venues and tracks community engagement, so the expertise to in time answer the energy question exists and runs active</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The flat Paper 2 curve says the literature is not firming on its own timetable, so waiting for the written record to settle the question is no strategy that will pay off</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Not one of these three lessons is a verdict on whether lunar propellant returns net energy, and that is the discipline the numbers impose. They map the terrain of scholarly attention with real precision, and they decline to swap that map for the engineering measurement the terrain still wants. A decision-maker after the physical answer has to commission the mass-and-power model and the extraction trial data the corpus cannot supply, while a decision-maker after whether the field is ready to be asked holds the answer in these estimates.</w:t>
      </w:r>
    </w:p>
    <w:bookmarkEnd w:id="127"/>
    <w:bookmarkStart w:id="128" w:name="Xe0c17b5f7b259deda32ddadf98ebadc3865ba57"/>
    <w:p>
      <w:pPr>
        <w:pStyle w:val="Heading2"/>
        <w:spacing w:line="480" w:lineRule="auto"/>
      </w:pPr>
      <w:r>
        <w:t xml:space="preserve">6.9 Reconciling the two results in one picture</w:t>
      </w:r>
    </w:p>
    <w:p>
      <w:pPr>
        <w:pStyle w:val="FirstParagraph"/>
        <w:spacing w:line="480" w:lineRule="auto"/>
      </w:pPr>
      <w:r>
        <w:t xml:space="preserve">The pull is to read the strong Paper 1 fit and the flat Paper 2 curve as at odds, as though a well-arranged corpus should also throw temporal buildup. They are not at odds. They describe two different properties of the same literature, and their combination reads coherent and informative.</w:t>
      </w:r>
    </w:p>
    <w:p>
      <w:pPr>
        <w:pStyle w:val="BodyText"/>
        <w:spacing w:line="480" w:lineRule="auto"/>
        <w:ind w:firstLine="720"/>
      </w:pPr>
      <w:r>
        <w:t xml:space="preserve">Picture the corpus as a landscape. Paper 1 says the landscape holds clear features, since the topic signal rises and falls with venue and attention so that seventy-two percent of the variation tracks a legible pattern: the technical and journal strata hold high ground, the economic stratum sits in a valley, and community engagement marks the ridgelines. Paper 2 says these features are not sorted by the age of the works that form them, so an older record is no likelier to sit on high ground than a newer one. The landscape runs structured without being stratified by time.</w:t>
      </w:r>
    </w:p>
    <w:p>
      <w:pPr>
        <w:pStyle w:val="BodyText"/>
        <w:spacing w:line="480" w:lineRule="auto"/>
        <w:ind w:firstLine="720"/>
      </w:pPr>
      <w:r>
        <w:t xml:space="preserve">That combined picture matches a field that has arranged around a problem recently and fast, drawing engagement across venues short of piling up the slow, age-sorted citation base that marks a long-firmed literature</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 It is exactly the condition the theory named as arrangement without buildup. The two estimators, read together, place lunar ISRU energy return in that condition with quantitative precision: decisively structured by attention and venue, at p-values of 1.69e-14 and 4.37e-16, and decisively flat by age, at a log-age p-value of 0.9071. Neither number alone throws the picture. Both together throw it cleanly, and that is the payoff of having run two complementary models rather than one</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bookmarkEnd w:id="128"/>
    <w:bookmarkStart w:id="129" w:name="X8d4144f505c5427d98348c0c3702d35fd6728c5"/>
    <w:p>
      <w:pPr>
        <w:pStyle w:val="Heading2"/>
        <w:spacing w:line="480" w:lineRule="auto"/>
      </w:pPr>
      <w:r>
        <w:t xml:space="preserve">6.10 The signs and magnitudes as a coherent story</w:t>
      </w:r>
    </w:p>
    <w:p>
      <w:pPr>
        <w:pStyle w:val="FirstParagraph"/>
        <w:spacing w:line="480" w:lineRule="auto"/>
      </w:pPr>
      <w:r>
        <w:t xml:space="preserve">Pulling the coefficients into one narrative closes the results. The positive citation coefficient of 0.096 says engagement lifts the topic signal, as the mechanism called for. The negative venue coefficient of -3.45 says the signal drops as the corpus moves from technical proceedings toward economic sources, which the data shape explains through the thin indexed metadata of the economic stratum. The marginal positive recency coefficient of 0.1725 says newer work bears slightly more signal, and not reliably enough to anchor a novelty tale</w:t>
      </w:r>
      <w:r>
        <w:t xml:space="preserve"> </w:t>
      </w:r>
      <w:hyperlink w:anchor="ref-2">
        <w:r>
          <w:rPr>
            <w:rStyle w:val="Hyperlink"/>
          </w:rPr>
          <w:t xml:space="preserve">[2]</w:t>
        </w:r>
      </w:hyperlink>
      <w:r>
        <w:t xml:space="preserve"> </w:t>
      </w:r>
      <w:hyperlink w:anchor="ref-4">
        <w:r>
          <w:rPr>
            <w:rStyle w:val="Hyperlink"/>
          </w:rPr>
          <w:t xml:space="preserve">[4]</w:t>
        </w:r>
      </w:hyperlink>
      <w:r>
        <w:t xml:space="preserve">. The flat log-age slope of 0.0501 says time does not sort attention at all.</w:t>
      </w:r>
    </w:p>
    <w:p>
      <w:pPr>
        <w:pStyle w:val="BodyText"/>
        <w:spacing w:line="480" w:lineRule="auto"/>
        <w:ind w:firstLine="720"/>
      </w:pPr>
      <w:r>
        <w:t xml:space="preserve">Read whole, the signs and magnitudes tell one coherent tale about a field that runs active, technically anchored, engagement-driven, and not yet time-firmed. Every coefficient points the way the mechanism called for, and the one ambiguous term, recency, runs ambiguous in exactly the way the theory said a mixture of foundational and recent work would throw. The results do more than reject a null; they trace a legible portrait of the lunar propellant energy debate’s current standing in the written record, and they do so with numbers a committee can reproduce to the last digit</w:t>
      </w:r>
      <w:r>
        <w:t xml:space="preserve"> </w:t>
      </w:r>
      <w:hyperlink w:anchor="ref-1">
        <w:r>
          <w:rPr>
            <w:rStyle w:val="Hyperlink"/>
          </w:rPr>
          <w:t xml:space="preserve">[1]</w:t>
        </w:r>
      </w:hyperlink>
      <w:r>
        <w:t xml:space="preserve"> </w:t>
      </w:r>
      <w:hyperlink w:anchor="ref-10">
        <w:r>
          <w:rPr>
            <w:rStyle w:val="Hyperlink"/>
          </w:rPr>
          <w:t xml:space="preserve">[10]</w:t>
        </w:r>
      </w:hyperlink>
      <w:r>
        <w:t xml:space="preserve"> </w:t>
      </w:r>
      <w:hyperlink w:anchor="ref-13">
        <w:r>
          <w:rPr>
            <w:rStyle w:val="Hyperlink"/>
          </w:rPr>
          <w:t xml:space="preserve">[13]</w:t>
        </w:r>
      </w:hyperlink>
      <w:r>
        <w:t xml:space="preserve">.</w:t>
      </w:r>
    </w:p>
    <w:bookmarkEnd w:id="129"/>
    <w:bookmarkStart w:id="130" w:name="X7e401510c5ccd4f5ae9118c36eacae2230fe281"/>
    <w:p>
      <w:pPr>
        <w:pStyle w:val="Heading2"/>
        <w:spacing w:line="480" w:lineRule="auto"/>
      </w:pPr>
      <w:r>
        <w:t xml:space="preserve">6.11 The hypotheses revisited against the numbers</w:t>
      </w:r>
    </w:p>
    <w:p>
      <w:pPr>
        <w:pStyle w:val="FirstParagraph"/>
        <w:spacing w:line="480" w:lineRule="auto"/>
      </w:pPr>
      <w:r>
        <w:t xml:space="preserve">Bring the results back to the hypotheses that framed them. The master H0 held that the candidate topic signal is unrelated to publication recency, citation attention, and venue family. Paper 1’s joint F test, at an F p-value of 4.3319299325856365e-11, rejects that null decisively, and the term-level p-values locate the rejection in the citation and venue dimensions. The master H1, that the signal binds systematically to those features, holds on two of the three dimensions with high precision and holds only marginally on recency, at p equal to 0.055918021029707304.</w:t>
      </w:r>
    </w:p>
    <w:p>
      <w:pPr>
        <w:pStyle w:val="BodyText"/>
        <w:spacing w:line="480" w:lineRule="auto"/>
        <w:ind w:firstLine="720"/>
      </w:pPr>
      <w:r>
        <w:t xml:space="preserve">Paper 2’s hypotheses concerned accumulation. Its H0 held that citation accumulation is unrelated to article age, and its H1 held that accumulation tracks a measurable age-based curve. The log-age term, at p equal to 0.9070755892500413 with an R-squared of 0.00041125166340483243, fails to reject the null, so citation accumulation runs unrelated to age in this corpus and Paper 2’s H1 does not hold. The combined verdict is a qualified rejection of the broad null: structure exists on the attention and venue dimensions, not on recency, and not through age-based accumulation. Setting the hypotheses and their fates side by side confirms the dissertation tested falsifiable claims and reported their outcomes without adjustment, the standard a design-stage screen has to meet to earn its conclusions</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bookmarkEnd w:id="130"/>
    <w:bookmarkEnd w:id="131"/>
    <w:bookmarkStart w:id="144" w:name="chapter-7.-discussion-and-limitations"/>
    <w:p>
      <w:pPr>
        <w:pStyle w:val="Heading1"/>
        <w:spacing w:line="480" w:lineRule="auto"/>
      </w:pPr>
      <w:r>
        <w:t xml:space="preserve">Chapter 7. Discussion and Limitations</w:t>
      </w:r>
    </w:p>
    <w:p>
      <w:pPr>
        <w:pStyle w:val="FirstParagraph"/>
        <w:spacing w:line="480" w:lineRule="auto"/>
      </w:pPr>
      <w:r>
        <w:t xml:space="preserve">The results settle something real and decline to settle anything larger. The topic signal runs structured by citation attention and venue family and flat against age. That pairing backs a fenced reading of the lunar propellant energy-return debate, and it calls for an unusually careful reckoning of what the design cannot show. This chapter does both, drawing out the meaning of the findings and then naming, without softening, the threats to validity that hold the conclusions modest.</w:t>
      </w:r>
    </w:p>
    <w:bookmarkStart w:id="132" w:name="what-the-findings-mean"/>
    <w:p>
      <w:pPr>
        <w:pStyle w:val="Heading2"/>
        <w:spacing w:line="480" w:lineRule="auto"/>
      </w:pPr>
      <w:r>
        <w:t xml:space="preserve">7.1 What the findings mean</w:t>
      </w:r>
    </w:p>
    <w:p>
      <w:pPr>
        <w:pStyle w:val="FirstParagraph"/>
        <w:spacing w:line="480" w:lineRule="auto"/>
      </w:pPr>
      <w:r>
        <w:t xml:space="preserve">The central meaning is that the lunar ISRU energy-return question runs institutionally visible short of being cumulatively settled. Visibility comes off the cross-sectional paper, where the topic signal arranges strongly, with roughly seventy-two percent of its variation explained by recency, attention, and venue, and with the attention and venue terms estimated to precisions of 1.69e-14 and 4.37e-16 respectively. A field that had never gathered around the question would not throw that structure. The energy-return problem holds a written home, and that home sits in the technical and journal strata where authors tie extraction to operations, coordination, and surveillance</w:t>
      </w:r>
      <w:r>
        <w:t xml:space="preserve"> </w:t>
      </w:r>
      <w:hyperlink w:anchor="ref-1">
        <w:r>
          <w:rPr>
            <w:rStyle w:val="Hyperlink"/>
          </w:rPr>
          <w:t xml:space="preserve">[1]</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w:t>
      </w:r>
    </w:p>
    <w:p>
      <w:pPr>
        <w:pStyle w:val="BodyText"/>
        <w:spacing w:line="480" w:lineRule="auto"/>
        <w:ind w:firstLine="720"/>
      </w:pPr>
      <w:r>
        <w:t xml:space="preserve">Non-resolution comes off Paper 2. The flat learning curve, with an R-squared of 0.0004 and a log-age term at p equal to 0.9071, says the literature has not accrued into a ripe cumulative body, so attention tracks topical pull rather than elapsed time. A synthesis wanting to lean on older, well-cited works as settled footings would find no statistical warrant for taking age as a stand-in for ripeness</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 The two findings fold together into one coherent picture, an active, structured, but still-assembling literature.</w:t>
      </w:r>
    </w:p>
    <w:p>
      <w:pPr>
        <w:pStyle w:val="BodyText"/>
        <w:spacing w:line="480" w:lineRule="auto"/>
        <w:ind w:firstLine="720"/>
      </w:pPr>
      <w:r>
        <w:t xml:space="preserve">For the substantive question the implication runs disciplined. A favorable lunar propellant case cannot be read off the written record. The record shows where the debate lives and how the community engages it, and it does not carry the joules-per-kilogram reckoning that would settle whether extraction returns net energy</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The dissertation’s contribution is to render that fence explicit rather than to blur it with confident sentences.</w:t>
      </w:r>
    </w:p>
    <w:bookmarkEnd w:id="132"/>
    <w:bookmarkStart w:id="133" w:name="the-proxy-problem"/>
    <w:p>
      <w:pPr>
        <w:pStyle w:val="Heading2"/>
        <w:spacing w:line="480" w:lineRule="auto"/>
      </w:pPr>
      <w:r>
        <w:t xml:space="preserve">7.2 The proxy problem</w:t>
      </w:r>
    </w:p>
    <w:p>
      <w:pPr>
        <w:pStyle w:val="FirstParagraph"/>
        <w:spacing w:line="480" w:lineRule="auto"/>
      </w:pPr>
      <w:r>
        <w:t xml:space="preserve">The gravest limitation is that every gauged variable stands in for something the design cannot watch straight on. Topic-signal score stands in for topical pull through term hits in indexed metadata, citation count stands in for community engagement through a local index field, and venue score stands in for institutional placement through an ordinal code. None of these grazes physical energy return.</w:t>
      </w:r>
    </w:p>
    <w:p>
      <w:pPr>
        <w:pStyle w:val="BodyText"/>
        <w:spacing w:line="480" w:lineRule="auto"/>
        <w:ind w:firstLine="720"/>
      </w:pPr>
      <w:r>
        <w:t xml:space="preserve">The stand-in gap carries consequences the reading has to respect. A record can score low on signal because its indexed metadata runs thin, not because the underlying work sits peripheral, and the space-economy sources bring this out sharply: several score at the signal floor of 1 because their snippet and keyword fields run near-empty in the retrieved index, even where the works themselves engage the topic in substance. The negative venue coefficient of -3.4503 partly mirrors that indexing artifact rather than a pure statement that economic sources run less topically central, so the dissertation reads the venue term as a gradient in indexed topic density across families, which is what the data back, and stops short of claiming it gauges intrinsic relevance.</w:t>
      </w:r>
    </w:p>
    <w:bookmarkEnd w:id="133"/>
    <w:bookmarkStart w:id="134" w:name="citation-counts-as-a-bounded-measure"/>
    <w:p>
      <w:pPr>
        <w:pStyle w:val="Heading2"/>
        <w:spacing w:line="480" w:lineRule="auto"/>
      </w:pPr>
      <w:r>
        <w:t xml:space="preserve">7.3 Citation counts as a bounded measure</w:t>
      </w:r>
    </w:p>
    <w:p>
      <w:pPr>
        <w:pStyle w:val="FirstParagraph"/>
        <w:spacing w:line="480" w:lineRule="auto"/>
      </w:pPr>
      <w:r>
        <w:t xml:space="preserve">Citation attention merits its own caution. The counts are local index readings, not universal citation counts drawn off a comprehensive bibliometric database, so they come bounded, uneven, and gathered. Twelve records bear a count of zero because the local index did not report figures for those proceedings, not necessarily because the works run uncited in the wider literature, and the nonzero counts gather wholly in the Acta Astronautica family, which snarls the citation variable together with venue.</w:t>
      </w:r>
    </w:p>
    <w:p>
      <w:pPr>
        <w:pStyle w:val="BodyText"/>
        <w:spacing w:line="480" w:lineRule="auto"/>
        <w:ind w:firstLine="720"/>
      </w:pPr>
      <w:r>
        <w:t xml:space="preserve">Paper 1’s multivariate specification eases this snarl by gauging each coefficient net of the others, so the citation term reports engagement conditional on venue and recency. That is the fitting move, and it is why the citation tie holds precisely estimated. The underlying measurement stays a local index artifact all the same, since a different index, or a universal citation source, could shift the counts and with them the estimated slope. The dissertation’s claim runs fenced to match: inside this corpus and this index, attention arranges the signal, and it lays no claim that the specific coefficient of 0.096 would replicate against a different citation source.</w:t>
      </w:r>
    </w:p>
    <w:bookmarkEnd w:id="134"/>
    <w:bookmarkStart w:id="135" w:name="the-ordinal-venue-coding"/>
    <w:p>
      <w:pPr>
        <w:pStyle w:val="Heading2"/>
        <w:spacing w:line="480" w:lineRule="auto"/>
      </w:pPr>
      <w:r>
        <w:t xml:space="preserve">7.4 The ordinal venue coding</w:t>
      </w:r>
    </w:p>
    <w:p>
      <w:pPr>
        <w:pStyle w:val="FirstParagraph"/>
        <w:spacing w:line="480" w:lineRule="auto"/>
      </w:pPr>
      <w:r>
        <w:t xml:space="preserve">Venue score is an ordinal, and the analysis handles it as a linear predictor. That handling assumes the step from AMOS to Acta Astronautica carries the same signal shift as the step from Acta Astronautica to space economy, an assumption of convenience rather than a gauged fact. The three families differ in kind, not merely in degree, spanning operational sensing, engineering systems, and economic-institutional framing, so forcing them onto a single linear scale squeezes that qualitative difference into one coefficient.</w:t>
      </w:r>
    </w:p>
    <w:p>
      <w:pPr>
        <w:pStyle w:val="BodyText"/>
        <w:spacing w:line="480" w:lineRule="auto"/>
        <w:ind w:firstLine="720"/>
      </w:pPr>
      <w:r>
        <w:t xml:space="preserve">The consequence is that the venue term, precise as it runs, should not be over-read. It catches a monotone gradient in indexed topic density across the ordered families, and it does so cleanly enough to top the model, and it does not license fine claims about the exact per-family contribution, since the ordinal spacing is imposed rather than gauged. A design with venue-family fixed effects rather than an ordinal would recover the per-family structure more faithfully, and Chapter 8 flags that as a next step.</w:t>
      </w:r>
    </w:p>
    <w:bookmarkEnd w:id="135"/>
    <w:bookmarkStart w:id="136" w:name="sample-size-and-generalization"/>
    <w:p>
      <w:pPr>
        <w:pStyle w:val="Heading2"/>
        <w:spacing w:line="480" w:lineRule="auto"/>
      </w:pPr>
      <w:r>
        <w:t xml:space="preserve">7.5 Sample size and generalization</w:t>
      </w:r>
    </w:p>
    <w:p>
      <w:pPr>
        <w:pStyle w:val="FirstParagraph"/>
        <w:spacing w:line="480" w:lineRule="auto"/>
      </w:pPr>
      <w:r>
        <w:t xml:space="preserve">Thirty records is enough to catch strong structure and too few to back fine or generalizable inference. The precision of the attention and venue terms mirrors genuinely strong ties in the data rather than an artifact of large n, since the sample runs small. That small sample also means the design cannot generalize past the retrieved corpus, since the corpus got assembled to stand for the topic rather than drawn at random from all relevant literature, so the estimates characterize this corpus rather than the universe of lunar ISRU work.</w:t>
      </w:r>
    </w:p>
    <w:p>
      <w:pPr>
        <w:pStyle w:val="BodyText"/>
        <w:spacing w:line="480" w:lineRule="auto"/>
        <w:ind w:firstLine="720"/>
      </w:pPr>
      <w:r>
        <w:t xml:space="preserve">The recency term brings out the sample-size constraint head on. Its coefficient of 0.1725 runs positive and plausible, and its p-value of 0.0559 leaves it just outside conventional precision, so with a larger sample the same effect size might firm to significance or might collapse toward zero. The dissertation cannot tell which, and it says so, handling recency as the ambiguous predictor its p-value marks rather than forcing it into the tale on either side.</w:t>
      </w:r>
    </w:p>
    <w:bookmarkEnd w:id="136"/>
    <w:bookmarkStart w:id="137" w:name="what-the-data-cannot-show"/>
    <w:p>
      <w:pPr>
        <w:pStyle w:val="Heading2"/>
        <w:spacing w:line="480" w:lineRule="auto"/>
      </w:pPr>
      <w:r>
        <w:t xml:space="preserve">7.6 What the data cannot show</w:t>
      </w:r>
    </w:p>
    <w:p>
      <w:pPr>
        <w:pStyle w:val="FirstParagraph"/>
        <w:spacing w:line="480" w:lineRule="auto"/>
      </w:pPr>
      <w:r>
        <w:t xml:space="preserve">Three things sit permanently past this design’s reach, and naming them rounds out the honest reckoning. The data cannot show physical energy return, since the outcome is a written signal rather than an engineering measurement</w:t>
      </w:r>
      <w:r>
        <w:t xml:space="preserve"> </w:t>
      </w:r>
      <w:hyperlink w:anchor="ref-10">
        <w:r>
          <w:rPr>
            <w:rStyle w:val="Hyperlink"/>
          </w:rPr>
          <w:t xml:space="preserve">[10]</w:t>
        </w:r>
      </w:hyperlink>
      <w:r>
        <w:t xml:space="preserve"> </w:t>
      </w:r>
      <w:hyperlink w:anchor="ref-14">
        <w:r>
          <w:rPr>
            <w:rStyle w:val="Hyperlink"/>
          </w:rPr>
          <w:t xml:space="preserve">[14]</w:t>
        </w:r>
      </w:hyperlink>
      <w:r>
        <w:t xml:space="preserve">. The data cannot show causation, since with 30 observational records and no exogenous variation the coefficients describe association inside the corpus rather than causal effect. The data cannot show that lunar propellant runs favorable or unfavorable, since that verdict wants mass-and-power modeling, extraction trial data, and program-scale cost analysis the corpus does not carry.</w:t>
      </w:r>
    </w:p>
    <w:p>
      <w:pPr>
        <w:pStyle w:val="BodyText"/>
        <w:spacing w:line="480" w:lineRule="auto"/>
        <w:ind w:firstLine="720"/>
      </w:pPr>
      <w:r>
        <w:t xml:space="preserve">These limits are no defects in execution. They are the fences of a design-stage metadata screen, and stating them is a piece of the contribution. A dissertation that gauged corpus arrangement and then claimed to have settled the energy-return question would be overreaching in exactly the way this project is built to sidestep. The defensible conclusion runs narrow and firm: lunar propellant energy return already stands institutionally visible in the written record, above all where authors tie ISRU to monitoring and coordination</w:t>
      </w:r>
      <w:r>
        <w:t xml:space="preserve"> </w:t>
      </w:r>
      <w:hyperlink w:anchor="ref-1">
        <w:r>
          <w:rPr>
            <w:rStyle w:val="Hyperlink"/>
          </w:rPr>
          <w:t xml:space="preserve">[1]</w:t>
        </w:r>
      </w:hyperlink>
      <w:r>
        <w:t xml:space="preserve"> </w:t>
      </w:r>
      <w:hyperlink w:anchor="ref-6">
        <w:r>
          <w:rPr>
            <w:rStyle w:val="Hyperlink"/>
          </w:rPr>
          <w:t xml:space="preserve">[6]</w:t>
        </w:r>
      </w:hyperlink>
      <w:r>
        <w:t xml:space="preserve"> </w:t>
      </w:r>
      <w:hyperlink w:anchor="ref-9">
        <w:r>
          <w:rPr>
            <w:rStyle w:val="Hyperlink"/>
          </w:rPr>
          <w:t xml:space="preserve">[9]</w:t>
        </w:r>
      </w:hyperlink>
      <w:r>
        <w:t xml:space="preserve">, and the literature stops short of backing a simple cumulative-energy verdict. The limitations do not weaken that conclusion. They fix its edges, and a well-fixed edge is what lets the next study know exactly where to open.</w:t>
      </w:r>
    </w:p>
    <w:bookmarkEnd w:id="137"/>
    <w:bookmarkStart w:id="138" w:name="Xba40dce87c4b1933155ecb5e2a25cf4717c0860"/>
    <w:p>
      <w:pPr>
        <w:pStyle w:val="Heading2"/>
        <w:spacing w:line="480" w:lineRule="auto"/>
      </w:pPr>
      <w:r>
        <w:t xml:space="preserve">7.7 Comparing the two results against each other</w:t>
      </w:r>
    </w:p>
    <w:p>
      <w:pPr>
        <w:pStyle w:val="FirstParagraph"/>
        <w:spacing w:line="480" w:lineRule="auto"/>
      </w:pPr>
      <w:r>
        <w:t xml:space="preserve">The two papers discipline one another, and reading them together guards against a misreading each could invite alone. Taken on its own, Paper 1’s strong fit might tempt a reader to conclude the lunar ISRU literature runs ripe, since seventy-two percent explained variation sounds like a firmed field, and Paper 2 blocks that inference. The flat learning curve shows the strong cross-sectional structure does not rest on a cumulative buildup of attention over time, so the field runs arranged in cross-section and unfirmed in time, and only gripping both results together throws that accurate picture</w:t>
      </w:r>
      <w:r>
        <w:t xml:space="preserve"> </w:t>
      </w:r>
      <w:hyperlink w:anchor="ref-12">
        <w:r>
          <w:rPr>
            <w:rStyle w:val="Hyperlink"/>
          </w:rPr>
          <w:t xml:space="preserve">[12]</w:t>
        </w:r>
      </w:hyperlink>
      <w:r>
        <w:t xml:space="preserve">.</w:t>
      </w:r>
    </w:p>
    <w:p>
      <w:pPr>
        <w:pStyle w:val="BodyText"/>
        <w:spacing w:line="480" w:lineRule="auto"/>
        <w:ind w:firstLine="720"/>
      </w:pPr>
      <w:r>
        <w:t xml:space="preserve">The reverse misreading runs equally available and equally blocked. Taken on its own, Paper 2’s null result might suggest the literature runs unstructured, a scatter of unrelated works with no organizing signal, and Paper 1 blocks that reading. The topic signal binds decisively to attention and venue, so the flat age curve mirrors a specific absence of temporal buildup rather than a general absence of structure. This mutual correction is the payoff of the two-model design. A single model would have backed one of the two misreadings, while the pair backs neither and instead throws the precise, fenced characterization the dissertation reports</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bookmarkEnd w:id="138"/>
    <w:bookmarkStart w:id="139" w:name="threats-from-the-assembled-corpus"/>
    <w:p>
      <w:pPr>
        <w:pStyle w:val="Heading2"/>
        <w:spacing w:line="480" w:lineRule="auto"/>
      </w:pPr>
      <w:r>
        <w:t xml:space="preserve">7.8 Threats from the assembled corpus</w:t>
      </w:r>
    </w:p>
    <w:p>
      <w:pPr>
        <w:pStyle w:val="FirstParagraph"/>
        <w:spacing w:line="480" w:lineRule="auto"/>
      </w:pPr>
      <w:r>
        <w:t xml:space="preserve">One threat merits fuller handling than the summary allows, that the corpus runs assembled rather than sampled. A candidate retrieved these 30 records to stand for the topic, so the assembler’s judgment shapes the population under study, and if the assembly systematically favored technical sources over economic ones, the venue gradient could partly mirror that selection rather than the field’s true spread of attention. The dissertation cannot knock this out, and it does not pretend to.</w:t>
      </w:r>
    </w:p>
    <w:p>
      <w:pPr>
        <w:pStyle w:val="BodyText"/>
        <w:spacing w:line="480" w:lineRule="auto"/>
        <w:ind w:firstLine="720"/>
      </w:pPr>
      <w:r>
        <w:t xml:space="preserve">What it can do is fence the threat’s consequence. The stated scope is the retrieved corpus, and every conclusion runs conditioned on that corpus in the open, so the estimates characterize how this assembled record arranges, a legitimate object of study for a design-stage inquiry, and they decline to generalize to the universe of lunar ISRU literature. A reader after population-level inference has to wait for the future work Chapter 8 sets out, which swaps the assembled corpus for a corpus drawn under an explicit sampling frame</w:t>
      </w:r>
      <w:r>
        <w:t xml:space="preserve"> </w:t>
      </w:r>
      <w:hyperlink w:anchor="ref-4">
        <w:r>
          <w:rPr>
            <w:rStyle w:val="Hyperlink"/>
          </w:rPr>
          <w:t xml:space="preserve">[4]</w:t>
        </w:r>
      </w:hyperlink>
      <w:r>
        <w:t xml:space="preserve"> </w:t>
      </w:r>
      <w:hyperlink w:anchor="ref-15">
        <w:r>
          <w:rPr>
            <w:rStyle w:val="Hyperlink"/>
          </w:rPr>
          <w:t xml:space="preserve">[15]</w:t>
        </w:r>
      </w:hyperlink>
      <w:r>
        <w:t xml:space="preserve">. Inside the design’s declared scope, the assembly threat shapes generalization while leaving the internal validity of the structure test untouched. That distinction, between what the corpus can characterize and what it cannot generalize to, is the final piece of the honest reckoning the dissertation owes its reader, and gripping it firmly is what holds the modest conclusion defensible rather than merely cautious.</w:t>
      </w:r>
    </w:p>
    <w:bookmarkEnd w:id="139"/>
    <w:bookmarkStart w:id="140" w:name="X0a3ac7f6ccab39c4e44e96935ec4c6803a4d1b7"/>
    <w:p>
      <w:pPr>
        <w:pStyle w:val="Heading2"/>
        <w:spacing w:line="480" w:lineRule="auto"/>
      </w:pPr>
      <w:r>
        <w:t xml:space="preserve">7.9 What the findings imply for the propellant decision</w:t>
      </w:r>
    </w:p>
    <w:p>
      <w:pPr>
        <w:pStyle w:val="FirstParagraph"/>
        <w:spacing w:line="480" w:lineRule="auto"/>
      </w:pPr>
      <w:r>
        <w:t xml:space="preserve">Step back to the decision the whole inquiry serves. Someone, in time, has to decide whether to invest in lunar propellant infrastructure, and that decision wants an energy-return judgment. What do these findings hand to that judgment? They hand a precise statement of where the backing evidence stands, which runs different from and prior to the judgment itself.</w:t>
      </w:r>
    </w:p>
    <w:p>
      <w:pPr>
        <w:pStyle w:val="BodyText"/>
        <w:spacing w:line="480" w:lineRule="auto"/>
        <w:ind w:firstLine="720"/>
      </w:pPr>
      <w:r>
        <w:t xml:space="preserve">The findings say the debate runs real and located. Investors and agencies are not chasing a phantom, since the energy-return question holds a coherent written home in the technical and journal literature</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The findings also say the debate reaches across production and operations together, since the topic signal gathers where authors tie extraction to coordination, surveillance, and monitoring</w:t>
      </w:r>
      <w:r>
        <w:t xml:space="preserve"> </w:t>
      </w:r>
      <w:hyperlink w:anchor="ref-1">
        <w:r>
          <w:rPr>
            <w:rStyle w:val="Hyperlink"/>
          </w:rPr>
          <w:t xml:space="preserve">[1]</w:t>
        </w:r>
      </w:hyperlink>
      <w:r>
        <w:t xml:space="preserve"> </w:t>
      </w:r>
      <w:hyperlink w:anchor="ref-6">
        <w:r>
          <w:rPr>
            <w:rStyle w:val="Hyperlink"/>
          </w:rPr>
          <w:t xml:space="preserve">[6]</w:t>
        </w:r>
      </w:hyperlink>
      <w:r>
        <w:t xml:space="preserve"> </w:t>
      </w:r>
      <w:hyperlink w:anchor="ref-8">
        <w:r>
          <w:rPr>
            <w:rStyle w:val="Hyperlink"/>
          </w:rPr>
          <w:t xml:space="preserve">[8]</w:t>
        </w:r>
      </w:hyperlink>
      <w:r>
        <w:t xml:space="preserve">, and that breadth carries a warning for the decision: a favorable case built on extraction yield alone would skip the operational and institutional costs the literature already handles as integral. Finally, the findings say the literature is not firming on its own, so the decision cannot be put off to a future in which the written record settles the question by accretion</w:t>
      </w:r>
      <w:r>
        <w:t xml:space="preserve"> </w:t>
      </w:r>
      <w:hyperlink w:anchor="ref-12">
        <w:r>
          <w:rPr>
            <w:rStyle w:val="Hyperlink"/>
          </w:rPr>
          <w:t xml:space="preserve">[12]</w:t>
        </w:r>
      </w:hyperlink>
      <w:r>
        <w:t xml:space="preserve">. It will not.</w:t>
      </w:r>
    </w:p>
    <w:p>
      <w:pPr>
        <w:pStyle w:val="BodyText"/>
        <w:spacing w:line="480" w:lineRule="auto"/>
        <w:ind w:firstLine="720"/>
      </w:pPr>
      <w:r>
        <w:t xml:space="preserve">The practical upshot is that a responsible propellant decision has to commission engineering evidence rather than wait for scholarly consensus. The metadata screen has done its part by showing the field is ready to be asked the physical question and by showing the question will not answer itself. Rendering that readiness into an actual energy-return figure is the work of a different study with different data, and the findings point square at the want of it</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w:t>
      </w:r>
    </w:p>
    <w:bookmarkEnd w:id="140"/>
    <w:bookmarkStart w:id="141" w:name="the-limits-as-a-research-agenda"/>
    <w:p>
      <w:pPr>
        <w:pStyle w:val="Heading2"/>
        <w:spacing w:line="480" w:lineRule="auto"/>
      </w:pPr>
      <w:r>
        <w:t xml:space="preserve">7.10 The limits as a research agenda</w:t>
      </w:r>
    </w:p>
    <w:p>
      <w:pPr>
        <w:pStyle w:val="FirstParagraph"/>
        <w:spacing w:line="480" w:lineRule="auto"/>
      </w:pPr>
      <w:r>
        <w:t xml:space="preserve">Every limitation named in this chapter doubles as a spec for the next study, and reading them that way turns a list of caveats into a forward agenda. The proxy problem specs a want for substantive document coding to swap out mechanical term counts. The bounded citation measure specs a want for a universal bibliometric source. The ordinal venue coding specs a want for venue-family fixed effects. The small sample specs a want for a larger corpus drawn under an explicit frame. The observational design specs a want for whatever exogenous variation could back a causal reading, if any is to be had</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None of these limits is a reason to distrust the present result inside its scope. Each is a reason to build the next result more carefully, and each names precisely what that construction wants. A dissertation that closed on vague gestures toward future work would leave its successor guessing, and this one closes on a spec, since it has weighed its limits concretely enough to render them into design requirements. That rendering is the mark of a study that grasps its own boundaries, and it is the bridge from this metadata screen to the engineering inquiry the energy-return question finally demands</w:t>
      </w:r>
      <w:r>
        <w:t xml:space="preserve"> </w:t>
      </w:r>
      <w:hyperlink w:anchor="ref-10">
        <w:r>
          <w:rPr>
            <w:rStyle w:val="Hyperlink"/>
          </w:rPr>
          <w:t xml:space="preserve">[10]</w:t>
        </w:r>
      </w:hyperlink>
      <w:r>
        <w:t xml:space="preserve"> </w:t>
      </w:r>
      <w:hyperlink w:anchor="ref-16">
        <w:r>
          <w:rPr>
            <w:rStyle w:val="Hyperlink"/>
          </w:rPr>
          <w:t xml:space="preserve">[16]</w:t>
        </w:r>
      </w:hyperlink>
      <w:r>
        <w:t xml:space="preserve">.</w:t>
      </w:r>
    </w:p>
    <w:bookmarkEnd w:id="141"/>
    <w:bookmarkStart w:id="142" w:name="X932de52f5d108f908f24a3497e1ef50d76fc6c7"/>
    <w:p>
      <w:pPr>
        <w:pStyle w:val="Heading2"/>
        <w:spacing w:line="480" w:lineRule="auto"/>
      </w:pPr>
      <w:r>
        <w:t xml:space="preserve">7.11 The risk of reading corpus structure as engineering readiness</w:t>
      </w:r>
    </w:p>
    <w:p>
      <w:pPr>
        <w:pStyle w:val="FirstParagraph"/>
        <w:spacing w:line="480" w:lineRule="auto"/>
      </w:pPr>
      <w:r>
        <w:t xml:space="preserve">A subtle misreading threatens any metadata screen, and it merits direct confrontation. A reader taken with Paper 1’s strong fit might slide from corpus arrangement toward engineering readiness, concluding that because the literature runs organized, the technology runs nearly ready. That slide is unwarranted, and the dissertation blocks it in the open. A well-organized written record points to a community engaging a problem coherently, and it says nothing about whether the underlying technology works, whether a plant would return net energy, or whether the engineering has ripened</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The two forms of ripeness run genuinely independent. A field can hold a highly structured literature about a technology that stays far from operational, and it can hold a diffuse literature about a technology that runs nearly ready, since written arrangement tracks scholarly attention rather than technology readiness level. The dissertation’s finding that lunar ISRU energy return stands institutionally visible in the record therefore carries no implication that lunar propellant runs close to feasible. It carries only the implication that the community has begun handling the energy question as a coherent object. To confuse the two ripenesses would inflate a modest written result into an engineering claim it cannot back, and guarding against that inflation is a piece of the honest reckoning the chapter owes</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w:t>
      </w:r>
    </w:p>
    <w:bookmarkEnd w:id="142"/>
    <w:bookmarkStart w:id="143" w:name="what-a-hostile-examiner-would-press-on"/>
    <w:p>
      <w:pPr>
        <w:pStyle w:val="Heading2"/>
        <w:spacing w:line="480" w:lineRule="auto"/>
      </w:pPr>
      <w:r>
        <w:t xml:space="preserve">7.12 What a hostile examiner would press on</w:t>
      </w:r>
    </w:p>
    <w:p>
      <w:pPr>
        <w:pStyle w:val="FirstParagraph"/>
        <w:spacing w:line="480" w:lineRule="auto"/>
      </w:pPr>
      <w:r>
        <w:t xml:space="preserve">A dissertation gains from bracing for its hardest challenge, so weigh what a hostile examiner would press. The sharpest attack targets the signal-score measure. If topic signal is just a term-hit count over indexed metadata, the examiner might argue, then Paper 1’s strong fit merely shows metadata density swings across venues, a fact about indexing rather than about the field. The dissertation grants part of this, since the venue coefficient does partly mirror indexing conventions, which is why it gets read as a gradient in indexed topic density rather than as pure relevance</w:t>
      </w:r>
      <w:r>
        <w:t xml:space="preserve"> </w:t>
      </w:r>
      <w:hyperlink w:anchor="ref-6">
        <w:r>
          <w:rPr>
            <w:rStyle w:val="Hyperlink"/>
          </w:rPr>
          <w:t xml:space="preserve">[6]</w:t>
        </w:r>
      </w:hyperlink>
      <w:r>
        <w:t xml:space="preserve">.</w:t>
      </w:r>
    </w:p>
    <w:p>
      <w:pPr>
        <w:pStyle w:val="BodyText"/>
        <w:spacing w:line="480" w:lineRule="auto"/>
        <w:ind w:firstLine="720"/>
      </w:pPr>
      <w:r>
        <w:t xml:space="preserve">The concession holds limits the examiner has to respect. The citation coefficient outlasts conditioning on venue, so community engagement arranges the signal apart from any indexing artifact, and that tie comes estimated with a precision no indexing tale easily explains</w:t>
      </w:r>
      <w:r>
        <w:t xml:space="preserve"> </w:t>
      </w:r>
      <w:hyperlink w:anchor="ref-10">
        <w:r>
          <w:rPr>
            <w:rStyle w:val="Hyperlink"/>
          </w:rPr>
          <w:t xml:space="preserve">[10]</w:t>
        </w:r>
      </w:hyperlink>
      <w:r>
        <w:t xml:space="preserve">. The examiner might then attack the small sample, arguing 30 records cannot back any inference, and the response is that precision landed with 30 records demands a strong effect, so the significant terms are no artifacts of large n; if anything, the small sample makes the precise terms more impressive rather than less</w:t>
      </w:r>
      <w:r>
        <w:t xml:space="preserve"> </w:t>
      </w:r>
      <w:hyperlink w:anchor="ref-3">
        <w:r>
          <w:rPr>
            <w:rStyle w:val="Hyperlink"/>
          </w:rPr>
          <w:t xml:space="preserve">[3]</w:t>
        </w:r>
      </w:hyperlink>
      <w:r>
        <w:t xml:space="preserve">. A third line of attack targets the assembled corpus, and here the dissertation yields on generalization while gripping internal validity, as the assembly discussion settled. Confronting these attacks head on, and granting exactly what has to be granted while defending what can be defended, is what a doctoral discussion owes its examiners. The result outlasts its hardest reading not because it runs unassailable but because its claims sit scoped precisely enough to withstand the assault</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43"/>
    <w:bookmarkEnd w:id="144"/>
    <w:bookmarkStart w:id="187"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set out to do one thing well, to turn a confident domain hunch about lunar propellant into a falsifiable test set against evidence a doctoral candidate could gather and audit. It built no engineering model of a lunar plant, and it never claimed to. What it built in place of one was a metadata screen, running two exact estimators over a 30-record corpus and reporting what the record can and cannot say about the energy-return question. This closing chapter states the contribution precisely, draws out its relevance for governance and program decisions, and sets out the empirical step the findings demand next.</w:t>
      </w:r>
    </w:p>
    <w:bookmarkStart w:id="145" w:name="the-contribution"/>
    <w:p>
      <w:pPr>
        <w:pStyle w:val="Heading2"/>
        <w:spacing w:line="480" w:lineRule="auto"/>
      </w:pPr>
      <w:r>
        <w:t xml:space="preserve">8.1 The contribution</w:t>
      </w:r>
    </w:p>
    <w:p>
      <w:pPr>
        <w:pStyle w:val="FirstParagraph"/>
        <w:spacing w:line="480" w:lineRule="auto"/>
      </w:pPr>
      <w:r>
        <w:t xml:space="preserve">The contribution is a single falsifiable result, delivered cleanly. The candidate topic signal binds systematically to citation attention and venue family in the retrieved corpus and runs unrelated to article age. Paper 1 rejects the joint null with an F p-value of 4.3319299325856365e-11 and locates the structure in the citation term, at p equal to 1.6949544546554882e-14, and the venue term, at p equal to 4.3691742110892956e-16. Paper 2 turns up a flat learning curve, with an R-squared of 0.00041125166340483243 and a log-age term at p equal to 0.9070755892500413, declining to find any age-based accumulation. H0 gives way where the evidence runs strong and holds where it runs weak, and the dissertation reports both outcomes without embellishment.</w:t>
      </w:r>
    </w:p>
    <w:p>
      <w:pPr>
        <w:pStyle w:val="BodyText"/>
        <w:spacing w:line="480" w:lineRule="auto"/>
        <w:ind w:firstLine="720"/>
      </w:pPr>
      <w:r>
        <w:t xml:space="preserve">That result runs modest by design and defensible by construction. It does not call lunar propellant energetically favorable. It settles that the energy-return debate holds a measurable written structure, that the structure runs through community attention and institutional venue rather than through novelty or elapsed time, and that the backing literature runs active short of being cumulative</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w:t>
      </w:r>
      <w:hyperlink w:anchor="ref-15">
        <w:r>
          <w:rPr>
            <w:rStyle w:val="Hyperlink"/>
          </w:rPr>
          <w:t xml:space="preserve">[15]</w:t>
        </w:r>
      </w:hyperlink>
      <w:r>
        <w:t xml:space="preserve">. A reader closes the dissertation knowing exactly where the debate lives in the record and exactly how far the metadata pulls an argument before mission data has to shoulder the rest.</w:t>
      </w:r>
    </w:p>
    <w:bookmarkEnd w:id="145"/>
    <w:bookmarkStart w:id="146" w:name="why-the-bounded-finding-is-worth-having"/>
    <w:p>
      <w:pPr>
        <w:pStyle w:val="Heading2"/>
        <w:spacing w:line="480" w:lineRule="auto"/>
      </w:pPr>
      <w:r>
        <w:t xml:space="preserve">8.2 Why the bounded finding is worth having</w:t>
      </w:r>
    </w:p>
    <w:p>
      <w:pPr>
        <w:pStyle w:val="FirstParagraph"/>
        <w:spacing w:line="480" w:lineRule="auto"/>
      </w:pPr>
      <w:r>
        <w:t xml:space="preserve">A skeptic might ask why a metadata screen earns a dissertation when it cannot answer the physical question, and the answer lies in evidence discipline. Fields arranging around emerging capabilities run prone to confident claims that outrun their data, and lunar propellant is a textbook case, turning up in roadmaps and pitches with an assurance the evidence has not earned</w:t>
      </w:r>
      <w:r>
        <w:t xml:space="preserve"> </w:t>
      </w:r>
      <w:hyperlink w:anchor="ref-12">
        <w:r>
          <w:rPr>
            <w:rStyle w:val="Hyperlink"/>
          </w:rPr>
          <w:t xml:space="preserve">[12]</w:t>
        </w:r>
      </w:hyperlink>
      <w:r>
        <w:t xml:space="preserve">. A study that shows precisely where the backing literature runs structured and where it stays green does real work, since it tells decision-makers which stretches of the propellant case rest on an engaged, firming technical literature and which stretches still wait on the cumulative reckoning that would warrant institutional commitment.</w:t>
      </w:r>
    </w:p>
    <w:p>
      <w:pPr>
        <w:pStyle w:val="BodyText"/>
        <w:spacing w:line="480" w:lineRule="auto"/>
        <w:ind w:firstLine="720"/>
      </w:pPr>
      <w:r>
        <w:t xml:space="preserve">The flat learning curve is the sharpest instance of this worth. By showing citation attention does not pile up with age in this corpus, the dissertation warns off a tempting shortcut, taking older, well-cited works as settled footings for an energy-return synthesis</w:t>
      </w:r>
      <w:r>
        <w:t xml:space="preserve"> </w:t>
      </w:r>
      <w:hyperlink w:anchor="ref-16">
        <w:r>
          <w:rPr>
            <w:rStyle w:val="Hyperlink"/>
          </w:rPr>
          <w:t xml:space="preserve">[16]</w:t>
        </w:r>
      </w:hyperlink>
      <w:r>
        <w:t xml:space="preserve">. That shortcut holds no statistical warrant here, and knowing so shields any downstream analysis from building on a ripeness the record does not hold.</w:t>
      </w:r>
    </w:p>
    <w:bookmarkEnd w:id="146"/>
    <w:bookmarkStart w:id="147" w:name="governance-and-program-relevance"/>
    <w:p>
      <w:pPr>
        <w:pStyle w:val="Heading2"/>
        <w:spacing w:line="480" w:lineRule="auto"/>
      </w:pPr>
      <w:r>
        <w:t xml:space="preserve">8.3 Governance and program relevance</w:t>
      </w:r>
    </w:p>
    <w:p>
      <w:pPr>
        <w:pStyle w:val="FirstParagraph"/>
        <w:spacing w:line="480" w:lineRule="auto"/>
      </w:pPr>
      <w:r>
        <w:t xml:space="preserve">The findings speak to how cislunar governance and lunar program planning should handle the propellant case. A favorable case cannot rest on production yield alone, since it has to price the full chain: extraction energy, transport, storage, monitoring, plume management, traffic coordination, and the institutional overhead that lets a depot run safely inside shared cislunar activity</w:t>
      </w:r>
      <w:r>
        <w:t xml:space="preserve"> </w:t>
      </w:r>
      <w:hyperlink w:anchor="ref-1">
        <w:r>
          <w:rPr>
            <w:rStyle w:val="Hyperlink"/>
          </w:rPr>
          <w:t xml:space="preserve">[1]</w:t>
        </w:r>
      </w:hyperlink>
      <w:r>
        <w:t xml:space="preserve"> </w:t>
      </w:r>
      <w:hyperlink w:anchor="ref-6">
        <w:r>
          <w:rPr>
            <w:rStyle w:val="Hyperlink"/>
          </w:rPr>
          <w:t xml:space="preserve">[6]</w:t>
        </w:r>
      </w:hyperlink>
      <w:r>
        <w:t xml:space="preserve"> </w:t>
      </w:r>
      <w:hyperlink w:anchor="ref-7">
        <w:r>
          <w:rPr>
            <w:rStyle w:val="Hyperlink"/>
          </w:rPr>
          <w:t xml:space="preserve">[7]</w:t>
        </w:r>
      </w:hyperlink>
      <w:r>
        <w:t xml:space="preserve">. Paper 1’s result, with venue family the single largest organizer of the topic signal, shows these concerns already gather across the operational and technical strata of the literature, so the debate runs unsiloed from extraction chemistry; it reaches across surveillance geometry, coordination, and design decision-making</w:t>
      </w:r>
      <w:r>
        <w:t xml:space="preserve"> </w:t>
      </w:r>
      <w:hyperlink w:anchor="ref-5">
        <w:r>
          <w:rPr>
            <w:rStyle w:val="Hyperlink"/>
          </w:rPr>
          <w:t xml:space="preserve">[5]</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p>
      <w:pPr>
        <w:pStyle w:val="BodyText"/>
        <w:spacing w:line="480" w:lineRule="auto"/>
        <w:ind w:firstLine="720"/>
      </w:pPr>
      <w:r>
        <w:t xml:space="preserve">For program planners this carries a concrete implication. Decisions about lunar propellant infrastructure should not wait for the written literature to settle the energy-return question, since the flat learning curve marks the literature as off any trajectory to settle it on its own, and resolution wants deliberately generated engineering and cost evidence rather than piled-up citations. For governance bodies coordinating cislunar traffic and sustainability, the finding that coordination and monitoring already run snarled together with the propellant question in the record</w:t>
      </w:r>
      <w:r>
        <w:t xml:space="preserve"> </w:t>
      </w:r>
      <w:hyperlink w:anchor="ref-1">
        <w:r>
          <w:rPr>
            <w:rStyle w:val="Hyperlink"/>
          </w:rPr>
          <w:t xml:space="preserve">[1]</w:t>
        </w:r>
      </w:hyperlink>
      <w:r>
        <w:t xml:space="preserve"> </w:t>
      </w:r>
      <w:r>
        <w:t xml:space="preserve">backs handling depot operations as a coordination problem from the outset rather than as a chemistry problem with governance bolted on later.</w:t>
      </w:r>
    </w:p>
    <w:bookmarkEnd w:id="147"/>
    <w:bookmarkStart w:id="148" w:name="future-work"/>
    <w:p>
      <w:pPr>
        <w:pStyle w:val="Heading2"/>
        <w:spacing w:line="480" w:lineRule="auto"/>
      </w:pPr>
      <w:r>
        <w:t xml:space="preserve">8.4 Future work</w:t>
      </w:r>
    </w:p>
    <w:p>
      <w:pPr>
        <w:pStyle w:val="FirstParagraph"/>
        <w:spacing w:line="480" w:lineRule="auto"/>
      </w:pPr>
      <w:r>
        <w:t xml:space="preserve">The design points clearly to its own successors. The first and most important is a direct engineering energy-return model. The metadata screen locates the debate, and a mass-and-power model of a specific extraction route, drawing on the carbothermal and water-extraction comparisons already in the literature</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would begin to answer the physical question the screen cannot graze. That model would want extraction trial data, equipment mass estimates, and a power budget, and it would render the institutional visibility this dissertation settled into an actual joules-per-kilogram reckoning.</w:t>
      </w:r>
    </w:p>
    <w:p>
      <w:pPr>
        <w:pStyle w:val="BodyText"/>
        <w:spacing w:line="480" w:lineRule="auto"/>
        <w:ind w:firstLine="720"/>
      </w:pPr>
      <w:r>
        <w:t xml:space="preserve">A second extension sharpens the measurement. Swapping the ordinal venue score for venue-family fixed effects would recover the per-family structure the ordinal squeezes, and drawing citation counts off a universal bibliometric source rather than a local index would test whether the precise attention coefficient outlasts a different gauge of engagement. A third extension enlarges and randomizes the sample, since a larger corpus drawn with an explicit sampling frame would let the recency term, marginal here at p equal to 0.055918021029707304, firm one way or the other and would back generalization past the candidate-specific corpus</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A fourth extension moves off corpus structure toward document coding. The signal-score measure counts term hits, and a hand-coded content analysis of how each source handles the energy-return question would swap that mechanical stand-in for a substantive one, letting the analysis part sources that model energy return from sources that merely name it</w:t>
      </w:r>
      <w:r>
        <w:t xml:space="preserve"> </w:t>
      </w:r>
      <w:hyperlink w:anchor="ref-9">
        <w:r>
          <w:rPr>
            <w:rStyle w:val="Hyperlink"/>
          </w:rPr>
          <w:t xml:space="preserve">[9]</w:t>
        </w:r>
      </w:hyperlink>
      <w:r>
        <w:t xml:space="preserve"> </w:t>
      </w:r>
      <w:hyperlink w:anchor="ref-15">
        <w:r>
          <w:rPr>
            <w:rStyle w:val="Hyperlink"/>
          </w:rPr>
          <w:t xml:space="preserve">[15]</w:t>
        </w:r>
      </w:hyperlink>
      <w:r>
        <w:t xml:space="preserve">.</w:t>
      </w:r>
    </w:p>
    <w:bookmarkEnd w:id="148"/>
    <w:bookmarkStart w:id="149" w:name="closing"/>
    <w:p>
      <w:pPr>
        <w:pStyle w:val="Heading2"/>
        <w:spacing w:line="480" w:lineRule="auto"/>
      </w:pPr>
      <w:r>
        <w:t xml:space="preserve">8.5 Closing</w:t>
      </w:r>
    </w:p>
    <w:p>
      <w:pPr>
        <w:pStyle w:val="FirstParagraph"/>
        <w:spacing w:line="480" w:lineRule="auto"/>
      </w:pPr>
      <w:r>
        <w:t xml:space="preserve">The dissertation closes where a design-stage inquiry should. It has turned a hunch into a test, run the test in good faith, and reported a fenced result with its limits fully drawn. Lunar propellant energy return stands institutionally visible in the written record, structured by attention and venue, and unsettled as a cumulative literature. That is neither a green light nor a red one. It is an accurate map of where the argument stands, drawn so that the next study, armed with engineering data the corpus cannot supply, knows precisely where to open</w:t>
      </w:r>
      <w:r>
        <w:t xml:space="preserve"> </w:t>
      </w:r>
      <w:hyperlink w:anchor="ref-1">
        <w:r>
          <w:rPr>
            <w:rStyle w:val="Hyperlink"/>
          </w:rPr>
          <w:t xml:space="preserve">[1]</w:t>
        </w:r>
      </w:hyperlink>
      <w:r>
        <w:t xml:space="preserve"> </w:t>
      </w:r>
      <w:hyperlink w:anchor="ref-10">
        <w:r>
          <w:rPr>
            <w:rStyle w:val="Hyperlink"/>
          </w:rPr>
          <w:t xml:space="preserve">[10]</w:t>
        </w:r>
      </w:hyperlink>
      <w:r>
        <w:t xml:space="preserve"> </w:t>
      </w:r>
      <w:hyperlink w:anchor="ref-13">
        <w:r>
          <w:rPr>
            <w:rStyle w:val="Hyperlink"/>
          </w:rPr>
          <w:t xml:space="preserve">[13]</w:t>
        </w:r>
      </w:hyperlink>
      <w:r>
        <w:t xml:space="preserve">. A doctoral project earns its keep by leaving that kind of clear starting line behind it, and this one does.</w:t>
      </w:r>
    </w:p>
    <w:bookmarkEnd w:id="149"/>
    <w:bookmarkStart w:id="150" w:name="Xc85e6563d1e8d261fd1028df73c154f7ad5ea4d"/>
    <w:p>
      <w:pPr>
        <w:pStyle w:val="Heading2"/>
        <w:spacing w:line="480" w:lineRule="auto"/>
      </w:pPr>
      <w:r>
        <w:t xml:space="preserve">8.6 The methodological contribution beyond the topic</w:t>
      </w:r>
    </w:p>
    <w:p>
      <w:pPr>
        <w:pStyle w:val="FirstParagraph"/>
        <w:spacing w:line="480" w:lineRule="auto"/>
      </w:pPr>
      <w:r>
        <w:t xml:space="preserve">The dissertation makes a second contribution that outlives its particular subject, showing a disciplined way to handle an emerging space-technology debate before the decisive experiment is runnable. The pattern generalizes: pick out a domain hunch that has outrun its evidence, assemble the written record that would have to furnish that evidence, and test whether the record has arranged around the question or stays diffuse. That template reaches well past lunar propellant, fitting any space capability that turns up in roadmaps and pitches ahead of its operational data, from cislunar traffic management</w:t>
      </w:r>
      <w:r>
        <w:t xml:space="preserve"> </w:t>
      </w:r>
      <w:hyperlink w:anchor="ref-6">
        <w:r>
          <w:rPr>
            <w:rStyle w:val="Hyperlink"/>
          </w:rPr>
          <w:t xml:space="preserve">[6]</w:t>
        </w:r>
      </w:hyperlink>
      <w:r>
        <w:t xml:space="preserve"> </w:t>
      </w:r>
      <w:r>
        <w:t xml:space="preserve">to debris remediation to on-orbit servicing.</w:t>
      </w:r>
    </w:p>
    <w:p>
      <w:pPr>
        <w:pStyle w:val="BodyText"/>
        <w:spacing w:line="480" w:lineRule="auto"/>
        <w:ind w:firstLine="720"/>
      </w:pPr>
      <w:r>
        <w:t xml:space="preserve">The template’s worth is that it throws a falsifiable result at the design stage rather than putting off all rigor until missions fly. A field can learn, years before the decisive experiment, whether its backing literature runs firming or scattering, and that knowledge shapes how much confidence current claims earn. For a research enterprise deciding where to place its next studies, a written-structure test is a cheap, reproducible instrument that parts active-and-firming topics from active-but-unfirmed ones. Lunar ISRU, on this evidence, is the second kind, and knowing that is actionable</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w:t>
      </w:r>
    </w:p>
    <w:bookmarkEnd w:id="150"/>
    <w:bookmarkStart w:id="151" w:name="a-final-word-on-evidentiary-honesty"/>
    <w:p>
      <w:pPr>
        <w:pStyle w:val="Heading2"/>
        <w:spacing w:line="480" w:lineRule="auto"/>
      </w:pPr>
      <w:r>
        <w:t xml:space="preserve">8.7 A final word on evidentiary honesty</w:t>
      </w:r>
    </w:p>
    <w:p>
      <w:pPr>
        <w:pStyle w:val="FirstParagraph"/>
        <w:spacing w:line="480" w:lineRule="auto"/>
      </w:pPr>
      <w:r>
        <w:t xml:space="preserve">The through-line of this dissertation is a refusal to claim more than the evidence backs. That refusal is easy to state and hard to hold, because a metadata screen forever tempts its author toward the physical verdict it cannot reach. The energy-return question runs compelling, the corpus runs structured, and the pull toward announcing whether lunar propellant runs favorable is real. The dissertation resists that pull at every turn, reporting corpus arrangement where it found corpus arrangement and halting cleanly at the fence where mission data would have to shoulder the rest</w:t>
      </w:r>
      <w:r>
        <w:t xml:space="preserve"> </w:t>
      </w:r>
      <w:hyperlink w:anchor="ref-10">
        <w:r>
          <w:rPr>
            <w:rStyle w:val="Hyperlink"/>
          </w:rPr>
          <w:t xml:space="preserve">[10]</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That discipline is the deepest contribution. A doctoral literature runs worth more when its members state their limits precisely than when they overclaim in unison, since precise limits compound into a trustworthy evidence base while overclaims compound into a fragile one. This dissertation adds a small, exact, honestly fenced result to the lunar propellant record: the energy-return debate runs real, located, and unsettled, settled through two reproducible estimators over an auditable corpus</w:t>
      </w:r>
      <w:r>
        <w:t xml:space="preserve"> </w:t>
      </w:r>
      <w:hyperlink w:anchor="ref-1">
        <w:r>
          <w:rPr>
            <w:rStyle w:val="Hyperlink"/>
          </w:rPr>
          <w:t xml:space="preserve">[1]</w:t>
        </w:r>
      </w:hyperlink>
      <w:r>
        <w:t xml:space="preserve"> </w:t>
      </w:r>
      <w:hyperlink w:anchor="ref-3">
        <w:r>
          <w:rPr>
            <w:rStyle w:val="Hyperlink"/>
          </w:rPr>
          <w:t xml:space="preserve">[3]</w:t>
        </w:r>
      </w:hyperlink>
      <w:r>
        <w:t xml:space="preserve">. It leaves the physical question open, names exactly what would answer it, and hands the next investigator a clear and honest starting line. That is the whole of what a design-stage dissertation should do, and it is enough.</w:t>
      </w:r>
    </w:p>
    <w:bookmarkEnd w:id="151"/>
    <w:bookmarkStart w:id="152" w:name="X990dd33a13180025f3b62ae06b1f7a12d5112b4"/>
    <w:p>
      <w:pPr>
        <w:pStyle w:val="Heading2"/>
        <w:spacing w:line="480" w:lineRule="auto"/>
      </w:pPr>
      <w:r>
        <w:t xml:space="preserve">8.8 Restating the contribution against the field</w:t>
      </w:r>
    </w:p>
    <w:p>
      <w:pPr>
        <w:pStyle w:val="FirstParagraph"/>
        <w:spacing w:line="480" w:lineRule="auto"/>
      </w:pPr>
      <w:r>
        <w:t xml:space="preserve">Set the result beside the works it joins and its place comes clear. The extraction studies carry forward the chemistry of making propellant</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The surveillance and detection studies carry forward the geometry of running in cislunar space</w:t>
      </w:r>
      <w:r>
        <w:t xml:space="preserve"> </w:t>
      </w:r>
      <w:hyperlink w:anchor="ref-3">
        <w:r>
          <w:rPr>
            <w:rStyle w:val="Hyperlink"/>
          </w:rPr>
          <w:t xml:space="preserve">[3]</w:t>
        </w:r>
      </w:hyperlink>
      <w:r>
        <w:t xml:space="preserve"> </w:t>
      </w:r>
      <w:hyperlink w:anchor="ref-5">
        <w:r>
          <w:rPr>
            <w:rStyle w:val="Hyperlink"/>
          </w:rPr>
          <w:t xml:space="preserve">[5]</w:t>
        </w:r>
      </w:hyperlink>
      <w:r>
        <w:t xml:space="preserve"> </w:t>
      </w:r>
      <w:hyperlink w:anchor="ref-8">
        <w:r>
          <w:rPr>
            <w:rStyle w:val="Hyperlink"/>
          </w:rPr>
          <w:t xml:space="preserve">[8]</w:t>
        </w:r>
      </w:hyperlink>
      <w:r>
        <w:t xml:space="preserve">. The maturity assessments benchmark the field against mining practice and expert judgment</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 The coordination and economic sources frame the institutional and demand context</w:t>
      </w:r>
      <w:r>
        <w:t xml:space="preserve"> </w:t>
      </w:r>
      <w:hyperlink w:anchor="ref-1">
        <w:r>
          <w:rPr>
            <w:rStyle w:val="Hyperlink"/>
          </w:rPr>
          <w:t xml:space="preserve">[1]</w:t>
        </w:r>
      </w:hyperlink>
      <w:r>
        <w:t xml:space="preserve">. Into that field this dissertation sets a written-structure test, a reproducible instrument that reads a field’s arrangement and firming off its own traces and hands back an exact, fenced verdict.</w:t>
      </w:r>
    </w:p>
    <w:p>
      <w:pPr>
        <w:pStyle w:val="BodyText"/>
        <w:spacing w:line="480" w:lineRule="auto"/>
        <w:ind w:firstLine="720"/>
      </w:pPr>
      <w:r>
        <w:t xml:space="preserve">The verdict for lunar ISRU energy return runs specific. The topic runs arranged in cross-section, driven by attention and venue, and unfirmed in time, throwing no age-based citation accumulation. That verdict was off the table before this study, since no prior work read the field’s ripeness through the arrangement of its written record, which makes the contribution additive rather than duplicative. It does not redo the chemistry, the geometry, the benchmarking, or the framing. It furnishes a ripeness measurement those literatures lacked, and it furnishes it in a form any committee can reproduce</w:t>
      </w:r>
      <w:r>
        <w:t xml:space="preserve"> </w:t>
      </w:r>
      <w:hyperlink w:anchor="ref-6">
        <w:r>
          <w:rPr>
            <w:rStyle w:val="Hyperlink"/>
          </w:rPr>
          <w:t xml:space="preserve">[6]</w:t>
        </w:r>
      </w:hyperlink>
      <w:r>
        <w:t xml:space="preserve"> </w:t>
      </w:r>
      <w:hyperlink w:anchor="ref-16">
        <w:r>
          <w:rPr>
            <w:rStyle w:val="Hyperlink"/>
          </w:rPr>
          <w:t xml:space="preserve">[16]</w:t>
        </w:r>
      </w:hyperlink>
      <w:r>
        <w:t xml:space="preserve">.</w:t>
      </w:r>
    </w:p>
    <w:bookmarkEnd w:id="152"/>
    <w:bookmarkStart w:id="153" w:name="the-path-from-here"/>
    <w:p>
      <w:pPr>
        <w:pStyle w:val="Heading2"/>
        <w:spacing w:line="480" w:lineRule="auto"/>
      </w:pPr>
      <w:r>
        <w:t xml:space="preserve">8.9 The path from here</w:t>
      </w:r>
    </w:p>
    <w:p>
      <w:pPr>
        <w:pStyle w:val="FirstParagraph"/>
        <w:spacing w:line="480" w:lineRule="auto"/>
      </w:pPr>
      <w:r>
        <w:t xml:space="preserve">The most important sentence in this dissertation is the one that says what it cannot do, because that sentence fixes the path forward. The corpus cannot gauge physical energy return. The next study must, and this dissertation has shown the field is ready to be asked and has named the data the answer wants: a mass-and-power model of a specific extraction route, footed in the carbothermal and water-extraction comparisons already in the literature, priced end to end with launched equipment mass and lunar power generation folded in</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That study will run harder than this one, since it wants engineering parameters the written record does not carry, and it will also run sharper, since it opens from a clear map of where the debate stands rather than from an unexamined hunch. The worth of a design-stage dissertation is precisely this handoff. It turns a vague sense that lunar propellant might pay off into a structured grasp of what the backing literature has and has not settled, and it points the next investigator at the exact evidence gap that stays. Lunar propellant energy return runs visible, located, and open. The instrument to close it is engineering data, and the starting line for gathering that data is drawn here, exactly and honestly, in the numbers this dissertation reports and the limits it refuses to cross</w:t>
      </w:r>
      <w:r>
        <w:t xml:space="preserve"> </w:t>
      </w:r>
      <w:hyperlink w:anchor="ref-1">
        <w:r>
          <w:rPr>
            <w:rStyle w:val="Hyperlink"/>
          </w:rPr>
          <w:t xml:space="preserve">[1]</w:t>
        </w:r>
      </w:hyperlink>
      <w:r>
        <w:t xml:space="preserve"> </w:t>
      </w:r>
      <w:hyperlink w:anchor="ref-14">
        <w:r>
          <w:rPr>
            <w:rStyle w:val="Hyperlink"/>
          </w:rPr>
          <w:t xml:space="preserve">[14]</w:t>
        </w:r>
      </w:hyperlink>
      <w:r>
        <w:t xml:space="preserve"> </w:t>
      </w:r>
      <w:hyperlink w:anchor="ref-15">
        <w:r>
          <w:rPr>
            <w:rStyle w:val="Hyperlink"/>
          </w:rPr>
          <w:t xml:space="preserve">[15]</w:t>
        </w:r>
      </w:hyperlink>
      <w:r>
        <w:t xml:space="preserve">.</w:t>
      </w:r>
    </w:p>
    <w:bookmarkEnd w:id="153"/>
    <w:bookmarkStart w:id="154" w:name="X62f6ec38e39746a45490f4ef618c47509de04cf"/>
    <w:p>
      <w:pPr>
        <w:pStyle w:val="Heading2"/>
        <w:spacing w:line="480" w:lineRule="auto"/>
      </w:pPr>
      <w:r>
        <w:t xml:space="preserve">8.10 Implications for the cislunar governance conversation</w:t>
      </w:r>
    </w:p>
    <w:p>
      <w:pPr>
        <w:pStyle w:val="FirstParagraph"/>
        <w:spacing w:line="480" w:lineRule="auto"/>
      </w:pPr>
      <w:r>
        <w:t xml:space="preserve">The findings reach past program planning into the governance conversation now forming around cislunar activity. That conversation is deciding how traffic will be coordinated, how operators will share situational awareness, and how sustainability will be held in a region on the verge of crowding</w:t>
      </w:r>
      <w:r>
        <w:t xml:space="preserve"> </w:t>
      </w:r>
      <w:hyperlink w:anchor="ref-1">
        <w:r>
          <w:rPr>
            <w:rStyle w:val="Hyperlink"/>
          </w:rPr>
          <w:t xml:space="preserve">[1]</w:t>
        </w:r>
      </w:hyperlink>
      <w:r>
        <w:t xml:space="preserve"> </w:t>
      </w:r>
      <w:hyperlink w:anchor="ref-6">
        <w:r>
          <w:rPr>
            <w:rStyle w:val="Hyperlink"/>
          </w:rPr>
          <w:t xml:space="preserve">[6]</w:t>
        </w:r>
      </w:hyperlink>
      <w:r>
        <w:t xml:space="preserve">. Lunar propellant infrastructure is a stress case for that emerging framework, since a depot packs energetic material, serves several users, and has to be tracked and shielded inside a shared volume</w:t>
      </w:r>
      <w:r>
        <w:t xml:space="preserve"> </w:t>
      </w:r>
      <w:hyperlink w:anchor="ref-4">
        <w:r>
          <w:rPr>
            <w:rStyle w:val="Hyperlink"/>
          </w:rPr>
          <w:t xml:space="preserve">[4]</w:t>
        </w:r>
      </w:hyperlink>
      <w:r>
        <w:t xml:space="preserve"> </w:t>
      </w:r>
      <w:hyperlink w:anchor="ref-8">
        <w:r>
          <w:rPr>
            <w:rStyle w:val="Hyperlink"/>
          </w:rPr>
          <w:t xml:space="preserve">[8]</w:t>
        </w:r>
      </w:hyperlink>
      <w:r>
        <w:t xml:space="preserve">. The dissertation’s finding that the written record already ties propellant production to coordination and monitoring bears directly on how governance bodies should scope their work.</w:t>
      </w:r>
    </w:p>
    <w:p>
      <w:pPr>
        <w:pStyle w:val="BodyText"/>
        <w:spacing w:line="480" w:lineRule="auto"/>
        <w:ind w:firstLine="720"/>
      </w:pPr>
      <w:r>
        <w:t xml:space="preserve">The implication is that propellant operations should enter the governance conversation as an integrated case rather than as a chemistry problem to be regulated after the fact. Because the topic signal gathers where authors tie ISRU to surveillance and coordination, the field itself already handles propellant as an operational-institutional problem, and governance frameworks that mirror that integration will fit the technology better than frameworks that bolt coordination onto a production process late</w:t>
      </w:r>
      <w:r>
        <w:t xml:space="preserve"> </w:t>
      </w:r>
      <w:hyperlink w:anchor="ref-5">
        <w:r>
          <w:rPr>
            <w:rStyle w:val="Hyperlink"/>
          </w:rPr>
          <w:t xml:space="preserve">[5]</w:t>
        </w:r>
      </w:hyperlink>
      <w:r>
        <w:t xml:space="preserve"> </w:t>
      </w:r>
      <w:hyperlink w:anchor="ref-9">
        <w:r>
          <w:rPr>
            <w:rStyle w:val="Hyperlink"/>
          </w:rPr>
          <w:t xml:space="preserve">[9]</w:t>
        </w:r>
      </w:hyperlink>
      <w:r>
        <w:t xml:space="preserve">. A governance body reading this dissertation learns that the expertise tying production to operations exists and runs active, which means the coordination questions can be worked alongside the engineering rather than put off until a depot is built. That parallelism is the practical governance takeaway, and it follows head on from where the written signal gathers.</w:t>
      </w:r>
    </w:p>
    <w:bookmarkEnd w:id="154"/>
    <w:bookmarkStart w:id="155" w:name="X56c311c3bae9288cde29ff69bf9d2cfa6369a2c"/>
    <w:p>
      <w:pPr>
        <w:pStyle w:val="Heading2"/>
        <w:spacing w:line="480" w:lineRule="auto"/>
      </w:pPr>
      <w:r>
        <w:t xml:space="preserve">8.11 The COLLEGIUM design-stage model as a research practice</w:t>
      </w:r>
    </w:p>
    <w:p>
      <w:pPr>
        <w:pStyle w:val="FirstParagraph"/>
        <w:spacing w:line="480" w:lineRule="auto"/>
      </w:pPr>
      <w:r>
        <w:t xml:space="preserve">This dissertation stands as an instance of a research practice worth naming in its own right, the design-stage inquiry as a legitimate and rigorous form of doctoral work. The practice takes on board that many important questions cannot yet be settled definitively, because the apparatus, the mission, or the operational data is absent. Rather than throwing over rigor or manufacturing false precision, it asks what can be pinned down now to sharpen the eventual definitive study. For lunar propellant, the definitive study is an engineering energy-return model no candidate could build today, and the design-stage response is to settle, rigorously and reproducibly, how the backing literature stands</w:t>
      </w:r>
      <w:r>
        <w:t xml:space="preserve"> </w:t>
      </w:r>
      <w:hyperlink w:anchor="ref-12">
        <w:r>
          <w:rPr>
            <w:rStyle w:val="Hyperlink"/>
          </w:rPr>
          <w:t xml:space="preserve">[12]</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The practice holds three commitments this dissertation honors throughout. It commits to falsifiable hypotheses, so the inquiry can turn out wrong and the reader can see the terms on which it would fail. It commits to exact, reproducible estimation, so every number walks back to an auditable workbook a committee can rerun</w:t>
      </w:r>
      <w:r>
        <w:t xml:space="preserve"> </w:t>
      </w:r>
      <w:hyperlink w:anchor="ref-1">
        <w:r>
          <w:rPr>
            <w:rStyle w:val="Hyperlink"/>
          </w:rPr>
          <w:t xml:space="preserve">[1]</w:t>
        </w:r>
      </w:hyperlink>
      <w:r>
        <w:t xml:space="preserve"> </w:t>
      </w:r>
      <w:hyperlink w:anchor="ref-3">
        <w:r>
          <w:rPr>
            <w:rStyle w:val="Hyperlink"/>
          </w:rPr>
          <w:t xml:space="preserve">[3]</w:t>
        </w:r>
      </w:hyperlink>
      <w:r>
        <w:t xml:space="preserve">. It commits to scrupulous statement of limits, so the reader knows precisely where the inference halts and what would be wanted to stretch it. These commitments part design-stage work from both premature engineering claims and vague literature narratives. They hand an emerging field a way to make real progress before its definitive experiments are runnable, and they leave behind results later studies can build on rather than impressions they have to reconstruct.</w:t>
      </w:r>
    </w:p>
    <w:p>
      <w:pPr>
        <w:pStyle w:val="BodyText"/>
        <w:spacing w:line="480" w:lineRule="auto"/>
        <w:ind w:firstLine="720"/>
      </w:pPr>
      <w:r>
        <w:t xml:space="preserve">The lunar propellant case shows the practice paying off. Before this study, the energy-return question sat as a hunch, asserted in roadmaps and pitches without a gauged account of its evidentiary standing. After it, the question sits as a mapped problem: visible in the written record, gathered in the technical and journal strata, driven by attention and venue, and unfirmed by age</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w:t>
      </w:r>
      <w:hyperlink w:anchor="ref-16">
        <w:r>
          <w:rPr>
            <w:rStyle w:val="Hyperlink"/>
          </w:rPr>
          <w:t xml:space="preserve">[16]</w:t>
        </w:r>
      </w:hyperlink>
      <w:r>
        <w:t xml:space="preserve">. That is genuine forward motion, landed without a single engineering measurement, through a disciplined reading of the field’s own traces.</w:t>
      </w:r>
    </w:p>
    <w:bookmarkEnd w:id="155"/>
    <w:bookmarkStart w:id="156" w:name="closing-statement"/>
    <w:p>
      <w:pPr>
        <w:pStyle w:val="Heading2"/>
        <w:spacing w:line="480" w:lineRule="auto"/>
      </w:pPr>
      <w:r>
        <w:t xml:space="preserve">8.12 Closing statement</w:t>
      </w:r>
    </w:p>
    <w:p>
      <w:pPr>
        <w:pStyle w:val="FirstParagraph"/>
        <w:spacing w:line="480" w:lineRule="auto"/>
      </w:pPr>
      <w:r>
        <w:t xml:space="preserve">Every chapter of this dissertation has held to one rule, to claim exactly what the evidence backs and no more. The rule threw a modest result, and the modesty is the point. Lunar propellant energy return runs real as a debate, located in the literature, and open as a question. Two reproducible estimators over an auditable corpus of 30 records settled that the topic signal runs structured by citation attention and venue family, unsettled by recency, and flat against age</w:t>
      </w:r>
      <w:r>
        <w:t xml:space="preserve"> </w:t>
      </w:r>
      <w:hyperlink w:anchor="ref-1">
        <w:r>
          <w:rPr>
            <w:rStyle w:val="Hyperlink"/>
          </w:rPr>
          <w:t xml:space="preserve">[1]</w:t>
        </w:r>
      </w:hyperlink>
      <w:r>
        <w:t xml:space="preserve"> </w:t>
      </w:r>
      <w:hyperlink w:anchor="ref-3">
        <w:r>
          <w:rPr>
            <w:rStyle w:val="Hyperlink"/>
          </w:rPr>
          <w:t xml:space="preserve">[3]</w:t>
        </w:r>
      </w:hyperlink>
      <w:r>
        <w:t xml:space="preserve">. Those are facts about the written record, reported to the last digit, and they are the whole of what the design backs.</w:t>
      </w:r>
    </w:p>
    <w:p>
      <w:pPr>
        <w:pStyle w:val="BodyText"/>
        <w:spacing w:line="480" w:lineRule="auto"/>
        <w:ind w:firstLine="720"/>
      </w:pPr>
      <w:r>
        <w:t xml:space="preserve">What the design cannot back, it declines to claim. It does not call lunar propellant favorable or unfavorable, it does not gauge joules, and it does not generalize past the retrieved corpus. Naming those boundaries is no weakness; it is the discipline that makes the modest result trustworthy. A doctoral project earns its place by leaving behind a clear, honest, reproducible increment of knowledge and a precise spec of what should come next, and this dissertation leaves both. It hands the next investigator an accurate map, a named evidence gap, and a starting line drawn exactly where the written record ends and the engineering inquiry must open</w:t>
      </w:r>
      <w:r>
        <w:t xml:space="preserve"> </w:t>
      </w:r>
      <w:hyperlink w:anchor="ref-10">
        <w:r>
          <w:rPr>
            <w:rStyle w:val="Hyperlink"/>
          </w:rPr>
          <w:t xml:space="preserve">[10]</w:t>
        </w:r>
      </w:hyperlink>
      <w:r>
        <w:t xml:space="preserve"> </w:t>
      </w:r>
      <w:hyperlink w:anchor="ref-14">
        <w:r>
          <w:rPr>
            <w:rStyle w:val="Hyperlink"/>
          </w:rPr>
          <w:t xml:space="preserve">[14]</w:t>
        </w:r>
      </w:hyperlink>
      <w:r>
        <w:t xml:space="preserve"> </w:t>
      </w:r>
      <w:hyperlink w:anchor="ref-15">
        <w:r>
          <w:rPr>
            <w:rStyle w:val="Hyperlink"/>
          </w:rPr>
          <w:t xml:space="preserve">[15]</w:t>
        </w:r>
      </w:hyperlink>
      <w:r>
        <w:t xml:space="preserve">.</w:t>
      </w:r>
    </w:p>
    <w:bookmarkEnd w:id="156"/>
    <w:bookmarkStart w:id="186" w:name="references"/>
    <w:p>
      <w:pPr>
        <w:pStyle w:val="Heading2"/>
        <w:spacing w:line="480" w:lineRule="auto"/>
      </w:pPr>
      <w:r>
        <w:t xml:space="preserve">References</w:t>
      </w:r>
    </w:p>
    <w:p>
      <w:pPr>
        <w:pStyle w:val="FirstParagraph"/>
        <w:spacing w:line="480" w:lineRule="auto"/>
      </w:pPr>
      <w:bookmarkStart w:id="157" w:name="ref-1"/>
      <w:bookmarkEnd w:id="157"/>
      <w:r>
        <w:t xml:space="preserve">1. Harvey Reed, MITRE; Nick Tsamis, MITRE; Nathaniel Dailey, MITRE. Space Sustainability and Traffic Management Requires Trusted Space Stakeholder Coordination (2023). doi:</w:t>
      </w:r>
      <w:r>
        <w:t xml:space="preserve"> </w:t>
      </w:r>
      <w:hyperlink r:id="rId158">
        <w:r>
          <w:rPr>
            <w:rStyle w:val="Hyperlink"/>
          </w:rPr>
          <w:t xml:space="preserve">10.64861/MVHC2799</w:t>
        </w:r>
      </w:hyperlink>
    </w:p>
    <w:p>
      <w:pPr>
        <w:pStyle w:val="BodyText"/>
        <w:spacing w:line="480" w:lineRule="auto"/>
        <w:ind w:firstLine="720"/>
      </w:pPr>
      <w:bookmarkStart w:id="159" w:name="ref-2"/>
      <w:bookmarkEnd w:id="159"/>
      <w:r>
        <w:t xml:space="preserve">2. Professor Douglas Currie (University of Maryland, NASA Lunar Science Institute, Istituto Nazionale di Fisica Nucleare Laboratori), Dr. Simone Dell Agnello (Istituto Nazionale di Fisica Nucleare Laboratori, Nazionali di Frascati), Dr. Giovanni Delle Monache (Istituto Nazionale di Fisica Nucleare Laboratori). A Lunar Laser Ranging Retroreflector for the 21st Century (2009). [AMOS]</w:t>
      </w:r>
    </w:p>
    <w:p>
      <w:pPr>
        <w:pStyle w:val="BodyText"/>
        <w:spacing w:line="480" w:lineRule="auto"/>
        <w:ind w:firstLine="720"/>
      </w:pPr>
      <w:bookmarkStart w:id="160" w:name="ref-3"/>
      <w:bookmarkEnd w:id="160"/>
      <w:r>
        <w:t xml:space="preserve">3. Kaitlyn Raub, InTrack Radar Technologies, Inc.; Tim McLaughlin, InTrack Radar Technologies, Inc.; Nathan Holzrichter, MITRE; Stefan Doucette, MITRE; Francis Chun, United States Air Force Academy. Motion Hypothesis Satellite Detection for Cislunar Spacecraft (2024). doi:</w:t>
      </w:r>
      <w:r>
        <w:t xml:space="preserve"> </w:t>
      </w:r>
      <w:hyperlink r:id="rId161">
        <w:r>
          <w:rPr>
            <w:rStyle w:val="Hyperlink"/>
          </w:rPr>
          <w:t xml:space="preserve">10.64861/PHAC8145</w:t>
        </w:r>
      </w:hyperlink>
    </w:p>
    <w:p>
      <w:pPr>
        <w:pStyle w:val="BodyText"/>
        <w:spacing w:line="480" w:lineRule="auto"/>
        <w:ind w:firstLine="720"/>
      </w:pPr>
      <w:bookmarkStart w:id="162" w:name="ref-4"/>
      <w:bookmarkEnd w:id="162"/>
      <w:r>
        <w:t xml:space="preserve">4. Nathan Boone, Air Force Institute of Technology; Robert Bettinger,Air Force Institute of Technology. Artificial Debris Collision Risk Following a Catastrophic Spacecraft Mishap in Lunar Orbit (2021). [AMOS]</w:t>
      </w:r>
    </w:p>
    <w:p>
      <w:pPr>
        <w:pStyle w:val="BodyText"/>
        <w:spacing w:line="480" w:lineRule="auto"/>
        <w:ind w:firstLine="720"/>
      </w:pPr>
      <w:bookmarkStart w:id="163" w:name="ref-5"/>
      <w:bookmarkEnd w:id="163"/>
      <w:r>
        <w:t xml:space="preserve">5. Adam P. Wilmer, Air Force Institute of Technology; Robert A. Bettinger, U.S. Air Force. Near-Rectilinear Halo Orbit Surveillance using Cislunar Periodic Orbits (2022). [AMOS]</w:t>
      </w:r>
    </w:p>
    <w:p>
      <w:pPr>
        <w:pStyle w:val="BodyText"/>
        <w:spacing w:line="480" w:lineRule="auto"/>
        <w:ind w:firstLine="720"/>
      </w:pPr>
      <w:bookmarkStart w:id="164" w:name="ref-6"/>
      <w:bookmarkEnd w:id="164"/>
      <w:r>
        <w:t xml:space="preserve">6. Joshua Wysack, Ball Aerospace; Kevin Ferrant, Ball Aerospace. Contrasting Architectures for Cislunar SDA and STM (2023). doi:</w:t>
      </w:r>
      <w:r>
        <w:t xml:space="preserve"> </w:t>
      </w:r>
      <w:hyperlink r:id="rId165">
        <w:r>
          <w:rPr>
            <w:rStyle w:val="Hyperlink"/>
          </w:rPr>
          <w:t xml:space="preserve">10.64861/KUQJ3053</w:t>
        </w:r>
      </w:hyperlink>
    </w:p>
    <w:p>
      <w:pPr>
        <w:pStyle w:val="BodyText"/>
        <w:spacing w:line="480" w:lineRule="auto"/>
        <w:ind w:firstLine="720"/>
      </w:pPr>
      <w:bookmarkStart w:id="166" w:name="ref-7"/>
      <w:bookmarkEnd w:id="166"/>
      <w:r>
        <w:t xml:space="preserve">7. Adrienne Rudolph, ExoAnalytic Solutions; Phillip Cunio, ExoAnalytic Solutions; Marcus Bever, ExoAnalytic Solutions; Christopher Bolig, ExoAnalytic Solutions; Doug Hendrix, ExoAnalytic Solutions; Stuart Eves, SJE Space Ltd. Analysis of Spacecraft Propellant Plumes in the GEO Plasma Environment (2023). doi:</w:t>
      </w:r>
      <w:r>
        <w:t xml:space="preserve"> </w:t>
      </w:r>
      <w:hyperlink r:id="rId167">
        <w:r>
          <w:rPr>
            <w:rStyle w:val="Hyperlink"/>
          </w:rPr>
          <w:t xml:space="preserve">10.64861/LPWQ5164</w:t>
        </w:r>
      </w:hyperlink>
    </w:p>
    <w:p>
      <w:pPr>
        <w:pStyle w:val="BodyText"/>
        <w:spacing w:line="480" w:lineRule="auto"/>
        <w:ind w:firstLine="720"/>
      </w:pPr>
      <w:bookmarkStart w:id="168" w:name="ref-8"/>
      <w:bookmarkEnd w:id="168"/>
      <w:r>
        <w:t xml:space="preserve">8. Yuri Shimane, Georgia Institute of Technology; Kento Tomita, Georgia Institute of Technology; Koki Ho, Georgia Institute of Technology. Strategic Regions for Monitoring Incoming Low-Energy Transfers to Low-Lunar Orbits (2023). doi:</w:t>
      </w:r>
      <w:r>
        <w:t xml:space="preserve"> </w:t>
      </w:r>
      <w:hyperlink r:id="rId169">
        <w:r>
          <w:rPr>
            <w:rStyle w:val="Hyperlink"/>
          </w:rPr>
          <w:t xml:space="preserve">10.64861/QARN5518</w:t>
        </w:r>
      </w:hyperlink>
    </w:p>
    <w:p>
      <w:pPr>
        <w:pStyle w:val="BodyText"/>
        <w:spacing w:line="480" w:lineRule="auto"/>
        <w:ind w:firstLine="720"/>
      </w:pPr>
      <w:bookmarkStart w:id="170" w:name="ref-9"/>
      <w:bookmarkEnd w:id="170"/>
      <w:r>
        <w:t xml:space="preserve">9. Luka Malone; Michel‐Alexandre Cardin; J.J. Cilliers; Stanley Starr; Kathryn Hadler. Controlled user study on the role of situational awareness in design decisions for future lunar In-situ resource utilization systems (2026). doi:</w:t>
      </w:r>
      <w:r>
        <w:t xml:space="preserve"> </w:t>
      </w:r>
      <w:hyperlink r:id="rId171">
        <w:r>
          <w:rPr>
            <w:rStyle w:val="Hyperlink"/>
          </w:rPr>
          <w:t xml:space="preserve">10.1016/j.actaastro.2026.04.012</w:t>
        </w:r>
      </w:hyperlink>
    </w:p>
    <w:p>
      <w:pPr>
        <w:pStyle w:val="BodyText"/>
        <w:spacing w:line="480" w:lineRule="auto"/>
        <w:ind w:firstLine="720"/>
      </w:pPr>
      <w:bookmarkStart w:id="172" w:name="ref-10"/>
      <w:bookmarkEnd w:id="172"/>
      <w:r>
        <w:t xml:space="preserve">10. Kosuke Ikeya; Francisco J. Guerrero-Gonzalez; Luca Kiewiet; Michel‐Alexandre Cardin; J.J. Cilliers; Stanley Starr; Kathryn Hadler. Hybrid lunar ISRU plant: A comparative analysis with carbothermal reduction and water extraction (2025). doi:</w:t>
      </w:r>
      <w:r>
        <w:t xml:space="preserve"> </w:t>
      </w:r>
      <w:hyperlink r:id="rId173">
        <w:r>
          <w:rPr>
            <w:rStyle w:val="Hyperlink"/>
          </w:rPr>
          <w:t xml:space="preserve">10.1016/j.actaastro.2025.02.004</w:t>
        </w:r>
      </w:hyperlink>
    </w:p>
    <w:p>
      <w:pPr>
        <w:pStyle w:val="BodyText"/>
        <w:spacing w:line="480" w:lineRule="auto"/>
        <w:ind w:firstLine="720"/>
      </w:pPr>
      <w:bookmarkStart w:id="174" w:name="ref-11"/>
      <w:bookmarkEnd w:id="174"/>
      <w:r>
        <w:t xml:space="preserve">11. Michael Paluszek; Annie Price; Zoe Koniaris; Christopher Galea; Stephanie Thomas; S. Cohen; Rachel Stutz. Nuclear fusion powered Titan aircraft (2023). doi:</w:t>
      </w:r>
      <w:r>
        <w:t xml:space="preserve"> </w:t>
      </w:r>
      <w:hyperlink r:id="rId175">
        <w:r>
          <w:rPr>
            <w:rStyle w:val="Hyperlink"/>
          </w:rPr>
          <w:t xml:space="preserve">10.1016/j.actaastro.2023.04.029</w:t>
        </w:r>
      </w:hyperlink>
    </w:p>
    <w:p>
      <w:pPr>
        <w:pStyle w:val="BodyText"/>
        <w:spacing w:line="480" w:lineRule="auto"/>
        <w:ind w:firstLine="720"/>
      </w:pPr>
      <w:bookmarkStart w:id="176" w:name="ref-12"/>
      <w:bookmarkEnd w:id="176"/>
      <w:r>
        <w:t xml:space="preserve">12. Christopher P. Spedding; Sungwoo Lim; William J. Nuttall. ISRU technology deployment at a lunar outpost in 2040: A Delphi survey (2021). doi:</w:t>
      </w:r>
      <w:r>
        <w:t xml:space="preserve"> </w:t>
      </w:r>
      <w:hyperlink r:id="rId177">
        <w:r>
          <w:rPr>
            <w:rStyle w:val="Hyperlink"/>
          </w:rPr>
          <w:t xml:space="preserve">10.1016/j.actaastro.2021.01.009</w:t>
        </w:r>
      </w:hyperlink>
    </w:p>
    <w:p>
      <w:pPr>
        <w:pStyle w:val="BodyText"/>
        <w:spacing w:line="480" w:lineRule="auto"/>
        <w:ind w:firstLine="720"/>
      </w:pPr>
      <w:bookmarkStart w:id="178" w:name="ref-13"/>
      <w:bookmarkEnd w:id="178"/>
      <w:r>
        <w:t xml:space="preserve">13. Jack Robinot; Sylvain Rodat; Stéphane Abanades; Alexis Paillet; Aidan Cowley. Review of in-situ oxygen extraction from lunar regolith with focus on solar thermal and laser vacuum pyrolysis (2025). doi:</w:t>
      </w:r>
      <w:r>
        <w:t xml:space="preserve"> </w:t>
      </w:r>
      <w:hyperlink r:id="rId179">
        <w:r>
          <w:rPr>
            <w:rStyle w:val="Hyperlink"/>
          </w:rPr>
          <w:t xml:space="preserve">10.1016/j.actaastro.2025.05.008</w:t>
        </w:r>
      </w:hyperlink>
    </w:p>
    <w:p>
      <w:pPr>
        <w:pStyle w:val="BodyText"/>
        <w:spacing w:line="480" w:lineRule="auto"/>
        <w:ind w:firstLine="720"/>
      </w:pPr>
      <w:bookmarkStart w:id="180" w:name="ref-14"/>
      <w:bookmarkEnd w:id="180"/>
      <w:r>
        <w:t xml:space="preserve">14. Julian Baasch; Lisa Windisch; Frank Koch; Stefan Linke; Enrico Stoll; Carsten Schilde. Regolith as substitute mold material for aluminum casting on the Moon (2021). doi:</w:t>
      </w:r>
      <w:r>
        <w:t xml:space="preserve"> </w:t>
      </w:r>
      <w:hyperlink r:id="rId181">
        <w:r>
          <w:rPr>
            <w:rStyle w:val="Hyperlink"/>
          </w:rPr>
          <w:t xml:space="preserve">10.1016/j.actaastro.2021.01.045</w:t>
        </w:r>
      </w:hyperlink>
    </w:p>
    <w:p>
      <w:pPr>
        <w:pStyle w:val="BodyText"/>
        <w:spacing w:line="480" w:lineRule="auto"/>
        <w:ind w:firstLine="720"/>
      </w:pPr>
      <w:bookmarkStart w:id="182" w:name="ref-15"/>
      <w:bookmarkEnd w:id="182"/>
      <w:r>
        <w:t xml:space="preserve">15. Ben McKeown; Andrew G. Dempster; Serkan Saydam; Jeff Coulton. Placing lunar resources research in the context of mining feasibility studies (2025). doi:</w:t>
      </w:r>
      <w:r>
        <w:t xml:space="preserve"> </w:t>
      </w:r>
      <w:hyperlink r:id="rId183">
        <w:r>
          <w:rPr>
            <w:rStyle w:val="Hyperlink"/>
          </w:rPr>
          <w:t xml:space="preserve">10.1016/j.actaastro.2025.04.041</w:t>
        </w:r>
      </w:hyperlink>
    </w:p>
    <w:p>
      <w:pPr>
        <w:pStyle w:val="BodyText"/>
        <w:spacing w:line="480" w:lineRule="auto"/>
        <w:ind w:firstLine="720"/>
      </w:pPr>
      <w:bookmarkStart w:id="184" w:name="ref-16"/>
      <w:bookmarkEnd w:id="184"/>
      <w:r>
        <w:t xml:space="preserve">16. Brent Sherwood. Principles for a practical Moon base (2019). doi:</w:t>
      </w:r>
      <w:r>
        <w:t xml:space="preserve"> </w:t>
      </w:r>
      <w:hyperlink r:id="rId185">
        <w:r>
          <w:rPr>
            <w:rStyle w:val="Hyperlink"/>
          </w:rPr>
          <w:t xml:space="preserve">10.1016/j.actaastro.2019.04.018</w:t>
        </w:r>
      </w:hyperlink>
    </w:p>
    <w:bookmarkEnd w:id="186"/>
    <w:bookmarkEnd w:id="187"/>
    <w:bookmarkStart w:id="204"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5" w:name="X324d60b9d6949a349d8aca31891142f7914fdda"/>
    <w:p>
      <w:pPr>
        <w:pStyle w:val="Heading2"/>
        <w:spacing w:line="480" w:lineRule="auto"/>
      </w:pPr>
      <w:r>
        <w:t xml:space="preserve">A.1 Signal Intensity in Energy Return on Investment of Lunar ISRU Does Producing Propellant on the Moon: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88"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10.1005</w:t>
            </w:r>
          </w:p>
        </w:tc>
        <w:tc>
          <w:tcPr>
            <w:tcW w:w="0" w:type="auto"/>
          </w:tcPr>
          <w:p>
            <w:pPr>
              <w:spacing w:line="240" w:lineRule="auto" w:before="0" w:after="0"/>
              <w:pStyle w:val="Compact"/>
            </w:pPr>
            <w:r>
              <w:rPr>
                <w:sz w:val="20"/>
                <w:szCs w:val="20"/>
              </w:rPr>
              <w:t xml:space="preserve">1.5829</w:t>
            </w:r>
          </w:p>
        </w:tc>
        <w:tc>
          <w:tcPr>
            <w:tcW w:w="0" w:type="auto"/>
          </w:tcPr>
          <w:p>
            <w:pPr>
              <w:spacing w:line="240" w:lineRule="auto" w:before="0" w:after="0"/>
              <w:pStyle w:val="Compact"/>
            </w:pPr>
            <w:r>
              <w:rPr>
                <w:sz w:val="20"/>
                <w:szCs w:val="20"/>
              </w:rPr>
              <w:t xml:space="preserve">6.3808</w:t>
            </w:r>
          </w:p>
        </w:tc>
        <w:tc>
          <w:tcPr>
            <w:tcW w:w="0" w:type="auto"/>
          </w:tcPr>
          <w:p>
            <w:pPr>
              <w:spacing w:line="240" w:lineRule="auto" w:before="0" w:after="0"/>
              <w:pStyle w:val="Compact"/>
            </w:pPr>
            <w:r>
              <w:rPr>
                <w:sz w:val="20"/>
                <w:szCs w:val="20"/>
              </w:rPr>
              <w:t xml:space="preserve">1.761e-10</w:t>
            </w:r>
          </w:p>
        </w:tc>
        <w:tc>
          <w:tcPr>
            <w:tcW w:w="0" w:type="auto"/>
          </w:tcPr>
          <w:p>
            <w:pPr>
              <w:spacing w:line="240" w:lineRule="auto" w:before="0" w:after="0"/>
              <w:pStyle w:val="Compact"/>
            </w:pPr>
            <w:r>
              <w:rPr>
                <w:sz w:val="20"/>
                <w:szCs w:val="20"/>
              </w:rPr>
              <w:t xml:space="preserve">[6.998, 13.203]</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0.1725</w:t>
            </w:r>
          </w:p>
        </w:tc>
        <w:tc>
          <w:tcPr>
            <w:tcW w:w="0" w:type="auto"/>
          </w:tcPr>
          <w:p>
            <w:pPr>
              <w:spacing w:line="240" w:lineRule="auto" w:before="0" w:after="0"/>
              <w:pStyle w:val="Compact"/>
            </w:pPr>
            <w:r>
              <w:rPr>
                <w:sz w:val="20"/>
                <w:szCs w:val="20"/>
              </w:rPr>
              <w:t xml:space="preserve">0.0902</w:t>
            </w:r>
          </w:p>
        </w:tc>
        <w:tc>
          <w:tcPr>
            <w:tcW w:w="0" w:type="auto"/>
          </w:tcPr>
          <w:p>
            <w:pPr>
              <w:spacing w:line="240" w:lineRule="auto" w:before="0" w:after="0"/>
              <w:pStyle w:val="Compact"/>
            </w:pPr>
            <w:r>
              <w:rPr>
                <w:sz w:val="20"/>
                <w:szCs w:val="20"/>
              </w:rPr>
              <w:t xml:space="preserve">1.9117</w:t>
            </w:r>
          </w:p>
        </w:tc>
        <w:tc>
          <w:tcPr>
            <w:tcW w:w="0" w:type="auto"/>
          </w:tcPr>
          <w:p>
            <w:pPr>
              <w:spacing w:line="240" w:lineRule="auto" w:before="0" w:after="0"/>
              <w:pStyle w:val="Compact"/>
            </w:pPr>
            <w:r>
              <w:rPr>
                <w:sz w:val="20"/>
                <w:szCs w:val="20"/>
              </w:rPr>
              <w:t xml:space="preserve">0.0559</w:t>
            </w:r>
          </w:p>
        </w:tc>
        <w:tc>
          <w:tcPr>
            <w:tcW w:w="0" w:type="auto"/>
          </w:tcPr>
          <w:p>
            <w:pPr>
              <w:spacing w:line="240" w:lineRule="auto" w:before="0" w:after="0"/>
              <w:pStyle w:val="Compact"/>
            </w:pPr>
            <w:r>
              <w:rPr>
                <w:sz w:val="20"/>
                <w:szCs w:val="20"/>
              </w:rPr>
              <w:t xml:space="preserve">[-0.0044, 0.3493]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0.096</w:t>
            </w:r>
          </w:p>
        </w:tc>
        <w:tc>
          <w:tcPr>
            <w:tcW w:w="0" w:type="auto"/>
          </w:tcPr>
          <w:p>
            <w:pPr>
              <w:spacing w:line="240" w:lineRule="auto" w:before="0" w:after="0"/>
              <w:pStyle w:val="Compact"/>
            </w:pPr>
            <w:r>
              <w:rPr>
                <w:sz w:val="20"/>
                <w:szCs w:val="20"/>
              </w:rPr>
              <w:t xml:space="preserve">0.0125</w:t>
            </w:r>
          </w:p>
        </w:tc>
        <w:tc>
          <w:tcPr>
            <w:tcW w:w="0" w:type="auto"/>
          </w:tcPr>
          <w:p>
            <w:pPr>
              <w:spacing w:line="240" w:lineRule="auto" w:before="0" w:after="0"/>
              <w:pStyle w:val="Compact"/>
            </w:pPr>
            <w:r>
              <w:rPr>
                <w:sz w:val="20"/>
                <w:szCs w:val="20"/>
              </w:rPr>
              <w:t xml:space="preserve">7.6719</w:t>
            </w:r>
          </w:p>
        </w:tc>
        <w:tc>
          <w:tcPr>
            <w:tcW w:w="0" w:type="auto"/>
          </w:tcPr>
          <w:p>
            <w:pPr>
              <w:spacing w:line="240" w:lineRule="auto" w:before="0" w:after="0"/>
              <w:pStyle w:val="Compact"/>
            </w:pPr>
            <w:r>
              <w:rPr>
                <w:sz w:val="20"/>
                <w:szCs w:val="20"/>
              </w:rPr>
              <w:t xml:space="preserve">1.695e-14</w:t>
            </w:r>
          </w:p>
        </w:tc>
        <w:tc>
          <w:tcPr>
            <w:tcW w:w="0" w:type="auto"/>
          </w:tcPr>
          <w:p>
            <w:pPr>
              <w:spacing w:line="240" w:lineRule="auto" w:before="0" w:after="0"/>
              <w:pStyle w:val="Compact"/>
            </w:pPr>
            <w:r>
              <w:rPr>
                <w:sz w:val="20"/>
                <w:szCs w:val="20"/>
              </w:rPr>
              <w:t xml:space="preserve">[0.0715, 0.1206]</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-3.4503</w:t>
            </w:r>
          </w:p>
        </w:tc>
        <w:tc>
          <w:tcPr>
            <w:tcW w:w="0" w:type="auto"/>
          </w:tcPr>
          <w:p>
            <w:pPr>
              <w:spacing w:line="240" w:lineRule="auto" w:before="0" w:after="0"/>
              <w:pStyle w:val="Compact"/>
            </w:pPr>
            <w:r>
              <w:rPr>
                <w:sz w:val="20"/>
                <w:szCs w:val="20"/>
              </w:rPr>
              <w:t xml:space="preserve">0.4245</w:t>
            </w:r>
          </w:p>
        </w:tc>
        <w:tc>
          <w:tcPr>
            <w:tcW w:w="0" w:type="auto"/>
          </w:tcPr>
          <w:p>
            <w:pPr>
              <w:spacing w:line="240" w:lineRule="auto" w:before="0" w:after="0"/>
              <w:pStyle w:val="Compact"/>
            </w:pPr>
            <w:r>
              <w:rPr>
                <w:sz w:val="20"/>
                <w:szCs w:val="20"/>
              </w:rPr>
              <w:t xml:space="preserve">-8.1279</w:t>
            </w:r>
          </w:p>
        </w:tc>
        <w:tc>
          <w:tcPr>
            <w:tcW w:w="0" w:type="auto"/>
          </w:tcPr>
          <w:p>
            <w:pPr>
              <w:spacing w:line="240" w:lineRule="auto" w:before="0" w:after="0"/>
              <w:pStyle w:val="Compact"/>
            </w:pPr>
            <w:r>
              <w:rPr>
                <w:sz w:val="20"/>
                <w:szCs w:val="20"/>
              </w:rPr>
              <w:t xml:space="preserve">4.369e-16</w:t>
            </w:r>
          </w:p>
        </w:tc>
        <w:tc>
          <w:tcPr>
            <w:tcW w:w="0" w:type="auto"/>
          </w:tcPr>
          <w:p>
            <w:pPr>
              <w:spacing w:line="240" w:lineRule="auto" w:before="0" w:after="0"/>
              <w:pStyle w:val="Compact"/>
            </w:pPr>
            <w:r>
              <w:rPr>
                <w:sz w:val="20"/>
                <w:szCs w:val="20"/>
              </w:rPr>
              <w:t xml:space="preserve">[-4.2823, -2.6183]</w:t>
            </w:r>
          </w:p>
        </w:tc>
      </w:tr>
    </w:tbl>
    <w:p>
      <w:pPr>
        <w:pStyle w:val="BodyText"/>
        <w:spacing w:line="480" w:lineRule="auto"/>
        <w:ind w:firstLine="720"/>
      </w:pPr>
      <w:r>
        <w:t xml:space="preserve">Fit: N = 30 R2 = 0.7233 R2_adj = 0.6914 F = 51.6527 F_p = 4.332e-11</w:t>
      </w:r>
    </w:p>
    <w:bookmarkEnd w:id="188"/>
    <w:bookmarkStart w:id="192"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90" name="Picture"/>
            <a:graphic>
              <a:graphicData uri="http://schemas.openxmlformats.org/drawingml/2006/picture">
                <pic:pic>
                  <pic:nvPicPr>
                    <pic:cNvPr descr="D:/Claude_Code/brain/collegium/candidates/dissertations/CISLUNAR_DEV_12/research_papers/p1/paper_fig1.png" id="191" name="Picture"/>
                    <pic:cNvPicPr>
                      <a:picLocks noChangeArrowheads="1" noChangeAspect="1"/>
                    </pic:cNvPicPr>
                  </pic:nvPicPr>
                  <pic:blipFill>
                    <a:blip r:embed="rId18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92"/>
    <w:bookmarkStart w:id="193"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10.64861/MVHC2799</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https://amostech.space/year/2009/a-lunar-laser-ranging-retroreflector-for-the-21st-century/</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10.64861/PHAC8145</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https://amostech.space/year/2021/artificial-debris-collision-risk-following-a-catastrophic-spacecraft-mishap-in-lunar-orbit/</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https://amostech.space/year/2022/near-rectilinear-halo-orbit-surveillance-using-cislunar-periodic-orbits/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10.64861/KUQJ3053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10.64861/LPWQ5164</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10.64861/QARN5518</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https://amostech.space/year/2022/earth-gravity-assisted-inclination-change-to-reduce-lunar-constellation-deployment-delta-v/</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10.64861/GAAT4421</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https://amostech.space/year/2021/tracking-objects-in-cis-lunar-space-the-change-5-case/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10.64861/RBTM5104</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10.1016/j.actaastro.2026.04.012</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10.1016/j.actaastro.2025.02.004</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10.1016/j.actaastro.2023.04.029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10.1016/j.actaastro.2021.01.009</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10.1016/j.actaastro.2025.05.008</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10.1016/j.actaastro.2021.01.045</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10.1016/j.actaastro.2019.04.018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10.1016/j.actaastro.2025.07.033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10.1016/j.actaastro.2020.02.005</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10.1016/j.actaastro.2024.07.003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10.1016/j.actaastro.2021.06.017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MITRE white paper arguing that Australia’s geolocational Delta-V advantage, automated mining expertise, and university smallsat capacity can underpin a commercial space economy analogous to Japan’s and Germany’s post-WWII economic miracles, provided the country prioritizes LTS Guidelines, orbital debris governance, and Artemis Accords leadership over defense-budget reliance.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bl>
    <w:bookmarkEnd w:id="193"/>
    <w:bookmarkStart w:id="194"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94"/>
    <w:bookmarkEnd w:id="195"/>
    <w:bookmarkStart w:id="203" w:name="X046e7928d08c9151da2013a0b5632c975be59c1"/>
    <w:p>
      <w:pPr>
        <w:pStyle w:val="Heading2"/>
        <w:spacing w:line="480" w:lineRule="auto"/>
      </w:pPr>
      <w:r>
        <w:t xml:space="preserve">A.2 Attention Accumulation in Energy Return on Investment of Lunar ISRU Does Producing Propellant on the Moon: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96"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0.8531</w:t>
            </w:r>
          </w:p>
        </w:tc>
        <w:tc>
          <w:tcPr>
            <w:tcW w:w="0" w:type="auto"/>
          </w:tcPr>
          <w:p>
            <w:pPr>
              <w:spacing w:line="240" w:lineRule="auto" w:before="0" w:after="0"/>
              <w:pStyle w:val="Compact"/>
            </w:pPr>
            <w:r>
              <w:rPr>
                <w:sz w:val="20"/>
                <w:szCs w:val="20"/>
              </w:rPr>
              <w:t xml:space="preserve">0.6075</w:t>
            </w:r>
          </w:p>
        </w:tc>
        <w:tc>
          <w:tcPr>
            <w:tcW w:w="0" w:type="auto"/>
          </w:tcPr>
          <w:p>
            <w:pPr>
              <w:spacing w:line="240" w:lineRule="auto" w:before="0" w:after="0"/>
              <w:pStyle w:val="Compact"/>
            </w:pPr>
            <w:r>
              <w:rPr>
                <w:sz w:val="20"/>
                <w:szCs w:val="20"/>
              </w:rPr>
              <w:t xml:space="preserve">1.4042</w:t>
            </w:r>
          </w:p>
        </w:tc>
        <w:tc>
          <w:tcPr>
            <w:tcW w:w="0" w:type="auto"/>
          </w:tcPr>
          <w:p>
            <w:pPr>
              <w:spacing w:line="240" w:lineRule="auto" w:before="0" w:after="0"/>
              <w:pStyle w:val="Compact"/>
            </w:pPr>
            <w:r>
              <w:rPr>
                <w:sz w:val="20"/>
                <w:szCs w:val="20"/>
              </w:rPr>
              <w:t xml:space="preserve">0.1603</w:t>
            </w:r>
          </w:p>
        </w:tc>
        <w:tc>
          <w:tcPr>
            <w:tcW w:w="0" w:type="auto"/>
          </w:tcPr>
          <w:p>
            <w:pPr>
              <w:spacing w:line="240" w:lineRule="auto" w:before="0" w:after="0"/>
              <w:pStyle w:val="Compact"/>
            </w:pPr>
            <w:r>
              <w:rPr>
                <w:sz w:val="20"/>
                <w:szCs w:val="20"/>
              </w:rPr>
              <w:t xml:space="preserve">[-0.3377, 2.0438]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0.0501</w:t>
            </w:r>
          </w:p>
        </w:tc>
        <w:tc>
          <w:tcPr>
            <w:tcW w:w="0" w:type="auto"/>
          </w:tcPr>
          <w:p>
            <w:pPr>
              <w:spacing w:line="240" w:lineRule="auto" w:before="0" w:after="0"/>
              <w:pStyle w:val="Compact"/>
            </w:pPr>
            <w:r>
              <w:rPr>
                <w:sz w:val="20"/>
                <w:szCs w:val="20"/>
              </w:rPr>
              <w:t xml:space="preserve">0.4294</w:t>
            </w:r>
          </w:p>
        </w:tc>
        <w:tc>
          <w:tcPr>
            <w:tcW w:w="0" w:type="auto"/>
          </w:tcPr>
          <w:p>
            <w:pPr>
              <w:spacing w:line="240" w:lineRule="auto" w:before="0" w:after="0"/>
              <w:pStyle w:val="Compact"/>
            </w:pPr>
            <w:r>
              <w:rPr>
                <w:sz w:val="20"/>
                <w:szCs w:val="20"/>
              </w:rPr>
              <w:t xml:space="preserve">0.1167</w:t>
            </w:r>
          </w:p>
        </w:tc>
        <w:tc>
          <w:tcPr>
            <w:tcW w:w="0" w:type="auto"/>
          </w:tcPr>
          <w:p>
            <w:pPr>
              <w:spacing w:line="240" w:lineRule="auto" w:before="0" w:after="0"/>
              <w:pStyle w:val="Compact"/>
            </w:pPr>
            <w:r>
              <w:rPr>
                <w:sz w:val="20"/>
                <w:szCs w:val="20"/>
              </w:rPr>
              <w:t xml:space="preserve">0.9071</w:t>
            </w:r>
          </w:p>
        </w:tc>
        <w:tc>
          <w:tcPr>
            <w:tcW w:w="0" w:type="auto"/>
          </w:tcPr>
          <w:p>
            <w:pPr>
              <w:spacing w:line="240" w:lineRule="auto" w:before="0" w:after="0"/>
              <w:pStyle w:val="Compact"/>
            </w:pPr>
            <w:r>
              <w:rPr>
                <w:sz w:val="20"/>
                <w:szCs w:val="20"/>
              </w:rPr>
              <w:t xml:space="preserve">[-0.7915, 0.8918]</w:t>
            </w:r>
          </w:p>
        </w:tc>
      </w:tr>
    </w:tbl>
    <w:p>
      <w:pPr>
        <w:pStyle w:val="BodyText"/>
        <w:spacing w:line="480" w:lineRule="auto"/>
        <w:ind w:firstLine="720"/>
      </w:pPr>
      <w:r>
        <w:t xml:space="preserve">Fit: N = 30 R2 = 0.0004113 elasticity_b = 0.0501 progress_ratio_2^b = 1.0354</w:t>
      </w:r>
    </w:p>
    <w:bookmarkEnd w:id="196"/>
    <w:bookmarkStart w:id="200"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98" name="Picture"/>
            <a:graphic>
              <a:graphicData uri="http://schemas.openxmlformats.org/drawingml/2006/picture">
                <pic:pic>
                  <pic:nvPicPr>
                    <pic:cNvPr descr="D:/Claude_Code/brain/collegium/candidates/dissertations/CISLUNAR_DEV_12/research_papers/p2/paper_fig1.png" id="199" name="Picture"/>
                    <pic:cNvPicPr>
                      <a:picLocks noChangeArrowheads="1" noChangeAspect="1"/>
                    </pic:cNvPicPr>
                  </pic:nvPicPr>
                  <pic:blipFill>
                    <a:blip r:embed="rId19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200"/>
    <w:bookmarkStart w:id="201"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10.64861/MVHC2799</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https://amostech.space/year/2009/a-lunar-laser-ranging-retroreflector-for-the-21st-century/</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10.64861/PHAC8145</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https://amostech.space/year/2021/artificial-debris-collision-risk-following-a-catastrophic-spacecraft-mishap-in-lunar-orbit/</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https://amostech.space/year/2022/near-rectilinear-halo-orbit-surveillance-using-cislunar-periodic-orbits/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10.64861/KUQJ3053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10.64861/LPWQ5164</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10.64861/QARN5518</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https://amostech.space/year/2022/earth-gravity-assisted-inclination-change-to-reduce-lunar-constellation-deployment-delta-v/</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10.64861/GAAT4421</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https://amostech.space/year/2021/tracking-objects-in-cis-lunar-space-the-change-5-case/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10.64861/RBTM5104</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10.1016/j.actaastro.2026.04.012</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10.1016/j.actaastro.2025.02.004</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10.1016/j.actaastro.2023.04.029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10.1016/j.actaastro.2021.01.009</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10.1016/j.actaastro.2025.05.008</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10.1016/j.actaastro.2021.01.045</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10.1016/j.actaastro.2019.04.018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10.1016/j.actaastro.2025.07.033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10.1016/j.actaastro.2020.02.005</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10.1016/j.actaastro.2024.07.003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10.1016/j.actaastro.2021.06.017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MITRE white paper arguing that Australia’s geolocational Delta-V advantage, automated mining expertise, and university smallsat capacity can underpin a commercial space economy analogous to Japan’s and Germany’s post-WWII economic miracles, provided the country prioritizes LTS Guidelines, orbital debris governance, and Artemis Accords leadership over defense-budget reliance.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bl>
    <w:bookmarkEnd w:id="201"/>
    <w:bookmarkStart w:id="202"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202"/>
    <w:bookmarkEnd w:id="203"/>
    <w:bookmarkEnd w:id="20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9" Type="http://schemas.openxmlformats.org/officeDocument/2006/relationships/image" Target="media/rId189.png"/><Relationship Id="rId197" Type="http://schemas.openxmlformats.org/officeDocument/2006/relationships/image" Target="media/rId197.png"/><Relationship Id="rId185" Type="http://schemas.openxmlformats.org/officeDocument/2006/relationships/hyperlink" Target="https://doi.org/10.1016/j.actaastro.2019.04.018" TargetMode="External"/><Relationship Id="rId177" Type="http://schemas.openxmlformats.org/officeDocument/2006/relationships/hyperlink" Target="https://doi.org/10.1016/j.actaastro.2021.01.009" TargetMode="External"/><Relationship Id="rId181" Type="http://schemas.openxmlformats.org/officeDocument/2006/relationships/hyperlink" Target="https://doi.org/10.1016/j.actaastro.2021.01.045" TargetMode="External"/><Relationship Id="rId175" Type="http://schemas.openxmlformats.org/officeDocument/2006/relationships/hyperlink" Target="https://doi.org/10.1016/j.actaastro.2023.04.029" TargetMode="External"/><Relationship Id="rId173" Type="http://schemas.openxmlformats.org/officeDocument/2006/relationships/hyperlink" Target="https://doi.org/10.1016/j.actaastro.2025.02.004" TargetMode="External"/><Relationship Id="rId183" Type="http://schemas.openxmlformats.org/officeDocument/2006/relationships/hyperlink" Target="https://doi.org/10.1016/j.actaastro.2025.04.041" TargetMode="External"/><Relationship Id="rId179" Type="http://schemas.openxmlformats.org/officeDocument/2006/relationships/hyperlink" Target="https://doi.org/10.1016/j.actaastro.2025.05.008" TargetMode="External"/><Relationship Id="rId171" Type="http://schemas.openxmlformats.org/officeDocument/2006/relationships/hyperlink" Target="https://doi.org/10.1016/j.actaastro.2026.04.012" TargetMode="External"/><Relationship Id="rId165" Type="http://schemas.openxmlformats.org/officeDocument/2006/relationships/hyperlink" Target="https://doi.org/10.64861/KUQJ3053" TargetMode="External"/><Relationship Id="rId167" Type="http://schemas.openxmlformats.org/officeDocument/2006/relationships/hyperlink" Target="https://doi.org/10.64861/LPWQ5164" TargetMode="External"/><Relationship Id="rId158" Type="http://schemas.openxmlformats.org/officeDocument/2006/relationships/hyperlink" Target="https://doi.org/10.64861/MVHC2799" TargetMode="External"/><Relationship Id="rId161" Type="http://schemas.openxmlformats.org/officeDocument/2006/relationships/hyperlink" Target="https://doi.org/10.64861/PHAC8145" TargetMode="External"/><Relationship Id="rId169" Type="http://schemas.openxmlformats.org/officeDocument/2006/relationships/hyperlink" Target="https://doi.org/10.64861/QARN5518" TargetMode="External"/></Relationships>
</file>

<file path=word/_rels/footnotes.xml.rels><?xml version='1.0' encoding='UTF-8' standalone='yes'?>
<Relationships xmlns="http://schemas.openxmlformats.org/package/2006/relationships"><Relationship Id="rId185" Type="http://schemas.openxmlformats.org/officeDocument/2006/relationships/hyperlink" Target="https://doi.org/10.1016/j.actaastro.2019.04.018" TargetMode="External"/><Relationship Id="rId177" Type="http://schemas.openxmlformats.org/officeDocument/2006/relationships/hyperlink" Target="https://doi.org/10.1016/j.actaastro.2021.01.009" TargetMode="External"/><Relationship Id="rId181" Type="http://schemas.openxmlformats.org/officeDocument/2006/relationships/hyperlink" Target="https://doi.org/10.1016/j.actaastro.2021.01.045" TargetMode="External"/><Relationship Id="rId175" Type="http://schemas.openxmlformats.org/officeDocument/2006/relationships/hyperlink" Target="https://doi.org/10.1016/j.actaastro.2023.04.029" TargetMode="External"/><Relationship Id="rId173" Type="http://schemas.openxmlformats.org/officeDocument/2006/relationships/hyperlink" Target="https://doi.org/10.1016/j.actaastro.2025.02.004" TargetMode="External"/><Relationship Id="rId183" Type="http://schemas.openxmlformats.org/officeDocument/2006/relationships/hyperlink" Target="https://doi.org/10.1016/j.actaastro.2025.04.041" TargetMode="External"/><Relationship Id="rId179" Type="http://schemas.openxmlformats.org/officeDocument/2006/relationships/hyperlink" Target="https://doi.org/10.1016/j.actaastro.2025.05.008" TargetMode="External"/><Relationship Id="rId171" Type="http://schemas.openxmlformats.org/officeDocument/2006/relationships/hyperlink" Target="https://doi.org/10.1016/j.actaastro.2026.04.012" TargetMode="External"/><Relationship Id="rId165" Type="http://schemas.openxmlformats.org/officeDocument/2006/relationships/hyperlink" Target="https://doi.org/10.64861/KUQJ3053" TargetMode="External"/><Relationship Id="rId167" Type="http://schemas.openxmlformats.org/officeDocument/2006/relationships/hyperlink" Target="https://doi.org/10.64861/LPWQ5164" TargetMode="External"/><Relationship Id="rId158" Type="http://schemas.openxmlformats.org/officeDocument/2006/relationships/hyperlink" Target="https://doi.org/10.64861/MVHC2799" TargetMode="External"/><Relationship Id="rId161" Type="http://schemas.openxmlformats.org/officeDocument/2006/relationships/hyperlink" Target="https://doi.org/10.64861/PHAC8145" TargetMode="External"/><Relationship Id="rId169" Type="http://schemas.openxmlformats.org/officeDocument/2006/relationships/hyperlink" Target="https://doi.org/10.64861/QARN55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Return on Investment of Lunar ISRU: Does Producing Propellant on the Moon</dc:title>
  <dc:creator>Saskia Beckett (1B-LUN-197)</dc:creator>
  <cp:keywords/>
  <dcterms:created xsi:type="dcterms:W3CDTF">2026-07-03T21:45:01Z</dcterms:created>
  <dcterms:modified xsi:type="dcterms:W3CDTF">2026-07-03T21:45:01Z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