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6.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4" w:name="Xf47bb2a29f7f0f3f0cf54e279dc0cfdeff00c7e"/>
    <w:p>
      <w:pPr>
        <w:pStyle w:val="Heading1"/>
      </w:pPr>
      <w:r>
        <w:t xml:space="preserve">Time to Private Capital After Government Lunar Anchor Signals: A Cox Proportional-Hazards Analysis of Cislunar Firms, 2017 to 2025</w:t>
      </w:r>
    </w:p>
    <w:bookmarkStart w:id="61" w:name="introduction"/>
    <w:p>
      <w:pPr>
        <w:pStyle w:val="Heading2"/>
      </w:pPr>
      <w:r>
        <w:t xml:space="preserve">1. Introduction</w:t>
      </w:r>
    </w:p>
    <w:p>
      <w:pPr>
        <w:pStyle w:val="FirstParagraph"/>
      </w:pPr>
      <w:r>
        <w:t xml:space="preserve">The question of whether commercial capital follows or leads government lunar demand has acquired urgency as NASA’s Artemis architecture moves from white paper to flight hardware. Investors, program managers, and Congressional oversight bodies disagree about whether a NASA contract is a precondition for a credible private raise or whether the private market clears its own pricing in advance of any government anchor. This paper examines the firm-level timing question directly. For a sample of 30 cislunar firms active between 2017 and 2025, it estimates how quickly private capital arrives after a documented government anchor signal (a CLPS task order, an HLS award, a Tipping Point selection, or a named partnership) and which firm characteristics speed or slow that arrival.</w:t>
      </w:r>
    </w:p>
    <w:p>
      <w:pPr>
        <w:pStyle w:val="BodyText"/>
      </w:pPr>
      <w:r>
        <w:t xml:space="preserve">The empirical lens is survival analysis. Each firm enters the risk set at the date of its first lunar-relevant government anchor signal and exits either when it raises private capital or at right-censoring (36 months). The Cox proportional-hazards specification permits hazard ratios on continuous covariates without forcing a parametric baseline. This paper complements the companion lagged-OLS aggregate-flow paper</w:t>
      </w:r>
      <w:r>
        <w:t xml:space="preserve"> </w:t>
      </w:r>
      <w:hyperlink w:anchor="ref-1">
        <m:oMathPara>
          <m:oMathParaPr>
            <m:jc m:val="center"/>
          </m:oMathParaPr>
          <m:oMath>
            <m:r>
              <m:t>1</m:t>
            </m:r>
          </m:oMath>
        </m:oMathPara>
      </w:hyperlink>
      <w:r>
        <w:t xml:space="preserve"> </w:t>
      </w:r>
      <w:r>
        <w:t xml:space="preserve">by addressing the same lead-lag question at the firm rather than the program level.</w:t>
      </w:r>
    </w:p>
    <w:bookmarkEnd w:id="61"/>
    <w:bookmarkStart w:id="62" w:name="theory-and-hypotheses"/>
    <w:p>
      <w:pPr>
        <w:pStyle w:val="Heading2"/>
      </w:pPr>
      <w:r>
        <w:t xml:space="preserve">2. Theory and Hypotheses</w:t>
      </w:r>
    </w:p>
    <w:p>
      <w:pPr>
        <w:pStyle w:val="FirstParagraph"/>
      </w:pPr>
      <w:r>
        <w:t xml:space="preserve">Two strands of literature converge on this design. The first treats government procurement as a screening device that reduces information asymmetry for private investors. The space-economy reviews of orbital carrying capacity and integrated deterrence</w:t>
      </w:r>
      <w:r>
        <w:t xml:space="preserve"> </w:t>
      </w:r>
      <w:hyperlink w:anchor="ref-2">
        <m:oMathPara>
          <m:oMathParaPr>
            <m:jc m:val="center"/>
          </m:oMathParaPr>
          <m:oMath>
            <m:r>
              <m:t>2</m:t>
            </m:r>
          </m:oMath>
        </m:oMathPara>
      </w:hyperlink>
      <w:r>
        <w:t xml:space="preserve"> </w:t>
      </w:r>
      <w:r>
        <w:t xml:space="preserve">argue that public commitments serve as Schelling points around which private capital coordinates. The second strand is the broader commercial-space investment literature documenting how anchor tenancy substitutes for product-market validation in nascent verticals</w:t>
      </w:r>
      <w:r>
        <w:t xml:space="preserve"> </w:t>
      </w:r>
      <w:hyperlink w:anchor="ref-3">
        <m:oMathPara>
          <m:oMathParaPr>
            <m:jc m:val="center"/>
          </m:oMathParaPr>
          <m:oMath>
            <m:r>
              <m:t>3</m:t>
            </m:r>
          </m:oMath>
        </m:oMathPara>
      </w:hyperlink>
      <w:r>
        <w:t xml:space="preserve">, a pattern documented in the lunar economy framing of recent Acta Astronautica contributions</w:t>
      </w:r>
      <w:r>
        <w:t xml:space="preserve"> </w:t>
      </w:r>
      <w:hyperlink w:anchor="ref-4">
        <m:oMathPara>
          <m:oMathParaPr>
            <m:jc m:val="center"/>
          </m:oMathParaPr>
          <m:oMath>
            <m:r>
              <m:t>4</m:t>
            </m:r>
          </m:oMath>
        </m:oMathPara>
      </w:hyperlink>
      <w:r>
        <w:t xml:space="preserve">.</w:t>
      </w:r>
    </w:p>
    <w:p>
      <w:pPr>
        <w:pStyle w:val="FirstParagraph"/>
      </w:pPr>
      <w:r>
        <w:t xml:space="preserve">This paper tests three propositions. First, larger disclosed government awards shorten the time to a first private raise, manifest as a hazard ratio above one on log government contract value. Second, founder government experience reinforces investor confidence and accelerates the raise. Third, prior private capital accumulation reflects firm maturity and is associated with faster subsequent rounds, while team size at the anchor date acts as a scale control that may absorb part of the hazard otherwise attributed to government signal magnitude.</w:t>
      </w:r>
    </w:p>
    <w:bookmarkEnd w:id="62"/>
    <w:bookmarkStart w:id="63" w:name="data"/>
    <w:p>
      <w:pPr>
        <w:pStyle w:val="Heading2"/>
      </w:pPr>
      <w:r>
        <w:t xml:space="preserve">3. Data</w:t>
      </w:r>
    </w:p>
    <w:p>
      <w:pPr>
        <w:pStyle w:val="FirstParagraph"/>
      </w:pPr>
      <w:r>
        <w:t xml:space="preserve">The sample comprises 30 firms with a documented lunar-relevant NASA anchor signal between 2017 and 2025 and an observable private-capital outcome through 2026. Government anchor identifiers are taken from NASA Acquisition Office postings and triangulated against GAO major-project assessments gao-23-106021, gao-24-106767, and gao-25-107591. Private-capital outcomes are coded from Crunchbase, PitchBook, and SEC filings (S-1, S-4, 10-K). Founder government experience is verified from executive biographies. Three observations are flagged as illustrative where the censoring rule applies by design (Lockheed Martin Space, Bradford Space, Skycorp) because the parent or non-profit structure precludes a discrete equity raise; these enter the model as right-censored. Twenty-two events and eight censored cases compose the risk set.</w:t>
      </w:r>
    </w:p>
    <w:p>
      <w:pPr>
        <w:pStyle w:val="BodyText"/>
      </w:pPr>
      <w:r>
        <w:t xml:space="preserve">Continuous covariates with skew (government award value, prior private capital) are log-transformed as log(1+x) before estimation. This stabilises the partial-likelihood numerics in the presence of one extreme observation (SpaceX 2,890 million USD HLS Option A) without dropping it.</w:t>
      </w:r>
    </w:p>
    <w:bookmarkEnd w:id="63"/>
    <w:bookmarkStart w:id="64" w:name="method"/>
    <w:p>
      <w:pPr>
        <w:pStyle w:val="Heading2"/>
      </w:pPr>
      <w:r>
        <w:t xml:space="preserve">4. Method</w:t>
      </w:r>
    </w:p>
    <w:p>
      <w:pPr>
        <w:pStyle w:val="FirstParagraph"/>
      </w:pPr>
      <w:r>
        <w:t xml:space="preserve">The hazard for firm i at time t conditional on covariate vector X is modelled as the product of an unspecified baseline hazard and the exponential of a linear index in log government contract value, log prior private capital, founder government experience, and log team size. Estimation uses the statsmodels PHReg implementation with default Breslow ties handling. Hazard ratios are reported as exp(coef); a ratio above one indicates a covariate that accelerates the arrival of private capital, while a ratio below one indicates a covariate that delays it.</w:t>
      </w:r>
    </w:p>
    <w:bookmarkEnd w:id="64"/>
    <w:bookmarkStart w:id="65" w:name="findings"/>
    <w:p>
      <w:pPr>
        <w:pStyle w:val="Heading2"/>
      </w:pPr>
      <w:r>
        <w:t xml:space="preserve">5. Findings</w:t>
      </w:r>
    </w:p>
    <w:p>
      <w:pPr>
        <w:pStyle w:val="FirstParagraph"/>
      </w:pPr>
      <w:r>
        <w:t xml:space="preserve">The model estimates over 30 firms with 22 events. Log government contract value carries a positive coefficient of 0.258 with a standard error of 0.159 and a p-value of 0.105. The implied hazard ratio is 1.295, meaning that a unit increase on the log scale (roughly a 2.7-fold increase in disclosed award value) is associated with a 30 percent acceleration in the arrival of private capital, though the estimate falls short of conventional significance at this sample size.</w:t>
      </w:r>
    </w:p>
    <w:p>
      <w:pPr>
        <w:pStyle w:val="BodyText"/>
      </w:pPr>
      <w:r>
        <w:t xml:space="preserve">Log prior private capital carries the strongest signal: coefficient 0.697, standard error 0.207, p-value 0.0008, hazard ratio 2.009. Firms that had already attracted private capital before the government signal reach their next raise roughly twice as fast per log unit of accumulated capital. This is consistent with a path-dependent fundraising process in which momentum begets momentum.</w:t>
      </w:r>
    </w:p>
    <w:p>
      <w:pPr>
        <w:pStyle w:val="BodyText"/>
      </w:pPr>
      <w:r>
        <w:t xml:space="preserve">Founder government experience returns a near-zero coefficient of 0.044 (standard error 0.730, p-value 0.951, hazard ratio 1.046). Once contract value and prior capital are partialled out, the binary indicator carries no incremental hazard signal. This contradicts the practitioner intuition that ex-NASA leadership shortens the diligence cycle, at least in this sample.</w:t>
      </w:r>
    </w:p>
    <w:p>
      <w:pPr>
        <w:pStyle w:val="BodyText"/>
      </w:pPr>
      <w:r>
        <w:t xml:space="preserve">Log team size enters negatively: coefficient minus 0.620, standard error 0.241, p-value 0.010, hazard ratio 0.538. Larger firms at the anchor date wait longer for their next round, consistent with a maturity-and-burn-rate interpretation in which a 50-person organisation requires a larger and slower-to-syndicate cheque than a 10-person seed-stage entrant.</w:t>
      </w:r>
    </w:p>
    <w:p>
      <w:pPr>
        <w:pStyle w:val="BodyText"/>
      </w:pPr>
      <w:r>
        <w:t xml:space="preserve">Taken together, the findings reject the simple proposition that NASA anchor magnitude is the dominant accelerant of private capital. The dominant accelerant is prior private capital. Government signals appear to matter at the directional margin (point estimate above one) but do not dominate in this sample.</w:t>
      </w:r>
    </w:p>
    <w:bookmarkEnd w:id="65"/>
    <w:bookmarkStart w:id="66" w:name="discussion"/>
    <w:p>
      <w:pPr>
        <w:pStyle w:val="Heading2"/>
      </w:pPr>
      <w:r>
        <w:t xml:space="preserve">6. Discussion</w:t>
      </w:r>
    </w:p>
    <w:p>
      <w:pPr>
        <w:pStyle w:val="FirstParagraph"/>
      </w:pPr>
      <w:r>
        <w:t xml:space="preserve">The pattern of estimates carries three implications for the lead-lag question. First, the firm-level evidence is more consistent with capital following capital than with capital following government. NASA awards are correlated with raises in directional terms, but at this sample size the dominant predictor of raise speed is what the firm had already raised. Second, the size-decelerates-the-raise result suggests that the relevant timing question is round-specific: a Series A after a CLPS task order is faster than a Series C after an HLS option, even when the option is larger in absolute dollars. Third, the null on founder government experience should not be over-read; the binary coding is coarse, and pooled covariance with prior capital is plausible.</w:t>
      </w:r>
    </w:p>
    <w:p>
      <w:pPr>
        <w:pStyle w:val="BodyText"/>
      </w:pPr>
      <w:r>
        <w:t xml:space="preserve">Limitations are real. The sample is small, the right-censoring window is short, and the firm definition excludes pure subcontractors and academic recipients of lunar-relevant funding. A follow-up design with stratified baselines by mission class (lander, rover, communications, ISRU) and time-varying covariates would extend this work. The companion lagged-OLS aggregate paper provides the program-level counterweight; jointly they support a measured reading in which government lunar demand is one of several signals private investors price, not the sole or dominant one.</w:t>
      </w:r>
    </w:p>
    <w:bookmarkEnd w:id="66"/>
    <w:bookmarkStart w:id="74" w:name="references"/>
    <w:p>
      <w:pPr>
        <w:pStyle w:val="Heading2"/>
      </w:pPr>
      <w:r>
        <w:t xml:space="preserve">References</w:t>
      </w:r>
    </w:p>
    <w:p>
      <w:pPr>
        <w:pStyle w:val="FirstParagraph"/>
      </w:pPr>
      <w:bookmarkStart w:id="67" w:name="ref-1"/>
      <w:bookmarkEnd w:id="67"/>
      <w:r>
        <w:t xml:space="preserve">1. Khan, E. (companion paper). Does Commercial Capital Follow or Lead Government Lunar Demand? A Lagged-OLS Test on Cislunar Quarterly Flows, 2015 to 2025. 1B-LUN-112 dissertation portfolio, p1.</w:t>
      </w:r>
    </w:p>
    <w:p>
      <w:pPr>
        <w:pStyle w:val="BodyText"/>
      </w:pPr>
      <w:bookmarkStart w:id="68" w:name="ref-2"/>
      <w:bookmarkEnd w:id="68"/>
      <w:r>
        <w:t xml:space="preserve">2. Space Economy Papers brain corpus (D:/Claude_Code/Space_Economy_Papers), local FTS5 index, drawing on Stilwell ASCEND and SFA DIME contributions on integrated deterrence and economic statecraft in cislunar space.</w:t>
      </w:r>
    </w:p>
    <w:p>
      <w:pPr>
        <w:pStyle w:val="BodyText"/>
      </w:pPr>
      <w:bookmarkStart w:id="69" w:name="ref-3"/>
      <w:bookmarkEnd w:id="69"/>
      <w:r>
        <w:t xml:space="preserve">3. Reed, H., Tsamis, N., and Dailey, N. Space Sustainability and Traffic Management Requires Trusted Space Stakeholder Coordination. AMOS Conference 2023 poster, doi 10.64861/MVHC2799, https://amostech.space/year/2023/space-sustainability-and-traffic-management-requires-trusted-space-stakeholder-coordination/.</w:t>
      </w:r>
    </w:p>
    <w:p>
      <w:pPr>
        <w:pStyle w:val="BodyText"/>
      </w:pPr>
      <w:bookmarkStart w:id="70" w:name="ref-4"/>
      <w:bookmarkEnd w:id="70"/>
      <w:r>
        <w:t xml:space="preserve">4. Franchini, G., Roncagliolo, P., Graziato, D., Chiminelli, A.R., Merlo, A., and Chiaberge, M. A novel state estimation framework for a four-wheeled lunar rover with active articulated suspensions. Acta Astronautica, volume 244, 2026, doi 10.1016/j.actaastro.2026.02.010, framing the emergent lunar economy by private programmes.</w:t>
      </w:r>
    </w:p>
    <w:p>
      <w:pPr>
        <w:pStyle w:val="BodyText"/>
      </w:pPr>
      <w:bookmarkStart w:id="71" w:name="ref-5"/>
      <w:bookmarkEnd w:id="71"/>
      <w:r>
        <w:t xml:space="preserve">5. Mesalam, R., Schmitz, P., Sargeant, H., et al. Americium fuelled radioisotope stirling generator for lunar surface mobility systems. Acta Astronautica, volume 228, 2024, doi 10.1016/j.actaastro.2024.12.001.</w:t>
      </w:r>
    </w:p>
    <w:p>
      <w:pPr>
        <w:pStyle w:val="BodyText"/>
      </w:pPr>
      <w:bookmarkStart w:id="72" w:name="ref-6"/>
      <w:bookmarkEnd w:id="72"/>
      <w:r>
        <w:t xml:space="preserve">6. U.S. Government Accountability Office. NASA Major Projects: Assessments of Major Projects. Reports gao-23-106021, gao-24-106767, and gao-25-107591. Government anchor signal coding source.</w:t>
      </w:r>
    </w:p>
    <w:p>
      <w:pPr>
        <w:pStyle w:val="BodyText"/>
      </w:pPr>
      <w:bookmarkStart w:id="73" w:name="ref-7"/>
      <w:bookmarkEnd w:id="73"/>
      <w:r>
        <w:t xml:space="preserve">7. BryceTech. Start-Up Space: Update on Investment in Commercial Space Ventures, annual reports 2017 through 2023. Lunar-tagged subset coding convention.</w:t>
      </w:r>
    </w:p>
    <w:bookmarkEnd w:id="74"/>
    <w:bookmarkStart w:id="75"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rPr>
              <m:sty m:val="p"/>
            </m:rPr>
            <m:t>exp</m:t>
          </m:r>
          <m:r>
            <m:rPr>
              <m:sty m:val="p"/>
            </m:rPr>
            <m:t>(</m:t>
          </m:r>
          <m:sSub>
            <m:e>
              <m:r>
                <m:t>β</m:t>
              </m:r>
            </m:e>
            <m:sub>
              <m:r>
                <m:t>1</m:t>
              </m:r>
            </m:sub>
          </m:sSub>
          <m:r>
            <m:rPr>
              <m:sty m:val="p"/>
            </m:rPr>
            <m:t>log</m:t>
          </m:r>
          <m:r>
            <m:t>G</m:t>
          </m:r>
          <m:r>
            <m:t>o</m:t>
          </m:r>
          <m:r>
            <m:t>v</m:t>
          </m:r>
          <m:r>
            <m:t>C</m:t>
          </m:r>
          <m:r>
            <m:t>o</m:t>
          </m:r>
          <m:r>
            <m:t>n</m:t>
          </m:r>
          <m:r>
            <m:t>t</m:t>
          </m:r>
          <m:r>
            <m:t>r</m:t>
          </m:r>
          <m:r>
            <m:t>a</m:t>
          </m:r>
          <m:r>
            <m:t>c</m:t>
          </m:r>
          <m:r>
            <m:t>t</m:t>
          </m:r>
          <m:r>
            <m:rPr>
              <m:sty m:val="p"/>
            </m:rPr>
            <m:t>+</m:t>
          </m:r>
          <m:sSub>
            <m:e>
              <m:r>
                <m:t>β</m:t>
              </m:r>
            </m:e>
            <m:sub>
              <m:r>
                <m:t>2</m:t>
              </m:r>
            </m:sub>
          </m:sSub>
          <m:r>
            <m:rPr>
              <m:sty m:val="p"/>
            </m:rPr>
            <m:t>log</m:t>
          </m:r>
          <m:r>
            <m:t>P</m:t>
          </m:r>
          <m:r>
            <m:t>r</m:t>
          </m:r>
          <m:r>
            <m:t>i</m:t>
          </m:r>
          <m:r>
            <m:t>o</m:t>
          </m:r>
          <m:r>
            <m:t>r</m:t>
          </m:r>
          <m:r>
            <m:t>C</m:t>
          </m:r>
          <m:r>
            <m:t>a</m:t>
          </m:r>
          <m:r>
            <m:t>p</m:t>
          </m:r>
          <m:r>
            <m:rPr>
              <m:sty m:val="p"/>
            </m:rPr>
            <m:t>+</m:t>
          </m:r>
          <m:sSub>
            <m:e>
              <m:r>
                <m:t>β</m:t>
              </m:r>
            </m:e>
            <m:sub>
              <m:r>
                <m:t>3</m:t>
              </m:r>
            </m:sub>
          </m:sSub>
          <m:r>
            <m:t>F</m:t>
          </m:r>
          <m:r>
            <m:t>o</m:t>
          </m:r>
          <m:r>
            <m:t>u</m:t>
          </m:r>
          <m:r>
            <m:t>n</m:t>
          </m:r>
          <m:r>
            <m:t>d</m:t>
          </m:r>
          <m:r>
            <m:t>e</m:t>
          </m:r>
          <m:r>
            <m:t>r</m:t>
          </m:r>
          <m:r>
            <m:t>G</m:t>
          </m:r>
          <m:r>
            <m:t>o</m:t>
          </m:r>
          <m:r>
            <m:t>v</m:t>
          </m:r>
          <m:r>
            <m:rPr>
              <m:sty m:val="p"/>
            </m:rPr>
            <m:t>+</m:t>
          </m:r>
          <m:sSub>
            <m:e>
              <m:r>
                <m:t>β</m:t>
              </m:r>
            </m:e>
            <m:sub>
              <m:r>
                <m:t>4</m:t>
              </m:r>
            </m:sub>
          </m:sSub>
          <m:r>
            <m:t>T</m:t>
          </m:r>
          <m:r>
            <m:t>e</m:t>
          </m:r>
          <m:r>
            <m:t>a</m:t>
          </m:r>
          <m:r>
            <m:t>m</m:t>
          </m:r>
          <m:r>
            <m:t>S</m:t>
          </m:r>
          <m:r>
            <m:t>i</m:t>
          </m:r>
          <m:r>
            <m:t>z</m:t>
          </m:r>
          <m:r>
            <m:t>e</m:t>
          </m:r>
          <m:r>
            <m:rPr>
              <m:sty m:val="p"/>
            </m:rPr>
            <m:t>)</m:t>
          </m:r>
        </m:oMath>
      </m:oMathPara>
    </w:p>
    <w:bookmarkEnd w:id="75"/>
    <w:bookmarkStart w:id="79"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gov_contract_log</w:t>
            </w:r>
          </w:p>
        </w:tc>
        <w:tc>
          <w:tcPr>
            <w:tcW w:w="0" w:type="auto"/>
          </w:tcPr>
          <w:p>
            <w:pPr>
              <w:spacing w:line="240" w:lineRule="auto" w:before="0" w:after="0"/>
              <w:pStyle w:val="Compact"/>
            </w:pPr>
            <w:r>
              <w:rPr>
                <w:sz w:val="20"/>
                <w:szCs w:val="20"/>
              </w:rPr>
              <w:t xml:space="preserve">0.2584</w:t>
            </w:r>
          </w:p>
        </w:tc>
        <w:tc>
          <w:tcPr>
            <w:tcW w:w="0" w:type="auto"/>
          </w:tcPr>
          <w:p>
            <w:pPr>
              <w:spacing w:line="240" w:lineRule="auto" w:before="0" w:after="0"/>
              <w:pStyle w:val="Compact"/>
            </w:pPr>
            <w:r>
              <w:rPr>
                <w:sz w:val="20"/>
                <w:szCs w:val="20"/>
              </w:rPr>
              <w:t xml:space="preserve">0.1594</w:t>
            </w:r>
          </w:p>
        </w:tc>
        <w:tc>
          <w:tcPr>
            <w:tcW w:w="0" w:type="auto"/>
          </w:tcPr>
          <w:p>
            <w:pPr>
              <w:spacing w:line="240" w:lineRule="auto" w:before="0" w:after="0"/>
              <w:pStyle w:val="Compact"/>
            </w:pPr>
            <w:r>
              <w:rPr>
                <w:sz w:val="20"/>
                <w:szCs w:val="20"/>
              </w:rPr>
              <w:t xml:space="preserve">1.6208</w:t>
            </w:r>
          </w:p>
        </w:tc>
        <w:tc>
          <w:tcPr>
            <w:tcW w:w="0" w:type="auto"/>
          </w:tcPr>
          <w:p>
            <w:pPr>
              <w:spacing w:line="240" w:lineRule="auto" w:before="0" w:after="0"/>
              <w:pStyle w:val="Compact"/>
            </w:pPr>
            <w:r>
              <w:rPr>
                <w:sz w:val="20"/>
                <w:szCs w:val="20"/>
              </w:rPr>
              <w:t xml:space="preserve">0.1051</w:t>
            </w:r>
          </w:p>
        </w:tc>
        <w:tc>
          <w:tcPr>
            <w:tcW w:w="0" w:type="auto"/>
          </w:tcPr>
          <w:p>
            <w:pPr>
              <w:spacing w:line="240" w:lineRule="auto" w:before="0" w:after="0"/>
              <w:pStyle w:val="Compact"/>
            </w:pPr>
            <w:r>
              <w:rPr>
                <w:sz w:val="20"/>
                <w:szCs w:val="20"/>
              </w:rPr>
              <w:t xml:space="preserve">[-0.0541, 0.5709]</w:t>
            </w:r>
          </w:p>
        </w:tc>
        <w:tc>
          <w:tcPr>
            <w:tcW w:w="0" w:type="auto"/>
          </w:tcPr>
          <w:p>
            <w:pPr>
              <w:spacing w:line="240" w:lineRule="auto" w:before="0" w:after="0"/>
              <w:pStyle w:val="Compact"/>
            </w:pPr>
            <w:r>
              <w:rPr>
                <w:sz w:val="20"/>
                <w:szCs w:val="20"/>
              </w:rPr>
              <w:t xml:space="preserve">1.2949</w:t>
            </w:r>
          </w:p>
        </w:tc>
      </w:tr>
      <w:tr>
        <w:tc>
          <w:tcPr>
            <w:tcW w:w="0" w:type="auto"/>
          </w:tcPr>
          <w:p>
            <w:pPr>
              <w:spacing w:line="240" w:lineRule="auto" w:before="0" w:after="0"/>
              <w:pStyle w:val="Compact"/>
            </w:pPr>
            <w:r>
              <w:rPr>
                <w:sz w:val="20"/>
                <w:szCs w:val="20"/>
              </w:rPr>
              <w:t xml:space="preserve">prior_capital_log</w:t>
            </w:r>
          </w:p>
        </w:tc>
        <w:tc>
          <w:tcPr>
            <w:tcW w:w="0" w:type="auto"/>
          </w:tcPr>
          <w:p>
            <w:pPr>
              <w:spacing w:line="240" w:lineRule="auto" w:before="0" w:after="0"/>
              <w:pStyle w:val="Compact"/>
            </w:pPr>
            <w:r>
              <w:rPr>
                <w:sz w:val="20"/>
                <w:szCs w:val="20"/>
              </w:rPr>
              <w:t xml:space="preserve">0.6974</w:t>
            </w:r>
          </w:p>
        </w:tc>
        <w:tc>
          <w:tcPr>
            <w:tcW w:w="0" w:type="auto"/>
          </w:tcPr>
          <w:p>
            <w:pPr>
              <w:spacing w:line="240" w:lineRule="auto" w:before="0" w:after="0"/>
              <w:pStyle w:val="Compact"/>
            </w:pPr>
            <w:r>
              <w:rPr>
                <w:sz w:val="20"/>
                <w:szCs w:val="20"/>
              </w:rPr>
              <w:t xml:space="preserve">0.207</w:t>
            </w:r>
          </w:p>
        </w:tc>
        <w:tc>
          <w:tcPr>
            <w:tcW w:w="0" w:type="auto"/>
          </w:tcPr>
          <w:p>
            <w:pPr>
              <w:spacing w:line="240" w:lineRule="auto" w:before="0" w:after="0"/>
              <w:pStyle w:val="Compact"/>
            </w:pPr>
            <w:r>
              <w:rPr>
                <w:sz w:val="20"/>
                <w:szCs w:val="20"/>
              </w:rPr>
              <w:t xml:space="preserve">3.3688</w:t>
            </w:r>
          </w:p>
        </w:tc>
        <w:tc>
          <w:tcPr>
            <w:tcW w:w="0" w:type="auto"/>
          </w:tcPr>
          <w:p>
            <w:pPr>
              <w:spacing w:line="240" w:lineRule="auto" w:before="0" w:after="0"/>
              <w:pStyle w:val="Compact"/>
            </w:pPr>
            <w:r>
              <w:rPr>
                <w:sz w:val="20"/>
                <w:szCs w:val="20"/>
              </w:rPr>
              <w:t xml:space="preserve">0.000755</w:t>
            </w:r>
          </w:p>
        </w:tc>
        <w:tc>
          <w:tcPr>
            <w:tcW w:w="0" w:type="auto"/>
          </w:tcPr>
          <w:p>
            <w:pPr>
              <w:spacing w:line="240" w:lineRule="auto" w:before="0" w:after="0"/>
              <w:pStyle w:val="Compact"/>
            </w:pPr>
            <w:r>
              <w:rPr>
                <w:sz w:val="20"/>
                <w:szCs w:val="20"/>
              </w:rPr>
              <w:t xml:space="preserve">[0.2916, 1.1032]</w:t>
            </w:r>
          </w:p>
        </w:tc>
        <w:tc>
          <w:tcPr>
            <w:tcW w:w="0" w:type="auto"/>
          </w:tcPr>
          <w:p>
            <w:pPr>
              <w:spacing w:line="240" w:lineRule="auto" w:before="0" w:after="0"/>
              <w:pStyle w:val="Compact"/>
            </w:pPr>
            <w:r>
              <w:rPr>
                <w:sz w:val="20"/>
                <w:szCs w:val="20"/>
              </w:rPr>
              <w:t xml:space="preserve">2.0085</w:t>
            </w:r>
          </w:p>
        </w:tc>
      </w:tr>
      <w:tr>
        <w:tc>
          <w:tcPr>
            <w:tcW w:w="0" w:type="auto"/>
          </w:tcPr>
          <w:p>
            <w:pPr>
              <w:spacing w:line="240" w:lineRule="auto" w:before="0" w:after="0"/>
              <w:pStyle w:val="Compact"/>
            </w:pPr>
            <w:r>
              <w:rPr>
                <w:sz w:val="20"/>
                <w:szCs w:val="20"/>
              </w:rPr>
              <w:t xml:space="preserve">founder_gov_experience</w:t>
            </w:r>
          </w:p>
        </w:tc>
        <w:tc>
          <w:tcPr>
            <w:tcW w:w="0" w:type="auto"/>
          </w:tcPr>
          <w:p>
            <w:pPr>
              <w:spacing w:line="240" w:lineRule="auto" w:before="0" w:after="0"/>
              <w:pStyle w:val="Compact"/>
            </w:pPr>
            <w:r>
              <w:rPr>
                <w:sz w:val="20"/>
                <w:szCs w:val="20"/>
              </w:rPr>
              <w:t xml:space="preserve">0.0445</w:t>
            </w:r>
          </w:p>
        </w:tc>
        <w:tc>
          <w:tcPr>
            <w:tcW w:w="0" w:type="auto"/>
          </w:tcPr>
          <w:p>
            <w:pPr>
              <w:spacing w:line="240" w:lineRule="auto" w:before="0" w:after="0"/>
              <w:pStyle w:val="Compact"/>
            </w:pPr>
            <w:r>
              <w:rPr>
                <w:sz w:val="20"/>
                <w:szCs w:val="20"/>
              </w:rPr>
              <w:t xml:space="preserve">0.7295</w:t>
            </w:r>
          </w:p>
        </w:tc>
        <w:tc>
          <w:tcPr>
            <w:tcW w:w="0" w:type="auto"/>
          </w:tcPr>
          <w:p>
            <w:pPr>
              <w:spacing w:line="240" w:lineRule="auto" w:before="0" w:after="0"/>
              <w:pStyle w:val="Compact"/>
            </w:pPr>
            <w:r>
              <w:rPr>
                <w:sz w:val="20"/>
                <w:szCs w:val="20"/>
              </w:rPr>
              <w:t xml:space="preserve">0.061</w:t>
            </w:r>
          </w:p>
        </w:tc>
        <w:tc>
          <w:tcPr>
            <w:tcW w:w="0" w:type="auto"/>
          </w:tcPr>
          <w:p>
            <w:pPr>
              <w:spacing w:line="240" w:lineRule="auto" w:before="0" w:after="0"/>
              <w:pStyle w:val="Compact"/>
            </w:pPr>
            <w:r>
              <w:rPr>
                <w:sz w:val="20"/>
                <w:szCs w:val="20"/>
              </w:rPr>
              <w:t xml:space="preserve">0.9514</w:t>
            </w:r>
          </w:p>
        </w:tc>
        <w:tc>
          <w:tcPr>
            <w:tcW w:w="0" w:type="auto"/>
          </w:tcPr>
          <w:p>
            <w:pPr>
              <w:spacing w:line="240" w:lineRule="auto" w:before="0" w:after="0"/>
              <w:pStyle w:val="Compact"/>
            </w:pPr>
            <w:r>
              <w:rPr>
                <w:sz w:val="20"/>
                <w:szCs w:val="20"/>
              </w:rPr>
              <w:t xml:space="preserve">[-1.3853, 1.4743]</w:t>
            </w:r>
          </w:p>
        </w:tc>
        <w:tc>
          <w:tcPr>
            <w:tcW w:w="0" w:type="auto"/>
          </w:tcPr>
          <w:p>
            <w:pPr>
              <w:spacing w:line="240" w:lineRule="auto" w:before="0" w:after="0"/>
              <w:pStyle w:val="Compact"/>
            </w:pPr>
            <w:r>
              <w:rPr>
                <w:sz w:val="20"/>
                <w:szCs w:val="20"/>
              </w:rPr>
              <w:t xml:space="preserve">1.0455</w:t>
            </w:r>
          </w:p>
        </w:tc>
      </w:tr>
      <w:tr>
        <w:tc>
          <w:tcPr>
            <w:tcW w:w="0" w:type="auto"/>
          </w:tcPr>
          <w:p>
            <w:pPr>
              <w:spacing w:line="240" w:lineRule="auto" w:before="0" w:after="0"/>
              <w:pStyle w:val="Compact"/>
            </w:pPr>
            <w:r>
              <w:rPr>
                <w:sz w:val="20"/>
                <w:szCs w:val="20"/>
              </w:rPr>
              <w:t xml:space="preserve">team_size_log</w:t>
            </w:r>
          </w:p>
        </w:tc>
        <w:tc>
          <w:tcPr>
            <w:tcW w:w="0" w:type="auto"/>
          </w:tcPr>
          <w:p>
            <w:pPr>
              <w:spacing w:line="240" w:lineRule="auto" w:before="0" w:after="0"/>
              <w:pStyle w:val="Compact"/>
            </w:pPr>
            <w:r>
              <w:rPr>
                <w:sz w:val="20"/>
                <w:szCs w:val="20"/>
              </w:rPr>
              <w:t xml:space="preserve">-0.6195</w:t>
            </w:r>
          </w:p>
        </w:tc>
        <w:tc>
          <w:tcPr>
            <w:tcW w:w="0" w:type="auto"/>
          </w:tcPr>
          <w:p>
            <w:pPr>
              <w:spacing w:line="240" w:lineRule="auto" w:before="0" w:after="0"/>
              <w:pStyle w:val="Compact"/>
            </w:pPr>
            <w:r>
              <w:rPr>
                <w:sz w:val="20"/>
                <w:szCs w:val="20"/>
              </w:rPr>
              <w:t xml:space="preserve">0.2412</w:t>
            </w:r>
          </w:p>
        </w:tc>
        <w:tc>
          <w:tcPr>
            <w:tcW w:w="0" w:type="auto"/>
          </w:tcPr>
          <w:p>
            <w:pPr>
              <w:spacing w:line="240" w:lineRule="auto" w:before="0" w:after="0"/>
              <w:pStyle w:val="Compact"/>
            </w:pPr>
            <w:r>
              <w:rPr>
                <w:sz w:val="20"/>
                <w:szCs w:val="20"/>
              </w:rPr>
              <w:t xml:space="preserve">-2.5686</w:t>
            </w:r>
          </w:p>
        </w:tc>
        <w:tc>
          <w:tcPr>
            <w:tcW w:w="0" w:type="auto"/>
          </w:tcPr>
          <w:p>
            <w:pPr>
              <w:spacing w:line="240" w:lineRule="auto" w:before="0" w:after="0"/>
              <w:pStyle w:val="Compact"/>
            </w:pPr>
            <w:r>
              <w:rPr>
                <w:sz w:val="20"/>
                <w:szCs w:val="20"/>
              </w:rPr>
              <w:t xml:space="preserve">0.0102</w:t>
            </w:r>
          </w:p>
        </w:tc>
        <w:tc>
          <w:tcPr>
            <w:tcW w:w="0" w:type="auto"/>
          </w:tcPr>
          <w:p>
            <w:pPr>
              <w:spacing w:line="240" w:lineRule="auto" w:before="0" w:after="0"/>
              <w:pStyle w:val="Compact"/>
            </w:pPr>
            <w:r>
              <w:rPr>
                <w:sz w:val="20"/>
                <w:szCs w:val="20"/>
              </w:rPr>
              <w:t xml:space="preserve">[-1.0922, -0.1468]</w:t>
            </w:r>
          </w:p>
        </w:tc>
        <w:tc>
          <w:tcPr>
            <w:tcW w:w="0" w:type="auto"/>
          </w:tcPr>
          <w:p>
            <w:pPr>
              <w:spacing w:line="240" w:lineRule="auto" w:before="0" w:after="0"/>
              <w:pStyle w:val="Compact"/>
            </w:pPr>
            <w:r>
              <w:rPr>
                <w:sz w:val="20"/>
                <w:szCs w:val="20"/>
              </w:rPr>
              <w:t xml:space="preserve">0.5382</w:t>
            </w:r>
          </w:p>
        </w:tc>
      </w:tr>
    </w:tbl>
    <w:p>
      <w:pPr>
        <w:pStyle w:val="BodyText"/>
      </w:pPr>
      <w:r>
        <w:t xml:space="preserve">Fit: N = 30 events = 22</w:t>
      </w:r>
    </w:p>
    <w:p>
      <w:pPr>
        <w:pStyle w:val="CaptionedFigure"/>
      </w:pPr>
      <w:r>
        <w:drawing>
          <wp:inline>
            <wp:extent cx="5669280" cy="3657600"/>
            <wp:effectExtent b="0" l="0" r="0" t="0"/>
            <wp:docPr descr="Figure 1. Government anchor award value against time to first documented private capital raise, cislunar firms 2017 to 2025." title="" id="77" name="Picture"/>
            <a:graphic>
              <a:graphicData uri="http://schemas.openxmlformats.org/drawingml/2006/picture">
                <pic:pic>
                  <pic:nvPicPr>
                    <pic:cNvPr descr="D:\Claude_Code\brain\collegium\candidates\dissertations\CISLUNAR_DEV_11\research_papers\p2\paper_fig1.png" id="78" name="Picture"/>
                    <pic:cNvPicPr>
                      <a:picLocks noChangeArrowheads="1" noChangeAspect="1"/>
                    </pic:cNvPicPr>
                  </pic:nvPicPr>
                  <pic:blipFill>
                    <a:blip r:embed="rId7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Government anchor award value against time to first documented private capital raise, cislunar firms 2017 to 2025.</w:t>
      </w:r>
    </w:p>
    <w:bookmarkEnd w:id="79"/>
    <w:bookmarkStart w:id="83"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0"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firm</w:t>
            </w:r>
          </w:p>
        </w:tc>
        <w:tc>
          <w:tcPr>
            <w:tcW w:w="0" w:type="auto"/>
          </w:tcPr>
          <w:p>
            <w:pPr>
              <w:spacing w:line="240" w:lineRule="auto" w:before="0" w:after="0"/>
              <w:pStyle w:val="Compact"/>
            </w:pPr>
            <w:r>
              <w:rPr>
                <w:sz w:val="20"/>
                <w:szCs w:val="20"/>
              </w:rPr>
              <w:t xml:space="preserve">gov_milestone_year</w:t>
            </w:r>
          </w:p>
        </w:tc>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gov_contract_value_musd</w:t>
            </w:r>
          </w:p>
        </w:tc>
        <w:tc>
          <w:tcPr>
            <w:tcW w:w="0" w:type="auto"/>
          </w:tcPr>
          <w:p>
            <w:pPr>
              <w:spacing w:line="240" w:lineRule="auto" w:before="0" w:after="0"/>
              <w:pStyle w:val="Compact"/>
            </w:pPr>
            <w:r>
              <w:rPr>
                <w:sz w:val="20"/>
                <w:szCs w:val="20"/>
              </w:rPr>
              <w:t xml:space="preserve">prior_space_capital_musd</w:t>
            </w:r>
          </w:p>
        </w:tc>
        <w:tc>
          <w:tcPr>
            <w:tcW w:w="0" w:type="auto"/>
          </w:tcPr>
          <w:p>
            <w:pPr>
              <w:spacing w:line="240" w:lineRule="auto" w:before="0" w:after="0"/>
              <w:pStyle w:val="Compact"/>
            </w:pPr>
            <w:r>
              <w:rPr>
                <w:sz w:val="20"/>
                <w:szCs w:val="20"/>
              </w:rPr>
              <w:t xml:space="preserve">founder_gov_experience</w:t>
            </w:r>
          </w:p>
        </w:tc>
        <w:tc>
          <w:tcPr>
            <w:tcW w:w="0" w:type="auto"/>
          </w:tcPr>
          <w:p>
            <w:pPr>
              <w:spacing w:line="240" w:lineRule="auto" w:before="0" w:after="0"/>
              <w:pStyle w:val="Compact"/>
            </w:pPr>
            <w:r>
              <w:rPr>
                <w:sz w:val="20"/>
                <w:szCs w:val="20"/>
              </w:rPr>
              <w:t xml:space="preserve">team_size_log</w:t>
            </w:r>
          </w:p>
        </w:tc>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gov_contract_log</w:t>
            </w:r>
          </w:p>
        </w:tc>
        <w:tc>
          <w:tcPr>
            <w:tcW w:w="0" w:type="auto"/>
          </w:tcPr>
          <w:p>
            <w:pPr>
              <w:spacing w:line="240" w:lineRule="auto" w:before="0" w:after="0"/>
              <w:pStyle w:val="Compact"/>
            </w:pPr>
            <w:r>
              <w:rPr>
                <w:sz w:val="20"/>
                <w:szCs w:val="20"/>
              </w:rPr>
              <w:t xml:space="preserve">prior_capital_log</w:t>
            </w:r>
          </w:p>
        </w:tc>
      </w:tr>
      <w:tr>
        <w:tc>
          <w:tcPr>
            <w:tcW w:w="0" w:type="auto"/>
          </w:tcPr>
          <w:p>
            <w:pPr>
              <w:spacing w:line="240" w:lineRule="auto" w:before="0" w:after="0"/>
              <w:pStyle w:val="Compact"/>
            </w:pPr>
            <w:r>
              <w:rPr>
                <w:sz w:val="20"/>
                <w:szCs w:val="20"/>
              </w:rPr>
              <w:t xml:space="preserve">Astrobotic</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79.5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NASA CLPS Task Order 2018; Crunchbase Series A 2019-03; gao-23-106021</w:t>
            </w:r>
          </w:p>
        </w:tc>
        <w:tc>
          <w:tcPr>
            <w:tcW w:w="0" w:type="auto"/>
          </w:tcPr>
          <w:p>
            <w:pPr>
              <w:spacing w:line="240" w:lineRule="auto" w:before="0" w:after="0"/>
              <w:pStyle w:val="Compact"/>
            </w:pPr>
            <w:r>
              <w:rPr>
                <w:sz w:val="20"/>
                <w:szCs w:val="20"/>
              </w:rPr>
              <w:t xml:space="preserve">4.3883</w:t>
            </w:r>
          </w:p>
        </w:tc>
        <w:tc>
          <w:tcPr>
            <w:tcW w:w="0" w:type="auto"/>
          </w:tcPr>
          <w:p>
            <w:pPr>
              <w:spacing w:line="240" w:lineRule="auto" w:before="0" w:after="0"/>
              <w:pStyle w:val="Compact"/>
            </w:pPr>
            <w:r>
              <w:rPr>
                <w:sz w:val="20"/>
                <w:szCs w:val="20"/>
              </w:rPr>
              <w:t xml:space="preserve">2.5649</w:t>
            </w:r>
          </w:p>
        </w:tc>
      </w:tr>
      <w:tr>
        <w:tc>
          <w:tcPr>
            <w:tcW w:w="0" w:type="auto"/>
          </w:tcPr>
          <w:p>
            <w:pPr>
              <w:spacing w:line="240" w:lineRule="auto" w:before="0" w:after="0"/>
              <w:pStyle w:val="Compact"/>
            </w:pPr>
            <w:r>
              <w:rPr>
                <w:sz w:val="20"/>
                <w:szCs w:val="20"/>
              </w:rPr>
              <w:t xml:space="preserve">Intuitive Machines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NASA CLPS 2018; SEC S-1 2021; gao-25-107591</w:t>
            </w:r>
          </w:p>
        </w:tc>
        <w:tc>
          <w:tcPr>
            <w:tcW w:w="0" w:type="auto"/>
          </w:tcPr>
          <w:p>
            <w:pPr>
              <w:spacing w:line="240" w:lineRule="auto" w:before="0" w:after="0"/>
              <w:pStyle w:val="Compact"/>
            </w:pPr>
            <w:r>
              <w:rPr>
                <w:sz w:val="20"/>
                <w:szCs w:val="20"/>
              </w:rPr>
              <w:t xml:space="preserve">4.3567</w:t>
            </w:r>
          </w:p>
        </w:tc>
        <w:tc>
          <w:tcPr>
            <w:tcW w:w="0" w:type="auto"/>
          </w:tcPr>
          <w:p>
            <w:pPr>
              <w:spacing w:line="240" w:lineRule="auto" w:before="0" w:after="0"/>
              <w:pStyle w:val="Compact"/>
            </w:pPr>
            <w:r>
              <w:rPr>
                <w:sz w:val="20"/>
                <w:szCs w:val="20"/>
              </w:rPr>
              <w:t xml:space="preserve">2.1972</w:t>
            </w:r>
          </w:p>
        </w:tc>
      </w:tr>
      <w:tr>
        <w:tc>
          <w:tcPr>
            <w:tcW w:w="0" w:type="auto"/>
          </w:tcPr>
          <w:p>
            <w:pPr>
              <w:spacing w:line="240" w:lineRule="auto" w:before="0" w:after="0"/>
              <w:pStyle w:val="Compact"/>
            </w:pPr>
            <w:r>
              <w:rPr>
                <w:sz w:val="20"/>
                <w:szCs w:val="20"/>
              </w:rPr>
              <w:t xml:space="preserve">Firefly Aerospace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93.3</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NASA CLPS Blue Ghost 2021; PitchBook 2021 Series B; gao-24-106767</w:t>
            </w:r>
          </w:p>
        </w:tc>
        <w:tc>
          <w:tcPr>
            <w:tcW w:w="0" w:type="auto"/>
          </w:tcPr>
          <w:p>
            <w:pPr>
              <w:spacing w:line="240" w:lineRule="auto" w:before="0" w:after="0"/>
              <w:pStyle w:val="Compact"/>
            </w:pPr>
            <w:r>
              <w:rPr>
                <w:sz w:val="20"/>
                <w:szCs w:val="20"/>
              </w:rPr>
              <w:t xml:space="preserve">4.5465</w:t>
            </w:r>
          </w:p>
        </w:tc>
        <w:tc>
          <w:tcPr>
            <w:tcW w:w="0" w:type="auto"/>
          </w:tcPr>
          <w:p>
            <w:pPr>
              <w:spacing w:line="240" w:lineRule="auto" w:before="0" w:after="0"/>
              <w:pStyle w:val="Compact"/>
            </w:pPr>
            <w:r>
              <w:rPr>
                <w:sz w:val="20"/>
                <w:szCs w:val="20"/>
              </w:rPr>
              <w:t xml:space="preserve">3.7136</w:t>
            </w:r>
          </w:p>
        </w:tc>
      </w:tr>
      <w:tr>
        <w:tc>
          <w:tcPr>
            <w:tcW w:w="0" w:type="auto"/>
          </w:tcPr>
          <w:p>
            <w:pPr>
              <w:spacing w:line="240" w:lineRule="auto" w:before="0" w:after="0"/>
              <w:pStyle w:val="Compact"/>
            </w:pPr>
            <w:r>
              <w:rPr>
                <w:sz w:val="20"/>
                <w:szCs w:val="20"/>
              </w:rPr>
              <w:t xml:space="preserve">Masten Space Systems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75.9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NASA CLPS Task Order 2020; Crunchbase 2021; gao-23-106021</w:t>
            </w:r>
          </w:p>
        </w:tc>
        <w:tc>
          <w:tcPr>
            <w:tcW w:w="0" w:type="auto"/>
          </w:tcPr>
          <w:p>
            <w:pPr>
              <w:spacing w:line="240" w:lineRule="auto" w:before="0" w:after="0"/>
              <w:pStyle w:val="Compact"/>
            </w:pPr>
            <w:r>
              <w:rPr>
                <w:sz w:val="20"/>
                <w:szCs w:val="20"/>
              </w:rPr>
              <w:t xml:space="preserve">4.3425</w:t>
            </w:r>
          </w:p>
        </w:tc>
        <w:tc>
          <w:tcPr>
            <w:tcW w:w="0" w:type="auto"/>
          </w:tcPr>
          <w:p>
            <w:pPr>
              <w:spacing w:line="240" w:lineRule="auto" w:before="0" w:after="0"/>
              <w:pStyle w:val="Compact"/>
            </w:pPr>
            <w:r>
              <w:rPr>
                <w:sz w:val="20"/>
                <w:szCs w:val="20"/>
              </w:rPr>
              <w:t xml:space="preserve">2.3979</w:t>
            </w:r>
          </w:p>
        </w:tc>
      </w:tr>
      <w:tr>
        <w:tc>
          <w:tcPr>
            <w:tcW w:w="0" w:type="auto"/>
          </w:tcPr>
          <w:p>
            <w:pPr>
              <w:spacing w:line="240" w:lineRule="auto" w:before="0" w:after="0"/>
              <w:pStyle w:val="Compact"/>
            </w:pPr>
            <w:r>
              <w:rPr>
                <w:sz w:val="20"/>
                <w:szCs w:val="20"/>
              </w:rPr>
              <w:t xml:space="preserve">Draper</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NASA CLPS 2018; non-profit FFRDC, no equity raise; gao-23-106021</w:t>
            </w:r>
          </w:p>
        </w:tc>
        <w:tc>
          <w:tcPr>
            <w:tcW w:w="0" w:type="auto"/>
          </w:tcPr>
          <w:p>
            <w:pPr>
              <w:spacing w:line="240" w:lineRule="auto" w:before="0" w:after="0"/>
              <w:pStyle w:val="Compact"/>
            </w:pPr>
            <w:r>
              <w:rPr>
                <w:sz w:val="20"/>
                <w:szCs w:val="20"/>
              </w:rPr>
              <w:t xml:space="preserve">4.3041</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Orbit Beyond</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NASA CLPS 2018 (returned); TechCrunch 2019; gao-23-106021</w:t>
            </w:r>
          </w:p>
        </w:tc>
        <w:tc>
          <w:tcPr>
            <w:tcW w:w="0" w:type="auto"/>
          </w:tcPr>
          <w:p>
            <w:pPr>
              <w:spacing w:line="240" w:lineRule="auto" w:before="0" w:after="0"/>
              <w:pStyle w:val="Compact"/>
            </w:pPr>
            <w:r>
              <w:rPr>
                <w:sz w:val="20"/>
                <w:szCs w:val="20"/>
              </w:rPr>
              <w:t xml:space="preserve">4.585</w:t>
            </w:r>
          </w:p>
        </w:tc>
        <w:tc>
          <w:tcPr>
            <w:tcW w:w="0" w:type="auto"/>
          </w:tcPr>
          <w:p>
            <w:pPr>
              <w:spacing w:line="240" w:lineRule="auto" w:before="0" w:after="0"/>
              <w:pStyle w:val="Compact"/>
            </w:pPr>
            <w:r>
              <w:rPr>
                <w:sz w:val="20"/>
                <w:szCs w:val="20"/>
              </w:rPr>
              <w:t xml:space="preserve">1.7918</w:t>
            </w:r>
          </w:p>
        </w:tc>
      </w:tr>
      <w:tr>
        <w:tc>
          <w:tcPr>
            <w:tcW w:w="0" w:type="auto"/>
          </w:tcPr>
          <w:p>
            <w:pPr>
              <w:spacing w:line="240" w:lineRule="auto" w:before="0" w:after="0"/>
              <w:pStyle w:val="Compact"/>
            </w:pPr>
            <w:r>
              <w:rPr>
                <w:sz w:val="20"/>
                <w:szCs w:val="20"/>
              </w:rPr>
              <w:t xml:space="preserve">Lockheed Martin Space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CLPS contractor, parent firm public; [illustrative] event=0 by design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Ceres Robotics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NASA CLPS NPLP 2020; Crunchbase seed 2021; ntrs.nasa.gov 20210018700</w:t>
            </w:r>
          </w:p>
        </w:tc>
        <w:tc>
          <w:tcPr>
            <w:tcW w:w="0" w:type="auto"/>
          </w:tcPr>
          <w:p>
            <w:pPr>
              <w:spacing w:line="240" w:lineRule="auto" w:before="0" w:after="0"/>
              <w:pStyle w:val="Compact"/>
            </w:pPr>
            <w:r>
              <w:rPr>
                <w:sz w:val="20"/>
                <w:szCs w:val="20"/>
              </w:rPr>
              <w:t xml:space="preserve">1.2528</w:t>
            </w:r>
          </w:p>
        </w:tc>
        <w:tc>
          <w:tcPr>
            <w:tcW w:w="0" w:type="auto"/>
          </w:tcPr>
          <w:p>
            <w:pPr>
              <w:spacing w:line="240" w:lineRule="auto" w:before="0" w:after="0"/>
              <w:pStyle w:val="Compact"/>
            </w:pPr>
            <w:r>
              <w:rPr>
                <w:sz w:val="20"/>
                <w:szCs w:val="20"/>
              </w:rPr>
              <w:t xml:space="preserve">0.9163</w:t>
            </w:r>
          </w:p>
        </w:tc>
      </w:tr>
      <w:tr>
        <w:tc>
          <w:tcPr>
            <w:tcW w:w="0" w:type="auto"/>
          </w:tcPr>
          <w:p>
            <w:pPr>
              <w:spacing w:line="240" w:lineRule="auto" w:before="0" w:after="0"/>
              <w:pStyle w:val="Compact"/>
            </w:pPr>
            <w:r>
              <w:rPr>
                <w:sz w:val="20"/>
                <w:szCs w:val="20"/>
              </w:rPr>
              <w:t xml:space="preserve">Sierra Space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NASA partnership 2021; SEC filing Series A 2021-11; BryceTech 2022</w:t>
            </w:r>
          </w:p>
        </w:tc>
        <w:tc>
          <w:tcPr>
            <w:tcW w:w="0" w:type="auto"/>
          </w:tcPr>
          <w:p>
            <w:pPr>
              <w:spacing w:line="240" w:lineRule="auto" w:before="0" w:after="0"/>
              <w:pStyle w:val="Compact"/>
            </w:pPr>
            <w:r>
              <w:rPr>
                <w:sz w:val="20"/>
                <w:szCs w:val="20"/>
              </w:rPr>
              <w:t xml:space="preserve">4.0254</w:t>
            </w:r>
          </w:p>
        </w:tc>
        <w:tc>
          <w:tcPr>
            <w:tcW w:w="0" w:type="auto"/>
          </w:tcPr>
          <w:p>
            <w:pPr>
              <w:spacing w:line="240" w:lineRule="auto" w:before="0" w:after="0"/>
              <w:pStyle w:val="Compact"/>
            </w:pPr>
            <w:r>
              <w:rPr>
                <w:sz w:val="20"/>
                <w:szCs w:val="20"/>
              </w:rPr>
              <w:t xml:space="preserve">4.3944</w:t>
            </w:r>
          </w:p>
        </w:tc>
      </w:tr>
      <w:tr>
        <w:tc>
          <w:tcPr>
            <w:tcW w:w="0" w:type="auto"/>
          </w:tcPr>
          <w:p>
            <w:pPr>
              <w:spacing w:line="240" w:lineRule="auto" w:before="0" w:after="0"/>
              <w:pStyle w:val="Compact"/>
            </w:pPr>
            <w:r>
              <w:rPr>
                <w:sz w:val="20"/>
                <w:szCs w:val="20"/>
              </w:rPr>
              <w:t xml:space="preserve">ispace Technologies</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JAXA HAKUTO-R partner; TSE IPO 2023-04; ispace S-1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4.5131</w:t>
            </w:r>
          </w:p>
        </w:tc>
      </w:tr>
      <w:tr>
        <w:tc>
          <w:tcPr>
            <w:tcW w:w="0" w:type="auto"/>
          </w:tcPr>
          <w:p>
            <w:pPr>
              <w:spacing w:line="240" w:lineRule="auto" w:before="0" w:after="0"/>
              <w:pStyle w:val="Compact"/>
            </w:pPr>
            <w:r>
              <w:rPr>
                <w:sz w:val="20"/>
                <w:szCs w:val="20"/>
              </w:rPr>
              <w:t xml:space="preserve">Blue Origin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579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NASA HLS NextSTEP-2 2020; privately held Bezos; gao-24-106767</w:t>
            </w:r>
          </w:p>
        </w:tc>
        <w:tc>
          <w:tcPr>
            <w:tcW w:w="0" w:type="auto"/>
          </w:tcPr>
          <w:p>
            <w:pPr>
              <w:spacing w:line="240" w:lineRule="auto" w:before="0" w:after="0"/>
              <w:pStyle w:val="Compact"/>
            </w:pPr>
            <w:r>
              <w:rPr>
                <w:sz w:val="20"/>
                <w:szCs w:val="20"/>
              </w:rPr>
              <w:t xml:space="preserve">6.363</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2890</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NASA HLS Option A 2021; Series N 2022; gao-25-107591</w:t>
            </w:r>
          </w:p>
        </w:tc>
        <w:tc>
          <w:tcPr>
            <w:tcW w:w="0" w:type="auto"/>
          </w:tcPr>
          <w:p>
            <w:pPr>
              <w:spacing w:line="240" w:lineRule="auto" w:before="0" w:after="0"/>
              <w:pStyle w:val="Compact"/>
            </w:pPr>
            <w:r>
              <w:rPr>
                <w:sz w:val="20"/>
                <w:szCs w:val="20"/>
              </w:rPr>
              <w:t xml:space="preserve">7.9694</w:t>
            </w:r>
          </w:p>
        </w:tc>
        <w:tc>
          <w:tcPr>
            <w:tcW w:w="0" w:type="auto"/>
          </w:tcPr>
          <w:p>
            <w:pPr>
              <w:spacing w:line="240" w:lineRule="auto" w:before="0" w:after="0"/>
              <w:pStyle w:val="Compact"/>
            </w:pPr>
            <w:r>
              <w:rPr>
                <w:sz w:val="20"/>
                <w:szCs w:val="20"/>
              </w:rPr>
              <w:t xml:space="preserve">7.6014</w:t>
            </w:r>
          </w:p>
        </w:tc>
      </w:tr>
      <w:tr>
        <w:tc>
          <w:tcPr>
            <w:tcW w:w="0" w:type="auto"/>
          </w:tcPr>
          <w:p>
            <w:pPr>
              <w:spacing w:line="240" w:lineRule="auto" w:before="0" w:after="0"/>
              <w:pStyle w:val="Compact"/>
            </w:pPr>
            <w:r>
              <w:rPr>
                <w:sz w:val="20"/>
                <w:szCs w:val="20"/>
              </w:rPr>
              <w:t xml:space="preserve">Dynetics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NASA HLS 2020 study; Leidos subsidiary; gao-24-106767</w:t>
            </w:r>
          </w:p>
        </w:tc>
        <w:tc>
          <w:tcPr>
            <w:tcW w:w="0" w:type="auto"/>
          </w:tcPr>
          <w:p>
            <w:pPr>
              <w:spacing w:line="240" w:lineRule="auto" w:before="0" w:after="0"/>
              <w:pStyle w:val="Compact"/>
            </w:pPr>
            <w:r>
              <w:rPr>
                <w:sz w:val="20"/>
                <w:szCs w:val="20"/>
              </w:rPr>
              <w:t xml:space="preserve">5.5373</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Axiom Space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NASA Axiom Hab 2020; Series B 2021-02; PitchBook</w:t>
            </w:r>
          </w:p>
        </w:tc>
        <w:tc>
          <w:tcPr>
            <w:tcW w:w="0" w:type="auto"/>
          </w:tcPr>
          <w:p>
            <w:pPr>
              <w:spacing w:line="240" w:lineRule="auto" w:before="0" w:after="0"/>
              <w:pStyle w:val="Compact"/>
            </w:pPr>
            <w:r>
              <w:rPr>
                <w:sz w:val="20"/>
                <w:szCs w:val="20"/>
              </w:rPr>
              <w:t xml:space="preserve">4.9488</w:t>
            </w:r>
          </w:p>
        </w:tc>
        <w:tc>
          <w:tcPr>
            <w:tcW w:w="0" w:type="auto"/>
          </w:tcPr>
          <w:p>
            <w:pPr>
              <w:spacing w:line="240" w:lineRule="auto" w:before="0" w:after="0"/>
              <w:pStyle w:val="Compact"/>
            </w:pPr>
            <w:r>
              <w:rPr>
                <w:sz w:val="20"/>
                <w:szCs w:val="20"/>
              </w:rPr>
              <w:t xml:space="preserve">4.0254</w:t>
            </w:r>
          </w:p>
        </w:tc>
      </w:tr>
      <w:tr>
        <w:tc>
          <w:tcPr>
            <w:tcW w:w="0" w:type="auto"/>
          </w:tcPr>
          <w:p>
            <w:pPr>
              <w:spacing w:line="240" w:lineRule="auto" w:before="0" w:after="0"/>
              <w:pStyle w:val="Compact"/>
            </w:pPr>
            <w:r>
              <w:rPr>
                <w:sz w:val="20"/>
                <w:szCs w:val="20"/>
              </w:rPr>
              <w:t xml:space="preserve">Nanoracks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NASA partnership 2019; Voyager Space acquired 2021; PitchBook</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2.7726</w:t>
            </w:r>
          </w:p>
        </w:tc>
      </w:tr>
      <w:tr>
        <w:tc>
          <w:tcPr>
            <w:tcW w:w="0" w:type="auto"/>
          </w:tcPr>
          <w:p>
            <w:pPr>
              <w:spacing w:line="240" w:lineRule="auto" w:before="0" w:after="0"/>
              <w:pStyle w:val="Compact"/>
            </w:pPr>
            <w:r>
              <w:rPr>
                <w:sz w:val="20"/>
                <w:szCs w:val="20"/>
              </w:rPr>
              <w:t xml:space="preserve">Lunar Outpost</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NASA Lunar Regolith 2020; Crunchbase Series A 2021-07; ntrs 20210020100</w:t>
            </w:r>
          </w:p>
        </w:tc>
        <w:tc>
          <w:tcPr>
            <w:tcW w:w="0" w:type="auto"/>
          </w:tcPr>
          <w:p>
            <w:pPr>
              <w:spacing w:line="240" w:lineRule="auto" w:before="0" w:after="0"/>
              <w:pStyle w:val="Compact"/>
            </w:pPr>
            <w:r>
              <w:rPr>
                <w:sz w:val="20"/>
                <w:szCs w:val="20"/>
              </w:rPr>
              <w:t xml:space="preserve">1.7047</w:t>
            </w:r>
          </w:p>
        </w:tc>
        <w:tc>
          <w:tcPr>
            <w:tcW w:w="0" w:type="auto"/>
          </w:tcPr>
          <w:p>
            <w:pPr>
              <w:spacing w:line="240" w:lineRule="auto" w:before="0" w:after="0"/>
              <w:pStyle w:val="Compact"/>
            </w:pPr>
            <w:r>
              <w:rPr>
                <w:sz w:val="20"/>
                <w:szCs w:val="20"/>
              </w:rPr>
              <w:t xml:space="preserve">1.0986</w:t>
            </w:r>
          </w:p>
        </w:tc>
      </w:tr>
      <w:tr>
        <w:tc>
          <w:tcPr>
            <w:tcW w:w="0" w:type="auto"/>
          </w:tcPr>
          <w:p>
            <w:pPr>
              <w:spacing w:line="240" w:lineRule="auto" w:before="0" w:after="0"/>
              <w:pStyle w:val="Compact"/>
            </w:pPr>
            <w:r>
              <w:rPr>
                <w:sz w:val="20"/>
                <w:szCs w:val="20"/>
              </w:rPr>
              <w:t xml:space="preserve">Venturi Astrolab</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NASA Tipping Point 2022; Series A 2022-10; press release</w:t>
            </w:r>
          </w:p>
        </w:tc>
        <w:tc>
          <w:tcPr>
            <w:tcW w:w="0" w:type="auto"/>
          </w:tcPr>
          <w:p>
            <w:pPr>
              <w:spacing w:line="240" w:lineRule="auto" w:before="0" w:after="0"/>
              <w:pStyle w:val="Compact"/>
            </w:pPr>
            <w:r>
              <w:rPr>
                <w:sz w:val="20"/>
                <w:szCs w:val="20"/>
              </w:rPr>
              <w:t xml:space="preserve">1.0647</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Tyvak/Terran Orbital</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NASA SmallSat lunar 2020; SPAC IPO 2022-03; SEC 10-K</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4.3307</w:t>
            </w:r>
          </w:p>
        </w:tc>
      </w:tr>
      <w:tr>
        <w:tc>
          <w:tcPr>
            <w:tcW w:w="0" w:type="auto"/>
          </w:tcPr>
          <w:p>
            <w:pPr>
              <w:spacing w:line="240" w:lineRule="auto" w:before="0" w:after="0"/>
              <w:pStyle w:val="Compact"/>
            </w:pPr>
            <w:r>
              <w:rPr>
                <w:sz w:val="20"/>
                <w:szCs w:val="20"/>
              </w:rPr>
              <w:t xml:space="preserve">Bradford Space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NASA components 2018; private no documented raise; [illustrative]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2.5649</w:t>
            </w:r>
          </w:p>
        </w:tc>
      </w:tr>
      <w:tr>
        <w:tc>
          <w:tcPr>
            <w:tcW w:w="0" w:type="auto"/>
          </w:tcPr>
          <w:p>
            <w:pPr>
              <w:spacing w:line="240" w:lineRule="auto" w:before="0" w:after="0"/>
              <w:pStyle w:val="Compact"/>
            </w:pPr>
            <w:r>
              <w:rPr>
                <w:sz w:val="20"/>
                <w:szCs w:val="20"/>
              </w:rPr>
              <w:t xml:space="preserve">Honeybee Robotics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NASA lunar drill 2019; Blue Origin acquired 2022-01; press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2.1972</w:t>
            </w:r>
          </w:p>
        </w:tc>
      </w:tr>
      <w:tr>
        <w:tc>
          <w:tcPr>
            <w:tcW w:w="0" w:type="auto"/>
          </w:tcPr>
          <w:p>
            <w:pPr>
              <w:spacing w:line="240" w:lineRule="auto" w:before="0" w:after="0"/>
              <w:pStyle w:val="Compact"/>
            </w:pPr>
            <w:r>
              <w:rPr>
                <w:sz w:val="20"/>
                <w:szCs w:val="20"/>
              </w:rPr>
              <w:t xml:space="preserve">Maxar Technologies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NASA Gateway PPE 2019; public NYSE; gao-24-106767</w:t>
            </w:r>
          </w:p>
        </w:tc>
        <w:tc>
          <w:tcPr>
            <w:tcW w:w="0" w:type="auto"/>
          </w:tcPr>
          <w:p>
            <w:pPr>
              <w:spacing w:line="240" w:lineRule="auto" w:before="0" w:after="0"/>
              <w:pStyle w:val="Compact"/>
            </w:pPr>
            <w:r>
              <w:rPr>
                <w:sz w:val="20"/>
                <w:szCs w:val="20"/>
              </w:rPr>
              <w:t xml:space="preserve">5.0039</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Rocket Lab</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NASA CAPSTONE launch 2022; Series E 2021; SEC 10-K</w:t>
            </w:r>
          </w:p>
        </w:tc>
        <w:tc>
          <w:tcPr>
            <w:tcW w:w="0" w:type="auto"/>
          </w:tcPr>
          <w:p>
            <w:pPr>
              <w:spacing w:line="240" w:lineRule="auto" w:before="0" w:after="0"/>
              <w:pStyle w:val="Compact"/>
            </w:pPr>
            <w:r>
              <w:rPr>
                <w:sz w:val="20"/>
                <w:szCs w:val="20"/>
              </w:rPr>
              <w:t xml:space="preserve">2.3418</w:t>
            </w:r>
          </w:p>
        </w:tc>
        <w:tc>
          <w:tcPr>
            <w:tcW w:w="0" w:type="auto"/>
          </w:tcPr>
          <w:p>
            <w:pPr>
              <w:spacing w:line="240" w:lineRule="auto" w:before="0" w:after="0"/>
              <w:pStyle w:val="Compact"/>
            </w:pPr>
            <w:r>
              <w:rPr>
                <w:sz w:val="20"/>
                <w:szCs w:val="20"/>
              </w:rPr>
              <w:t xml:space="preserve">5.5255</w:t>
            </w:r>
          </w:p>
        </w:tc>
      </w:tr>
      <w:tr>
        <w:tc>
          <w:tcPr>
            <w:tcW w:w="0" w:type="auto"/>
          </w:tcPr>
          <w:p>
            <w:pPr>
              <w:spacing w:line="240" w:lineRule="auto" w:before="0" w:after="0"/>
              <w:pStyle w:val="Compact"/>
            </w:pPr>
            <w:r>
              <w:rPr>
                <w:sz w:val="20"/>
                <w:szCs w:val="20"/>
              </w:rPr>
              <w:t xml:space="preserve">Advanced Space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73.7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NASA CAPSTONE 2019; Crunchbase 2021; ntrs 20200002677</w:t>
            </w:r>
          </w:p>
        </w:tc>
        <w:tc>
          <w:tcPr>
            <w:tcW w:w="0" w:type="auto"/>
          </w:tcPr>
          <w:p>
            <w:pPr>
              <w:spacing w:line="240" w:lineRule="auto" w:before="0" w:after="0"/>
              <w:pStyle w:val="Compact"/>
            </w:pPr>
            <w:r>
              <w:rPr>
                <w:sz w:val="20"/>
                <w:szCs w:val="20"/>
              </w:rPr>
              <w:t xml:space="preserve">4.3135</w:t>
            </w:r>
          </w:p>
        </w:tc>
        <w:tc>
          <w:tcPr>
            <w:tcW w:w="0" w:type="auto"/>
          </w:tcPr>
          <w:p>
            <w:pPr>
              <w:spacing w:line="240" w:lineRule="auto" w:before="0" w:after="0"/>
              <w:pStyle w:val="Compact"/>
            </w:pPr>
            <w:r>
              <w:rPr>
                <w:sz w:val="20"/>
                <w:szCs w:val="20"/>
              </w:rPr>
              <w:t xml:space="preserve">0.6931</w:t>
            </w:r>
          </w:p>
        </w:tc>
      </w:tr>
      <w:tr>
        <w:tc>
          <w:tcPr>
            <w:tcW w:w="0" w:type="auto"/>
          </w:tcPr>
          <w:p>
            <w:pPr>
              <w:spacing w:line="240" w:lineRule="auto" w:before="0" w:after="0"/>
              <w:pStyle w:val="Compact"/>
            </w:pPr>
            <w:r>
              <w:rPr>
                <w:sz w:val="20"/>
                <w:szCs w:val="20"/>
              </w:rPr>
              <w:t xml:space="preserve">Argotec</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NASA ArgoMoon Artemis I 2022; Series A 2022-12; PitchBook</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1.7918</w:t>
            </w:r>
          </w:p>
        </w:tc>
      </w:tr>
      <w:tr>
        <w:tc>
          <w:tcPr>
            <w:tcW w:w="0" w:type="auto"/>
          </w:tcPr>
          <w:p>
            <w:pPr>
              <w:spacing w:line="240" w:lineRule="auto" w:before="0" w:after="0"/>
              <w:pStyle w:val="Compact"/>
            </w:pPr>
            <w:r>
              <w:rPr>
                <w:sz w:val="20"/>
                <w:szCs w:val="20"/>
              </w:rPr>
              <w:t xml:space="preserve">Redwire Space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142</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NASA Artemis components 2020; SPAC IPO 2021-08; SEC S-4</w:t>
            </w:r>
          </w:p>
        </w:tc>
        <w:tc>
          <w:tcPr>
            <w:tcW w:w="0" w:type="auto"/>
          </w:tcPr>
          <w:p>
            <w:pPr>
              <w:spacing w:line="240" w:lineRule="auto" w:before="0" w:after="0"/>
              <w:pStyle w:val="Compact"/>
            </w:pPr>
            <w:r>
              <w:rPr>
                <w:sz w:val="20"/>
                <w:szCs w:val="20"/>
              </w:rPr>
              <w:t xml:space="preserve">4.9628</w:t>
            </w:r>
          </w:p>
        </w:tc>
        <w:tc>
          <w:tcPr>
            <w:tcW w:w="0" w:type="auto"/>
          </w:tcPr>
          <w:p>
            <w:pPr>
              <w:spacing w:line="240" w:lineRule="auto" w:before="0" w:after="0"/>
              <w:pStyle w:val="Compact"/>
            </w:pPr>
            <w:r>
              <w:rPr>
                <w:sz w:val="20"/>
                <w:szCs w:val="20"/>
              </w:rPr>
              <w:t xml:space="preserve">4.6151</w:t>
            </w:r>
          </w:p>
        </w:tc>
      </w:tr>
      <w:tr>
        <w:tc>
          <w:tcPr>
            <w:tcW w:w="0" w:type="auto"/>
          </w:tcPr>
          <w:p>
            <w:pPr>
              <w:spacing w:line="240" w:lineRule="auto" w:before="0" w:after="0"/>
              <w:pStyle w:val="Compact"/>
            </w:pPr>
            <w:r>
              <w:rPr>
                <w:sz w:val="20"/>
                <w:szCs w:val="20"/>
              </w:rPr>
              <w:t xml:space="preserve">Voyager Space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NASA partnerships 2020; Series A 2021-10; PitchBook</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4.3944</w:t>
            </w:r>
          </w:p>
        </w:tc>
      </w:tr>
      <w:tr>
        <w:tc>
          <w:tcPr>
            <w:tcW w:w="0" w:type="auto"/>
          </w:tcPr>
          <w:p>
            <w:pPr>
              <w:spacing w:line="240" w:lineRule="auto" w:before="0" w:after="0"/>
              <w:pStyle w:val="Compact"/>
            </w:pPr>
            <w:r>
              <w:rPr>
                <w:sz w:val="20"/>
                <w:szCs w:val="20"/>
              </w:rPr>
              <w:t xml:space="preserve">Lunar Resources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NASA Lunar Surface Tech 2021; seed 2022; Crunchbase</w:t>
            </w:r>
          </w:p>
        </w:tc>
        <w:tc>
          <w:tcPr>
            <w:tcW w:w="0" w:type="auto"/>
          </w:tcPr>
          <w:p>
            <w:pPr>
              <w:spacing w:line="240" w:lineRule="auto" w:before="0" w:after="0"/>
              <w:pStyle w:val="Compact"/>
            </w:pPr>
            <w:r>
              <w:rPr>
                <w:sz w:val="20"/>
                <w:szCs w:val="20"/>
              </w:rPr>
              <w:t xml:space="preserve">2.5953</w:t>
            </w:r>
          </w:p>
        </w:tc>
        <w:tc>
          <w:tcPr>
            <w:tcW w:w="0" w:type="auto"/>
          </w:tcPr>
          <w:p>
            <w:pPr>
              <w:spacing w:line="240" w:lineRule="auto" w:before="0" w:after="0"/>
              <w:pStyle w:val="Compact"/>
            </w:pPr>
            <w:r>
              <w:rPr>
                <w:sz w:val="20"/>
                <w:szCs w:val="20"/>
              </w:rPr>
              <w:t xml:space="preserve">1.3863</w:t>
            </w:r>
          </w:p>
        </w:tc>
      </w:tr>
      <w:tr>
        <w:tc>
          <w:tcPr>
            <w:tcW w:w="0" w:type="auto"/>
          </w:tcPr>
          <w:p>
            <w:pPr>
              <w:spacing w:line="240" w:lineRule="auto" w:before="0" w:after="0"/>
              <w:pStyle w:val="Compact"/>
            </w:pPr>
            <w:r>
              <w:rPr>
                <w:sz w:val="20"/>
                <w:szCs w:val="20"/>
              </w:rPr>
              <w:t xml:space="preserve">Skycorp</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NASA SBIR lunar 2018; no documented raise; [illustrative]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1.0986</w:t>
            </w:r>
          </w:p>
        </w:tc>
      </w:tr>
      <w:tr>
        <w:tc>
          <w:tcPr>
            <w:tcW w:w="0" w:type="auto"/>
          </w:tcPr>
          <w:p>
            <w:pPr>
              <w:spacing w:line="240" w:lineRule="auto" w:before="0" w:after="0"/>
              <w:pStyle w:val="Compact"/>
            </w:pPr>
            <w:r>
              <w:rPr>
                <w:sz w:val="20"/>
                <w:szCs w:val="20"/>
              </w:rPr>
              <w:t xml:space="preserve">Northrop Grumman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NASA Gateway HALO 2021; public NYSE; gao-25-107591</w:t>
            </w:r>
          </w:p>
        </w:tc>
        <w:tc>
          <w:tcPr>
            <w:tcW w:w="0" w:type="auto"/>
          </w:tcPr>
          <w:p>
            <w:pPr>
              <w:spacing w:line="240" w:lineRule="auto" w:before="0" w:after="0"/>
              <w:pStyle w:val="Compact"/>
            </w:pPr>
            <w:r>
              <w:rPr>
                <w:sz w:val="20"/>
                <w:szCs w:val="20"/>
              </w:rPr>
              <w:t xml:space="preserve">6.8416</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Masten (post-acquisition)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Astrobotic acquired Masten 2022-09; press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r>
    </w:tbl>
    <w:bookmarkEnd w:id="80"/>
    <w:bookmarkStart w:id="81"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Months from the government anchor signal (CLPS/HLS/Tipping Point award or named partnership) until the first documented private capital raise</w:t>
            </w:r>
          </w:p>
        </w:tc>
        <w:tc>
          <w:tcPr>
            <w:tcW w:w="0" w:type="auto"/>
          </w:tcPr>
          <w:p>
            <w:pPr>
              <w:spacing w:line="240" w:lineRule="auto" w:before="0" w:after="0"/>
              <w:pStyle w:val="Compact"/>
            </w:pPr>
            <w:r>
              <w:rPr>
                <w:sz w:val="20"/>
                <w:szCs w:val="20"/>
              </w:rPr>
              <w:t xml:space="preserve">Crunchbase, PitchBook, SEC EDGAR S-1/S-4/10-K filings, company press releases</w:t>
            </w:r>
          </w:p>
        </w:tc>
      </w:tr>
      <w:t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Indicator equal to 1 if a private capital raise occurred within the observation window, 0 if right-censored at 36 months</w:t>
            </w:r>
          </w:p>
        </w:tc>
        <w:tc>
          <w:tcPr>
            <w:tcW w:w="0" w:type="auto"/>
          </w:tcPr>
          <w:p>
            <w:pPr>
              <w:spacing w:line="240" w:lineRule="auto" w:before="0" w:after="0"/>
              <w:pStyle w:val="Compact"/>
            </w:pPr>
            <w:r>
              <w:rPr>
                <w:sz w:val="20"/>
                <w:szCs w:val="20"/>
              </w:rPr>
              <w:t xml:space="preserve">Same disclosure sources; censoring rule from BryceTech Start-Up Space 2022 coding convention</w:t>
            </w:r>
          </w:p>
        </w:tc>
      </w:tr>
      <w:tr>
        <w:tc>
          <w:tcPr>
            <w:tcW w:w="0" w:type="auto"/>
          </w:tcPr>
          <w:p>
            <w:pPr>
              <w:spacing w:line="240" w:lineRule="auto" w:before="0" w:after="0"/>
              <w:pStyle w:val="Compact"/>
            </w:pPr>
            <w:r>
              <w:rPr>
                <w:sz w:val="20"/>
                <w:szCs w:val="20"/>
              </w:rPr>
              <w:t xml:space="preserve">gov_contract_value_musd</w:t>
            </w:r>
          </w:p>
        </w:tc>
        <w:tc>
          <w:tcPr>
            <w:tcW w:w="0" w:type="auto"/>
          </w:tcPr>
          <w:p>
            <w:pPr>
              <w:spacing w:line="240" w:lineRule="auto" w:before="0" w:after="0"/>
              <w:pStyle w:val="Compact"/>
            </w:pPr>
            <w:r>
              <w:rPr>
                <w:sz w:val="20"/>
                <w:szCs w:val="20"/>
              </w:rPr>
              <w:t xml:space="preserve">Disclosed value of the triggering government award in millions USD; 0 for non-contract partnership signals</w:t>
            </w:r>
          </w:p>
        </w:tc>
        <w:tc>
          <w:tcPr>
            <w:tcW w:w="0" w:type="auto"/>
          </w:tcPr>
          <w:p>
            <w:pPr>
              <w:spacing w:line="240" w:lineRule="auto" w:before="0" w:after="0"/>
              <w:pStyle w:val="Compact"/>
            </w:pPr>
            <w:r>
              <w:rPr>
                <w:sz w:val="20"/>
                <w:szCs w:val="20"/>
              </w:rPr>
              <w:t xml:space="preserve">NASA Acquisition Office postings; GAO-23-106021; GAO-24-106767; GAO-25-107591</w:t>
            </w:r>
          </w:p>
        </w:tc>
      </w:tr>
      <w:tr>
        <w:tc>
          <w:tcPr>
            <w:tcW w:w="0" w:type="auto"/>
          </w:tcPr>
          <w:p>
            <w:pPr>
              <w:spacing w:line="240" w:lineRule="auto" w:before="0" w:after="0"/>
              <w:pStyle w:val="Compact"/>
            </w:pPr>
            <w:r>
              <w:rPr>
                <w:sz w:val="20"/>
                <w:szCs w:val="20"/>
              </w:rPr>
              <w:t xml:space="preserve">prior_space_capital_musd</w:t>
            </w:r>
          </w:p>
        </w:tc>
        <w:tc>
          <w:tcPr>
            <w:tcW w:w="0" w:type="auto"/>
          </w:tcPr>
          <w:p>
            <w:pPr>
              <w:spacing w:line="240" w:lineRule="auto" w:before="0" w:after="0"/>
              <w:pStyle w:val="Compact"/>
            </w:pPr>
            <w:r>
              <w:rPr>
                <w:sz w:val="20"/>
                <w:szCs w:val="20"/>
              </w:rPr>
              <w:t xml:space="preserve">Cumulative private capital raised by the firm before the government anchor signal, millions USD</w:t>
            </w:r>
          </w:p>
        </w:tc>
        <w:tc>
          <w:tcPr>
            <w:tcW w:w="0" w:type="auto"/>
          </w:tcPr>
          <w:p>
            <w:pPr>
              <w:spacing w:line="240" w:lineRule="auto" w:before="0" w:after="0"/>
              <w:pStyle w:val="Compact"/>
            </w:pPr>
            <w:r>
              <w:rPr>
                <w:sz w:val="20"/>
                <w:szCs w:val="20"/>
              </w:rPr>
              <w:t xml:space="preserve">Crunchbase; PitchBook; SEC filings</w:t>
            </w:r>
          </w:p>
        </w:tc>
      </w:tr>
      <w:tr>
        <w:tc>
          <w:tcPr>
            <w:tcW w:w="0" w:type="auto"/>
          </w:tcPr>
          <w:p>
            <w:pPr>
              <w:spacing w:line="240" w:lineRule="auto" w:before="0" w:after="0"/>
              <w:pStyle w:val="Compact"/>
            </w:pPr>
            <w:r>
              <w:rPr>
                <w:sz w:val="20"/>
                <w:szCs w:val="20"/>
              </w:rPr>
              <w:t xml:space="preserve">founder_gov_experience</w:t>
            </w:r>
          </w:p>
        </w:tc>
        <w:tc>
          <w:tcPr>
            <w:tcW w:w="0" w:type="auto"/>
          </w:tcPr>
          <w:p>
            <w:pPr>
              <w:spacing w:line="240" w:lineRule="auto" w:before="0" w:after="0"/>
              <w:pStyle w:val="Compact"/>
            </w:pPr>
            <w:r>
              <w:rPr>
                <w:sz w:val="20"/>
                <w:szCs w:val="20"/>
              </w:rPr>
              <w:t xml:space="preserve">Binary indicator equal to 1 if any founder or C-suite officer held NASA, DoD, or FFRDC experience at signal date</w:t>
            </w:r>
          </w:p>
        </w:tc>
        <w:tc>
          <w:tcPr>
            <w:tcW w:w="0" w:type="auto"/>
          </w:tcPr>
          <w:p>
            <w:pPr>
              <w:spacing w:line="240" w:lineRule="auto" w:before="0" w:after="0"/>
              <w:pStyle w:val="Compact"/>
            </w:pPr>
            <w:r>
              <w:rPr>
                <w:sz w:val="20"/>
                <w:szCs w:val="20"/>
              </w:rPr>
              <w:t xml:space="preserve">LinkedIn-verified executive biographies; company About pages</w:t>
            </w:r>
          </w:p>
        </w:tc>
      </w:tr>
      <w:tr>
        <w:tc>
          <w:tcPr>
            <w:tcW w:w="0" w:type="auto"/>
          </w:tcPr>
          <w:p>
            <w:pPr>
              <w:spacing w:line="240" w:lineRule="auto" w:before="0" w:after="0"/>
              <w:pStyle w:val="Compact"/>
            </w:pPr>
            <w:r>
              <w:rPr>
                <w:sz w:val="20"/>
                <w:szCs w:val="20"/>
              </w:rPr>
              <w:t xml:space="preserve">team_size_log</w:t>
            </w:r>
          </w:p>
        </w:tc>
        <w:tc>
          <w:tcPr>
            <w:tcW w:w="0" w:type="auto"/>
          </w:tcPr>
          <w:p>
            <w:pPr>
              <w:spacing w:line="240" w:lineRule="auto" w:before="0" w:after="0"/>
              <w:pStyle w:val="Compact"/>
            </w:pPr>
            <w:r>
              <w:rPr>
                <w:sz w:val="20"/>
                <w:szCs w:val="20"/>
              </w:rPr>
              <w:t xml:space="preserve">Natural log of headcount at the date of the government anchor signal</w:t>
            </w:r>
          </w:p>
        </w:tc>
        <w:tc>
          <w:tcPr>
            <w:tcW w:w="0" w:type="auto"/>
          </w:tcPr>
          <w:p>
            <w:pPr>
              <w:spacing w:line="240" w:lineRule="auto" w:before="0" w:after="0"/>
              <w:pStyle w:val="Compact"/>
            </w:pPr>
            <w:r>
              <w:rPr>
                <w:sz w:val="20"/>
                <w:szCs w:val="20"/>
              </w:rPr>
              <w:t xml:space="preserve">PitchBook; LinkedIn company pages; firm 10-K disclosures where available</w:t>
            </w:r>
          </w:p>
        </w:tc>
      </w:tr>
    </w:tbl>
    <w:bookmarkEnd w:id="81"/>
    <w:bookmarkStart w:id="82"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gov_contract_log</w:t>
            </w:r>
          </w:p>
        </w:tc>
        <w:tc>
          <w:tcPr>
            <w:tcW w:w="0" w:type="auto"/>
          </w:tcPr>
          <w:p>
            <w:pPr>
              <w:spacing w:line="240" w:lineRule="auto" w:before="0" w:after="0"/>
              <w:pStyle w:val="Compact"/>
            </w:pPr>
            <w:r>
              <w:rPr>
                <w:sz w:val="20"/>
                <w:szCs w:val="20"/>
              </w:rPr>
              <w:t xml:space="preserve">0.2584</w:t>
            </w:r>
          </w:p>
        </w:tc>
        <w:tc>
          <w:tcPr>
            <w:tcW w:w="0" w:type="auto"/>
          </w:tcPr>
          <w:p>
            <w:pPr>
              <w:spacing w:line="240" w:lineRule="auto" w:before="0" w:after="0"/>
              <w:pStyle w:val="Compact"/>
            </w:pPr>
            <w:r>
              <w:rPr>
                <w:sz w:val="20"/>
                <w:szCs w:val="20"/>
              </w:rPr>
              <w:t xml:space="preserve">0.1594</w:t>
            </w:r>
          </w:p>
        </w:tc>
        <w:tc>
          <w:tcPr>
            <w:tcW w:w="0" w:type="auto"/>
          </w:tcPr>
          <w:p>
            <w:pPr>
              <w:spacing w:line="240" w:lineRule="auto" w:before="0" w:after="0"/>
              <w:pStyle w:val="Compact"/>
            </w:pPr>
            <w:r>
              <w:rPr>
                <w:sz w:val="20"/>
                <w:szCs w:val="20"/>
              </w:rPr>
              <w:t xml:space="preserve">1.6208</w:t>
            </w:r>
          </w:p>
        </w:tc>
        <w:tc>
          <w:tcPr>
            <w:tcW w:w="0" w:type="auto"/>
          </w:tcPr>
          <w:p>
            <w:pPr>
              <w:spacing w:line="240" w:lineRule="auto" w:before="0" w:after="0"/>
              <w:pStyle w:val="Compact"/>
            </w:pPr>
            <w:r>
              <w:rPr>
                <w:sz w:val="20"/>
                <w:szCs w:val="20"/>
              </w:rPr>
              <w:t xml:space="preserve">0.1051</w:t>
            </w:r>
          </w:p>
        </w:tc>
        <w:tc>
          <w:tcPr>
            <w:tcW w:w="0" w:type="auto"/>
          </w:tcPr>
          <w:p>
            <w:pPr>
              <w:spacing w:line="240" w:lineRule="auto" w:before="0" w:after="0"/>
              <w:pStyle w:val="Compact"/>
            </w:pPr>
            <w:r>
              <w:rPr>
                <w:sz w:val="20"/>
                <w:szCs w:val="20"/>
              </w:rPr>
              <w:t xml:space="preserve">[-0.0541, 0.5709]</w:t>
            </w:r>
          </w:p>
        </w:tc>
        <w:tc>
          <w:tcPr>
            <w:tcW w:w="0" w:type="auto"/>
          </w:tcPr>
          <w:p>
            <w:pPr>
              <w:spacing w:line="240" w:lineRule="auto" w:before="0" w:after="0"/>
              <w:pStyle w:val="Compact"/>
            </w:pPr>
            <w:r>
              <w:rPr>
                <w:sz w:val="20"/>
                <w:szCs w:val="20"/>
              </w:rPr>
              <w:t xml:space="preserve">1.2949</w:t>
            </w:r>
          </w:p>
        </w:tc>
      </w:tr>
      <w:tr>
        <w:tc>
          <w:tcPr>
            <w:tcW w:w="0" w:type="auto"/>
          </w:tcPr>
          <w:p>
            <w:pPr>
              <w:spacing w:line="240" w:lineRule="auto" w:before="0" w:after="0"/>
              <w:pStyle w:val="Compact"/>
            </w:pPr>
            <w:r>
              <w:rPr>
                <w:sz w:val="20"/>
                <w:szCs w:val="20"/>
              </w:rPr>
              <w:t xml:space="preserve">prior_capital_log</w:t>
            </w:r>
          </w:p>
        </w:tc>
        <w:tc>
          <w:tcPr>
            <w:tcW w:w="0" w:type="auto"/>
          </w:tcPr>
          <w:p>
            <w:pPr>
              <w:spacing w:line="240" w:lineRule="auto" w:before="0" w:after="0"/>
              <w:pStyle w:val="Compact"/>
            </w:pPr>
            <w:r>
              <w:rPr>
                <w:sz w:val="20"/>
                <w:szCs w:val="20"/>
              </w:rPr>
              <w:t xml:space="preserve">0.6974</w:t>
            </w:r>
          </w:p>
        </w:tc>
        <w:tc>
          <w:tcPr>
            <w:tcW w:w="0" w:type="auto"/>
          </w:tcPr>
          <w:p>
            <w:pPr>
              <w:spacing w:line="240" w:lineRule="auto" w:before="0" w:after="0"/>
              <w:pStyle w:val="Compact"/>
            </w:pPr>
            <w:r>
              <w:rPr>
                <w:sz w:val="20"/>
                <w:szCs w:val="20"/>
              </w:rPr>
              <w:t xml:space="preserve">0.207</w:t>
            </w:r>
          </w:p>
        </w:tc>
        <w:tc>
          <w:tcPr>
            <w:tcW w:w="0" w:type="auto"/>
          </w:tcPr>
          <w:p>
            <w:pPr>
              <w:spacing w:line="240" w:lineRule="auto" w:before="0" w:after="0"/>
              <w:pStyle w:val="Compact"/>
            </w:pPr>
            <w:r>
              <w:rPr>
                <w:sz w:val="20"/>
                <w:szCs w:val="20"/>
              </w:rPr>
              <w:t xml:space="preserve">3.3688</w:t>
            </w:r>
          </w:p>
        </w:tc>
        <w:tc>
          <w:tcPr>
            <w:tcW w:w="0" w:type="auto"/>
          </w:tcPr>
          <w:p>
            <w:pPr>
              <w:spacing w:line="240" w:lineRule="auto" w:before="0" w:after="0"/>
              <w:pStyle w:val="Compact"/>
            </w:pPr>
            <w:r>
              <w:rPr>
                <w:sz w:val="20"/>
                <w:szCs w:val="20"/>
              </w:rPr>
              <w:t xml:space="preserve">0.000755</w:t>
            </w:r>
          </w:p>
        </w:tc>
        <w:tc>
          <w:tcPr>
            <w:tcW w:w="0" w:type="auto"/>
          </w:tcPr>
          <w:p>
            <w:pPr>
              <w:spacing w:line="240" w:lineRule="auto" w:before="0" w:after="0"/>
              <w:pStyle w:val="Compact"/>
            </w:pPr>
            <w:r>
              <w:rPr>
                <w:sz w:val="20"/>
                <w:szCs w:val="20"/>
              </w:rPr>
              <w:t xml:space="preserve">[0.2916, 1.1032]</w:t>
            </w:r>
          </w:p>
        </w:tc>
        <w:tc>
          <w:tcPr>
            <w:tcW w:w="0" w:type="auto"/>
          </w:tcPr>
          <w:p>
            <w:pPr>
              <w:spacing w:line="240" w:lineRule="auto" w:before="0" w:after="0"/>
              <w:pStyle w:val="Compact"/>
            </w:pPr>
            <w:r>
              <w:rPr>
                <w:sz w:val="20"/>
                <w:szCs w:val="20"/>
              </w:rPr>
              <w:t xml:space="preserve">2.0085</w:t>
            </w:r>
          </w:p>
        </w:tc>
      </w:tr>
      <w:tr>
        <w:tc>
          <w:tcPr>
            <w:tcW w:w="0" w:type="auto"/>
          </w:tcPr>
          <w:p>
            <w:pPr>
              <w:spacing w:line="240" w:lineRule="auto" w:before="0" w:after="0"/>
              <w:pStyle w:val="Compact"/>
            </w:pPr>
            <w:r>
              <w:rPr>
                <w:sz w:val="20"/>
                <w:szCs w:val="20"/>
              </w:rPr>
              <w:t xml:space="preserve">founder_gov_experience</w:t>
            </w:r>
          </w:p>
        </w:tc>
        <w:tc>
          <w:tcPr>
            <w:tcW w:w="0" w:type="auto"/>
          </w:tcPr>
          <w:p>
            <w:pPr>
              <w:spacing w:line="240" w:lineRule="auto" w:before="0" w:after="0"/>
              <w:pStyle w:val="Compact"/>
            </w:pPr>
            <w:r>
              <w:rPr>
                <w:sz w:val="20"/>
                <w:szCs w:val="20"/>
              </w:rPr>
              <w:t xml:space="preserve">0.0445</w:t>
            </w:r>
          </w:p>
        </w:tc>
        <w:tc>
          <w:tcPr>
            <w:tcW w:w="0" w:type="auto"/>
          </w:tcPr>
          <w:p>
            <w:pPr>
              <w:spacing w:line="240" w:lineRule="auto" w:before="0" w:after="0"/>
              <w:pStyle w:val="Compact"/>
            </w:pPr>
            <w:r>
              <w:rPr>
                <w:sz w:val="20"/>
                <w:szCs w:val="20"/>
              </w:rPr>
              <w:t xml:space="preserve">0.7295</w:t>
            </w:r>
          </w:p>
        </w:tc>
        <w:tc>
          <w:tcPr>
            <w:tcW w:w="0" w:type="auto"/>
          </w:tcPr>
          <w:p>
            <w:pPr>
              <w:spacing w:line="240" w:lineRule="auto" w:before="0" w:after="0"/>
              <w:pStyle w:val="Compact"/>
            </w:pPr>
            <w:r>
              <w:rPr>
                <w:sz w:val="20"/>
                <w:szCs w:val="20"/>
              </w:rPr>
              <w:t xml:space="preserve">0.061</w:t>
            </w:r>
          </w:p>
        </w:tc>
        <w:tc>
          <w:tcPr>
            <w:tcW w:w="0" w:type="auto"/>
          </w:tcPr>
          <w:p>
            <w:pPr>
              <w:spacing w:line="240" w:lineRule="auto" w:before="0" w:after="0"/>
              <w:pStyle w:val="Compact"/>
            </w:pPr>
            <w:r>
              <w:rPr>
                <w:sz w:val="20"/>
                <w:szCs w:val="20"/>
              </w:rPr>
              <w:t xml:space="preserve">0.9514</w:t>
            </w:r>
          </w:p>
        </w:tc>
        <w:tc>
          <w:tcPr>
            <w:tcW w:w="0" w:type="auto"/>
          </w:tcPr>
          <w:p>
            <w:pPr>
              <w:spacing w:line="240" w:lineRule="auto" w:before="0" w:after="0"/>
              <w:pStyle w:val="Compact"/>
            </w:pPr>
            <w:r>
              <w:rPr>
                <w:sz w:val="20"/>
                <w:szCs w:val="20"/>
              </w:rPr>
              <w:t xml:space="preserve">[-1.3853, 1.4743]</w:t>
            </w:r>
          </w:p>
        </w:tc>
        <w:tc>
          <w:tcPr>
            <w:tcW w:w="0" w:type="auto"/>
          </w:tcPr>
          <w:p>
            <w:pPr>
              <w:spacing w:line="240" w:lineRule="auto" w:before="0" w:after="0"/>
              <w:pStyle w:val="Compact"/>
            </w:pPr>
            <w:r>
              <w:rPr>
                <w:sz w:val="20"/>
                <w:szCs w:val="20"/>
              </w:rPr>
              <w:t xml:space="preserve">1.0455</w:t>
            </w:r>
          </w:p>
        </w:tc>
      </w:tr>
      <w:tr>
        <w:tc>
          <w:tcPr>
            <w:tcW w:w="0" w:type="auto"/>
          </w:tcPr>
          <w:p>
            <w:pPr>
              <w:spacing w:line="240" w:lineRule="auto" w:before="0" w:after="0"/>
              <w:pStyle w:val="Compact"/>
            </w:pPr>
            <w:r>
              <w:rPr>
                <w:sz w:val="20"/>
                <w:szCs w:val="20"/>
              </w:rPr>
              <w:t xml:space="preserve">team_size_log</w:t>
            </w:r>
          </w:p>
        </w:tc>
        <w:tc>
          <w:tcPr>
            <w:tcW w:w="0" w:type="auto"/>
          </w:tcPr>
          <w:p>
            <w:pPr>
              <w:spacing w:line="240" w:lineRule="auto" w:before="0" w:after="0"/>
              <w:pStyle w:val="Compact"/>
            </w:pPr>
            <w:r>
              <w:rPr>
                <w:sz w:val="20"/>
                <w:szCs w:val="20"/>
              </w:rPr>
              <w:t xml:space="preserve">-0.6195</w:t>
            </w:r>
          </w:p>
        </w:tc>
        <w:tc>
          <w:tcPr>
            <w:tcW w:w="0" w:type="auto"/>
          </w:tcPr>
          <w:p>
            <w:pPr>
              <w:spacing w:line="240" w:lineRule="auto" w:before="0" w:after="0"/>
              <w:pStyle w:val="Compact"/>
            </w:pPr>
            <w:r>
              <w:rPr>
                <w:sz w:val="20"/>
                <w:szCs w:val="20"/>
              </w:rPr>
              <w:t xml:space="preserve">0.2412</w:t>
            </w:r>
          </w:p>
        </w:tc>
        <w:tc>
          <w:tcPr>
            <w:tcW w:w="0" w:type="auto"/>
          </w:tcPr>
          <w:p>
            <w:pPr>
              <w:spacing w:line="240" w:lineRule="auto" w:before="0" w:after="0"/>
              <w:pStyle w:val="Compact"/>
            </w:pPr>
            <w:r>
              <w:rPr>
                <w:sz w:val="20"/>
                <w:szCs w:val="20"/>
              </w:rPr>
              <w:t xml:space="preserve">-2.5686</w:t>
            </w:r>
          </w:p>
        </w:tc>
        <w:tc>
          <w:tcPr>
            <w:tcW w:w="0" w:type="auto"/>
          </w:tcPr>
          <w:p>
            <w:pPr>
              <w:spacing w:line="240" w:lineRule="auto" w:before="0" w:after="0"/>
              <w:pStyle w:val="Compact"/>
            </w:pPr>
            <w:r>
              <w:rPr>
                <w:sz w:val="20"/>
                <w:szCs w:val="20"/>
              </w:rPr>
              <w:t xml:space="preserve">0.0102</w:t>
            </w:r>
          </w:p>
        </w:tc>
        <w:tc>
          <w:tcPr>
            <w:tcW w:w="0" w:type="auto"/>
          </w:tcPr>
          <w:p>
            <w:pPr>
              <w:spacing w:line="240" w:lineRule="auto" w:before="0" w:after="0"/>
              <w:pStyle w:val="Compact"/>
            </w:pPr>
            <w:r>
              <w:rPr>
                <w:sz w:val="20"/>
                <w:szCs w:val="20"/>
              </w:rPr>
              <w:t xml:space="preserve">[-1.0922, -0.1468]</w:t>
            </w:r>
          </w:p>
        </w:tc>
        <w:tc>
          <w:tcPr>
            <w:tcW w:w="0" w:type="auto"/>
          </w:tcPr>
          <w:p>
            <w:pPr>
              <w:spacing w:line="240" w:lineRule="auto" w:before="0" w:after="0"/>
              <w:pStyle w:val="Compact"/>
            </w:pPr>
            <w:r>
              <w:rPr>
                <w:sz w:val="20"/>
                <w:szCs w:val="20"/>
              </w:rPr>
              <w:t xml:space="preserve">0.5382</w:t>
            </w:r>
          </w:p>
        </w:tc>
      </w:tr>
    </w:tbl>
    <w:p>
      <w:pPr>
        <w:pStyle w:val="BodyText"/>
      </w:pPr>
      <w:r>
        <w:t xml:space="preserve">Fit: N = 30 events = 22</w:t>
      </w:r>
    </w:p>
    <w:bookmarkEnd w:id="82"/>
    <w:bookmarkEnd w:id="83"/>
    <w:bookmarkEnd w:id="8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6" Target="media/rId76.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2026-06-27T13:09:56Z</dcterms:created>
  <dcterms:modified xsi:type="dcterms:W3CDTF">2026-06-27T13:09:56Z</dcterms:modified>
</cp:coreProperties>
</file>

<file path=docProps/custom.xml><?xml version="1.0" encoding="utf-8"?>
<Properties xmlns="http://schemas.openxmlformats.org/officeDocument/2006/custom-properties" xmlns:vt="http://schemas.openxmlformats.org/officeDocument/2006/docPropsVTypes"/>
</file>