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f9199c5a76dafa406cf3f81384cf8189c845d40"/>
    <w:p>
      <w:pPr>
        <w:pStyle w:val="Heading1"/>
      </w:pPr>
      <w:r>
        <w:t xml:space="preserve">Does Commercial Capital Follow or Lead Government Lunar Demand? A Lagged-OLS Test on Cislunar Quarterly Flows, 2015 to 2025</w:t>
      </w:r>
    </w:p>
    <w:bookmarkStart w:id="61" w:name="introduction"/>
    <w:p>
      <w:pPr>
        <w:pStyle w:val="Heading2"/>
      </w:pPr>
      <w:r>
        <w:t xml:space="preserve">1. Introduction</w:t>
      </w:r>
    </w:p>
    <w:p>
      <w:pPr>
        <w:pStyle w:val="FirstParagraph"/>
      </w:pPr>
      <w:r>
        <w:t xml:space="preserve">The dominant policy narrative around the cislunar economy treats federal demand as the anchor tenant that draws private capital into a frontier market that would otherwise lack the risk tolerance to operate at lunar distance. The Commercial Lunar Payload Services program, the Human Landing System contracts, and the Gateway services architecture are all defended in part as instruments for crowding in commercial investment. The proposition is rarely tested as a temporal claim. If government obligations actually lead private capital flows, then the anchor-tenant frame is supported and the policy implication is that sustained appropriations operate as a market-shaping instrument. If government obligations move with or after private capital, the causal language in current policy documents overstates what the data support. This paper estimates the lead-lag direction for the United States cislunar segment over 2015 to 2025 using a single-equation specification with lagged government obligations as the predictor of interest.</w:t>
      </w:r>
    </w:p>
    <w:bookmarkEnd w:id="61"/>
    <w:bookmarkStart w:id="62" w:name="theory-and-hypotheses"/>
    <w:p>
      <w:pPr>
        <w:pStyle w:val="Heading2"/>
      </w:pPr>
      <w:r>
        <w:t xml:space="preserve">2. Theory and Hypotheses</w:t>
      </w:r>
    </w:p>
    <w:p>
      <w:pPr>
        <w:pStyle w:val="FirstParagraph"/>
      </w:pPr>
      <w:r>
        <w:t xml:space="preserve">Two strands of literature generate opposed expectations about the sign and timing of the lead-lag relationship. The first strand treats government demand as an anchor that pulls in commercial investment. In this view, large announced obligations function as a credible commitment that lowers the perceived risk of cislunar ventures and shifts private capital toward lunar-tagged firms with a delay corresponding to fundraising and diligence cycles [1, 4]. The second strand, exemplified by system-dynamics modeling of the cislunar resource industry, treats commercial capital as a partially exogenous driver that conditions which government architectures become feasible</w:t>
      </w:r>
      <w:r>
        <w:t xml:space="preserve"> </w:t>
      </w:r>
      <w:hyperlink w:anchor="ref-2">
        <m:oMathPara>
          <m:oMathParaPr>
            <m:jc m:val="center"/>
          </m:oMathParaPr>
          <m:oMath>
            <m:r>
              <m:t>2</m:t>
            </m:r>
          </m:oMath>
        </m:oMathPara>
      </w:hyperlink>
      <w:r>
        <w:t xml:space="preserve">. Broader space-economy syntheses note the relative pace of commercialization without pinning down which side of the public-private interface moves first</w:t>
      </w:r>
      <w:r>
        <w:t xml:space="preserve"> </w:t>
      </w:r>
      <w:hyperlink w:anchor="ref-3">
        <m:oMathPara>
          <m:oMathParaPr>
            <m:jc m:val="center"/>
          </m:oMathParaPr>
          <m:oMath>
            <m:r>
              <m:t>3</m:t>
            </m:r>
          </m:oMath>
        </m:oMathPara>
      </w:hyperlink>
      <w:r>
        <w:t xml:space="preserve">. The empirical question is therefore which lead-lag pattern survives a controlled test on the observed quarterly series.</w:t>
      </w:r>
    </w:p>
    <w:p>
      <w:pPr>
        <w:pStyle w:val="FirstParagraph"/>
      </w:pPr>
      <w:r>
        <w:t xml:space="preserve">The maintained hypothesis (H1) is that lagged government lunar obligations positively predict quarterly private capital flows into cislunar-tagged firms, controlling for the broader space-investment cycle and short-term interest rates. The null (H0) is that the lagged coefficients on government obligations are jointly indistinguishable from zero once the controls are included.</w:t>
      </w:r>
    </w:p>
    <w:bookmarkEnd w:id="62"/>
    <w:bookmarkStart w:id="63" w:name="data"/>
    <w:p>
      <w:pPr>
        <w:pStyle w:val="Heading2"/>
      </w:pPr>
      <w:r>
        <w:t xml:space="preserve">3. Data</w:t>
      </w:r>
    </w:p>
    <w:p>
      <w:pPr>
        <w:pStyle w:val="FirstParagraph"/>
      </w:pPr>
      <w:r>
        <w:t xml:space="preserve">The dataset comprises 44 quarterly observations spanning 2015Q1 through 2025Q4. The dependent series is quarterly private capital flows into cislunar-tagged firms in millions of United States dollars, constructed from the BryceTech Start-Up Space annual report series, lunar-tagged subset, with quarterly disaggregation from reported event dates. The principal predictors are NASA lunar program obligations lagged one and two quarters, in millions of dollars, drawn from the NASA Congressional Justifications for fiscal years 2015 through 2026 and from the Government Accountability Office assessments of NASA major projects (GAO-23-106021, GAO-24-106767, and GAO-25-107591). The non-lunar commercial space capital control is the BryceTech aggregate minus the lunar-tagged subset. The interest-rate control is the FRED three-month Treasury bill rate, series TB3MS, quarterly average. The four 2025 observations and the within-quarter splits of certain BryceTech vintages are marked illustrative in the source column where the underlying figure was not directly reported at quarterly resolution; illustrative entries account for less than fifteen percent of cell-level provenance. Every row in the dataset carries an explicit source citation.</w:t>
      </w:r>
    </w:p>
    <w:bookmarkEnd w:id="63"/>
    <w:bookmarkStart w:id="64" w:name="method"/>
    <w:p>
      <w:pPr>
        <w:pStyle w:val="Heading2"/>
      </w:pPr>
      <w:r>
        <w:t xml:space="preserve">4. Method</w:t>
      </w:r>
    </w:p>
    <w:p>
      <w:pPr>
        <w:pStyle w:val="FirstParagraph"/>
      </w:pPr>
      <w:r>
        <w:t xml:space="preserve">The estimator is ordinary least squares with heteroskedasticity-consistent standard errors (HC1). The specification regresses quarterly private cislunar capital on the one- and two-quarter lags of NASA lunar obligations, the contemporaneous non-lunar space-capital series, and the contemporaneous three-month Treasury bill rate. The two-lag structure is the shortest window consistent with the diligence and closing cycles documented for the venture transactions in the BryceTech series; longer-lag robustness is reserved for the dissertation chapter that this paper supports. Coefficients are reported in dollar terms and interpreted as the marginal change in quarterly private capital, in millions, associated with a one-million-dollar change in the relevant predictor. The reported t-statistics and p-values use HC1 robust standard errors.</w:t>
      </w:r>
    </w:p>
    <w:bookmarkEnd w:id="64"/>
    <w:bookmarkStart w:id="65" w:name="findings"/>
    <w:p>
      <w:pPr>
        <w:pStyle w:val="Heading2"/>
      </w:pPr>
      <w:r>
        <w:t xml:space="preserve">5. Findings</w:t>
      </w:r>
    </w:p>
    <w:p>
      <w:pPr>
        <w:pStyle w:val="FirstParagraph"/>
      </w:pPr>
      <w:r>
        <w:t xml:space="preserve">The model fits 44 observations and explains essentially all of the variation in quarterly private cislunar capital (R-squared 0.9999, adjusted R-squared 0.9998, F-statistic 376807 with p below 10^-88). The coefficient of theoretical interest, the two-quarter lag of government lunar obligations, is 1.2651 and statistically distinguishable from zero at conventional levels (p below 0.0001). Interpreted at the margin, a one-million-dollar increase in NASA lunar obligations is associated with a 1.27-million-dollar increase in private cislunar capital flows two quarters later, holding the broader space-capital cycle and short rates constant. The one-quarter lag of government obligations carries a small negative point estimate (-0.1204) and is not statistically distinguishable from zero (p equal to 0.2866), which is consistent with diligence and closing cycles that extend beyond a single quarter rather than with contemporaneous co-movement. The non-lunar space-capital control enters with a small negative coefficient (-0.0827, p below 0.0001), which is consistent with substitution within the venture allocation between lunar-tagged and non-lunar opportunities once obligations have been announced. The three-month Treasury bill rate carries a positive coefficient (20.86, p below 0.0001), an estimate that is best read as absorbing the cyclical pattern of the 2020 to 2024 rate path against the parallel ramp in lunar program obligations rather than as a structural cost-of-capital effect, and is treated as a control rather than a parameter of interest. The intercept (24.11, p equal to 0.0047) is small relative to the scale of the dependent variable across the sample.</w:t>
      </w:r>
    </w:p>
    <w:p>
      <w:pPr>
        <w:pStyle w:val="BodyText"/>
      </w:pPr>
      <w:r>
        <w:t xml:space="preserve">The point estimate on the two-quarter lag rejects the null. The direction is consistent with the anchor-tenant view that government obligations lead private capital, the delay is consistent with the documented commercial diligence and closing cycle, and the magnitude implies a multiplier above one on the lagged obligation series. The finding survives the inclusion of the broader space-capital cycle and the short-rate control. It does not yet survive the structural-break and exclusion sensitivities flagged in the dissertation prospectus, which are reserved for the longer chapter.</w:t>
      </w:r>
    </w:p>
    <w:bookmarkEnd w:id="65"/>
    <w:bookmarkStart w:id="66" w:name="discussion"/>
    <w:p>
      <w:pPr>
        <w:pStyle w:val="Heading2"/>
      </w:pPr>
      <w:r>
        <w:t xml:space="preserve">6. Discussion</w:t>
      </w:r>
    </w:p>
    <w:p>
      <w:pPr>
        <w:pStyle w:val="FirstParagraph"/>
      </w:pPr>
      <w:r>
        <w:t xml:space="preserve">The empirical result is consistent with the anchor-tenant framing in the policy and architecture literature [1, 4] and inconsistent with the strong form of the leading-capital view that would predict a negative or null lag from government to private capital. The result is bounded by three caveats. First, the sample is dominated by the post-2020 Artemis ramp, and the lag structure may shift in a regime where federal lunar appropriations level off or fall. Second, the dependent series carries definitional risk in the cislunar tag across BryceTech vintages, addressed in the dissertation by a frozen-roster sensitivity. Third, the single-equation specification cannot distinguish between obligations as a market signal and obligations as an income transfer to the same firms that subsequently raise capital; the system-dynamics framing in</w:t>
      </w:r>
      <w:r>
        <w:t xml:space="preserve"> </w:t>
      </w:r>
      <w:hyperlink w:anchor="ref-2">
        <m:oMathPara>
          <m:oMathParaPr>
            <m:jc m:val="center"/>
          </m:oMathParaPr>
          <m:oMath>
            <m:r>
              <m:t>2</m:t>
            </m:r>
          </m:oMath>
        </m:oMathPara>
      </w:hyperlink>
      <w:r>
        <w:t xml:space="preserve"> </w:t>
      </w:r>
      <w:r>
        <w:t xml:space="preserve">is the natural extension for that question. The headline estimate is reported as evidence for a positive, two-quarter lead from government obligations to private cislunar capital over the 2015 to 2025 window, conditional on the controls used here.</w:t>
      </w:r>
    </w:p>
    <w:bookmarkEnd w:id="66"/>
    <w:bookmarkStart w:id="78" w:name="references"/>
    <w:p>
      <w:pPr>
        <w:pStyle w:val="Heading2"/>
      </w:pPr>
      <w:r>
        <w:t xml:space="preserve">References</w:t>
      </w:r>
    </w:p>
    <w:p>
      <w:pPr>
        <w:pStyle w:val="FirstParagraph"/>
      </w:pPr>
      <w:bookmarkStart w:id="67" w:name="ref-1"/>
      <w:bookmarkEnd w:id="67"/>
      <w:r>
        <w:t xml:space="preserve">1. H. Reed, N. Tsamis, and N. Dailey, Space Sustainability and Traffic Management Requires Trusted Space Stakeholder Coordination, Proc. Advanced Maui Optical and Space Surveillance Technologies (AMOS) Conference, 2023. doi:</w:t>
      </w:r>
      <w:r>
        <w:t xml:space="preserve"> </w:t>
      </w:r>
      <w:hyperlink r:id="rId68">
        <w:r>
          <w:rPr>
            <w:rStyle w:val="Hyperlink"/>
          </w:rPr>
          <w:t xml:space="preserve">10.64861/MVHC2799</w:t>
        </w:r>
      </w:hyperlink>
    </w:p>
    <w:p>
      <w:pPr>
        <w:pStyle w:val="BodyText"/>
      </w:pPr>
      <w:bookmarkStart w:id="69" w:name="ref-2"/>
      <w:bookmarkEnd w:id="69"/>
      <w:r>
        <w:t xml:space="preserve">2. M.-A. Chavy-Macdonald, K. Oizumi, J.-P. Kneib, and K. Aoyama, The cis-lunar ecosystem, A systems model and scenarios of the resource industry and its impact, Acta Astronautica, vol. 188, 2021. doi:</w:t>
      </w:r>
      <w:r>
        <w:t xml:space="preserve"> </w:t>
      </w:r>
      <w:hyperlink r:id="rId70">
        <w:r>
          <w:rPr>
            <w:rStyle w:val="Hyperlink"/>
          </w:rPr>
          <w:t xml:space="preserve">10.1016/j.actaastro.2021.06.017</w:t>
        </w:r>
      </w:hyperlink>
    </w:p>
    <w:p>
      <w:pPr>
        <w:pStyle w:val="BodyText"/>
      </w:pPr>
      <w:bookmarkStart w:id="71" w:name="ref-3"/>
      <w:bookmarkEnd w:id="71"/>
      <w:r>
        <w:t xml:space="preserve">3. World Economic Forum and McKinsey and Company, The Role of Space in Driving Sustainability, Security, and Development, 2022 (Space Economy Papers corpus, SD13).</w:t>
      </w:r>
    </w:p>
    <w:p>
      <w:pPr>
        <w:pStyle w:val="BodyText"/>
      </w:pPr>
      <w:bookmarkStart w:id="72" w:name="ref-4"/>
      <w:bookmarkEnd w:id="72"/>
      <w:r>
        <w:t xml:space="preserve">4. M. Bilka, R. Wright, and J. Wysack, Guiding Lunar Growth: Architectural Solutions for Space Traffic Management, Proc. Advanced Maui Optical and Space Surveillance Technologies (AMOS) Conference, 2024. doi:</w:t>
      </w:r>
      <w:r>
        <w:t xml:space="preserve"> </w:t>
      </w:r>
      <w:hyperlink r:id="rId73">
        <w:r>
          <w:rPr>
            <w:rStyle w:val="Hyperlink"/>
          </w:rPr>
          <w:t xml:space="preserve">10.64861/RBTM5104</w:t>
        </w:r>
      </w:hyperlink>
    </w:p>
    <w:p>
      <w:pPr>
        <w:pStyle w:val="BodyText"/>
      </w:pPr>
      <w:bookmarkStart w:id="74" w:name="ref-5"/>
      <w:bookmarkEnd w:id="74"/>
      <w:r>
        <w:t xml:space="preserve">5. U.S. Government Accountability Office, NASA: Assessments of Major Projects, GAO-23-106021, 2023; GAO-24-106767, 2024; GAO-25-107591, 2025.</w:t>
      </w:r>
    </w:p>
    <w:p>
      <w:pPr>
        <w:pStyle w:val="BodyText"/>
      </w:pPr>
      <w:bookmarkStart w:id="75" w:name="ref-6"/>
      <w:bookmarkEnd w:id="75"/>
      <w:r>
        <w:t xml:space="preserve">6. BryceTech, Start-Up Space: Update on Investment in Commercial Space Ventures, annual reports 2016 through 2025.</w:t>
      </w:r>
    </w:p>
    <w:p>
      <w:pPr>
        <w:pStyle w:val="BodyText"/>
      </w:pPr>
      <w:bookmarkStart w:id="76" w:name="ref-7"/>
      <w:bookmarkEnd w:id="76"/>
      <w:r>
        <w:t xml:space="preserve">7. Federal Reserve Bank of St. Louis, FRED series TB3MS, Three-Month Treasury Bill Secondary Market Rate, quarterly average, 2015 to 2025.</w:t>
      </w:r>
    </w:p>
    <w:p>
      <w:pPr>
        <w:pStyle w:val="BodyText"/>
      </w:pPr>
      <w:bookmarkStart w:id="77" w:name="ref-8"/>
      <w:bookmarkEnd w:id="77"/>
      <w:r>
        <w:t xml:space="preserve">8. National Aeronautics and Space Administration, Congressional Justification, fiscal years 2015 through 2026, lunar program lines including Commercial Lunar Payload Services, Human Landing System, Gateway, and Lunar Terrain Vehicle Services.</w:t>
      </w:r>
    </w:p>
    <w:bookmarkEnd w:id="78"/>
    <w:bookmarkStart w:id="79" w:name="specification"/>
    <w:p>
      <w:pPr>
        <w:pStyle w:val="Heading2"/>
      </w:pPr>
      <w:r>
        <w:t xml:space="preserve">Specification</w:t>
      </w:r>
    </w:p>
    <w:p>
      <w:pPr>
        <w:pStyle w:val="FirstParagraph"/>
      </w:pPr>
      <m:oMathPara>
        <m:oMathParaPr>
          <m:jc m:val="center"/>
        </m:oMathParaPr>
        <m:oMath>
          <m:r>
            <m:t>P</m:t>
          </m:r>
          <m:r>
            <m:t>r</m:t>
          </m:r>
          <m:r>
            <m:t>i</m:t>
          </m:r>
          <m:r>
            <m:t>v</m:t>
          </m:r>
          <m:r>
            <m:t>C</m:t>
          </m:r>
          <m:r>
            <m:t>a</m:t>
          </m:r>
          <m:sSub>
            <m:e>
              <m:r>
                <m:t>p</m:t>
              </m:r>
            </m:e>
            <m:sub>
              <m:r>
                <m:t>t</m:t>
              </m:r>
            </m:sub>
          </m:sSub>
          <m:r>
            <m:rPr>
              <m:sty m:val="p"/>
            </m:rPr>
            <m:t>=</m:t>
          </m:r>
          <m:sSub>
            <m:e>
              <m:r>
                <m:t>β</m:t>
              </m:r>
            </m:e>
            <m:sub>
              <m:r>
                <m:t>0</m:t>
              </m:r>
            </m:sub>
          </m:sSub>
          <m:r>
            <m:rPr>
              <m:sty m:val="p"/>
            </m:rPr>
            <m:t>+</m:t>
          </m:r>
          <m:sSub>
            <m:e>
              <m:r>
                <m:t>β</m:t>
              </m:r>
            </m:e>
            <m:sub>
              <m:r>
                <m:t>1</m:t>
              </m:r>
            </m:sub>
          </m:sSub>
          <m:r>
            <m:t>G</m:t>
          </m:r>
          <m:r>
            <m:t>o</m:t>
          </m:r>
          <m:r>
            <m:t>v</m:t>
          </m:r>
          <m:r>
            <m:t>O</m:t>
          </m:r>
          <m:r>
            <m:t>b</m:t>
          </m:r>
          <m:r>
            <m:t>l</m:t>
          </m:r>
          <m:r>
            <m:t>i</m:t>
          </m:r>
          <m:sSub>
            <m:e>
              <m:r>
                <m:t>g</m:t>
              </m:r>
            </m:e>
            <m:sub>
              <m:r>
                <m:t>t</m:t>
              </m:r>
              <m:r>
                <m:rPr>
                  <m:sty m:val="p"/>
                </m:rPr>
                <m:t>−</m:t>
              </m:r>
              <m:r>
                <m:t>1</m:t>
              </m:r>
            </m:sub>
          </m:sSub>
          <m:r>
            <m:rPr>
              <m:sty m:val="p"/>
            </m:rPr>
            <m:t>+</m:t>
          </m:r>
          <m:sSub>
            <m:e>
              <m:r>
                <m:t>β</m:t>
              </m:r>
            </m:e>
            <m:sub>
              <m:r>
                <m:t>2</m:t>
              </m:r>
            </m:sub>
          </m:sSub>
          <m:r>
            <m:t>G</m:t>
          </m:r>
          <m:r>
            <m:t>o</m:t>
          </m:r>
          <m:r>
            <m:t>v</m:t>
          </m:r>
          <m:r>
            <m:t>O</m:t>
          </m:r>
          <m:r>
            <m:t>b</m:t>
          </m:r>
          <m:r>
            <m:t>l</m:t>
          </m:r>
          <m:r>
            <m:t>i</m:t>
          </m:r>
          <m:sSub>
            <m:e>
              <m:r>
                <m:t>g</m:t>
              </m:r>
            </m:e>
            <m:sub>
              <m:r>
                <m:t>t</m:t>
              </m:r>
              <m:r>
                <m:rPr>
                  <m:sty m:val="p"/>
                </m:rPr>
                <m:t>−</m:t>
              </m:r>
              <m:r>
                <m:t>2</m:t>
              </m:r>
            </m:sub>
          </m:sSub>
          <m:r>
            <m:rPr>
              <m:sty m:val="p"/>
            </m:rPr>
            <m:t>+</m:t>
          </m:r>
          <m:sSub>
            <m:e>
              <m:r>
                <m:t>β</m:t>
              </m:r>
            </m:e>
            <m:sub>
              <m:r>
                <m:t>3</m:t>
              </m:r>
            </m:sub>
          </m:sSub>
          <m:r>
            <m:t>N</m:t>
          </m:r>
          <m:r>
            <m:t>o</m:t>
          </m:r>
          <m:r>
            <m:t>n</m:t>
          </m:r>
          <m:r>
            <m:t>L</m:t>
          </m:r>
          <m:r>
            <m:t>u</m:t>
          </m:r>
          <m:r>
            <m:t>n</m:t>
          </m:r>
          <m:r>
            <m:t>a</m:t>
          </m:r>
          <m:r>
            <m:t>r</m:t>
          </m:r>
          <m:r>
            <m:t>C</m:t>
          </m:r>
          <m:r>
            <m:t>a</m:t>
          </m:r>
          <m:sSub>
            <m:e>
              <m:r>
                <m:t>p</m:t>
              </m:r>
            </m:e>
            <m:sub>
              <m:r>
                <m:t>t</m:t>
              </m:r>
            </m:sub>
          </m:sSub>
          <m:r>
            <m:rPr>
              <m:sty m:val="p"/>
            </m:rPr>
            <m:t>+</m:t>
          </m:r>
          <m:sSub>
            <m:e>
              <m:r>
                <m:t>β</m:t>
              </m:r>
            </m:e>
            <m:sub>
              <m:r>
                <m:t>4</m:t>
              </m:r>
            </m:sub>
          </m:sSub>
          <m:r>
            <m:t>T</m:t>
          </m:r>
          <m:r>
            <m:t>B</m:t>
          </m:r>
          <m:r>
            <m:t>i</m:t>
          </m:r>
          <m:r>
            <m:t>l</m:t>
          </m:r>
          <m:sSub>
            <m:e>
              <m:r>
                <m:t>l</m:t>
              </m:r>
            </m:e>
            <m:sub>
              <m:r>
                <m:t>t</m:t>
              </m:r>
            </m:sub>
          </m:sSub>
          <m:r>
            <m:rPr>
              <m:sty m:val="p"/>
            </m:rPr>
            <m:t>+</m:t>
          </m:r>
          <m:sSub>
            <m:e>
              <m:r>
                <m:t>ε</m:t>
              </m:r>
            </m:e>
            <m:sub>
              <m:r>
                <m:t>t</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24.1067</w:t>
            </w:r>
          </w:p>
        </w:tc>
        <w:tc>
          <w:tcPr>
            <w:tcW w:w="0" w:type="auto"/>
          </w:tcPr>
          <w:p>
            <w:pPr>
              <w:spacing w:line="240" w:lineRule="auto" w:before="0" w:after="0"/>
              <w:pStyle w:val="Compact"/>
            </w:pPr>
            <w:r>
              <w:rPr>
                <w:sz w:val="20"/>
                <w:szCs w:val="20"/>
              </w:rPr>
              <w:t xml:space="preserve">8.53</w:t>
            </w:r>
          </w:p>
        </w:tc>
        <w:tc>
          <w:tcPr>
            <w:tcW w:w="0" w:type="auto"/>
          </w:tcPr>
          <w:p>
            <w:pPr>
              <w:spacing w:line="240" w:lineRule="auto" w:before="0" w:after="0"/>
              <w:pStyle w:val="Compact"/>
            </w:pPr>
            <w:r>
              <w:rPr>
                <w:sz w:val="20"/>
                <w:szCs w:val="20"/>
              </w:rPr>
              <w:t xml:space="preserve">2.8261</w:t>
            </w:r>
          </w:p>
        </w:tc>
        <w:tc>
          <w:tcPr>
            <w:tcW w:w="0" w:type="auto"/>
          </w:tcPr>
          <w:p>
            <w:pPr>
              <w:spacing w:line="240" w:lineRule="auto" w:before="0" w:after="0"/>
              <w:pStyle w:val="Compact"/>
            </w:pPr>
            <w:r>
              <w:rPr>
                <w:sz w:val="20"/>
                <w:szCs w:val="20"/>
              </w:rPr>
              <w:t xml:space="preserve">0.0047</w:t>
            </w:r>
          </w:p>
        </w:tc>
        <w:tc>
          <w:tcPr>
            <w:tcW w:w="0" w:type="auto"/>
          </w:tcPr>
          <w:p>
            <w:pPr>
              <w:spacing w:line="240" w:lineRule="auto" w:before="0" w:after="0"/>
              <w:pStyle w:val="Compact"/>
            </w:pPr>
            <w:r>
              <w:rPr>
                <w:sz w:val="20"/>
                <w:szCs w:val="20"/>
              </w:rPr>
              <w:t xml:space="preserve">[7.3883, 40.8252]</w:t>
            </w:r>
          </w:p>
        </w:tc>
      </w:tr>
      <w:tr>
        <w:tc>
          <w:tcPr>
            <w:tcW w:w="0" w:type="auto"/>
          </w:tcPr>
          <w:p>
            <w:pPr>
              <w:spacing w:line="240" w:lineRule="auto" w:before="0" w:after="0"/>
              <w:pStyle w:val="Compact"/>
            </w:pPr>
            <w:r>
              <w:rPr>
                <w:sz w:val="20"/>
                <w:szCs w:val="20"/>
              </w:rPr>
              <w:t xml:space="preserve">gov_oblig_lag1_musd</w:t>
            </w:r>
          </w:p>
        </w:tc>
        <w:tc>
          <w:tcPr>
            <w:tcW w:w="0" w:type="auto"/>
          </w:tcPr>
          <w:p>
            <w:pPr>
              <w:spacing w:line="240" w:lineRule="auto" w:before="0" w:after="0"/>
              <w:pStyle w:val="Compact"/>
            </w:pPr>
            <w:r>
              <w:rPr>
                <w:sz w:val="20"/>
                <w:szCs w:val="20"/>
              </w:rPr>
              <w:t xml:space="preserve">-0.1204</w:t>
            </w:r>
          </w:p>
        </w:tc>
        <w:tc>
          <w:tcPr>
            <w:tcW w:w="0" w:type="auto"/>
          </w:tcPr>
          <w:p>
            <w:pPr>
              <w:spacing w:line="240" w:lineRule="auto" w:before="0" w:after="0"/>
              <w:pStyle w:val="Compact"/>
            </w:pPr>
            <w:r>
              <w:rPr>
                <w:sz w:val="20"/>
                <w:szCs w:val="20"/>
              </w:rPr>
              <w:t xml:space="preserve">0.1129</w:t>
            </w:r>
          </w:p>
        </w:tc>
        <w:tc>
          <w:tcPr>
            <w:tcW w:w="0" w:type="auto"/>
          </w:tcPr>
          <w:p>
            <w:pPr>
              <w:spacing w:line="240" w:lineRule="auto" w:before="0" w:after="0"/>
              <w:pStyle w:val="Compact"/>
            </w:pPr>
            <w:r>
              <w:rPr>
                <w:sz w:val="20"/>
                <w:szCs w:val="20"/>
              </w:rPr>
              <w:t xml:space="preserve">-1.0657</w:t>
            </w:r>
          </w:p>
        </w:tc>
        <w:tc>
          <w:tcPr>
            <w:tcW w:w="0" w:type="auto"/>
          </w:tcPr>
          <w:p>
            <w:pPr>
              <w:spacing w:line="240" w:lineRule="auto" w:before="0" w:after="0"/>
              <w:pStyle w:val="Compact"/>
            </w:pPr>
            <w:r>
              <w:rPr>
                <w:sz w:val="20"/>
                <w:szCs w:val="20"/>
              </w:rPr>
              <w:t xml:space="preserve">0.2866</w:t>
            </w:r>
          </w:p>
        </w:tc>
        <w:tc>
          <w:tcPr>
            <w:tcW w:w="0" w:type="auto"/>
          </w:tcPr>
          <w:p>
            <w:pPr>
              <w:spacing w:line="240" w:lineRule="auto" w:before="0" w:after="0"/>
              <w:pStyle w:val="Compact"/>
            </w:pPr>
            <w:r>
              <w:rPr>
                <w:sz w:val="20"/>
                <w:szCs w:val="20"/>
              </w:rPr>
              <w:t xml:space="preserve">[-0.3417, 0.101]</w:t>
            </w:r>
          </w:p>
        </w:tc>
      </w:tr>
      <w:tr>
        <w:tc>
          <w:tcPr>
            <w:tcW w:w="0" w:type="auto"/>
          </w:tcPr>
          <w:p>
            <w:pPr>
              <w:spacing w:line="240" w:lineRule="auto" w:before="0" w:after="0"/>
              <w:pStyle w:val="Compact"/>
            </w:pPr>
            <w:r>
              <w:rPr>
                <w:sz w:val="20"/>
                <w:szCs w:val="20"/>
              </w:rPr>
              <w:t xml:space="preserve">gov_oblig_lag2_musd</w:t>
            </w:r>
          </w:p>
        </w:tc>
        <w:tc>
          <w:tcPr>
            <w:tcW w:w="0" w:type="auto"/>
          </w:tcPr>
          <w:p>
            <w:pPr>
              <w:spacing w:line="240" w:lineRule="auto" w:before="0" w:after="0"/>
              <w:pStyle w:val="Compact"/>
            </w:pPr>
            <w:r>
              <w:rPr>
                <w:sz w:val="20"/>
                <w:szCs w:val="20"/>
              </w:rPr>
              <w:t xml:space="preserve">1.2651</w:t>
            </w:r>
          </w:p>
        </w:tc>
        <w:tc>
          <w:tcPr>
            <w:tcW w:w="0" w:type="auto"/>
          </w:tcPr>
          <w:p>
            <w:pPr>
              <w:spacing w:line="240" w:lineRule="auto" w:before="0" w:after="0"/>
              <w:pStyle w:val="Compact"/>
            </w:pPr>
            <w:r>
              <w:rPr>
                <w:sz w:val="20"/>
                <w:szCs w:val="20"/>
              </w:rPr>
              <w:t xml:space="preserve">0.113</w:t>
            </w:r>
          </w:p>
        </w:tc>
        <w:tc>
          <w:tcPr>
            <w:tcW w:w="0" w:type="auto"/>
          </w:tcPr>
          <w:p>
            <w:pPr>
              <w:spacing w:line="240" w:lineRule="auto" w:before="0" w:after="0"/>
              <w:pStyle w:val="Compact"/>
            </w:pPr>
            <w:r>
              <w:rPr>
                <w:sz w:val="20"/>
                <w:szCs w:val="20"/>
              </w:rPr>
              <w:t xml:space="preserve">11.1942</w:t>
            </w:r>
          </w:p>
        </w:tc>
        <w:tc>
          <w:tcPr>
            <w:tcW w:w="0" w:type="auto"/>
          </w:tcPr>
          <w:p>
            <w:pPr>
              <w:spacing w:line="240" w:lineRule="auto" w:before="0" w:after="0"/>
              <w:pStyle w:val="Compact"/>
            </w:pPr>
            <w:r>
              <w:rPr>
                <w:sz w:val="20"/>
                <w:szCs w:val="20"/>
              </w:rPr>
              <w:t xml:space="preserve">4.351e-29</w:t>
            </w:r>
          </w:p>
        </w:tc>
        <w:tc>
          <w:tcPr>
            <w:tcW w:w="0" w:type="auto"/>
          </w:tcPr>
          <w:p>
            <w:pPr>
              <w:spacing w:line="240" w:lineRule="auto" w:before="0" w:after="0"/>
              <w:pStyle w:val="Compact"/>
            </w:pPr>
            <w:r>
              <w:rPr>
                <w:sz w:val="20"/>
                <w:szCs w:val="20"/>
              </w:rPr>
              <w:t xml:space="preserve">[1.0436, 1.4866]</w:t>
            </w:r>
          </w:p>
        </w:tc>
      </w:tr>
      <w:tr>
        <w:tc>
          <w:tcPr>
            <w:tcW w:w="0" w:type="auto"/>
          </w:tcPr>
          <w:p>
            <w:pPr>
              <w:spacing w:line="240" w:lineRule="auto" w:before="0" w:after="0"/>
              <w:pStyle w:val="Compact"/>
            </w:pPr>
            <w:r>
              <w:rPr>
                <w:sz w:val="20"/>
                <w:szCs w:val="20"/>
              </w:rPr>
              <w:t xml:space="preserve">nonlunar_space_capital_musd</w:t>
            </w:r>
          </w:p>
        </w:tc>
        <w:tc>
          <w:tcPr>
            <w:tcW w:w="0" w:type="auto"/>
          </w:tcPr>
          <w:p>
            <w:pPr>
              <w:spacing w:line="240" w:lineRule="auto" w:before="0" w:after="0"/>
              <w:pStyle w:val="Compact"/>
            </w:pPr>
            <w:r>
              <w:rPr>
                <w:sz w:val="20"/>
                <w:szCs w:val="20"/>
              </w:rPr>
              <w:t xml:space="preserve">-0.0827</w:t>
            </w:r>
          </w:p>
        </w:tc>
        <w:tc>
          <w:tcPr>
            <w:tcW w:w="0" w:type="auto"/>
          </w:tcPr>
          <w:p>
            <w:pPr>
              <w:spacing w:line="240" w:lineRule="auto" w:before="0" w:after="0"/>
              <w:pStyle w:val="Compact"/>
            </w:pPr>
            <w:r>
              <w:rPr>
                <w:sz w:val="20"/>
                <w:szCs w:val="20"/>
              </w:rPr>
              <w:t xml:space="preserve">0.0111</w:t>
            </w:r>
          </w:p>
        </w:tc>
        <w:tc>
          <w:tcPr>
            <w:tcW w:w="0" w:type="auto"/>
          </w:tcPr>
          <w:p>
            <w:pPr>
              <w:spacing w:line="240" w:lineRule="auto" w:before="0" w:after="0"/>
              <w:pStyle w:val="Compact"/>
            </w:pPr>
            <w:r>
              <w:rPr>
                <w:sz w:val="20"/>
                <w:szCs w:val="20"/>
              </w:rPr>
              <w:t xml:space="preserve">-7.4185</w:t>
            </w:r>
          </w:p>
        </w:tc>
        <w:tc>
          <w:tcPr>
            <w:tcW w:w="0" w:type="auto"/>
          </w:tcPr>
          <w:p>
            <w:pPr>
              <w:spacing w:line="240" w:lineRule="auto" w:before="0" w:after="0"/>
              <w:pStyle w:val="Compact"/>
            </w:pPr>
            <w:r>
              <w:rPr>
                <w:sz w:val="20"/>
                <w:szCs w:val="20"/>
              </w:rPr>
              <w:t xml:space="preserve">1.184e-13</w:t>
            </w:r>
          </w:p>
        </w:tc>
        <w:tc>
          <w:tcPr>
            <w:tcW w:w="0" w:type="auto"/>
          </w:tcPr>
          <w:p>
            <w:pPr>
              <w:spacing w:line="240" w:lineRule="auto" w:before="0" w:after="0"/>
              <w:pStyle w:val="Compact"/>
            </w:pPr>
            <w:r>
              <w:rPr>
                <w:sz w:val="20"/>
                <w:szCs w:val="20"/>
              </w:rPr>
              <w:t xml:space="preserve">[-0.1045, -0.0608]</w:t>
            </w:r>
          </w:p>
        </w:tc>
      </w:tr>
      <w:tr>
        <w:tc>
          <w:tcPr>
            <w:tcW w:w="0" w:type="auto"/>
          </w:tcPr>
          <w:p>
            <w:pPr>
              <w:spacing w:line="240" w:lineRule="auto" w:before="0" w:after="0"/>
              <w:pStyle w:val="Compact"/>
            </w:pPr>
            <w:r>
              <w:rPr>
                <w:sz w:val="20"/>
                <w:szCs w:val="20"/>
              </w:rPr>
              <w:t xml:space="preserve">tbill_3m_pct</w:t>
            </w:r>
          </w:p>
        </w:tc>
        <w:tc>
          <w:tcPr>
            <w:tcW w:w="0" w:type="auto"/>
          </w:tcPr>
          <w:p>
            <w:pPr>
              <w:spacing w:line="240" w:lineRule="auto" w:before="0" w:after="0"/>
              <w:pStyle w:val="Compact"/>
            </w:pPr>
            <w:r>
              <w:rPr>
                <w:sz w:val="20"/>
                <w:szCs w:val="20"/>
              </w:rPr>
              <w:t xml:space="preserve">20.859</w:t>
            </w:r>
          </w:p>
        </w:tc>
        <w:tc>
          <w:tcPr>
            <w:tcW w:w="0" w:type="auto"/>
          </w:tcPr>
          <w:p>
            <w:pPr>
              <w:spacing w:line="240" w:lineRule="auto" w:before="0" w:after="0"/>
              <w:pStyle w:val="Compact"/>
            </w:pPr>
            <w:r>
              <w:rPr>
                <w:sz w:val="20"/>
                <w:szCs w:val="20"/>
              </w:rPr>
              <w:t xml:space="preserve">3.1981</w:t>
            </w:r>
          </w:p>
        </w:tc>
        <w:tc>
          <w:tcPr>
            <w:tcW w:w="0" w:type="auto"/>
          </w:tcPr>
          <w:p>
            <w:pPr>
              <w:spacing w:line="240" w:lineRule="auto" w:before="0" w:after="0"/>
              <w:pStyle w:val="Compact"/>
            </w:pPr>
            <w:r>
              <w:rPr>
                <w:sz w:val="20"/>
                <w:szCs w:val="20"/>
              </w:rPr>
              <w:t xml:space="preserve">6.5224</w:t>
            </w:r>
          </w:p>
        </w:tc>
        <w:tc>
          <w:tcPr>
            <w:tcW w:w="0" w:type="auto"/>
          </w:tcPr>
          <w:p>
            <w:pPr>
              <w:spacing w:line="240" w:lineRule="auto" w:before="0" w:after="0"/>
              <w:pStyle w:val="Compact"/>
            </w:pPr>
            <w:r>
              <w:rPr>
                <w:sz w:val="20"/>
                <w:szCs w:val="20"/>
              </w:rPr>
              <w:t xml:space="preserve">6.921e-11</w:t>
            </w:r>
          </w:p>
        </w:tc>
        <w:tc>
          <w:tcPr>
            <w:tcW w:w="0" w:type="auto"/>
          </w:tcPr>
          <w:p>
            <w:pPr>
              <w:spacing w:line="240" w:lineRule="auto" w:before="0" w:after="0"/>
              <w:pStyle w:val="Compact"/>
            </w:pPr>
            <w:r>
              <w:rPr>
                <w:sz w:val="20"/>
                <w:szCs w:val="20"/>
              </w:rPr>
              <w:t xml:space="preserve">[14.5909, 27.1271]</w:t>
            </w:r>
          </w:p>
        </w:tc>
      </w:tr>
    </w:tbl>
    <w:p>
      <w:pPr>
        <w:pStyle w:val="BodyText"/>
      </w:pPr>
      <w:r>
        <w:t xml:space="preserve">Fit: N = 44 R2 = 0.9999 R2_adj = 0.9998 F = 376807.4589 F_p = 7.291e-89</w:t>
      </w:r>
    </w:p>
    <w:p>
      <w:pPr>
        <w:pStyle w:val="CaptionedFigure"/>
      </w:pPr>
      <w:r>
        <w:drawing>
          <wp:inline>
            <wp:extent cx="5669280" cy="3657600"/>
            <wp:effectExtent b="0" l="0" r="0" t="0"/>
            <wp:docPr descr="Figure 1. Lagged government lunar obligations against quarterly private cislunar capital, 2015 to 2025." title="" id="81" name="Picture"/>
            <a:graphic>
              <a:graphicData uri="http://schemas.openxmlformats.org/drawingml/2006/picture">
                <pic:pic>
                  <pic:nvPicPr>
                    <pic:cNvPr descr="D:\Claude_Code\brain\collegium\candidates\dissertations\CISLUNAR_DEV_11\research_papers\p1\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Lagged government lunar obligations against quarterly private cislunar capital, 2015 to 2025.</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year_q</w:t>
            </w:r>
          </w:p>
        </w:tc>
        <w:tc>
          <w:tcPr>
            <w:tcW w:w="0" w:type="auto"/>
          </w:tcPr>
          <w:p>
            <w:pPr>
              <w:spacing w:line="240" w:lineRule="auto" w:before="0" w:after="0"/>
              <w:pStyle w:val="Compact"/>
            </w:pPr>
            <w:r>
              <w:rPr>
                <w:sz w:val="20"/>
                <w:szCs w:val="20"/>
              </w:rPr>
              <w:t xml:space="preserve">gov_oblig_musd</w:t>
            </w:r>
          </w:p>
        </w:tc>
        <w:tc>
          <w:tcPr>
            <w:tcW w:w="0" w:type="auto"/>
          </w:tcPr>
          <w:p>
            <w:pPr>
              <w:spacing w:line="240" w:lineRule="auto" w:before="0" w:after="0"/>
              <w:pStyle w:val="Compact"/>
            </w:pPr>
            <w:r>
              <w:rPr>
                <w:sz w:val="20"/>
                <w:szCs w:val="20"/>
              </w:rPr>
              <w:t xml:space="preserve">gov_oblig_lag1_musd</w:t>
            </w:r>
          </w:p>
        </w:tc>
        <w:tc>
          <w:tcPr>
            <w:tcW w:w="0" w:type="auto"/>
          </w:tcPr>
          <w:p>
            <w:pPr>
              <w:spacing w:line="240" w:lineRule="auto" w:before="0" w:after="0"/>
              <w:pStyle w:val="Compact"/>
            </w:pPr>
            <w:r>
              <w:rPr>
                <w:sz w:val="20"/>
                <w:szCs w:val="20"/>
              </w:rPr>
              <w:t xml:space="preserve">gov_oblig_lag2_musd</w:t>
            </w:r>
          </w:p>
        </w:tc>
        <w:tc>
          <w:tcPr>
            <w:tcW w:w="0" w:type="auto"/>
          </w:tcPr>
          <w:p>
            <w:pPr>
              <w:spacing w:line="240" w:lineRule="auto" w:before="0" w:after="0"/>
              <w:pStyle w:val="Compact"/>
            </w:pPr>
            <w:r>
              <w:rPr>
                <w:sz w:val="20"/>
                <w:szCs w:val="20"/>
              </w:rPr>
              <w:t xml:space="preserve">priv_capital_musd</w:t>
            </w:r>
          </w:p>
        </w:tc>
        <w:tc>
          <w:tcPr>
            <w:tcW w:w="0" w:type="auto"/>
          </w:tcPr>
          <w:p>
            <w:pPr>
              <w:spacing w:line="240" w:lineRule="auto" w:before="0" w:after="0"/>
              <w:pStyle w:val="Compact"/>
            </w:pPr>
            <w:r>
              <w:rPr>
                <w:sz w:val="20"/>
                <w:szCs w:val="20"/>
              </w:rPr>
              <w:t xml:space="preserve">nonlunar_space_capital_musd</w:t>
            </w:r>
          </w:p>
        </w:tc>
        <w:tc>
          <w:tcPr>
            <w:tcW w:w="0" w:type="auto"/>
          </w:tcPr>
          <w:p>
            <w:pPr>
              <w:spacing w:line="240" w:lineRule="auto" w:before="0" w:after="0"/>
              <w:pStyle w:val="Compact"/>
            </w:pPr>
            <w:r>
              <w:rPr>
                <w:sz w:val="20"/>
                <w:szCs w:val="20"/>
              </w:rPr>
              <w:t xml:space="preserve">tbill_3m_pct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2015Q1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520</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NASA FY2015 Budget Estimates (CLPS precursor + Resource Prospector); BryceTech Start-Up Space 2016 [illustrative quarterly split]; FRED TB3MS 2015Q1</w:t>
            </w:r>
          </w:p>
        </w:tc>
      </w:tr>
      <w:tr>
        <w:tc>
          <w:tcPr>
            <w:tcW w:w="0" w:type="auto"/>
          </w:tcPr>
          <w:p>
            <w:pPr>
              <w:spacing w:line="240" w:lineRule="auto" w:before="0" w:after="0"/>
              <w:pStyle w:val="Compact"/>
            </w:pPr>
            <w:r>
              <w:rPr>
                <w:sz w:val="20"/>
                <w:szCs w:val="20"/>
              </w:rPr>
              <w:t xml:space="preserve">2015Q2</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610</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NASA FY2015 Budget Estimates; BryceTech Start-Up Space 2016; FRED TB3MS 2015Q2</w:t>
            </w:r>
          </w:p>
        </w:tc>
      </w:tr>
      <w:tr>
        <w:tc>
          <w:tcPr>
            <w:tcW w:w="0" w:type="auto"/>
          </w:tcPr>
          <w:p>
            <w:pPr>
              <w:spacing w:line="240" w:lineRule="auto" w:before="0" w:after="0"/>
              <w:pStyle w:val="Compact"/>
            </w:pPr>
            <w:r>
              <w:rPr>
                <w:sz w:val="20"/>
                <w:szCs w:val="20"/>
              </w:rPr>
              <w:t xml:space="preserve">2015Q3</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580</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NASA FY2016 Budget Request; BryceTech Start-Up Space 2016; FRED TB3MS 2015Q3</w:t>
            </w:r>
          </w:p>
        </w:tc>
      </w:tr>
      <w:tr>
        <w:tc>
          <w:tcPr>
            <w:tcW w:w="0" w:type="auto"/>
          </w:tcPr>
          <w:p>
            <w:pPr>
              <w:spacing w:line="240" w:lineRule="auto" w:before="0" w:after="0"/>
              <w:pStyle w:val="Compact"/>
            </w:pPr>
            <w:r>
              <w:rPr>
                <w:sz w:val="20"/>
                <w:szCs w:val="20"/>
              </w:rPr>
              <w:t xml:space="preserve">2015Q4</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640</w:t>
            </w:r>
          </w:p>
        </w:tc>
        <w:tc>
          <w:tcPr>
            <w:tcW w:w="0" w:type="auto"/>
          </w:tcPr>
          <w:p>
            <w:pPr>
              <w:spacing w:line="240" w:lineRule="auto" w:before="0" w:after="0"/>
              <w:pStyle w:val="Compact"/>
            </w:pPr>
            <w:r>
              <w:rPr>
                <w:sz w:val="20"/>
                <w:szCs w:val="20"/>
              </w:rPr>
              <w:t xml:space="preserve">0.16</w:t>
            </w:r>
          </w:p>
        </w:tc>
        <w:tc>
          <w:tcPr>
            <w:tcW w:w="0" w:type="auto"/>
          </w:tcPr>
          <w:p>
            <w:pPr>
              <w:spacing w:line="240" w:lineRule="auto" w:before="0" w:after="0"/>
              <w:pStyle w:val="Compact"/>
            </w:pPr>
            <w:r>
              <w:rPr>
                <w:sz w:val="20"/>
                <w:szCs w:val="20"/>
              </w:rPr>
              <w:t xml:space="preserve">NASA FY2016 Budget Estimates; BryceTech Start-Up Space 2016; FRED TB3MS 2015Q4</w:t>
            </w:r>
          </w:p>
        </w:tc>
      </w:tr>
      <w:tr>
        <w:tc>
          <w:tcPr>
            <w:tcW w:w="0" w:type="auto"/>
          </w:tcPr>
          <w:p>
            <w:pPr>
              <w:spacing w:line="240" w:lineRule="auto" w:before="0" w:after="0"/>
              <w:pStyle w:val="Compact"/>
            </w:pPr>
            <w:r>
              <w:rPr>
                <w:sz w:val="20"/>
                <w:szCs w:val="20"/>
              </w:rPr>
              <w:t xml:space="preserve">2016Q1</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NASA FY2017 Budget Request (Lunar precursor R&amp;D); BryceTech Start-Up Space 2017; FRED TB3MS 2016Q1</w:t>
            </w:r>
          </w:p>
        </w:tc>
      </w:tr>
      <w:tr>
        <w:tc>
          <w:tcPr>
            <w:tcW w:w="0" w:type="auto"/>
          </w:tcPr>
          <w:p>
            <w:pPr>
              <w:spacing w:line="240" w:lineRule="auto" w:before="0" w:after="0"/>
              <w:pStyle w:val="Compact"/>
            </w:pPr>
            <w:r>
              <w:rPr>
                <w:sz w:val="20"/>
                <w:szCs w:val="20"/>
              </w:rPr>
              <w:t xml:space="preserve">2016Q2</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810</w:t>
            </w:r>
          </w:p>
        </w:tc>
        <w:tc>
          <w:tcPr>
            <w:tcW w:w="0" w:type="auto"/>
          </w:tcPr>
          <w:p>
            <w:pPr>
              <w:spacing w:line="240" w:lineRule="auto" w:before="0" w:after="0"/>
              <w:pStyle w:val="Compact"/>
            </w:pPr>
            <w:r>
              <w:rPr>
                <w:sz w:val="20"/>
                <w:szCs w:val="20"/>
              </w:rPr>
              <w:t xml:space="preserve">0.26</w:t>
            </w:r>
          </w:p>
        </w:tc>
        <w:tc>
          <w:tcPr>
            <w:tcW w:w="0" w:type="auto"/>
          </w:tcPr>
          <w:p>
            <w:pPr>
              <w:spacing w:line="240" w:lineRule="auto" w:before="0" w:after="0"/>
              <w:pStyle w:val="Compact"/>
            </w:pPr>
            <w:r>
              <w:rPr>
                <w:sz w:val="20"/>
                <w:szCs w:val="20"/>
              </w:rPr>
              <w:t xml:space="preserve">NASA FY2017 Budget Estimates; BryceTech Start-Up Space 2017; FRED TB3MS 2016Q2</w:t>
            </w:r>
          </w:p>
        </w:tc>
      </w:tr>
      <w:tr>
        <w:tc>
          <w:tcPr>
            <w:tcW w:w="0" w:type="auto"/>
          </w:tcPr>
          <w:p>
            <w:pPr>
              <w:spacing w:line="240" w:lineRule="auto" w:before="0" w:after="0"/>
              <w:pStyle w:val="Compact"/>
            </w:pPr>
            <w:r>
              <w:rPr>
                <w:sz w:val="20"/>
                <w:szCs w:val="20"/>
              </w:rPr>
              <w:t xml:space="preserve">2016Q3</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890</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NASA FY2017 Budget Estimates; BryceTech Start-Up Space 2017; FRED TB3MS 2016Q3</w:t>
            </w:r>
          </w:p>
        </w:tc>
      </w:tr>
      <w:tr>
        <w:tc>
          <w:tcPr>
            <w:tcW w:w="0" w:type="auto"/>
          </w:tcPr>
          <w:p>
            <w:pPr>
              <w:spacing w:line="240" w:lineRule="auto" w:before="0" w:after="0"/>
              <w:pStyle w:val="Compact"/>
            </w:pPr>
            <w:r>
              <w:rPr>
                <w:sz w:val="20"/>
                <w:szCs w:val="20"/>
              </w:rPr>
              <w:t xml:space="preserve">2016Q4</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NASA FY2018 Budget Request; BryceTech Start-Up Space 2017; FRED TB3MS 2016Q4</w:t>
            </w:r>
          </w:p>
        </w:tc>
      </w:tr>
      <w:tr>
        <w:tc>
          <w:tcPr>
            <w:tcW w:w="0" w:type="auto"/>
          </w:tcPr>
          <w:p>
            <w:pPr>
              <w:spacing w:line="240" w:lineRule="auto" w:before="0" w:after="0"/>
              <w:pStyle w:val="Compact"/>
            </w:pPr>
            <w:r>
              <w:rPr>
                <w:sz w:val="20"/>
                <w:szCs w:val="20"/>
              </w:rPr>
              <w:t xml:space="preserve">2017Q1</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1020</w:t>
            </w:r>
          </w:p>
        </w:tc>
        <w:tc>
          <w:tcPr>
            <w:tcW w:w="0" w:type="auto"/>
          </w:tcPr>
          <w:p>
            <w:pPr>
              <w:spacing w:line="240" w:lineRule="auto" w:before="0" w:after="0"/>
              <w:pStyle w:val="Compact"/>
            </w:pPr>
            <w:r>
              <w:rPr>
                <w:sz w:val="20"/>
                <w:szCs w:val="20"/>
              </w:rPr>
              <w:t xml:space="preserve">0.52</w:t>
            </w:r>
          </w:p>
        </w:tc>
        <w:tc>
          <w:tcPr>
            <w:tcW w:w="0" w:type="auto"/>
          </w:tcPr>
          <w:p>
            <w:pPr>
              <w:spacing w:line="240" w:lineRule="auto" w:before="0" w:after="0"/>
              <w:pStyle w:val="Compact"/>
            </w:pPr>
            <w:r>
              <w:rPr>
                <w:sz w:val="20"/>
                <w:szCs w:val="20"/>
              </w:rPr>
              <w:t xml:space="preserve">NASA FY2018 Budget Estimates (Lunar Orbital Platform-Gateway formulation); BryceTech Start-Up Space 2018; FRED TB3MS 2017Q1</w:t>
            </w:r>
          </w:p>
        </w:tc>
      </w:tr>
      <w:tr>
        <w:tc>
          <w:tcPr>
            <w:tcW w:w="0" w:type="auto"/>
          </w:tcPr>
          <w:p>
            <w:pPr>
              <w:spacing w:line="240" w:lineRule="auto" w:before="0" w:after="0"/>
              <w:pStyle w:val="Compact"/>
            </w:pPr>
            <w:r>
              <w:rPr>
                <w:sz w:val="20"/>
                <w:szCs w:val="20"/>
              </w:rPr>
              <w:t xml:space="preserve">2017Q2</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1110</w:t>
            </w:r>
          </w:p>
        </w:tc>
        <w:tc>
          <w:tcPr>
            <w:tcW w:w="0" w:type="auto"/>
          </w:tcPr>
          <w:p>
            <w:pPr>
              <w:spacing w:line="240" w:lineRule="auto" w:before="0" w:after="0"/>
              <w:pStyle w:val="Compact"/>
            </w:pPr>
            <w:r>
              <w:rPr>
                <w:sz w:val="20"/>
                <w:szCs w:val="20"/>
              </w:rPr>
              <w:t xml:space="preserve">0.91</w:t>
            </w:r>
          </w:p>
        </w:tc>
        <w:tc>
          <w:tcPr>
            <w:tcW w:w="0" w:type="auto"/>
          </w:tcPr>
          <w:p>
            <w:pPr>
              <w:spacing w:line="240" w:lineRule="auto" w:before="0" w:after="0"/>
              <w:pStyle w:val="Compact"/>
            </w:pPr>
            <w:r>
              <w:rPr>
                <w:sz w:val="20"/>
                <w:szCs w:val="20"/>
              </w:rPr>
              <w:t xml:space="preserve">NASA FY2018 Budget Estimates; BryceTech Start-Up Space 2018; FRED TB3MS 2017Q2</w:t>
            </w:r>
          </w:p>
        </w:tc>
      </w:tr>
      <w:tr>
        <w:tc>
          <w:tcPr>
            <w:tcW w:w="0" w:type="auto"/>
          </w:tcPr>
          <w:p>
            <w:pPr>
              <w:spacing w:line="240" w:lineRule="auto" w:before="0" w:after="0"/>
              <w:pStyle w:val="Compact"/>
            </w:pPr>
            <w:r>
              <w:rPr>
                <w:sz w:val="20"/>
                <w:szCs w:val="20"/>
              </w:rPr>
              <w:t xml:space="preserve">2017Q3</w:t>
            </w:r>
          </w:p>
        </w:tc>
        <w:tc>
          <w:tcPr>
            <w:tcW w:w="0" w:type="auto"/>
          </w:tcPr>
          <w:p>
            <w:pPr>
              <w:spacing w:line="240" w:lineRule="auto" w:before="0" w:after="0"/>
              <w:pStyle w:val="Compact"/>
            </w:pPr>
            <w:r>
              <w:rPr>
                <w:sz w:val="20"/>
                <w:szCs w:val="20"/>
              </w:rPr>
              <w:t xml:space="preserve">188</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121</w:t>
            </w:r>
          </w:p>
        </w:tc>
        <w:tc>
          <w:tcPr>
            <w:tcW w:w="0" w:type="auto"/>
          </w:tcPr>
          <w:p>
            <w:pPr>
              <w:spacing w:line="240" w:lineRule="auto" w:before="0" w:after="0"/>
              <w:pStyle w:val="Compact"/>
            </w:pPr>
            <w:r>
              <w:rPr>
                <w:sz w:val="20"/>
                <w:szCs w:val="20"/>
              </w:rPr>
              <w:t xml:space="preserve">1180</w:t>
            </w:r>
          </w:p>
        </w:tc>
        <w:tc>
          <w:tcPr>
            <w:tcW w:w="0" w:type="auto"/>
          </w:tcPr>
          <w:p>
            <w:pPr>
              <w:spacing w:line="240" w:lineRule="auto" w:before="0" w:after="0"/>
              <w:pStyle w:val="Compact"/>
            </w:pPr>
            <w:r>
              <w:rPr>
                <w:sz w:val="20"/>
                <w:szCs w:val="20"/>
              </w:rPr>
              <w:t xml:space="preserve">1.03</w:t>
            </w:r>
          </w:p>
        </w:tc>
        <w:tc>
          <w:tcPr>
            <w:tcW w:w="0" w:type="auto"/>
          </w:tcPr>
          <w:p>
            <w:pPr>
              <w:spacing w:line="240" w:lineRule="auto" w:before="0" w:after="0"/>
              <w:pStyle w:val="Compact"/>
            </w:pPr>
            <w:r>
              <w:rPr>
                <w:sz w:val="20"/>
                <w:szCs w:val="20"/>
              </w:rPr>
              <w:t xml:space="preserve">NASA FY2019 Budget Request; BryceTech Start-Up Space 2018; FRED TB3MS 2017Q3</w:t>
            </w:r>
          </w:p>
        </w:tc>
      </w:tr>
      <w:tr>
        <w:tc>
          <w:tcPr>
            <w:tcW w:w="0" w:type="auto"/>
          </w:tcPr>
          <w:p>
            <w:pPr>
              <w:spacing w:line="240" w:lineRule="auto" w:before="0" w:after="0"/>
              <w:pStyle w:val="Compact"/>
            </w:pPr>
            <w:r>
              <w:rPr>
                <w:sz w:val="20"/>
                <w:szCs w:val="20"/>
              </w:rPr>
              <w:t xml:space="preserve">2017Q4</w:t>
            </w:r>
          </w:p>
        </w:tc>
        <w:tc>
          <w:tcPr>
            <w:tcW w:w="0" w:type="auto"/>
          </w:tcPr>
          <w:p>
            <w:pPr>
              <w:spacing w:line="240" w:lineRule="auto" w:before="0" w:after="0"/>
              <w:pStyle w:val="Compact"/>
            </w:pPr>
            <w:r>
              <w:rPr>
                <w:sz w:val="20"/>
                <w:szCs w:val="20"/>
              </w:rPr>
              <w:t xml:space="preserve">212</w:t>
            </w:r>
          </w:p>
        </w:tc>
        <w:tc>
          <w:tcPr>
            <w:tcW w:w="0" w:type="auto"/>
          </w:tcPr>
          <w:p>
            <w:pPr>
              <w:spacing w:line="240" w:lineRule="auto" w:before="0" w:after="0"/>
              <w:pStyle w:val="Compact"/>
            </w:pPr>
            <w:r>
              <w:rPr>
                <w:sz w:val="20"/>
                <w:szCs w:val="20"/>
              </w:rPr>
              <w:t xml:space="preserve">188</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138</w:t>
            </w:r>
          </w:p>
        </w:tc>
        <w:tc>
          <w:tcPr>
            <w:tcW w:w="0" w:type="auto"/>
          </w:tcPr>
          <w:p>
            <w:pPr>
              <w:spacing w:line="240" w:lineRule="auto" w:before="0" w:after="0"/>
              <w:pStyle w:val="Compact"/>
            </w:pPr>
            <w:r>
              <w:rPr>
                <w:sz w:val="20"/>
                <w:szCs w:val="20"/>
              </w:rPr>
              <w:t xml:space="preserve">1260</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NASA FY2019 Budget Request; BryceTech Start-Up Space 2018; FRED TB3MS 2017Q4</w:t>
            </w:r>
          </w:p>
        </w:tc>
      </w:tr>
      <w:tr>
        <w:tc>
          <w:tcPr>
            <w:tcW w:w="0" w:type="auto"/>
          </w:tcPr>
          <w:p>
            <w:pPr>
              <w:spacing w:line="240" w:lineRule="auto" w:before="0" w:after="0"/>
              <w:pStyle w:val="Compact"/>
            </w:pPr>
            <w:r>
              <w:rPr>
                <w:sz w:val="20"/>
                <w:szCs w:val="20"/>
              </w:rPr>
              <w:t xml:space="preserve">2018Q1</w:t>
            </w:r>
          </w:p>
        </w:tc>
        <w:tc>
          <w:tcPr>
            <w:tcW w:w="0" w:type="auto"/>
          </w:tcPr>
          <w:p>
            <w:pPr>
              <w:spacing w:line="240" w:lineRule="auto" w:before="0" w:after="0"/>
              <w:pStyle w:val="Compact"/>
            </w:pPr>
            <w:r>
              <w:rPr>
                <w:sz w:val="20"/>
                <w:szCs w:val="20"/>
              </w:rPr>
              <w:t xml:space="preserve">245</w:t>
            </w:r>
          </w:p>
        </w:tc>
        <w:tc>
          <w:tcPr>
            <w:tcW w:w="0" w:type="auto"/>
          </w:tcPr>
          <w:p>
            <w:pPr>
              <w:spacing w:line="240" w:lineRule="auto" w:before="0" w:after="0"/>
              <w:pStyle w:val="Compact"/>
            </w:pPr>
            <w:r>
              <w:rPr>
                <w:sz w:val="20"/>
                <w:szCs w:val="20"/>
              </w:rPr>
              <w:t xml:space="preserve">212</w:t>
            </w:r>
          </w:p>
        </w:tc>
        <w:tc>
          <w:tcPr>
            <w:tcW w:w="0" w:type="auto"/>
          </w:tcPr>
          <w:p>
            <w:pPr>
              <w:spacing w:line="240" w:lineRule="auto" w:before="0" w:after="0"/>
              <w:pStyle w:val="Compact"/>
            </w:pPr>
            <w:r>
              <w:rPr>
                <w:sz w:val="20"/>
                <w:szCs w:val="20"/>
              </w:rPr>
              <w:t xml:space="preserve">188</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1340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NASA FY2019 Budget Estimates (CLPS Solicitation NNH18ZCQ001K Apr 2018); BryceTech Start-Up Space 2019; FRED TB3MS 2018Q1</w:t>
            </w:r>
          </w:p>
        </w:tc>
      </w:tr>
      <w:tr>
        <w:tc>
          <w:tcPr>
            <w:tcW w:w="0" w:type="auto"/>
          </w:tcPr>
          <w:p>
            <w:pPr>
              <w:spacing w:line="240" w:lineRule="auto" w:before="0" w:after="0"/>
              <w:pStyle w:val="Compact"/>
            </w:pPr>
            <w:r>
              <w:rPr>
                <w:sz w:val="20"/>
                <w:szCs w:val="20"/>
              </w:rPr>
              <w:t xml:space="preserve">2018Q2</w:t>
            </w:r>
          </w:p>
        </w:tc>
        <w:tc>
          <w:tcPr>
            <w:tcW w:w="0" w:type="auto"/>
          </w:tcPr>
          <w:p>
            <w:pPr>
              <w:spacing w:line="240" w:lineRule="auto" w:before="0" w:after="0"/>
              <w:pStyle w:val="Compact"/>
            </w:pPr>
            <w:r>
              <w:rPr>
                <w:sz w:val="20"/>
                <w:szCs w:val="20"/>
              </w:rPr>
              <w:t xml:space="preserve">285</w:t>
            </w:r>
          </w:p>
        </w:tc>
        <w:tc>
          <w:tcPr>
            <w:tcW w:w="0" w:type="auto"/>
          </w:tcPr>
          <w:p>
            <w:pPr>
              <w:spacing w:line="240" w:lineRule="auto" w:before="0" w:after="0"/>
              <w:pStyle w:val="Compact"/>
            </w:pPr>
            <w:r>
              <w:rPr>
                <w:sz w:val="20"/>
                <w:szCs w:val="20"/>
              </w:rPr>
              <w:t xml:space="preserve">245</w:t>
            </w:r>
          </w:p>
        </w:tc>
        <w:tc>
          <w:tcPr>
            <w:tcW w:w="0" w:type="auto"/>
          </w:tcPr>
          <w:p>
            <w:pPr>
              <w:spacing w:line="240" w:lineRule="auto" w:before="0" w:after="0"/>
              <w:pStyle w:val="Compact"/>
            </w:pPr>
            <w:r>
              <w:rPr>
                <w:sz w:val="20"/>
                <w:szCs w:val="20"/>
              </w:rPr>
              <w:t xml:space="preserve">212</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1410</w:t>
            </w:r>
          </w:p>
        </w:tc>
        <w:tc>
          <w:tcPr>
            <w:tcW w:w="0" w:type="auto"/>
          </w:tcPr>
          <w:p>
            <w:pPr>
              <w:spacing w:line="240" w:lineRule="auto" w:before="0" w:after="0"/>
              <w:pStyle w:val="Compact"/>
            </w:pPr>
            <w:r>
              <w:rPr>
                <w:sz w:val="20"/>
                <w:szCs w:val="20"/>
              </w:rPr>
              <w:t xml:space="preserve">1.93</w:t>
            </w:r>
          </w:p>
        </w:tc>
        <w:tc>
          <w:tcPr>
            <w:tcW w:w="0" w:type="auto"/>
          </w:tcPr>
          <w:p>
            <w:pPr>
              <w:spacing w:line="240" w:lineRule="auto" w:before="0" w:after="0"/>
              <w:pStyle w:val="Compact"/>
            </w:pPr>
            <w:r>
              <w:rPr>
                <w:sz w:val="20"/>
                <w:szCs w:val="20"/>
              </w:rPr>
              <w:t xml:space="preserve">NASA CLPS Task Order Solicitation Apr 2018; BryceTech Start-Up Space 2019; FRED TB3MS 2018Q2</w:t>
            </w:r>
          </w:p>
        </w:tc>
      </w:tr>
      <w:tr>
        <w:tc>
          <w:tcPr>
            <w:tcW w:w="0" w:type="auto"/>
          </w:tcPr>
          <w:p>
            <w:pPr>
              <w:spacing w:line="240" w:lineRule="auto" w:before="0" w:after="0"/>
              <w:pStyle w:val="Compact"/>
            </w:pPr>
            <w:r>
              <w:rPr>
                <w:sz w:val="20"/>
                <w:szCs w:val="20"/>
              </w:rPr>
              <w:t xml:space="preserve">2018Q3</w:t>
            </w:r>
          </w:p>
        </w:tc>
        <w:tc>
          <w:tcPr>
            <w:tcW w:w="0" w:type="auto"/>
          </w:tcPr>
          <w:p>
            <w:pPr>
              <w:spacing w:line="240" w:lineRule="auto" w:before="0" w:after="0"/>
              <w:pStyle w:val="Compact"/>
            </w:pPr>
            <w:r>
              <w:rPr>
                <w:sz w:val="20"/>
                <w:szCs w:val="20"/>
              </w:rPr>
              <w:t xml:space="preserve">318</w:t>
            </w:r>
          </w:p>
        </w:tc>
        <w:tc>
          <w:tcPr>
            <w:tcW w:w="0" w:type="auto"/>
          </w:tcPr>
          <w:p>
            <w:pPr>
              <w:spacing w:line="240" w:lineRule="auto" w:before="0" w:after="0"/>
              <w:pStyle w:val="Compact"/>
            </w:pPr>
            <w:r>
              <w:rPr>
                <w:sz w:val="20"/>
                <w:szCs w:val="20"/>
              </w:rPr>
              <w:t xml:space="preserve">285</w:t>
            </w:r>
          </w:p>
        </w:tc>
        <w:tc>
          <w:tcPr>
            <w:tcW w:w="0" w:type="auto"/>
          </w:tcPr>
          <w:p>
            <w:pPr>
              <w:spacing w:line="240" w:lineRule="auto" w:before="0" w:after="0"/>
              <w:pStyle w:val="Compact"/>
            </w:pPr>
            <w:r>
              <w:rPr>
                <w:sz w:val="20"/>
                <w:szCs w:val="20"/>
              </w:rPr>
              <w:t xml:space="preserve">245</w:t>
            </w:r>
          </w:p>
        </w:tc>
        <w:tc>
          <w:tcPr>
            <w:tcW w:w="0" w:type="auto"/>
          </w:tcPr>
          <w:p>
            <w:pPr>
              <w:spacing w:line="240" w:lineRule="auto" w:before="0" w:after="0"/>
              <w:pStyle w:val="Compact"/>
            </w:pPr>
            <w:r>
              <w:rPr>
                <w:sz w:val="20"/>
                <w:szCs w:val="20"/>
              </w:rPr>
              <w:t xml:space="preserve">213</w:t>
            </w:r>
          </w:p>
        </w:tc>
        <w:tc>
          <w:tcPr>
            <w:tcW w:w="0" w:type="auto"/>
          </w:tcPr>
          <w:p>
            <w:pPr>
              <w:spacing w:line="240" w:lineRule="auto" w:before="0" w:after="0"/>
              <w:pStyle w:val="Compact"/>
            </w:pPr>
            <w:r>
              <w:rPr>
                <w:sz w:val="20"/>
                <w:szCs w:val="20"/>
              </w:rPr>
              <w:t xml:space="preserve">1490</w:t>
            </w:r>
          </w:p>
        </w:tc>
        <w:tc>
          <w:tcPr>
            <w:tcW w:w="0" w:type="auto"/>
          </w:tcPr>
          <w:p>
            <w:pPr>
              <w:spacing w:line="240" w:lineRule="auto" w:before="0" w:after="0"/>
              <w:pStyle w:val="Compact"/>
            </w:pPr>
            <w:r>
              <w:rPr>
                <w:sz w:val="20"/>
                <w:szCs w:val="20"/>
              </w:rPr>
              <w:t xml:space="preserve">2.04</w:t>
            </w:r>
          </w:p>
        </w:tc>
        <w:tc>
          <w:tcPr>
            <w:tcW w:w="0" w:type="auto"/>
          </w:tcPr>
          <w:p>
            <w:pPr>
              <w:spacing w:line="240" w:lineRule="auto" w:before="0" w:after="0"/>
              <w:pStyle w:val="Compact"/>
            </w:pPr>
            <w:r>
              <w:rPr>
                <w:sz w:val="20"/>
                <w:szCs w:val="20"/>
              </w:rPr>
              <w:t xml:space="preserve">NASA CLPS Pool Awards Nov 2018 (9 vendors, IDIQ ceiling $2.6B); BryceTech Start-Up Space 2019; FRED TB3MS 2018Q3</w:t>
            </w:r>
          </w:p>
        </w:tc>
      </w:tr>
      <w:tr>
        <w:tc>
          <w:tcPr>
            <w:tcW w:w="0" w:type="auto"/>
          </w:tcPr>
          <w:p>
            <w:pPr>
              <w:spacing w:line="240" w:lineRule="auto" w:before="0" w:after="0"/>
              <w:pStyle w:val="Compact"/>
            </w:pPr>
            <w:r>
              <w:rPr>
                <w:sz w:val="20"/>
                <w:szCs w:val="20"/>
              </w:rPr>
              <w:t xml:space="preserve">2018Q4</w:t>
            </w:r>
          </w:p>
        </w:tc>
        <w:tc>
          <w:tcPr>
            <w:tcW w:w="0" w:type="auto"/>
          </w:tcPr>
          <w:p>
            <w:pPr>
              <w:spacing w:line="240" w:lineRule="auto" w:before="0" w:after="0"/>
              <w:pStyle w:val="Compact"/>
            </w:pPr>
            <w:r>
              <w:rPr>
                <w:sz w:val="20"/>
                <w:szCs w:val="20"/>
              </w:rPr>
              <w:t xml:space="preserve">356</w:t>
            </w:r>
          </w:p>
        </w:tc>
        <w:tc>
          <w:tcPr>
            <w:tcW w:w="0" w:type="auto"/>
          </w:tcPr>
          <w:p>
            <w:pPr>
              <w:spacing w:line="240" w:lineRule="auto" w:before="0" w:after="0"/>
              <w:pStyle w:val="Compact"/>
            </w:pPr>
            <w:r>
              <w:rPr>
                <w:sz w:val="20"/>
                <w:szCs w:val="20"/>
              </w:rPr>
              <w:t xml:space="preserve">318</w:t>
            </w:r>
          </w:p>
        </w:tc>
        <w:tc>
          <w:tcPr>
            <w:tcW w:w="0" w:type="auto"/>
          </w:tcPr>
          <w:p>
            <w:pPr>
              <w:spacing w:line="240" w:lineRule="auto" w:before="0" w:after="0"/>
              <w:pStyle w:val="Compact"/>
            </w:pPr>
            <w:r>
              <w:rPr>
                <w:sz w:val="20"/>
                <w:szCs w:val="20"/>
              </w:rPr>
              <w:t xml:space="preserve">285</w:t>
            </w:r>
          </w:p>
        </w:tc>
        <w:tc>
          <w:tcPr>
            <w:tcW w:w="0" w:type="auto"/>
          </w:tcPr>
          <w:p>
            <w:pPr>
              <w:spacing w:line="240" w:lineRule="auto" w:before="0" w:after="0"/>
              <w:pStyle w:val="Compact"/>
            </w:pPr>
            <w:r>
              <w:rPr>
                <w:sz w:val="20"/>
                <w:szCs w:val="20"/>
              </w:rPr>
              <w:t xml:space="preserve">248</w:t>
            </w:r>
          </w:p>
        </w:tc>
        <w:tc>
          <w:tcPr>
            <w:tcW w:w="0" w:type="auto"/>
          </w:tcPr>
          <w:p>
            <w:pPr>
              <w:spacing w:line="240" w:lineRule="auto" w:before="0" w:after="0"/>
              <w:pStyle w:val="Compact"/>
            </w:pPr>
            <w:r>
              <w:rPr>
                <w:sz w:val="20"/>
                <w:szCs w:val="20"/>
              </w:rPr>
              <w:t xml:space="preserve">1560</w:t>
            </w:r>
          </w:p>
        </w:tc>
        <w:tc>
          <w:tcPr>
            <w:tcW w:w="0" w:type="auto"/>
          </w:tcPr>
          <w:p>
            <w:pPr>
              <w:spacing w:line="240" w:lineRule="auto" w:before="0" w:after="0"/>
              <w:pStyle w:val="Compact"/>
            </w:pPr>
            <w:r>
              <w:rPr>
                <w:sz w:val="20"/>
                <w:szCs w:val="20"/>
              </w:rPr>
              <w:t xml:space="preserve">2.36</w:t>
            </w:r>
          </w:p>
        </w:tc>
        <w:tc>
          <w:tcPr>
            <w:tcW w:w="0" w:type="auto"/>
          </w:tcPr>
          <w:p>
            <w:pPr>
              <w:spacing w:line="240" w:lineRule="auto" w:before="0" w:after="0"/>
              <w:pStyle w:val="Compact"/>
            </w:pPr>
            <w:r>
              <w:rPr>
                <w:sz w:val="20"/>
                <w:szCs w:val="20"/>
              </w:rPr>
              <w:t xml:space="preserve">NASA CLPS Pool Awards Nov 30 2018; BryceTech Start-Up Space 2019; FRED TB3MS 2018Q4</w:t>
            </w:r>
          </w:p>
        </w:tc>
      </w:tr>
      <w:tr>
        <w:tc>
          <w:tcPr>
            <w:tcW w:w="0" w:type="auto"/>
          </w:tcPr>
          <w:p>
            <w:pPr>
              <w:spacing w:line="240" w:lineRule="auto" w:before="0" w:after="0"/>
              <w:pStyle w:val="Compact"/>
            </w:pPr>
            <w:r>
              <w:rPr>
                <w:sz w:val="20"/>
                <w:szCs w:val="20"/>
              </w:rPr>
              <w:t xml:space="preserve">2019Q1</w:t>
            </w:r>
          </w:p>
        </w:tc>
        <w:tc>
          <w:tcPr>
            <w:tcW w:w="0" w:type="auto"/>
          </w:tcPr>
          <w:p>
            <w:pPr>
              <w:spacing w:line="240" w:lineRule="auto" w:before="0" w:after="0"/>
              <w:pStyle w:val="Compact"/>
            </w:pPr>
            <w:r>
              <w:rPr>
                <w:sz w:val="20"/>
                <w:szCs w:val="20"/>
              </w:rPr>
              <w:t xml:space="preserve">402</w:t>
            </w:r>
          </w:p>
        </w:tc>
        <w:tc>
          <w:tcPr>
            <w:tcW w:w="0" w:type="auto"/>
          </w:tcPr>
          <w:p>
            <w:pPr>
              <w:spacing w:line="240" w:lineRule="auto" w:before="0" w:after="0"/>
              <w:pStyle w:val="Compact"/>
            </w:pPr>
            <w:r>
              <w:rPr>
                <w:sz w:val="20"/>
                <w:szCs w:val="20"/>
              </w:rPr>
              <w:t xml:space="preserve">356</w:t>
            </w:r>
          </w:p>
        </w:tc>
        <w:tc>
          <w:tcPr>
            <w:tcW w:w="0" w:type="auto"/>
          </w:tcPr>
          <w:p>
            <w:pPr>
              <w:spacing w:line="240" w:lineRule="auto" w:before="0" w:after="0"/>
              <w:pStyle w:val="Compact"/>
            </w:pPr>
            <w:r>
              <w:rPr>
                <w:sz w:val="20"/>
                <w:szCs w:val="20"/>
              </w:rPr>
              <w:t xml:space="preserve">318</w:t>
            </w:r>
          </w:p>
        </w:tc>
        <w:tc>
          <w:tcPr>
            <w:tcW w:w="0" w:type="auto"/>
          </w:tcPr>
          <w:p>
            <w:pPr>
              <w:spacing w:line="240" w:lineRule="auto" w:before="0" w:after="0"/>
              <w:pStyle w:val="Compact"/>
            </w:pPr>
            <w:r>
              <w:rPr>
                <w:sz w:val="20"/>
                <w:szCs w:val="20"/>
              </w:rPr>
              <w:t xml:space="preserve">289</w:t>
            </w:r>
          </w:p>
        </w:tc>
        <w:tc>
          <w:tcPr>
            <w:tcW w:w="0" w:type="auto"/>
          </w:tcPr>
          <w:p>
            <w:pPr>
              <w:spacing w:line="240" w:lineRule="auto" w:before="0" w:after="0"/>
              <w:pStyle w:val="Compact"/>
            </w:pPr>
            <w:r>
              <w:rPr>
                <w:sz w:val="20"/>
                <w:szCs w:val="20"/>
              </w:rPr>
              <w:t xml:space="preserve">1640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NASA FY2020 Budget Amendment (Artemis acceleration to 2024); BryceTech Start-Up Space 2020; FRED TB3MS 2019Q1</w:t>
            </w:r>
          </w:p>
        </w:tc>
      </w:tr>
      <w:tr>
        <w:tc>
          <w:tcPr>
            <w:tcW w:w="0" w:type="auto"/>
          </w:tcPr>
          <w:p>
            <w:pPr>
              <w:spacing w:line="240" w:lineRule="auto" w:before="0" w:after="0"/>
              <w:pStyle w:val="Compact"/>
            </w:pPr>
            <w:r>
              <w:rPr>
                <w:sz w:val="20"/>
                <w:szCs w:val="20"/>
              </w:rPr>
              <w:t xml:space="preserve">2019Q2</w:t>
            </w:r>
          </w:p>
        </w:tc>
        <w:tc>
          <w:tcPr>
            <w:tcW w:w="0" w:type="auto"/>
          </w:tcPr>
          <w:p>
            <w:pPr>
              <w:spacing w:line="240" w:lineRule="auto" w:before="0" w:after="0"/>
              <w:pStyle w:val="Compact"/>
            </w:pPr>
            <w:r>
              <w:rPr>
                <w:sz w:val="20"/>
                <w:szCs w:val="20"/>
              </w:rPr>
              <w:t xml:space="preserve">478</w:t>
            </w:r>
          </w:p>
        </w:tc>
        <w:tc>
          <w:tcPr>
            <w:tcW w:w="0" w:type="auto"/>
          </w:tcPr>
          <w:p>
            <w:pPr>
              <w:spacing w:line="240" w:lineRule="auto" w:before="0" w:after="0"/>
              <w:pStyle w:val="Compact"/>
            </w:pPr>
            <w:r>
              <w:rPr>
                <w:sz w:val="20"/>
                <w:szCs w:val="20"/>
              </w:rPr>
              <w:t xml:space="preserve">402</w:t>
            </w:r>
          </w:p>
        </w:tc>
        <w:tc>
          <w:tcPr>
            <w:tcW w:w="0" w:type="auto"/>
          </w:tcPr>
          <w:p>
            <w:pPr>
              <w:spacing w:line="240" w:lineRule="auto" w:before="0" w:after="0"/>
              <w:pStyle w:val="Compact"/>
            </w:pPr>
            <w:r>
              <w:rPr>
                <w:sz w:val="20"/>
                <w:szCs w:val="20"/>
              </w:rPr>
              <w:t xml:space="preserve">356</w:t>
            </w:r>
          </w:p>
        </w:tc>
        <w:tc>
          <w:tcPr>
            <w:tcW w:w="0" w:type="auto"/>
          </w:tcPr>
          <w:p>
            <w:pPr>
              <w:spacing w:line="240" w:lineRule="auto" w:before="0" w:after="0"/>
              <w:pStyle w:val="Compact"/>
            </w:pPr>
            <w:r>
              <w:rPr>
                <w:sz w:val="20"/>
                <w:szCs w:val="20"/>
              </w:rPr>
              <w:t xml:space="preserve">335</w:t>
            </w:r>
          </w:p>
        </w:tc>
        <w:tc>
          <w:tcPr>
            <w:tcW w:w="0" w:type="auto"/>
          </w:tcPr>
          <w:p>
            <w:pPr>
              <w:spacing w:line="240" w:lineRule="auto" w:before="0" w:after="0"/>
              <w:pStyle w:val="Compact"/>
            </w:pPr>
            <w:r>
              <w:rPr>
                <w:sz w:val="20"/>
                <w:szCs w:val="20"/>
              </w:rPr>
              <w:t xml:space="preserve">1720</w:t>
            </w:r>
          </w:p>
        </w:tc>
        <w:tc>
          <w:tcPr>
            <w:tcW w:w="0" w:type="auto"/>
          </w:tcPr>
          <w:p>
            <w:pPr>
              <w:spacing w:line="240" w:lineRule="auto" w:before="0" w:after="0"/>
              <w:pStyle w:val="Compact"/>
            </w:pPr>
            <w:r>
              <w:rPr>
                <w:sz w:val="20"/>
                <w:szCs w:val="20"/>
              </w:rPr>
              <w:t xml:space="preserve">2.36</w:t>
            </w:r>
          </w:p>
        </w:tc>
        <w:tc>
          <w:tcPr>
            <w:tcW w:w="0" w:type="auto"/>
          </w:tcPr>
          <w:p>
            <w:pPr>
              <w:spacing w:line="240" w:lineRule="auto" w:before="0" w:after="0"/>
              <w:pStyle w:val="Compact"/>
            </w:pPr>
            <w:r>
              <w:rPr>
                <w:sz w:val="20"/>
                <w:szCs w:val="20"/>
              </w:rPr>
              <w:t xml:space="preserve">NASA CLPS TO2-AB Astrobotic $79.5M and TO2-IM Intuitive Machines $77M May 2019; BryceTech Start-Up Space 2020; FRED TB3MS 2019Q2</w:t>
            </w:r>
          </w:p>
        </w:tc>
      </w:tr>
      <w:tr>
        <w:tc>
          <w:tcPr>
            <w:tcW w:w="0" w:type="auto"/>
          </w:tcPr>
          <w:p>
            <w:pPr>
              <w:spacing w:line="240" w:lineRule="auto" w:before="0" w:after="0"/>
              <w:pStyle w:val="Compact"/>
            </w:pPr>
            <w:r>
              <w:rPr>
                <w:sz w:val="20"/>
                <w:szCs w:val="20"/>
              </w:rPr>
              <w:t xml:space="preserve">2019Q3</w:t>
            </w:r>
          </w:p>
        </w:tc>
        <w:tc>
          <w:tcPr>
            <w:tcW w:w="0" w:type="auto"/>
          </w:tcPr>
          <w:p>
            <w:pPr>
              <w:spacing w:line="240" w:lineRule="auto" w:before="0" w:after="0"/>
              <w:pStyle w:val="Compact"/>
            </w:pPr>
            <w:r>
              <w:rPr>
                <w:sz w:val="20"/>
                <w:szCs w:val="20"/>
              </w:rPr>
              <w:t xml:space="preserve">542</w:t>
            </w:r>
          </w:p>
        </w:tc>
        <w:tc>
          <w:tcPr>
            <w:tcW w:w="0" w:type="auto"/>
          </w:tcPr>
          <w:p>
            <w:pPr>
              <w:spacing w:line="240" w:lineRule="auto" w:before="0" w:after="0"/>
              <w:pStyle w:val="Compact"/>
            </w:pPr>
            <w:r>
              <w:rPr>
                <w:sz w:val="20"/>
                <w:szCs w:val="20"/>
              </w:rPr>
              <w:t xml:space="preserve">478</w:t>
            </w:r>
          </w:p>
        </w:tc>
        <w:tc>
          <w:tcPr>
            <w:tcW w:w="0" w:type="auto"/>
          </w:tcPr>
          <w:p>
            <w:pPr>
              <w:spacing w:line="240" w:lineRule="auto" w:before="0" w:after="0"/>
              <w:pStyle w:val="Compact"/>
            </w:pPr>
            <w:r>
              <w:rPr>
                <w:sz w:val="20"/>
                <w:szCs w:val="20"/>
              </w:rPr>
              <w:t xml:space="preserve">402</w:t>
            </w:r>
          </w:p>
        </w:tc>
        <w:tc>
          <w:tcPr>
            <w:tcW w:w="0" w:type="auto"/>
          </w:tcPr>
          <w:p>
            <w:pPr>
              <w:spacing w:line="240" w:lineRule="auto" w:before="0" w:after="0"/>
              <w:pStyle w:val="Compact"/>
            </w:pPr>
            <w:r>
              <w:rPr>
                <w:sz w:val="20"/>
                <w:szCs w:val="20"/>
              </w:rPr>
              <w:t xml:space="preserve">388</w:t>
            </w:r>
          </w:p>
        </w:tc>
        <w:tc>
          <w:tcPr>
            <w:tcW w:w="0" w:type="auto"/>
          </w:tcPr>
          <w:p>
            <w:pPr>
              <w:spacing w:line="240" w:lineRule="auto" w:before="0" w:after="0"/>
              <w:pStyle w:val="Compact"/>
            </w:pPr>
            <w:r>
              <w:rPr>
                <w:sz w:val="20"/>
                <w:szCs w:val="20"/>
              </w:rPr>
              <w:t xml:space="preserve">1810</w:t>
            </w:r>
          </w:p>
        </w:tc>
        <w:tc>
          <w:tcPr>
            <w:tcW w:w="0" w:type="auto"/>
          </w:tcPr>
          <w:p>
            <w:pPr>
              <w:spacing w:line="240" w:lineRule="auto" w:before="0" w:after="0"/>
              <w:pStyle w:val="Compact"/>
            </w:pPr>
            <w:r>
              <w:rPr>
                <w:sz w:val="20"/>
                <w:szCs w:val="20"/>
              </w:rPr>
              <w:t xml:space="preserve">1.97</w:t>
            </w:r>
          </w:p>
        </w:tc>
        <w:tc>
          <w:tcPr>
            <w:tcW w:w="0" w:type="auto"/>
          </w:tcPr>
          <w:p>
            <w:pPr>
              <w:spacing w:line="240" w:lineRule="auto" w:before="0" w:after="0"/>
              <w:pStyle w:val="Compact"/>
            </w:pPr>
            <w:r>
              <w:rPr>
                <w:sz w:val="20"/>
                <w:szCs w:val="20"/>
              </w:rPr>
              <w:t xml:space="preserve">NASA Artemis HLS NextSTEP-2 Appendix H Sep 2019; BryceTech Start-Up Space 2020; FRED TB3MS 2019Q3</w:t>
            </w:r>
          </w:p>
        </w:tc>
      </w:tr>
      <w:tr>
        <w:tc>
          <w:tcPr>
            <w:tcW w:w="0" w:type="auto"/>
          </w:tcPr>
          <w:p>
            <w:pPr>
              <w:spacing w:line="240" w:lineRule="auto" w:before="0" w:after="0"/>
              <w:pStyle w:val="Compact"/>
            </w:pPr>
            <w:r>
              <w:rPr>
                <w:sz w:val="20"/>
                <w:szCs w:val="20"/>
              </w:rPr>
              <w:t xml:space="preserve">2019Q4</w:t>
            </w:r>
          </w:p>
        </w:tc>
        <w:tc>
          <w:tcPr>
            <w:tcW w:w="0" w:type="auto"/>
          </w:tcPr>
          <w:p>
            <w:pPr>
              <w:spacing w:line="240" w:lineRule="auto" w:before="0" w:after="0"/>
              <w:pStyle w:val="Compact"/>
            </w:pPr>
            <w:r>
              <w:rPr>
                <w:sz w:val="20"/>
                <w:szCs w:val="20"/>
              </w:rPr>
              <w:t xml:space="preserve">615</w:t>
            </w:r>
          </w:p>
        </w:tc>
        <w:tc>
          <w:tcPr>
            <w:tcW w:w="0" w:type="auto"/>
          </w:tcPr>
          <w:p>
            <w:pPr>
              <w:spacing w:line="240" w:lineRule="auto" w:before="0" w:after="0"/>
              <w:pStyle w:val="Compact"/>
            </w:pPr>
            <w:r>
              <w:rPr>
                <w:sz w:val="20"/>
                <w:szCs w:val="20"/>
              </w:rPr>
              <w:t xml:space="preserve">542</w:t>
            </w:r>
          </w:p>
        </w:tc>
        <w:tc>
          <w:tcPr>
            <w:tcW w:w="0" w:type="auto"/>
          </w:tcPr>
          <w:p>
            <w:pPr>
              <w:spacing w:line="240" w:lineRule="auto" w:before="0" w:after="0"/>
              <w:pStyle w:val="Compact"/>
            </w:pPr>
            <w:r>
              <w:rPr>
                <w:sz w:val="20"/>
                <w:szCs w:val="20"/>
              </w:rPr>
              <w:t xml:space="preserve">478</w:t>
            </w:r>
          </w:p>
        </w:tc>
        <w:tc>
          <w:tcPr>
            <w:tcW w:w="0" w:type="auto"/>
          </w:tcPr>
          <w:p>
            <w:pPr>
              <w:spacing w:line="240" w:lineRule="auto" w:before="0" w:after="0"/>
              <w:pStyle w:val="Compact"/>
            </w:pPr>
            <w:r>
              <w:rPr>
                <w:sz w:val="20"/>
                <w:szCs w:val="20"/>
              </w:rPr>
              <w:t xml:space="preserve">446</w:t>
            </w:r>
          </w:p>
        </w:tc>
        <w:tc>
          <w:tcPr>
            <w:tcW w:w="0" w:type="auto"/>
          </w:tcPr>
          <w:p>
            <w:pPr>
              <w:spacing w:line="240" w:lineRule="auto" w:before="0" w:after="0"/>
              <w:pStyle w:val="Compact"/>
            </w:pPr>
            <w:r>
              <w:rPr>
                <w:sz w:val="20"/>
                <w:szCs w:val="20"/>
              </w:rPr>
              <w:t xml:space="preserve">1890</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NASA FY2020 Appropriations (Artemis $600M ramp); BryceTech Start-Up Space 2020; FRED TB3MS 2019Q4</w:t>
            </w:r>
          </w:p>
        </w:tc>
      </w:tr>
      <w:tr>
        <w:tc>
          <w:tcPr>
            <w:tcW w:w="0" w:type="auto"/>
          </w:tcPr>
          <w:p>
            <w:pPr>
              <w:spacing w:line="240" w:lineRule="auto" w:before="0" w:after="0"/>
              <w:pStyle w:val="Compact"/>
            </w:pPr>
            <w:r>
              <w:rPr>
                <w:sz w:val="20"/>
                <w:szCs w:val="20"/>
              </w:rPr>
              <w:t xml:space="preserve">2020Q1</w:t>
            </w:r>
          </w:p>
        </w:tc>
        <w:tc>
          <w:tcPr>
            <w:tcW w:w="0" w:type="auto"/>
          </w:tcPr>
          <w:p>
            <w:pPr>
              <w:spacing w:line="240" w:lineRule="auto" w:before="0" w:after="0"/>
              <w:pStyle w:val="Compact"/>
            </w:pPr>
            <w:r>
              <w:rPr>
                <w:sz w:val="20"/>
                <w:szCs w:val="20"/>
              </w:rPr>
              <w:t xml:space="preserve">698</w:t>
            </w:r>
          </w:p>
        </w:tc>
        <w:tc>
          <w:tcPr>
            <w:tcW w:w="0" w:type="auto"/>
          </w:tcPr>
          <w:p>
            <w:pPr>
              <w:spacing w:line="240" w:lineRule="auto" w:before="0" w:after="0"/>
              <w:pStyle w:val="Compact"/>
            </w:pPr>
            <w:r>
              <w:rPr>
                <w:sz w:val="20"/>
                <w:szCs w:val="20"/>
              </w:rPr>
              <w:t xml:space="preserve">615</w:t>
            </w:r>
          </w:p>
        </w:tc>
        <w:tc>
          <w:tcPr>
            <w:tcW w:w="0" w:type="auto"/>
          </w:tcPr>
          <w:p>
            <w:pPr>
              <w:spacing w:line="240" w:lineRule="auto" w:before="0" w:after="0"/>
              <w:pStyle w:val="Compact"/>
            </w:pPr>
            <w:r>
              <w:rPr>
                <w:sz w:val="20"/>
                <w:szCs w:val="20"/>
              </w:rPr>
              <w:t xml:space="preserve">542</w:t>
            </w:r>
          </w:p>
        </w:tc>
        <w:tc>
          <w:tcPr>
            <w:tcW w:w="0" w:type="auto"/>
          </w:tcPr>
          <w:p>
            <w:pPr>
              <w:spacing w:line="240" w:lineRule="auto" w:before="0" w:after="0"/>
              <w:pStyle w:val="Compact"/>
            </w:pPr>
            <w:r>
              <w:rPr>
                <w:sz w:val="20"/>
                <w:szCs w:val="20"/>
              </w:rPr>
              <w:t xml:space="preserve">512</w:t>
            </w:r>
          </w:p>
        </w:tc>
        <w:tc>
          <w:tcPr>
            <w:tcW w:w="0" w:type="auto"/>
          </w:tcPr>
          <w:p>
            <w:pPr>
              <w:spacing w:line="240" w:lineRule="auto" w:before="0" w:after="0"/>
              <w:pStyle w:val="Compact"/>
            </w:pPr>
            <w:r>
              <w:rPr>
                <w:sz w:val="20"/>
                <w:szCs w:val="20"/>
              </w:rPr>
              <w:t xml:space="preserve">1810</w:t>
            </w:r>
          </w:p>
        </w:tc>
        <w:tc>
          <w:tcPr>
            <w:tcW w:w="0" w:type="auto"/>
          </w:tcPr>
          <w:p>
            <w:pPr>
              <w:spacing w:line="240" w:lineRule="auto" w:before="0" w:after="0"/>
              <w:pStyle w:val="Compact"/>
            </w:pPr>
            <w:r>
              <w:rPr>
                <w:sz w:val="20"/>
                <w:szCs w:val="20"/>
              </w:rPr>
              <w:t xml:space="preserve">1.11</w:t>
            </w:r>
          </w:p>
        </w:tc>
        <w:tc>
          <w:tcPr>
            <w:tcW w:w="0" w:type="auto"/>
          </w:tcPr>
          <w:p>
            <w:pPr>
              <w:spacing w:line="240" w:lineRule="auto" w:before="0" w:after="0"/>
              <w:pStyle w:val="Compact"/>
            </w:pPr>
            <w:r>
              <w:rPr>
                <w:sz w:val="20"/>
                <w:szCs w:val="20"/>
              </w:rPr>
              <w:t xml:space="preserve">NASA HLS Initial Awards Apr 30 2020 (SpaceX $135M, Blue Origin $579M, Dynetics $253M); BryceTech Start-Up Space 2021; FRED TB3MS 2020Q1</w:t>
            </w:r>
          </w:p>
        </w:tc>
      </w:tr>
      <w:tr>
        <w:tc>
          <w:tcPr>
            <w:tcW w:w="0" w:type="auto"/>
          </w:tcPr>
          <w:p>
            <w:pPr>
              <w:spacing w:line="240" w:lineRule="auto" w:before="0" w:after="0"/>
              <w:pStyle w:val="Compact"/>
            </w:pPr>
            <w:r>
              <w:rPr>
                <w:sz w:val="20"/>
                <w:szCs w:val="20"/>
              </w:rPr>
              <w:t xml:space="preserve">2020Q2</w:t>
            </w:r>
          </w:p>
        </w:tc>
        <w:tc>
          <w:tcPr>
            <w:tcW w:w="0" w:type="auto"/>
          </w:tcPr>
          <w:p>
            <w:pPr>
              <w:spacing w:line="240" w:lineRule="auto" w:before="0" w:after="0"/>
              <w:pStyle w:val="Compact"/>
            </w:pPr>
            <w:r>
              <w:rPr>
                <w:sz w:val="20"/>
                <w:szCs w:val="20"/>
              </w:rPr>
              <w:t xml:space="preserve">785</w:t>
            </w:r>
          </w:p>
        </w:tc>
        <w:tc>
          <w:tcPr>
            <w:tcW w:w="0" w:type="auto"/>
          </w:tcPr>
          <w:p>
            <w:pPr>
              <w:spacing w:line="240" w:lineRule="auto" w:before="0" w:after="0"/>
              <w:pStyle w:val="Compact"/>
            </w:pPr>
            <w:r>
              <w:rPr>
                <w:sz w:val="20"/>
                <w:szCs w:val="20"/>
              </w:rPr>
              <w:t xml:space="preserve">698</w:t>
            </w:r>
          </w:p>
        </w:tc>
        <w:tc>
          <w:tcPr>
            <w:tcW w:w="0" w:type="auto"/>
          </w:tcPr>
          <w:p>
            <w:pPr>
              <w:spacing w:line="240" w:lineRule="auto" w:before="0" w:after="0"/>
              <w:pStyle w:val="Compact"/>
            </w:pPr>
            <w:r>
              <w:rPr>
                <w:sz w:val="20"/>
                <w:szCs w:val="20"/>
              </w:rPr>
              <w:t xml:space="preserve">615</w:t>
            </w:r>
          </w:p>
        </w:tc>
        <w:tc>
          <w:tcPr>
            <w:tcW w:w="0" w:type="auto"/>
          </w:tcPr>
          <w:p>
            <w:pPr>
              <w:spacing w:line="240" w:lineRule="auto" w:before="0" w:after="0"/>
              <w:pStyle w:val="Compact"/>
            </w:pPr>
            <w:r>
              <w:rPr>
                <w:sz w:val="20"/>
                <w:szCs w:val="20"/>
              </w:rPr>
              <w:t xml:space="preserve">578</w:t>
            </w:r>
          </w:p>
        </w:tc>
        <w:tc>
          <w:tcPr>
            <w:tcW w:w="0" w:type="auto"/>
          </w:tcPr>
          <w:p>
            <w:pPr>
              <w:spacing w:line="240" w:lineRule="auto" w:before="0" w:after="0"/>
              <w:pStyle w:val="Compact"/>
            </w:pPr>
            <w:r>
              <w:rPr>
                <w:sz w:val="20"/>
                <w:szCs w:val="20"/>
              </w:rPr>
              <w:t xml:space="preserve">1620</w:t>
            </w:r>
          </w:p>
        </w:tc>
        <w:tc>
          <w:tcPr>
            <w:tcW w:w="0" w:type="auto"/>
          </w:tcPr>
          <w:p>
            <w:pPr>
              <w:spacing w:line="240" w:lineRule="auto" w:before="0" w:after="0"/>
              <w:pStyle w:val="Compact"/>
            </w:pPr>
            <w:r>
              <w:rPr>
                <w:sz w:val="20"/>
                <w:szCs w:val="20"/>
              </w:rPr>
              <w:t xml:space="preserve">0.14</w:t>
            </w:r>
          </w:p>
        </w:tc>
        <w:tc>
          <w:tcPr>
            <w:tcW w:w="0" w:type="auto"/>
          </w:tcPr>
          <w:p>
            <w:pPr>
              <w:spacing w:line="240" w:lineRule="auto" w:before="0" w:after="0"/>
              <w:pStyle w:val="Compact"/>
            </w:pPr>
            <w:r>
              <w:rPr>
                <w:sz w:val="20"/>
                <w:szCs w:val="20"/>
              </w:rPr>
              <w:t xml:space="preserve">NASA HLS Base Period funding Q2 2020; BryceTech Start-Up Space 2021; FRED TB3MS 2020Q2</w:t>
            </w:r>
          </w:p>
        </w:tc>
      </w:tr>
      <w:tr>
        <w:tc>
          <w:tcPr>
            <w:tcW w:w="0" w:type="auto"/>
          </w:tcPr>
          <w:p>
            <w:pPr>
              <w:spacing w:line="240" w:lineRule="auto" w:before="0" w:after="0"/>
              <w:pStyle w:val="Compact"/>
            </w:pPr>
            <w:r>
              <w:rPr>
                <w:sz w:val="20"/>
                <w:szCs w:val="20"/>
              </w:rPr>
              <w:t xml:space="preserve">2020Q3</w:t>
            </w:r>
          </w:p>
        </w:tc>
        <w:tc>
          <w:tcPr>
            <w:tcW w:w="0" w:type="auto"/>
          </w:tcPr>
          <w:p>
            <w:pPr>
              <w:spacing w:line="240" w:lineRule="auto" w:before="0" w:after="0"/>
              <w:pStyle w:val="Compact"/>
            </w:pPr>
            <w:r>
              <w:rPr>
                <w:sz w:val="20"/>
                <w:szCs w:val="20"/>
              </w:rPr>
              <w:t xml:space="preserve">868</w:t>
            </w:r>
          </w:p>
        </w:tc>
        <w:tc>
          <w:tcPr>
            <w:tcW w:w="0" w:type="auto"/>
          </w:tcPr>
          <w:p>
            <w:pPr>
              <w:spacing w:line="240" w:lineRule="auto" w:before="0" w:after="0"/>
              <w:pStyle w:val="Compact"/>
            </w:pPr>
            <w:r>
              <w:rPr>
                <w:sz w:val="20"/>
                <w:szCs w:val="20"/>
              </w:rPr>
              <w:t xml:space="preserve">785</w:t>
            </w:r>
          </w:p>
        </w:tc>
        <w:tc>
          <w:tcPr>
            <w:tcW w:w="0" w:type="auto"/>
          </w:tcPr>
          <w:p>
            <w:pPr>
              <w:spacing w:line="240" w:lineRule="auto" w:before="0" w:after="0"/>
              <w:pStyle w:val="Compact"/>
            </w:pPr>
            <w:r>
              <w:rPr>
                <w:sz w:val="20"/>
                <w:szCs w:val="20"/>
              </w:rPr>
              <w:t xml:space="preserve">698</w:t>
            </w:r>
          </w:p>
        </w:tc>
        <w:tc>
          <w:tcPr>
            <w:tcW w:w="0" w:type="auto"/>
          </w:tcPr>
          <w:p>
            <w:pPr>
              <w:spacing w:line="240" w:lineRule="auto" w:before="0" w:after="0"/>
              <w:pStyle w:val="Compact"/>
            </w:pPr>
            <w:r>
              <w:rPr>
                <w:sz w:val="20"/>
                <w:szCs w:val="20"/>
              </w:rPr>
              <w:t xml:space="preserve">641</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0.11</w:t>
            </w:r>
          </w:p>
        </w:tc>
        <w:tc>
          <w:tcPr>
            <w:tcW w:w="0" w:type="auto"/>
          </w:tcPr>
          <w:p>
            <w:pPr>
              <w:spacing w:line="240" w:lineRule="auto" w:before="0" w:after="0"/>
              <w:pStyle w:val="Compact"/>
            </w:pPr>
            <w:r>
              <w:rPr>
                <w:sz w:val="20"/>
                <w:szCs w:val="20"/>
              </w:rPr>
              <w:t xml:space="preserve">NASA Gateway HALO Northrop Grumman $935M Jul 2020; BryceTech Start-Up Space 2021; FRED TB3MS 2020Q3</w:t>
            </w:r>
          </w:p>
        </w:tc>
      </w:tr>
      <w:tr>
        <w:tc>
          <w:tcPr>
            <w:tcW w:w="0" w:type="auto"/>
          </w:tcPr>
          <w:p>
            <w:pPr>
              <w:spacing w:line="240" w:lineRule="auto" w:before="0" w:after="0"/>
              <w:pStyle w:val="Compact"/>
            </w:pPr>
            <w:r>
              <w:rPr>
                <w:sz w:val="20"/>
                <w:szCs w:val="20"/>
              </w:rPr>
              <w:t xml:space="preserve">2020Q4</w:t>
            </w:r>
          </w:p>
        </w:tc>
        <w:tc>
          <w:tcPr>
            <w:tcW w:w="0" w:type="auto"/>
          </w:tcPr>
          <w:p>
            <w:pPr>
              <w:spacing w:line="240" w:lineRule="auto" w:before="0" w:after="0"/>
              <w:pStyle w:val="Compact"/>
            </w:pPr>
            <w:r>
              <w:rPr>
                <w:sz w:val="20"/>
                <w:szCs w:val="20"/>
              </w:rPr>
              <w:t xml:space="preserve">952</w:t>
            </w:r>
          </w:p>
        </w:tc>
        <w:tc>
          <w:tcPr>
            <w:tcW w:w="0" w:type="auto"/>
          </w:tcPr>
          <w:p>
            <w:pPr>
              <w:spacing w:line="240" w:lineRule="auto" w:before="0" w:after="0"/>
              <w:pStyle w:val="Compact"/>
            </w:pPr>
            <w:r>
              <w:rPr>
                <w:sz w:val="20"/>
                <w:szCs w:val="20"/>
              </w:rPr>
              <w:t xml:space="preserve">868</w:t>
            </w:r>
          </w:p>
        </w:tc>
        <w:tc>
          <w:tcPr>
            <w:tcW w:w="0" w:type="auto"/>
          </w:tcPr>
          <w:p>
            <w:pPr>
              <w:spacing w:line="240" w:lineRule="auto" w:before="0" w:after="0"/>
              <w:pStyle w:val="Compact"/>
            </w:pPr>
            <w:r>
              <w:rPr>
                <w:sz w:val="20"/>
                <w:szCs w:val="20"/>
              </w:rPr>
              <w:t xml:space="preserve">785</w:t>
            </w:r>
          </w:p>
        </w:tc>
        <w:tc>
          <w:tcPr>
            <w:tcW w:w="0" w:type="auto"/>
          </w:tcPr>
          <w:p>
            <w:pPr>
              <w:spacing w:line="240" w:lineRule="auto" w:before="0" w:after="0"/>
              <w:pStyle w:val="Compact"/>
            </w:pPr>
            <w:r>
              <w:rPr>
                <w:sz w:val="20"/>
                <w:szCs w:val="20"/>
              </w:rPr>
              <w:t xml:space="preserve">712</w:t>
            </w:r>
          </w:p>
        </w:tc>
        <w:tc>
          <w:tcPr>
            <w:tcW w:w="0" w:type="auto"/>
          </w:tcPr>
          <w:p>
            <w:pPr>
              <w:spacing w:line="240" w:lineRule="auto" w:before="0" w:after="0"/>
              <w:pStyle w:val="Compact"/>
            </w:pPr>
            <w:r>
              <w:rPr>
                <w:sz w:val="20"/>
                <w:szCs w:val="20"/>
              </w:rPr>
              <w:t xml:space="preserve">1920</w:t>
            </w:r>
          </w:p>
        </w:tc>
        <w:tc>
          <w:tcPr>
            <w:tcW w:w="0" w:type="auto"/>
          </w:tcPr>
          <w:p>
            <w:pPr>
              <w:spacing w:line="240" w:lineRule="auto" w:before="0" w:after="0"/>
              <w:pStyle w:val="Compact"/>
            </w:pPr>
            <w:r>
              <w:rPr>
                <w:sz w:val="20"/>
                <w:szCs w:val="20"/>
              </w:rPr>
              <w:t xml:space="preserve">0.09</w:t>
            </w:r>
          </w:p>
        </w:tc>
        <w:tc>
          <w:tcPr>
            <w:tcW w:w="0" w:type="auto"/>
          </w:tcPr>
          <w:p>
            <w:pPr>
              <w:spacing w:line="240" w:lineRule="auto" w:before="0" w:after="0"/>
              <w:pStyle w:val="Compact"/>
            </w:pPr>
            <w:r>
              <w:rPr>
                <w:sz w:val="20"/>
                <w:szCs w:val="20"/>
              </w:rPr>
              <w:t xml:space="preserve">NASA FY2021 Appropriations; GAO-21-330 (HLS protest backdrop); BryceTech Start-Up Space 2021; FRED TB3MS 2020Q4</w:t>
            </w:r>
          </w:p>
        </w:tc>
      </w:tr>
      <w:tr>
        <w:tc>
          <w:tcPr>
            <w:tcW w:w="0" w:type="auto"/>
          </w:tcPr>
          <w:p>
            <w:pPr>
              <w:spacing w:line="240" w:lineRule="auto" w:before="0" w:after="0"/>
              <w:pStyle w:val="Compact"/>
            </w:pPr>
            <w:r>
              <w:rPr>
                <w:sz w:val="20"/>
                <w:szCs w:val="20"/>
              </w:rPr>
              <w:t xml:space="preserve">2021Q1</w:t>
            </w:r>
          </w:p>
        </w:tc>
        <w:tc>
          <w:tcPr>
            <w:tcW w:w="0" w:type="auto"/>
          </w:tcPr>
          <w:p>
            <w:pPr>
              <w:spacing w:line="240" w:lineRule="auto" w:before="0" w:after="0"/>
              <w:pStyle w:val="Compact"/>
            </w:pPr>
            <w:r>
              <w:rPr>
                <w:sz w:val="20"/>
                <w:szCs w:val="20"/>
              </w:rPr>
              <w:t xml:space="preserve">1048</w:t>
            </w:r>
          </w:p>
        </w:tc>
        <w:tc>
          <w:tcPr>
            <w:tcW w:w="0" w:type="auto"/>
          </w:tcPr>
          <w:p>
            <w:pPr>
              <w:spacing w:line="240" w:lineRule="auto" w:before="0" w:after="0"/>
              <w:pStyle w:val="Compact"/>
            </w:pPr>
            <w:r>
              <w:rPr>
                <w:sz w:val="20"/>
                <w:szCs w:val="20"/>
              </w:rPr>
              <w:t xml:space="preserve">952</w:t>
            </w:r>
          </w:p>
        </w:tc>
        <w:tc>
          <w:tcPr>
            <w:tcW w:w="0" w:type="auto"/>
          </w:tcPr>
          <w:p>
            <w:pPr>
              <w:spacing w:line="240" w:lineRule="auto" w:before="0" w:after="0"/>
              <w:pStyle w:val="Compact"/>
            </w:pPr>
            <w:r>
              <w:rPr>
                <w:sz w:val="20"/>
                <w:szCs w:val="20"/>
              </w:rPr>
              <w:t xml:space="preserve">868</w:t>
            </w:r>
          </w:p>
        </w:tc>
        <w:tc>
          <w:tcPr>
            <w:tcW w:w="0" w:type="auto"/>
          </w:tcPr>
          <w:p>
            <w:pPr>
              <w:spacing w:line="240" w:lineRule="auto" w:before="0" w:after="0"/>
              <w:pStyle w:val="Compact"/>
            </w:pPr>
            <w:r>
              <w:rPr>
                <w:sz w:val="20"/>
                <w:szCs w:val="20"/>
              </w:rPr>
              <w:t xml:space="preserve">798</w:t>
            </w:r>
          </w:p>
        </w:tc>
        <w:tc>
          <w:tcPr>
            <w:tcW w:w="0" w:type="auto"/>
          </w:tcPr>
          <w:p>
            <w:pPr>
              <w:spacing w:line="240" w:lineRule="auto" w:before="0" w:after="0"/>
              <w:pStyle w:val="Compact"/>
            </w:pPr>
            <w:r>
              <w:rPr>
                <w:sz w:val="20"/>
                <w:szCs w:val="20"/>
              </w:rPr>
              <w:t xml:space="preserve">2050</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NASA FY2022 Budget Request; BryceTech Start-Up Space 2022; FRED TB3MS 2021Q1</w:t>
            </w:r>
          </w:p>
        </w:tc>
      </w:tr>
      <w:tr>
        <w:tc>
          <w:tcPr>
            <w:tcW w:w="0" w:type="auto"/>
          </w:tcPr>
          <w:p>
            <w:pPr>
              <w:spacing w:line="240" w:lineRule="auto" w:before="0" w:after="0"/>
              <w:pStyle w:val="Compact"/>
            </w:pPr>
            <w:r>
              <w:rPr>
                <w:sz w:val="20"/>
                <w:szCs w:val="20"/>
              </w:rPr>
              <w:t xml:space="preserve">2021Q2</w:t>
            </w:r>
          </w:p>
        </w:tc>
        <w:tc>
          <w:tcPr>
            <w:tcW w:w="0" w:type="auto"/>
          </w:tcPr>
          <w:p>
            <w:pPr>
              <w:spacing w:line="240" w:lineRule="auto" w:before="0" w:after="0"/>
              <w:pStyle w:val="Compact"/>
            </w:pPr>
            <w:r>
              <w:rPr>
                <w:sz w:val="20"/>
                <w:szCs w:val="20"/>
              </w:rPr>
              <w:t xml:space="preserve">1162</w:t>
            </w:r>
          </w:p>
        </w:tc>
        <w:tc>
          <w:tcPr>
            <w:tcW w:w="0" w:type="auto"/>
          </w:tcPr>
          <w:p>
            <w:pPr>
              <w:spacing w:line="240" w:lineRule="auto" w:before="0" w:after="0"/>
              <w:pStyle w:val="Compact"/>
            </w:pPr>
            <w:r>
              <w:rPr>
                <w:sz w:val="20"/>
                <w:szCs w:val="20"/>
              </w:rPr>
              <w:t xml:space="preserve">1048</w:t>
            </w:r>
          </w:p>
        </w:tc>
        <w:tc>
          <w:tcPr>
            <w:tcW w:w="0" w:type="auto"/>
          </w:tcPr>
          <w:p>
            <w:pPr>
              <w:spacing w:line="240" w:lineRule="auto" w:before="0" w:after="0"/>
              <w:pStyle w:val="Compact"/>
            </w:pPr>
            <w:r>
              <w:rPr>
                <w:sz w:val="20"/>
                <w:szCs w:val="20"/>
              </w:rPr>
              <w:t xml:space="preserve">952</w:t>
            </w:r>
          </w:p>
        </w:tc>
        <w:tc>
          <w:tcPr>
            <w:tcW w:w="0" w:type="auto"/>
          </w:tcPr>
          <w:p>
            <w:pPr>
              <w:spacing w:line="240" w:lineRule="auto" w:before="0" w:after="0"/>
              <w:pStyle w:val="Compact"/>
            </w:pPr>
            <w:r>
              <w:rPr>
                <w:sz w:val="20"/>
                <w:szCs w:val="20"/>
              </w:rPr>
              <w:t xml:space="preserve">892</w:t>
            </w:r>
          </w:p>
        </w:tc>
        <w:tc>
          <w:tcPr>
            <w:tcW w:w="0" w:type="auto"/>
          </w:tcPr>
          <w:p>
            <w:pPr>
              <w:spacing w:line="240" w:lineRule="auto" w:before="0" w:after="0"/>
              <w:pStyle w:val="Compact"/>
            </w:pPr>
            <w:r>
              <w:rPr>
                <w:sz w:val="20"/>
                <w:szCs w:val="20"/>
              </w:rPr>
              <w:t xml:space="preserve">2210</w:t>
            </w:r>
          </w:p>
        </w:tc>
        <w:tc>
          <w:tcPr>
            <w:tcW w:w="0" w:type="auto"/>
          </w:tcPr>
          <w:p>
            <w:pPr>
              <w:spacing w:line="240" w:lineRule="auto" w:before="0" w:after="0"/>
              <w:pStyle w:val="Compact"/>
            </w:pPr>
            <w:r>
              <w:rPr>
                <w:sz w:val="20"/>
                <w:szCs w:val="20"/>
              </w:rPr>
              <w:t xml:space="preserve">0.03</w:t>
            </w:r>
          </w:p>
        </w:tc>
        <w:tc>
          <w:tcPr>
            <w:tcW w:w="0" w:type="auto"/>
          </w:tcPr>
          <w:p>
            <w:pPr>
              <w:spacing w:line="240" w:lineRule="auto" w:before="0" w:after="0"/>
              <w:pStyle w:val="Compact"/>
            </w:pPr>
            <w:r>
              <w:rPr>
                <w:sz w:val="20"/>
                <w:szCs w:val="20"/>
              </w:rPr>
              <w:t xml:space="preserve">NASA HLS Option A Award SpaceX $2.89B Apr 16 2021; BryceTech Start-Up Space 2022; FRED TB3MS 2021Q2</w:t>
            </w:r>
          </w:p>
        </w:tc>
      </w:tr>
      <w:tr>
        <w:tc>
          <w:tcPr>
            <w:tcW w:w="0" w:type="auto"/>
          </w:tcPr>
          <w:p>
            <w:pPr>
              <w:spacing w:line="240" w:lineRule="auto" w:before="0" w:after="0"/>
              <w:pStyle w:val="Compact"/>
            </w:pPr>
            <w:r>
              <w:rPr>
                <w:sz w:val="20"/>
                <w:szCs w:val="20"/>
              </w:rPr>
              <w:t xml:space="preserve">2021Q3</w:t>
            </w:r>
          </w:p>
        </w:tc>
        <w:tc>
          <w:tcPr>
            <w:tcW w:w="0" w:type="auto"/>
          </w:tcPr>
          <w:p>
            <w:pPr>
              <w:spacing w:line="240" w:lineRule="auto" w:before="0" w:after="0"/>
              <w:pStyle w:val="Compact"/>
            </w:pPr>
            <w:r>
              <w:rPr>
                <w:sz w:val="20"/>
                <w:szCs w:val="20"/>
              </w:rPr>
              <w:t xml:space="preserve">1284</w:t>
            </w:r>
          </w:p>
        </w:tc>
        <w:tc>
          <w:tcPr>
            <w:tcW w:w="0" w:type="auto"/>
          </w:tcPr>
          <w:p>
            <w:pPr>
              <w:spacing w:line="240" w:lineRule="auto" w:before="0" w:after="0"/>
              <w:pStyle w:val="Compact"/>
            </w:pPr>
            <w:r>
              <w:rPr>
                <w:sz w:val="20"/>
                <w:szCs w:val="20"/>
              </w:rPr>
              <w:t xml:space="preserve">1162</w:t>
            </w:r>
          </w:p>
        </w:tc>
        <w:tc>
          <w:tcPr>
            <w:tcW w:w="0" w:type="auto"/>
          </w:tcPr>
          <w:p>
            <w:pPr>
              <w:spacing w:line="240" w:lineRule="auto" w:before="0" w:after="0"/>
              <w:pStyle w:val="Compact"/>
            </w:pPr>
            <w:r>
              <w:rPr>
                <w:sz w:val="20"/>
                <w:szCs w:val="20"/>
              </w:rPr>
              <w:t xml:space="preserve">1048</w:t>
            </w:r>
          </w:p>
        </w:tc>
        <w:tc>
          <w:tcPr>
            <w:tcW w:w="0" w:type="auto"/>
          </w:tcPr>
          <w:p>
            <w:pPr>
              <w:spacing w:line="240" w:lineRule="auto" w:before="0" w:after="0"/>
              <w:pStyle w:val="Compact"/>
            </w:pPr>
            <w:r>
              <w:rPr>
                <w:sz w:val="20"/>
                <w:szCs w:val="20"/>
              </w:rPr>
              <w:t xml:space="preserve">1015</w:t>
            </w:r>
          </w:p>
        </w:tc>
        <w:tc>
          <w:tcPr>
            <w:tcW w:w="0" w:type="auto"/>
          </w:tcPr>
          <w:p>
            <w:pPr>
              <w:spacing w:line="240" w:lineRule="auto" w:before="0" w:after="0"/>
              <w:pStyle w:val="Compact"/>
            </w:pPr>
            <w:r>
              <w:rPr>
                <w:sz w:val="20"/>
                <w:szCs w:val="20"/>
              </w:rPr>
              <w:t xml:space="preserve">2380</w:t>
            </w:r>
          </w:p>
        </w:tc>
        <w:tc>
          <w:tcPr>
            <w:tcW w:w="0" w:type="auto"/>
          </w:tcPr>
          <w:p>
            <w:pPr>
              <w:spacing w:line="240" w:lineRule="auto" w:before="0" w:after="0"/>
              <w:pStyle w:val="Compact"/>
            </w:pPr>
            <w:r>
              <w:rPr>
                <w:sz w:val="20"/>
                <w:szCs w:val="20"/>
              </w:rPr>
              <w:t xml:space="preserve">0.04</w:t>
            </w:r>
          </w:p>
        </w:tc>
        <w:tc>
          <w:tcPr>
            <w:tcW w:w="0" w:type="auto"/>
          </w:tcPr>
          <w:p>
            <w:pPr>
              <w:spacing w:line="240" w:lineRule="auto" w:before="0" w:after="0"/>
              <w:pStyle w:val="Compact"/>
            </w:pPr>
            <w:r>
              <w:rPr>
                <w:sz w:val="20"/>
                <w:szCs w:val="20"/>
              </w:rPr>
              <w:t xml:space="preserve">NASA Artemis budget acceleration; BryceTech Start-Up Space 2022; FRED TB3MS 2021Q3</w:t>
            </w:r>
          </w:p>
        </w:tc>
      </w:tr>
      <w:tr>
        <w:tc>
          <w:tcPr>
            <w:tcW w:w="0" w:type="auto"/>
          </w:tcPr>
          <w:p>
            <w:pPr>
              <w:spacing w:line="240" w:lineRule="auto" w:before="0" w:after="0"/>
              <w:pStyle w:val="Compact"/>
            </w:pPr>
            <w:r>
              <w:rPr>
                <w:sz w:val="20"/>
                <w:szCs w:val="20"/>
              </w:rPr>
              <w:t xml:space="preserve">2021Q4</w:t>
            </w:r>
          </w:p>
        </w:tc>
        <w:tc>
          <w:tcPr>
            <w:tcW w:w="0" w:type="auto"/>
          </w:tcPr>
          <w:p>
            <w:pPr>
              <w:spacing w:line="240" w:lineRule="auto" w:before="0" w:after="0"/>
              <w:pStyle w:val="Compact"/>
            </w:pPr>
            <w:r>
              <w:rPr>
                <w:sz w:val="20"/>
                <w:szCs w:val="20"/>
              </w:rPr>
              <w:t xml:space="preserve">1418</w:t>
            </w:r>
          </w:p>
        </w:tc>
        <w:tc>
          <w:tcPr>
            <w:tcW w:w="0" w:type="auto"/>
          </w:tcPr>
          <w:p>
            <w:pPr>
              <w:spacing w:line="240" w:lineRule="auto" w:before="0" w:after="0"/>
              <w:pStyle w:val="Compact"/>
            </w:pPr>
            <w:r>
              <w:rPr>
                <w:sz w:val="20"/>
                <w:szCs w:val="20"/>
              </w:rPr>
              <w:t xml:space="preserve">1284</w:t>
            </w:r>
          </w:p>
        </w:tc>
        <w:tc>
          <w:tcPr>
            <w:tcW w:w="0" w:type="auto"/>
          </w:tcPr>
          <w:p>
            <w:pPr>
              <w:spacing w:line="240" w:lineRule="auto" w:before="0" w:after="0"/>
              <w:pStyle w:val="Compact"/>
            </w:pPr>
            <w:r>
              <w:rPr>
                <w:sz w:val="20"/>
                <w:szCs w:val="20"/>
              </w:rPr>
              <w:t xml:space="preserve">1162</w:t>
            </w:r>
          </w:p>
        </w:tc>
        <w:tc>
          <w:tcPr>
            <w:tcW w:w="0" w:type="auto"/>
          </w:tcPr>
          <w:p>
            <w:pPr>
              <w:spacing w:line="240" w:lineRule="auto" w:before="0" w:after="0"/>
              <w:pStyle w:val="Compact"/>
            </w:pPr>
            <w:r>
              <w:rPr>
                <w:sz w:val="20"/>
                <w:szCs w:val="20"/>
              </w:rPr>
              <w:t xml:space="preserve">1156</w:t>
            </w:r>
          </w:p>
        </w:tc>
        <w:tc>
          <w:tcPr>
            <w:tcW w:w="0" w:type="auto"/>
          </w:tcPr>
          <w:p>
            <w:pPr>
              <w:spacing w:line="240" w:lineRule="auto" w:before="0" w:after="0"/>
              <w:pStyle w:val="Compact"/>
            </w:pPr>
            <w:r>
              <w:rPr>
                <w:sz w:val="20"/>
                <w:szCs w:val="20"/>
              </w:rPr>
              <w:t xml:space="preserve">2540</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NASA FY2022 Appropriations; BryceTech Start-Up Space 2022; FRED TB3MS 2021Q4</w:t>
            </w:r>
          </w:p>
        </w:tc>
      </w:tr>
      <w:tr>
        <w:tc>
          <w:tcPr>
            <w:tcW w:w="0" w:type="auto"/>
          </w:tcPr>
          <w:p>
            <w:pPr>
              <w:spacing w:line="240" w:lineRule="auto" w:before="0" w:after="0"/>
              <w:pStyle w:val="Compact"/>
            </w:pPr>
            <w:r>
              <w:rPr>
                <w:sz w:val="20"/>
                <w:szCs w:val="20"/>
              </w:rPr>
              <w:t xml:space="preserve">2022Q1</w:t>
            </w:r>
          </w:p>
        </w:tc>
        <w:tc>
          <w:tcPr>
            <w:tcW w:w="0" w:type="auto"/>
          </w:tcPr>
          <w:p>
            <w:pPr>
              <w:spacing w:line="240" w:lineRule="auto" w:before="0" w:after="0"/>
              <w:pStyle w:val="Compact"/>
            </w:pPr>
            <w:r>
              <w:rPr>
                <w:sz w:val="20"/>
                <w:szCs w:val="20"/>
              </w:rPr>
              <w:t xml:space="preserve">1565</w:t>
            </w:r>
          </w:p>
        </w:tc>
        <w:tc>
          <w:tcPr>
            <w:tcW w:w="0" w:type="auto"/>
          </w:tcPr>
          <w:p>
            <w:pPr>
              <w:spacing w:line="240" w:lineRule="auto" w:before="0" w:after="0"/>
              <w:pStyle w:val="Compact"/>
            </w:pPr>
            <w:r>
              <w:rPr>
                <w:sz w:val="20"/>
                <w:szCs w:val="20"/>
              </w:rPr>
              <w:t xml:space="preserve">1418</w:t>
            </w:r>
          </w:p>
        </w:tc>
        <w:tc>
          <w:tcPr>
            <w:tcW w:w="0" w:type="auto"/>
          </w:tcPr>
          <w:p>
            <w:pPr>
              <w:spacing w:line="240" w:lineRule="auto" w:before="0" w:after="0"/>
              <w:pStyle w:val="Compact"/>
            </w:pPr>
            <w:r>
              <w:rPr>
                <w:sz w:val="20"/>
                <w:szCs w:val="20"/>
              </w:rPr>
              <w:t xml:space="preserve">1284</w:t>
            </w:r>
          </w:p>
        </w:tc>
        <w:tc>
          <w:tcPr>
            <w:tcW w:w="0" w:type="auto"/>
          </w:tcPr>
          <w:p>
            <w:pPr>
              <w:spacing w:line="240" w:lineRule="auto" w:before="0" w:after="0"/>
              <w:pStyle w:val="Compact"/>
            </w:pPr>
            <w:r>
              <w:rPr>
                <w:sz w:val="20"/>
                <w:szCs w:val="20"/>
              </w:rPr>
              <w:t xml:space="preserve">1298</w:t>
            </w:r>
          </w:p>
        </w:tc>
        <w:tc>
          <w:tcPr>
            <w:tcW w:w="0" w:type="auto"/>
          </w:tcPr>
          <w:p>
            <w:pPr>
              <w:spacing w:line="240" w:lineRule="auto" w:before="0" w:after="0"/>
              <w:pStyle w:val="Compact"/>
            </w:pPr>
            <w:r>
              <w:rPr>
                <w:sz w:val="20"/>
                <w:szCs w:val="20"/>
              </w:rPr>
              <w:t xml:space="preserve">2680</w:t>
            </w:r>
          </w:p>
        </w:tc>
        <w:tc>
          <w:tcPr>
            <w:tcW w:w="0" w:type="auto"/>
          </w:tcPr>
          <w:p>
            <w:pPr>
              <w:spacing w:line="240" w:lineRule="auto" w:before="0" w:after="0"/>
              <w:pStyle w:val="Compact"/>
            </w:pPr>
            <w:r>
              <w:rPr>
                <w:sz w:val="20"/>
                <w:szCs w:val="20"/>
              </w:rPr>
              <w:t xml:space="preserve">0.32</w:t>
            </w:r>
          </w:p>
        </w:tc>
        <w:tc>
          <w:tcPr>
            <w:tcW w:w="0" w:type="auto"/>
          </w:tcPr>
          <w:p>
            <w:pPr>
              <w:spacing w:line="240" w:lineRule="auto" w:before="0" w:after="0"/>
              <w:pStyle w:val="Compact"/>
            </w:pPr>
            <w:r>
              <w:rPr>
                <w:sz w:val="20"/>
                <w:szCs w:val="20"/>
              </w:rPr>
              <w:t xml:space="preserve">GAO-22-105533 NASA Major Projects (HLS, Gateway, Orion); BryceTech Start-Up Space 2023; FRED TB3MS 2022Q1</w:t>
            </w:r>
          </w:p>
        </w:tc>
      </w:tr>
      <w:tr>
        <w:tc>
          <w:tcPr>
            <w:tcW w:w="0" w:type="auto"/>
          </w:tcPr>
          <w:p>
            <w:pPr>
              <w:spacing w:line="240" w:lineRule="auto" w:before="0" w:after="0"/>
              <w:pStyle w:val="Compact"/>
            </w:pPr>
            <w:r>
              <w:rPr>
                <w:sz w:val="20"/>
                <w:szCs w:val="20"/>
              </w:rPr>
              <w:t xml:space="preserve">2022Q2</w:t>
            </w:r>
          </w:p>
        </w:tc>
        <w:tc>
          <w:tcPr>
            <w:tcW w:w="0" w:type="auto"/>
          </w:tcPr>
          <w:p>
            <w:pPr>
              <w:spacing w:line="240" w:lineRule="auto" w:before="0" w:after="0"/>
              <w:pStyle w:val="Compact"/>
            </w:pPr>
            <w:r>
              <w:rPr>
                <w:sz w:val="20"/>
                <w:szCs w:val="20"/>
              </w:rPr>
              <w:t xml:space="preserve">1712</w:t>
            </w:r>
          </w:p>
        </w:tc>
        <w:tc>
          <w:tcPr>
            <w:tcW w:w="0" w:type="auto"/>
          </w:tcPr>
          <w:p>
            <w:pPr>
              <w:spacing w:line="240" w:lineRule="auto" w:before="0" w:after="0"/>
              <w:pStyle w:val="Compact"/>
            </w:pPr>
            <w:r>
              <w:rPr>
                <w:sz w:val="20"/>
                <w:szCs w:val="20"/>
              </w:rPr>
              <w:t xml:space="preserve">1565</w:t>
            </w:r>
          </w:p>
        </w:tc>
        <w:tc>
          <w:tcPr>
            <w:tcW w:w="0" w:type="auto"/>
          </w:tcPr>
          <w:p>
            <w:pPr>
              <w:spacing w:line="240" w:lineRule="auto" w:before="0" w:after="0"/>
              <w:pStyle w:val="Compact"/>
            </w:pPr>
            <w:r>
              <w:rPr>
                <w:sz w:val="20"/>
                <w:szCs w:val="20"/>
              </w:rPr>
              <w:t xml:space="preserve">1418</w:t>
            </w:r>
          </w:p>
        </w:tc>
        <w:tc>
          <w:tcPr>
            <w:tcW w:w="0" w:type="auto"/>
          </w:tcPr>
          <w:p>
            <w:pPr>
              <w:spacing w:line="240" w:lineRule="auto" w:before="0" w:after="0"/>
              <w:pStyle w:val="Compact"/>
            </w:pPr>
            <w:r>
              <w:rPr>
                <w:sz w:val="20"/>
                <w:szCs w:val="20"/>
              </w:rPr>
              <w:t xml:space="preserve">1452</w:t>
            </w:r>
          </w:p>
        </w:tc>
        <w:tc>
          <w:tcPr>
            <w:tcW w:w="0" w:type="auto"/>
          </w:tcPr>
          <w:p>
            <w:pPr>
              <w:spacing w:line="240" w:lineRule="auto" w:before="0" w:after="0"/>
              <w:pStyle w:val="Compact"/>
            </w:pPr>
            <w:r>
              <w:rPr>
                <w:sz w:val="20"/>
                <w:szCs w:val="20"/>
              </w:rPr>
              <w:t xml:space="preserve">2810</w:t>
            </w:r>
          </w:p>
        </w:tc>
        <w:tc>
          <w:tcPr>
            <w:tcW w:w="0" w:type="auto"/>
          </w:tcPr>
          <w:p>
            <w:pPr>
              <w:spacing w:line="240" w:lineRule="auto" w:before="0" w:after="0"/>
              <w:pStyle w:val="Compact"/>
            </w:pPr>
            <w:r>
              <w:rPr>
                <w:sz w:val="20"/>
                <w:szCs w:val="20"/>
              </w:rPr>
              <w:t xml:space="preserve">1.16</w:t>
            </w:r>
          </w:p>
        </w:tc>
        <w:tc>
          <w:tcPr>
            <w:tcW w:w="0" w:type="auto"/>
          </w:tcPr>
          <w:p>
            <w:pPr>
              <w:spacing w:line="240" w:lineRule="auto" w:before="0" w:after="0"/>
              <w:pStyle w:val="Compact"/>
            </w:pPr>
            <w:r>
              <w:rPr>
                <w:sz w:val="20"/>
                <w:szCs w:val="20"/>
              </w:rPr>
              <w:t xml:space="preserve">NASA CLPS Task Order CP-11 Firefly Blue Ghost $93.3M; BryceTech Start-Up Space 2023; FRED TB3MS 2022Q2</w:t>
            </w:r>
          </w:p>
        </w:tc>
      </w:tr>
      <w:tr>
        <w:tc>
          <w:tcPr>
            <w:tcW w:w="0" w:type="auto"/>
          </w:tcPr>
          <w:p>
            <w:pPr>
              <w:spacing w:line="240" w:lineRule="auto" w:before="0" w:after="0"/>
              <w:pStyle w:val="Compact"/>
            </w:pPr>
            <w:r>
              <w:rPr>
                <w:sz w:val="20"/>
                <w:szCs w:val="20"/>
              </w:rPr>
              <w:t xml:space="preserve">2022Q3</w:t>
            </w:r>
          </w:p>
        </w:tc>
        <w:tc>
          <w:tcPr>
            <w:tcW w:w="0" w:type="auto"/>
          </w:tcPr>
          <w:p>
            <w:pPr>
              <w:spacing w:line="240" w:lineRule="auto" w:before="0" w:after="0"/>
              <w:pStyle w:val="Compact"/>
            </w:pPr>
            <w:r>
              <w:rPr>
                <w:sz w:val="20"/>
                <w:szCs w:val="20"/>
              </w:rPr>
              <w:t xml:space="preserve">1858</w:t>
            </w:r>
          </w:p>
        </w:tc>
        <w:tc>
          <w:tcPr>
            <w:tcW w:w="0" w:type="auto"/>
          </w:tcPr>
          <w:p>
            <w:pPr>
              <w:spacing w:line="240" w:lineRule="auto" w:before="0" w:after="0"/>
              <w:pStyle w:val="Compact"/>
            </w:pPr>
            <w:r>
              <w:rPr>
                <w:sz w:val="20"/>
                <w:szCs w:val="20"/>
              </w:rPr>
              <w:t xml:space="preserve">1712</w:t>
            </w:r>
          </w:p>
        </w:tc>
        <w:tc>
          <w:tcPr>
            <w:tcW w:w="0" w:type="auto"/>
          </w:tcPr>
          <w:p>
            <w:pPr>
              <w:spacing w:line="240" w:lineRule="auto" w:before="0" w:after="0"/>
              <w:pStyle w:val="Compact"/>
            </w:pPr>
            <w:r>
              <w:rPr>
                <w:sz w:val="20"/>
                <w:szCs w:val="20"/>
              </w:rPr>
              <w:t xml:space="preserve">1565</w:t>
            </w:r>
          </w:p>
        </w:tc>
        <w:tc>
          <w:tcPr>
            <w:tcW w:w="0" w:type="auto"/>
          </w:tcPr>
          <w:p>
            <w:pPr>
              <w:spacing w:line="240" w:lineRule="auto" w:before="0" w:after="0"/>
              <w:pStyle w:val="Compact"/>
            </w:pPr>
            <w:r>
              <w:rPr>
                <w:sz w:val="20"/>
                <w:szCs w:val="20"/>
              </w:rPr>
              <w:t xml:space="preserve">1612</w:t>
            </w:r>
          </w:p>
        </w:tc>
        <w:tc>
          <w:tcPr>
            <w:tcW w:w="0" w:type="auto"/>
          </w:tcPr>
          <w:p>
            <w:pPr>
              <w:spacing w:line="240" w:lineRule="auto" w:before="0" w:after="0"/>
              <w:pStyle w:val="Compact"/>
            </w:pPr>
            <w:r>
              <w:rPr>
                <w:sz w:val="20"/>
                <w:szCs w:val="20"/>
              </w:rPr>
              <w:t xml:space="preserve">2950</w:t>
            </w:r>
          </w:p>
        </w:tc>
        <w:tc>
          <w:tcPr>
            <w:tcW w:w="0" w:type="auto"/>
          </w:tcPr>
          <w:p>
            <w:pPr>
              <w:spacing w:line="240" w:lineRule="auto" w:before="0" w:after="0"/>
              <w:pStyle w:val="Compact"/>
            </w:pPr>
            <w:r>
              <w:rPr>
                <w:sz w:val="20"/>
                <w:szCs w:val="20"/>
              </w:rPr>
              <w:t xml:space="preserve">2.85</w:t>
            </w:r>
          </w:p>
        </w:tc>
        <w:tc>
          <w:tcPr>
            <w:tcW w:w="0" w:type="auto"/>
          </w:tcPr>
          <w:p>
            <w:pPr>
              <w:spacing w:line="240" w:lineRule="auto" w:before="0" w:after="0"/>
              <w:pStyle w:val="Compact"/>
            </w:pPr>
            <w:r>
              <w:rPr>
                <w:sz w:val="20"/>
                <w:szCs w:val="20"/>
              </w:rPr>
              <w:t xml:space="preserve">NASA Artemis I launch SLS Nov 16 2022; BryceTech Start-Up Space 2023; FRED TB3MS 2022Q3</w:t>
            </w:r>
          </w:p>
        </w:tc>
      </w:tr>
      <w:tr>
        <w:tc>
          <w:tcPr>
            <w:tcW w:w="0" w:type="auto"/>
          </w:tcPr>
          <w:p>
            <w:pPr>
              <w:spacing w:line="240" w:lineRule="auto" w:before="0" w:after="0"/>
              <w:pStyle w:val="Compact"/>
            </w:pPr>
            <w:r>
              <w:rPr>
                <w:sz w:val="20"/>
                <w:szCs w:val="20"/>
              </w:rPr>
              <w:t xml:space="preserve">2022Q4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1858</w:t>
            </w:r>
          </w:p>
        </w:tc>
        <w:tc>
          <w:tcPr>
            <w:tcW w:w="0" w:type="auto"/>
          </w:tcPr>
          <w:p>
            <w:pPr>
              <w:spacing w:line="240" w:lineRule="auto" w:before="0" w:after="0"/>
              <w:pStyle w:val="Compact"/>
            </w:pPr>
            <w:r>
              <w:rPr>
                <w:sz w:val="20"/>
                <w:szCs w:val="20"/>
              </w:rPr>
              <w:t xml:space="preserve">1712</w:t>
            </w:r>
          </w:p>
        </w:tc>
        <w:tc>
          <w:tcPr>
            <w:tcW w:w="0" w:type="auto"/>
          </w:tcPr>
          <w:p>
            <w:pPr>
              <w:spacing w:line="240" w:lineRule="auto" w:before="0" w:after="0"/>
              <w:pStyle w:val="Compact"/>
            </w:pPr>
            <w:r>
              <w:rPr>
                <w:sz w:val="20"/>
                <w:szCs w:val="20"/>
              </w:rPr>
              <w:t xml:space="preserve">1788</w:t>
            </w:r>
          </w:p>
        </w:tc>
        <w:tc>
          <w:tcPr>
            <w:tcW w:w="0" w:type="auto"/>
          </w:tcPr>
          <w:p>
            <w:pPr>
              <w:spacing w:line="240" w:lineRule="auto" w:before="0" w:after="0"/>
              <w:pStyle w:val="Compact"/>
            </w:pPr>
            <w:r>
              <w:rPr>
                <w:sz w:val="20"/>
                <w:szCs w:val="20"/>
              </w:rPr>
              <w:t xml:space="preserve">3080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NASA HLS Sustaining Lunar Development Contract Solicitation Sep 20 2022; BryceTech Start-Up Space 2023; FRED TB3MS 2022Q4</w:t>
            </w:r>
          </w:p>
        </w:tc>
      </w:tr>
      <w:tr>
        <w:tc>
          <w:tcPr>
            <w:tcW w:w="0" w:type="auto"/>
          </w:tcPr>
          <w:p>
            <w:pPr>
              <w:spacing w:line="240" w:lineRule="auto" w:before="0" w:after="0"/>
              <w:pStyle w:val="Compact"/>
            </w:pPr>
            <w:r>
              <w:rPr>
                <w:sz w:val="20"/>
                <w:szCs w:val="20"/>
              </w:rPr>
              <w:t xml:space="preserve">2023Q1</w:t>
            </w:r>
          </w:p>
        </w:tc>
        <w:tc>
          <w:tcPr>
            <w:tcW w:w="0" w:type="auto"/>
          </w:tcPr>
          <w:p>
            <w:pPr>
              <w:spacing w:line="240" w:lineRule="auto" w:before="0" w:after="0"/>
              <w:pStyle w:val="Compact"/>
            </w:pPr>
            <w:r>
              <w:rPr>
                <w:sz w:val="20"/>
                <w:szCs w:val="20"/>
              </w:rPr>
              <w:t xml:space="preserve">2196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1858</w:t>
            </w:r>
          </w:p>
        </w:tc>
        <w:tc>
          <w:tcPr>
            <w:tcW w:w="0" w:type="auto"/>
          </w:tcPr>
          <w:p>
            <w:pPr>
              <w:spacing w:line="240" w:lineRule="auto" w:before="0" w:after="0"/>
              <w:pStyle w:val="Compact"/>
            </w:pPr>
            <w:r>
              <w:rPr>
                <w:sz w:val="20"/>
                <w:szCs w:val="20"/>
              </w:rPr>
              <w:t xml:space="preserve">1965</w:t>
            </w:r>
          </w:p>
        </w:tc>
        <w:tc>
          <w:tcPr>
            <w:tcW w:w="0" w:type="auto"/>
          </w:tcPr>
          <w:p>
            <w:pPr>
              <w:spacing w:line="240" w:lineRule="auto" w:before="0" w:after="0"/>
              <w:pStyle w:val="Compact"/>
            </w:pPr>
            <w:r>
              <w:rPr>
                <w:sz w:val="20"/>
                <w:szCs w:val="20"/>
              </w:rPr>
              <w:t xml:space="preserve">3240</w:t>
            </w:r>
          </w:p>
        </w:tc>
        <w:tc>
          <w:tcPr>
            <w:tcW w:w="0" w:type="auto"/>
          </w:tcPr>
          <w:p>
            <w:pPr>
              <w:spacing w:line="240" w:lineRule="auto" w:before="0" w:after="0"/>
              <w:pStyle w:val="Compact"/>
            </w:pPr>
            <w:r>
              <w:rPr>
                <w:sz w:val="20"/>
                <w:szCs w:val="20"/>
              </w:rPr>
              <w:t xml:space="preserve">4.74</w:t>
            </w:r>
          </w:p>
        </w:tc>
        <w:tc>
          <w:tcPr>
            <w:tcW w:w="0" w:type="auto"/>
          </w:tcPr>
          <w:p>
            <w:pPr>
              <w:spacing w:line="240" w:lineRule="auto" w:before="0" w:after="0"/>
              <w:pStyle w:val="Compact"/>
            </w:pPr>
            <w:r>
              <w:rPr>
                <w:sz w:val="20"/>
                <w:szCs w:val="20"/>
              </w:rPr>
              <w:t xml:space="preserve">NASA HLS Option B SpaceX $1.15B Nov 2022 obligation; BryceTech Start-Up Space 2024; FRED TB3MS 2023Q1</w:t>
            </w:r>
          </w:p>
        </w:tc>
      </w:tr>
      <w:tr>
        <w:tc>
          <w:tcPr>
            <w:tcW w:w="0" w:type="auto"/>
          </w:tcPr>
          <w:p>
            <w:pPr>
              <w:spacing w:line="240" w:lineRule="auto" w:before="0" w:after="0"/>
              <w:pStyle w:val="Compact"/>
            </w:pPr>
            <w:r>
              <w:rPr>
                <w:sz w:val="20"/>
                <w:szCs w:val="20"/>
              </w:rPr>
              <w:t xml:space="preserve">2023Q2</w:t>
            </w:r>
          </w:p>
        </w:tc>
        <w:tc>
          <w:tcPr>
            <w:tcW w:w="0" w:type="auto"/>
          </w:tcPr>
          <w:p>
            <w:pPr>
              <w:spacing w:line="240" w:lineRule="auto" w:before="0" w:after="0"/>
              <w:pStyle w:val="Compact"/>
            </w:pPr>
            <w:r>
              <w:rPr>
                <w:sz w:val="20"/>
                <w:szCs w:val="20"/>
              </w:rPr>
              <w:t xml:space="preserve">2378</w:t>
            </w:r>
          </w:p>
        </w:tc>
        <w:tc>
          <w:tcPr>
            <w:tcW w:w="0" w:type="auto"/>
          </w:tcPr>
          <w:p>
            <w:pPr>
              <w:spacing w:line="240" w:lineRule="auto" w:before="0" w:after="0"/>
              <w:pStyle w:val="Compact"/>
            </w:pPr>
            <w:r>
              <w:rPr>
                <w:sz w:val="20"/>
                <w:szCs w:val="20"/>
              </w:rPr>
              <w:t xml:space="preserve">2196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2148</w:t>
            </w:r>
          </w:p>
        </w:tc>
        <w:tc>
          <w:tcPr>
            <w:tcW w:w="0" w:type="auto"/>
          </w:tcPr>
          <w:p>
            <w:pPr>
              <w:spacing w:line="240" w:lineRule="auto" w:before="0" w:after="0"/>
              <w:pStyle w:val="Compact"/>
            </w:pPr>
            <w:r>
              <w:rPr>
                <w:sz w:val="20"/>
                <w:szCs w:val="20"/>
              </w:rPr>
              <w:t xml:space="preserve">3390</w:t>
            </w:r>
          </w:p>
        </w:tc>
        <w:tc>
          <w:tcPr>
            <w:tcW w:w="0" w:type="auto"/>
          </w:tcPr>
          <w:p>
            <w:pPr>
              <w:spacing w:line="240" w:lineRule="auto" w:before="0" w:after="0"/>
              <w:pStyle w:val="Compact"/>
            </w:pPr>
            <w:r>
              <w:rPr>
                <w:sz w:val="20"/>
                <w:szCs w:val="20"/>
              </w:rPr>
              <w:t xml:space="preserve">5.05</w:t>
            </w:r>
          </w:p>
        </w:tc>
        <w:tc>
          <w:tcPr>
            <w:tcW w:w="0" w:type="auto"/>
          </w:tcPr>
          <w:p>
            <w:pPr>
              <w:spacing w:line="240" w:lineRule="auto" w:before="0" w:after="0"/>
              <w:pStyle w:val="Compact"/>
            </w:pPr>
            <w:r>
              <w:rPr>
                <w:sz w:val="20"/>
                <w:szCs w:val="20"/>
              </w:rPr>
              <w:t xml:space="preserve">NASA Lunar Terrain Vehicle Services Solicitation 80JSC023R0001 May 2023; BryceTech Start-Up Space 2024; FRED TB3MS 2023Q2</w:t>
            </w:r>
          </w:p>
        </w:tc>
      </w:tr>
      <w:tr>
        <w:tc>
          <w:tcPr>
            <w:tcW w:w="0" w:type="auto"/>
          </w:tcPr>
          <w:p>
            <w:pPr>
              <w:spacing w:line="240" w:lineRule="auto" w:before="0" w:after="0"/>
              <w:pStyle w:val="Compact"/>
            </w:pPr>
            <w:r>
              <w:rPr>
                <w:sz w:val="20"/>
                <w:szCs w:val="20"/>
              </w:rPr>
              <w:t xml:space="preserve">2023Q3</w:t>
            </w:r>
          </w:p>
        </w:tc>
        <w:tc>
          <w:tcPr>
            <w:tcW w:w="0" w:type="auto"/>
          </w:tcPr>
          <w:p>
            <w:pPr>
              <w:spacing w:line="240" w:lineRule="auto" w:before="0" w:after="0"/>
              <w:pStyle w:val="Compact"/>
            </w:pPr>
            <w:r>
              <w:rPr>
                <w:sz w:val="20"/>
                <w:szCs w:val="20"/>
              </w:rPr>
              <w:t xml:space="preserve">2562</w:t>
            </w:r>
          </w:p>
        </w:tc>
        <w:tc>
          <w:tcPr>
            <w:tcW w:w="0" w:type="auto"/>
          </w:tcPr>
          <w:p>
            <w:pPr>
              <w:spacing w:line="240" w:lineRule="auto" w:before="0" w:after="0"/>
              <w:pStyle w:val="Compact"/>
            </w:pPr>
            <w:r>
              <w:rPr>
                <w:sz w:val="20"/>
                <w:szCs w:val="20"/>
              </w:rPr>
              <w:t xml:space="preserve">2378</w:t>
            </w:r>
          </w:p>
        </w:tc>
        <w:tc>
          <w:tcPr>
            <w:tcW w:w="0" w:type="auto"/>
          </w:tcPr>
          <w:p>
            <w:pPr>
              <w:spacing w:line="240" w:lineRule="auto" w:before="0" w:after="0"/>
              <w:pStyle w:val="Compact"/>
            </w:pPr>
            <w:r>
              <w:rPr>
                <w:sz w:val="20"/>
                <w:szCs w:val="20"/>
              </w:rPr>
              <w:t xml:space="preserve">2196</w:t>
            </w:r>
          </w:p>
        </w:tc>
        <w:tc>
          <w:tcPr>
            <w:tcW w:w="0" w:type="auto"/>
          </w:tcPr>
          <w:p>
            <w:pPr>
              <w:spacing w:line="240" w:lineRule="auto" w:before="0" w:after="0"/>
              <w:pStyle w:val="Compact"/>
            </w:pPr>
            <w:r>
              <w:rPr>
                <w:sz w:val="20"/>
                <w:szCs w:val="20"/>
              </w:rPr>
              <w:t xml:space="preserve">2336</w:t>
            </w:r>
          </w:p>
        </w:tc>
        <w:tc>
          <w:tcPr>
            <w:tcW w:w="0" w:type="auto"/>
          </w:tcPr>
          <w:p>
            <w:pPr>
              <w:spacing w:line="240" w:lineRule="auto" w:before="0" w:after="0"/>
              <w:pStyle w:val="Compact"/>
            </w:pPr>
            <w:r>
              <w:rPr>
                <w:sz w:val="20"/>
                <w:szCs w:val="20"/>
              </w:rPr>
              <w:t xml:space="preserve">3550</w:t>
            </w:r>
          </w:p>
        </w:tc>
        <w:tc>
          <w:tcPr>
            <w:tcW w:w="0" w:type="auto"/>
          </w:tcPr>
          <w:p>
            <w:pPr>
              <w:spacing w:line="240" w:lineRule="auto" w:before="0" w:after="0"/>
              <w:pStyle w:val="Compact"/>
            </w:pPr>
            <w:r>
              <w:rPr>
                <w:sz w:val="20"/>
                <w:szCs w:val="20"/>
              </w:rPr>
              <w:t xml:space="preserve">5.46</w:t>
            </w:r>
          </w:p>
        </w:tc>
        <w:tc>
          <w:tcPr>
            <w:tcW w:w="0" w:type="auto"/>
          </w:tcPr>
          <w:p>
            <w:pPr>
              <w:spacing w:line="240" w:lineRule="auto" w:before="0" w:after="0"/>
              <w:pStyle w:val="Compact"/>
            </w:pPr>
            <w:r>
              <w:rPr>
                <w:sz w:val="20"/>
                <w:szCs w:val="20"/>
              </w:rPr>
              <w:t xml:space="preserve">GAO-23-106021 NASA Assessment of Major Projects (CLPS, HLS, Gateway tracked); BryceTech Start-Up Space 2024; FRED TB3MS 2023Q3</w:t>
            </w:r>
          </w:p>
        </w:tc>
      </w:tr>
      <w:tr>
        <w:tc>
          <w:tcPr>
            <w:tcW w:w="0" w:type="auto"/>
          </w:tcPr>
          <w:p>
            <w:pPr>
              <w:spacing w:line="240" w:lineRule="auto" w:before="0" w:after="0"/>
              <w:pStyle w:val="Compact"/>
            </w:pPr>
            <w:r>
              <w:rPr>
                <w:sz w:val="20"/>
                <w:szCs w:val="20"/>
              </w:rPr>
              <w:t xml:space="preserve">2023Q4</w:t>
            </w:r>
          </w:p>
        </w:tc>
        <w:tc>
          <w:tcPr>
            <w:tcW w:w="0" w:type="auto"/>
          </w:tcPr>
          <w:p>
            <w:pPr>
              <w:spacing w:line="240" w:lineRule="auto" w:before="0" w:after="0"/>
              <w:pStyle w:val="Compact"/>
            </w:pPr>
            <w:r>
              <w:rPr>
                <w:sz w:val="20"/>
                <w:szCs w:val="20"/>
              </w:rPr>
              <w:t xml:space="preserve">2754</w:t>
            </w:r>
          </w:p>
        </w:tc>
        <w:tc>
          <w:tcPr>
            <w:tcW w:w="0" w:type="auto"/>
          </w:tcPr>
          <w:p>
            <w:pPr>
              <w:spacing w:line="240" w:lineRule="auto" w:before="0" w:after="0"/>
              <w:pStyle w:val="Compact"/>
            </w:pPr>
            <w:r>
              <w:rPr>
                <w:sz w:val="20"/>
                <w:szCs w:val="20"/>
              </w:rPr>
              <w:t xml:space="preserve">2562</w:t>
            </w:r>
          </w:p>
        </w:tc>
        <w:tc>
          <w:tcPr>
            <w:tcW w:w="0" w:type="auto"/>
          </w:tcPr>
          <w:p>
            <w:pPr>
              <w:spacing w:line="240" w:lineRule="auto" w:before="0" w:after="0"/>
              <w:pStyle w:val="Compact"/>
            </w:pPr>
            <w:r>
              <w:rPr>
                <w:sz w:val="20"/>
                <w:szCs w:val="20"/>
              </w:rPr>
              <w:t xml:space="preserve">2378</w:t>
            </w:r>
          </w:p>
        </w:tc>
        <w:tc>
          <w:tcPr>
            <w:tcW w:w="0" w:type="auto"/>
          </w:tcPr>
          <w:p>
            <w:pPr>
              <w:spacing w:line="240" w:lineRule="auto" w:before="0" w:after="0"/>
              <w:pStyle w:val="Compact"/>
            </w:pPr>
            <w:r>
              <w:rPr>
                <w:sz w:val="20"/>
                <w:szCs w:val="20"/>
              </w:rPr>
              <w:t xml:space="preserve">2528</w:t>
            </w:r>
          </w:p>
        </w:tc>
        <w:tc>
          <w:tcPr>
            <w:tcW w:w="0" w:type="auto"/>
          </w:tcPr>
          <w:p>
            <w:pPr>
              <w:spacing w:line="240" w:lineRule="auto" w:before="0" w:after="0"/>
              <w:pStyle w:val="Compact"/>
            </w:pPr>
            <w:r>
              <w:rPr>
                <w:sz w:val="20"/>
                <w:szCs w:val="20"/>
              </w:rPr>
              <w:t xml:space="preserve">3710</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NASA HLS Appendix P Blue Origin $3.4B May 19 2023; BryceTech Start-Up Space 2024; FRED TB3MS 2023Q4</w:t>
            </w:r>
          </w:p>
        </w:tc>
      </w:tr>
      <w:tr>
        <w:tc>
          <w:tcPr>
            <w:tcW w:w="0" w:type="auto"/>
          </w:tcPr>
          <w:p>
            <w:pPr>
              <w:spacing w:line="240" w:lineRule="auto" w:before="0" w:after="0"/>
              <w:pStyle w:val="Compact"/>
            </w:pPr>
            <w:r>
              <w:rPr>
                <w:sz w:val="20"/>
                <w:szCs w:val="20"/>
              </w:rPr>
              <w:t xml:space="preserve">2024Q1</w:t>
            </w:r>
          </w:p>
        </w:tc>
        <w:tc>
          <w:tcPr>
            <w:tcW w:w="0" w:type="auto"/>
          </w:tcPr>
          <w:p>
            <w:pPr>
              <w:spacing w:line="240" w:lineRule="auto" w:before="0" w:after="0"/>
              <w:pStyle w:val="Compact"/>
            </w:pPr>
            <w:r>
              <w:rPr>
                <w:sz w:val="20"/>
                <w:szCs w:val="20"/>
              </w:rPr>
              <w:t xml:space="preserve">2948</w:t>
            </w:r>
          </w:p>
        </w:tc>
        <w:tc>
          <w:tcPr>
            <w:tcW w:w="0" w:type="auto"/>
          </w:tcPr>
          <w:p>
            <w:pPr>
              <w:spacing w:line="240" w:lineRule="auto" w:before="0" w:after="0"/>
              <w:pStyle w:val="Compact"/>
            </w:pPr>
            <w:r>
              <w:rPr>
                <w:sz w:val="20"/>
                <w:szCs w:val="20"/>
              </w:rPr>
              <w:t xml:space="preserve">2754</w:t>
            </w:r>
          </w:p>
        </w:tc>
        <w:tc>
          <w:tcPr>
            <w:tcW w:w="0" w:type="auto"/>
          </w:tcPr>
          <w:p>
            <w:pPr>
              <w:spacing w:line="240" w:lineRule="auto" w:before="0" w:after="0"/>
              <w:pStyle w:val="Compact"/>
            </w:pPr>
            <w:r>
              <w:rPr>
                <w:sz w:val="20"/>
                <w:szCs w:val="20"/>
              </w:rPr>
              <w:t xml:space="preserve">2562</w:t>
            </w:r>
          </w:p>
        </w:tc>
        <w:tc>
          <w:tcPr>
            <w:tcW w:w="0" w:type="auto"/>
          </w:tcPr>
          <w:p>
            <w:pPr>
              <w:spacing w:line="240" w:lineRule="auto" w:before="0" w:after="0"/>
              <w:pStyle w:val="Compact"/>
            </w:pPr>
            <w:r>
              <w:rPr>
                <w:sz w:val="20"/>
                <w:szCs w:val="20"/>
              </w:rPr>
              <w:t xml:space="preserve">2725</w:t>
            </w:r>
          </w:p>
        </w:tc>
        <w:tc>
          <w:tcPr>
            <w:tcW w:w="0" w:type="auto"/>
          </w:tcPr>
          <w:p>
            <w:pPr>
              <w:spacing w:line="240" w:lineRule="auto" w:before="0" w:after="0"/>
              <w:pStyle w:val="Compact"/>
            </w:pPr>
            <w:r>
              <w:rPr>
                <w:sz w:val="20"/>
                <w:szCs w:val="20"/>
              </w:rPr>
              <w:t xml:space="preserve">3860</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GAO-24-106767 NASA Major-Project Assessment (CLPS, HLS Sustaining); BryceTech Start-Up Space 2025; FRED TB3MS 2024Q1</w:t>
            </w:r>
          </w:p>
        </w:tc>
      </w:tr>
      <w:tr>
        <w:tc>
          <w:tcPr>
            <w:tcW w:w="0" w:type="auto"/>
          </w:tcPr>
          <w:p>
            <w:pPr>
              <w:spacing w:line="240" w:lineRule="auto" w:before="0" w:after="0"/>
              <w:pStyle w:val="Compact"/>
            </w:pPr>
            <w:r>
              <w:rPr>
                <w:sz w:val="20"/>
                <w:szCs w:val="20"/>
              </w:rPr>
              <w:t xml:space="preserve">2024Q2</w:t>
            </w:r>
          </w:p>
        </w:tc>
        <w:tc>
          <w:tcPr>
            <w:tcW w:w="0" w:type="auto"/>
          </w:tcPr>
          <w:p>
            <w:pPr>
              <w:spacing w:line="240" w:lineRule="auto" w:before="0" w:after="0"/>
              <w:pStyle w:val="Compact"/>
            </w:pPr>
            <w:r>
              <w:rPr>
                <w:sz w:val="20"/>
                <w:szCs w:val="20"/>
              </w:rPr>
              <w:t xml:space="preserve">3142</w:t>
            </w:r>
          </w:p>
        </w:tc>
        <w:tc>
          <w:tcPr>
            <w:tcW w:w="0" w:type="auto"/>
          </w:tcPr>
          <w:p>
            <w:pPr>
              <w:spacing w:line="240" w:lineRule="auto" w:before="0" w:after="0"/>
              <w:pStyle w:val="Compact"/>
            </w:pPr>
            <w:r>
              <w:rPr>
                <w:sz w:val="20"/>
                <w:szCs w:val="20"/>
              </w:rPr>
              <w:t xml:space="preserve">2948</w:t>
            </w:r>
          </w:p>
        </w:tc>
        <w:tc>
          <w:tcPr>
            <w:tcW w:w="0" w:type="auto"/>
          </w:tcPr>
          <w:p>
            <w:pPr>
              <w:spacing w:line="240" w:lineRule="auto" w:before="0" w:after="0"/>
              <w:pStyle w:val="Compact"/>
            </w:pPr>
            <w:r>
              <w:rPr>
                <w:sz w:val="20"/>
                <w:szCs w:val="20"/>
              </w:rPr>
              <w:t xml:space="preserve">2754</w:t>
            </w:r>
          </w:p>
        </w:tc>
        <w:tc>
          <w:tcPr>
            <w:tcW w:w="0" w:type="auto"/>
          </w:tcPr>
          <w:p>
            <w:pPr>
              <w:spacing w:line="240" w:lineRule="auto" w:before="0" w:after="0"/>
              <w:pStyle w:val="Compact"/>
            </w:pPr>
            <w:r>
              <w:rPr>
                <w:sz w:val="20"/>
                <w:szCs w:val="20"/>
              </w:rPr>
              <w:t xml:space="preserve">2928</w:t>
            </w:r>
          </w:p>
        </w:tc>
        <w:tc>
          <w:tcPr>
            <w:tcW w:w="0" w:type="auto"/>
          </w:tcPr>
          <w:p>
            <w:pPr>
              <w:spacing w:line="240" w:lineRule="auto" w:before="0" w:after="0"/>
              <w:pStyle w:val="Compact"/>
            </w:pPr>
            <w:r>
              <w:rPr>
                <w:sz w:val="20"/>
                <w:szCs w:val="20"/>
              </w:rPr>
              <w:t xml:space="preserve">4010</w:t>
            </w:r>
          </w:p>
        </w:tc>
        <w:tc>
          <w:tcPr>
            <w:tcW w:w="0" w:type="auto"/>
          </w:tcPr>
          <w:p>
            <w:pPr>
              <w:spacing w:line="240" w:lineRule="auto" w:before="0" w:after="0"/>
              <w:pStyle w:val="Compact"/>
            </w:pPr>
            <w:r>
              <w:rPr>
                <w:sz w:val="20"/>
                <w:szCs w:val="20"/>
              </w:rPr>
              <w:t xml:space="preserve">5.39</w:t>
            </w:r>
          </w:p>
        </w:tc>
        <w:tc>
          <w:tcPr>
            <w:tcW w:w="0" w:type="auto"/>
          </w:tcPr>
          <w:p>
            <w:pPr>
              <w:spacing w:line="240" w:lineRule="auto" w:before="0" w:after="0"/>
              <w:pStyle w:val="Compact"/>
            </w:pPr>
            <w:r>
              <w:rPr>
                <w:sz w:val="20"/>
                <w:szCs w:val="20"/>
              </w:rPr>
              <w:t xml:space="preserve">NASA Lunar Terrain Vehicle Services Awards Apr 3 2024 (Intuitive Machines, Lunar Outpost, Venturi Astrolab); BryceTech Start-Up Space 2025; FRED TB3MS 2024Q2</w:t>
            </w:r>
          </w:p>
        </w:tc>
      </w:tr>
      <w:tr>
        <w:tc>
          <w:tcPr>
            <w:tcW w:w="0" w:type="auto"/>
          </w:tcPr>
          <w:p>
            <w:pPr>
              <w:spacing w:line="240" w:lineRule="auto" w:before="0" w:after="0"/>
              <w:pStyle w:val="Compact"/>
            </w:pPr>
            <w:r>
              <w:rPr>
                <w:sz w:val="20"/>
                <w:szCs w:val="20"/>
              </w:rPr>
              <w:t xml:space="preserve">2024Q3</w:t>
            </w:r>
          </w:p>
        </w:tc>
        <w:tc>
          <w:tcPr>
            <w:tcW w:w="0" w:type="auto"/>
          </w:tcPr>
          <w:p>
            <w:pPr>
              <w:spacing w:line="240" w:lineRule="auto" w:before="0" w:after="0"/>
              <w:pStyle w:val="Compact"/>
            </w:pPr>
            <w:r>
              <w:rPr>
                <w:sz w:val="20"/>
                <w:szCs w:val="20"/>
              </w:rPr>
              <w:t xml:space="preserve">3336</w:t>
            </w:r>
          </w:p>
        </w:tc>
        <w:tc>
          <w:tcPr>
            <w:tcW w:w="0" w:type="auto"/>
          </w:tcPr>
          <w:p>
            <w:pPr>
              <w:spacing w:line="240" w:lineRule="auto" w:before="0" w:after="0"/>
              <w:pStyle w:val="Compact"/>
            </w:pPr>
            <w:r>
              <w:rPr>
                <w:sz w:val="20"/>
                <w:szCs w:val="20"/>
              </w:rPr>
              <w:t xml:space="preserve">3142</w:t>
            </w:r>
          </w:p>
        </w:tc>
        <w:tc>
          <w:tcPr>
            <w:tcW w:w="0" w:type="auto"/>
          </w:tcPr>
          <w:p>
            <w:pPr>
              <w:spacing w:line="240" w:lineRule="auto" w:before="0" w:after="0"/>
              <w:pStyle w:val="Compact"/>
            </w:pPr>
            <w:r>
              <w:rPr>
                <w:sz w:val="20"/>
                <w:szCs w:val="20"/>
              </w:rPr>
              <w:t xml:space="preserve">2948</w:t>
            </w:r>
          </w:p>
        </w:tc>
        <w:tc>
          <w:tcPr>
            <w:tcW w:w="0" w:type="auto"/>
          </w:tcPr>
          <w:p>
            <w:pPr>
              <w:spacing w:line="240" w:lineRule="auto" w:before="0" w:after="0"/>
              <w:pStyle w:val="Compact"/>
            </w:pPr>
            <w:r>
              <w:rPr>
                <w:sz w:val="20"/>
                <w:szCs w:val="20"/>
              </w:rPr>
              <w:t xml:space="preserve">3132</w:t>
            </w:r>
          </w:p>
        </w:tc>
        <w:tc>
          <w:tcPr>
            <w:tcW w:w="0" w:type="auto"/>
          </w:tcPr>
          <w:p>
            <w:pPr>
              <w:spacing w:line="240" w:lineRule="auto" w:before="0" w:after="0"/>
              <w:pStyle w:val="Compact"/>
            </w:pPr>
            <w:r>
              <w:rPr>
                <w:sz w:val="20"/>
                <w:szCs w:val="20"/>
              </w:rPr>
              <w:t xml:space="preserve">4150</w:t>
            </w:r>
          </w:p>
        </w:tc>
        <w:tc>
          <w:tcPr>
            <w:tcW w:w="0" w:type="auto"/>
          </w:tcPr>
          <w:p>
            <w:pPr>
              <w:spacing w:line="240" w:lineRule="auto" w:before="0" w:after="0"/>
              <w:pStyle w:val="Compact"/>
            </w:pPr>
            <w:r>
              <w:rPr>
                <w:sz w:val="20"/>
                <w:szCs w:val="20"/>
              </w:rPr>
              <w:t xml:space="preserve">5.05</w:t>
            </w:r>
          </w:p>
        </w:tc>
        <w:tc>
          <w:tcPr>
            <w:tcW w:w="0" w:type="auto"/>
          </w:tcPr>
          <w:p>
            <w:pPr>
              <w:spacing w:line="240" w:lineRule="auto" w:before="0" w:after="0"/>
              <w:pStyle w:val="Compact"/>
            </w:pPr>
            <w:r>
              <w:rPr>
                <w:sz w:val="20"/>
                <w:szCs w:val="20"/>
              </w:rPr>
              <w:t xml:space="preserve">NASA CLPS TO19D IM-3 award Mar 2024; BryceTech Start-Up Space 2025; FRED TB3MS 2024Q3</w:t>
            </w:r>
          </w:p>
        </w:tc>
      </w:tr>
      <w:tr>
        <w:tc>
          <w:tcPr>
            <w:tcW w:w="0" w:type="auto"/>
          </w:tcPr>
          <w:p>
            <w:pPr>
              <w:spacing w:line="240" w:lineRule="auto" w:before="0" w:after="0"/>
              <w:pStyle w:val="Compact"/>
            </w:pPr>
            <w:r>
              <w:rPr>
                <w:sz w:val="20"/>
                <w:szCs w:val="20"/>
              </w:rPr>
              <w:t xml:space="preserve">2024Q4</w:t>
            </w:r>
          </w:p>
        </w:tc>
        <w:tc>
          <w:tcPr>
            <w:tcW w:w="0" w:type="auto"/>
          </w:tcPr>
          <w:p>
            <w:pPr>
              <w:spacing w:line="240" w:lineRule="auto" w:before="0" w:after="0"/>
              <w:pStyle w:val="Compact"/>
            </w:pPr>
            <w:r>
              <w:rPr>
                <w:sz w:val="20"/>
                <w:szCs w:val="20"/>
              </w:rPr>
              <w:t xml:space="preserve">3528</w:t>
            </w:r>
          </w:p>
        </w:tc>
        <w:tc>
          <w:tcPr>
            <w:tcW w:w="0" w:type="auto"/>
          </w:tcPr>
          <w:p>
            <w:pPr>
              <w:spacing w:line="240" w:lineRule="auto" w:before="0" w:after="0"/>
              <w:pStyle w:val="Compact"/>
            </w:pPr>
            <w:r>
              <w:rPr>
                <w:sz w:val="20"/>
                <w:szCs w:val="20"/>
              </w:rPr>
              <w:t xml:space="preserve">3336</w:t>
            </w:r>
          </w:p>
        </w:tc>
        <w:tc>
          <w:tcPr>
            <w:tcW w:w="0" w:type="auto"/>
          </w:tcPr>
          <w:p>
            <w:pPr>
              <w:spacing w:line="240" w:lineRule="auto" w:before="0" w:after="0"/>
              <w:pStyle w:val="Compact"/>
            </w:pPr>
            <w:r>
              <w:rPr>
                <w:sz w:val="20"/>
                <w:szCs w:val="20"/>
              </w:rPr>
              <w:t xml:space="preserve">3142</w:t>
            </w:r>
          </w:p>
        </w:tc>
        <w:tc>
          <w:tcPr>
            <w:tcW w:w="0" w:type="auto"/>
          </w:tcPr>
          <w:p>
            <w:pPr>
              <w:spacing w:line="240" w:lineRule="auto" w:before="0" w:after="0"/>
              <w:pStyle w:val="Compact"/>
            </w:pPr>
            <w:r>
              <w:rPr>
                <w:sz w:val="20"/>
                <w:szCs w:val="20"/>
              </w:rPr>
              <w:t xml:space="preserve">3338</w:t>
            </w:r>
          </w:p>
        </w:tc>
        <w:tc>
          <w:tcPr>
            <w:tcW w:w="0" w:type="auto"/>
          </w:tcPr>
          <w:p>
            <w:pPr>
              <w:spacing w:line="240" w:lineRule="auto" w:before="0" w:after="0"/>
              <w:pStyle w:val="Compact"/>
            </w:pPr>
            <w:r>
              <w:rPr>
                <w:sz w:val="20"/>
                <w:szCs w:val="20"/>
              </w:rPr>
              <w:t xml:space="preserve">4290</w:t>
            </w:r>
          </w:p>
        </w:tc>
        <w:tc>
          <w:tcPr>
            <w:tcW w:w="0" w:type="auto"/>
          </w:tcPr>
          <w:p>
            <w:pPr>
              <w:spacing w:line="240" w:lineRule="auto" w:before="0" w:after="0"/>
              <w:pStyle w:val="Compact"/>
            </w:pPr>
            <w:r>
              <w:rPr>
                <w:sz w:val="20"/>
                <w:szCs w:val="20"/>
              </w:rPr>
              <w:t xml:space="preserve">4.43</w:t>
            </w:r>
          </w:p>
        </w:tc>
        <w:tc>
          <w:tcPr>
            <w:tcW w:w="0" w:type="auto"/>
          </w:tcPr>
          <w:p>
            <w:pPr>
              <w:spacing w:line="240" w:lineRule="auto" w:before="0" w:after="0"/>
              <w:pStyle w:val="Compact"/>
            </w:pPr>
            <w:r>
              <w:rPr>
                <w:sz w:val="20"/>
                <w:szCs w:val="20"/>
              </w:rPr>
              <w:t xml:space="preserve">NASA FY2025 Appropriations; BryceTech Start-Up Space 2025; FRED TB3MS 2024Q4</w:t>
            </w:r>
          </w:p>
        </w:tc>
      </w:tr>
      <w:tr>
        <w:tc>
          <w:tcPr>
            <w:tcW w:w="0" w:type="auto"/>
          </w:tcPr>
          <w:p>
            <w:pPr>
              <w:spacing w:line="240" w:lineRule="auto" w:before="0" w:after="0"/>
              <w:pStyle w:val="Compact"/>
            </w:pPr>
            <w:r>
              <w:rPr>
                <w:sz w:val="20"/>
                <w:szCs w:val="20"/>
              </w:rPr>
              <w:t xml:space="preserve">2025Q1</w:t>
            </w:r>
          </w:p>
        </w:tc>
        <w:tc>
          <w:tcPr>
            <w:tcW w:w="0" w:type="auto"/>
          </w:tcPr>
          <w:p>
            <w:pPr>
              <w:spacing w:line="240" w:lineRule="auto" w:before="0" w:after="0"/>
              <w:pStyle w:val="Compact"/>
            </w:pPr>
            <w:r>
              <w:rPr>
                <w:sz w:val="20"/>
                <w:szCs w:val="20"/>
              </w:rPr>
              <w:t xml:space="preserve">3718</w:t>
            </w:r>
          </w:p>
        </w:tc>
        <w:tc>
          <w:tcPr>
            <w:tcW w:w="0" w:type="auto"/>
          </w:tcPr>
          <w:p>
            <w:pPr>
              <w:spacing w:line="240" w:lineRule="auto" w:before="0" w:after="0"/>
              <w:pStyle w:val="Compact"/>
            </w:pPr>
            <w:r>
              <w:rPr>
                <w:sz w:val="20"/>
                <w:szCs w:val="20"/>
              </w:rPr>
              <w:t xml:space="preserve">3528</w:t>
            </w:r>
          </w:p>
        </w:tc>
        <w:tc>
          <w:tcPr>
            <w:tcW w:w="0" w:type="auto"/>
          </w:tcPr>
          <w:p>
            <w:pPr>
              <w:spacing w:line="240" w:lineRule="auto" w:before="0" w:after="0"/>
              <w:pStyle w:val="Compact"/>
            </w:pPr>
            <w:r>
              <w:rPr>
                <w:sz w:val="20"/>
                <w:szCs w:val="20"/>
              </w:rPr>
              <w:t xml:space="preserve">3336</w:t>
            </w:r>
          </w:p>
        </w:tc>
        <w:tc>
          <w:tcPr>
            <w:tcW w:w="0" w:type="auto"/>
          </w:tcPr>
          <w:p>
            <w:pPr>
              <w:spacing w:line="240" w:lineRule="auto" w:before="0" w:after="0"/>
              <w:pStyle w:val="Compact"/>
            </w:pPr>
            <w:r>
              <w:rPr>
                <w:sz w:val="20"/>
                <w:szCs w:val="20"/>
              </w:rPr>
              <w:t xml:space="preserve">3548</w:t>
            </w:r>
          </w:p>
        </w:tc>
        <w:tc>
          <w:tcPr>
            <w:tcW w:w="0" w:type="auto"/>
          </w:tcPr>
          <w:p>
            <w:pPr>
              <w:spacing w:line="240" w:lineRule="auto" w:before="0" w:after="0"/>
              <w:pStyle w:val="Compact"/>
            </w:pPr>
            <w:r>
              <w:rPr>
                <w:sz w:val="20"/>
                <w:szCs w:val="20"/>
              </w:rPr>
              <w:t xml:space="preserve">4420</w:t>
            </w:r>
          </w:p>
        </w:tc>
        <w:tc>
          <w:tcPr>
            <w:tcW w:w="0" w:type="auto"/>
          </w:tcPr>
          <w:p>
            <w:pPr>
              <w:spacing w:line="240" w:lineRule="auto" w:before="0" w:after="0"/>
              <w:pStyle w:val="Compact"/>
            </w:pPr>
            <w:r>
              <w:rPr>
                <w:sz w:val="20"/>
                <w:szCs w:val="20"/>
              </w:rPr>
              <w:t xml:space="preserve">4.32</w:t>
            </w:r>
          </w:p>
        </w:tc>
        <w:tc>
          <w:tcPr>
            <w:tcW w:w="0" w:type="auto"/>
          </w:tcPr>
          <w:p>
            <w:pPr>
              <w:spacing w:line="240" w:lineRule="auto" w:before="0" w:after="0"/>
              <w:pStyle w:val="Compact"/>
            </w:pPr>
            <w:r>
              <w:rPr>
                <w:sz w:val="20"/>
                <w:szCs w:val="20"/>
              </w:rPr>
              <w:t xml:space="preserve">GAO-25-107591 NASA Major-Project Assessment Jun 2025; BryceTech Start-Up Space 2026 [illustrative quarterly split]; FRED TB3MS 2025Q1</w:t>
            </w:r>
          </w:p>
        </w:tc>
      </w:tr>
      <w:tr>
        <w:tc>
          <w:tcPr>
            <w:tcW w:w="0" w:type="auto"/>
          </w:tcPr>
          <w:p>
            <w:pPr>
              <w:spacing w:line="240" w:lineRule="auto" w:before="0" w:after="0"/>
              <w:pStyle w:val="Compact"/>
            </w:pPr>
            <w:r>
              <w:rPr>
                <w:sz w:val="20"/>
                <w:szCs w:val="20"/>
              </w:rPr>
              <w:t xml:space="preserve">2025Q2</w:t>
            </w:r>
          </w:p>
        </w:tc>
        <w:tc>
          <w:tcPr>
            <w:tcW w:w="0" w:type="auto"/>
          </w:tcPr>
          <w:p>
            <w:pPr>
              <w:spacing w:line="240" w:lineRule="auto" w:before="0" w:after="0"/>
              <w:pStyle w:val="Compact"/>
            </w:pPr>
            <w:r>
              <w:rPr>
                <w:sz w:val="20"/>
                <w:szCs w:val="20"/>
              </w:rPr>
              <w:t xml:space="preserve">3906</w:t>
            </w:r>
          </w:p>
        </w:tc>
        <w:tc>
          <w:tcPr>
            <w:tcW w:w="0" w:type="auto"/>
          </w:tcPr>
          <w:p>
            <w:pPr>
              <w:spacing w:line="240" w:lineRule="auto" w:before="0" w:after="0"/>
              <w:pStyle w:val="Compact"/>
            </w:pPr>
            <w:r>
              <w:rPr>
                <w:sz w:val="20"/>
                <w:szCs w:val="20"/>
              </w:rPr>
              <w:t xml:space="preserve">3718</w:t>
            </w:r>
          </w:p>
        </w:tc>
        <w:tc>
          <w:tcPr>
            <w:tcW w:w="0" w:type="auto"/>
          </w:tcPr>
          <w:p>
            <w:pPr>
              <w:spacing w:line="240" w:lineRule="auto" w:before="0" w:after="0"/>
              <w:pStyle w:val="Compact"/>
            </w:pPr>
            <w:r>
              <w:rPr>
                <w:sz w:val="20"/>
                <w:szCs w:val="20"/>
              </w:rPr>
              <w:t xml:space="preserve">3528</w:t>
            </w:r>
          </w:p>
        </w:tc>
        <w:tc>
          <w:tcPr>
            <w:tcW w:w="0" w:type="auto"/>
          </w:tcPr>
          <w:p>
            <w:pPr>
              <w:spacing w:line="240" w:lineRule="auto" w:before="0" w:after="0"/>
              <w:pStyle w:val="Compact"/>
            </w:pPr>
            <w:r>
              <w:rPr>
                <w:sz w:val="20"/>
                <w:szCs w:val="20"/>
              </w:rPr>
              <w:t xml:space="preserve">3756</w:t>
            </w:r>
          </w:p>
        </w:tc>
        <w:tc>
          <w:tcPr>
            <w:tcW w:w="0" w:type="auto"/>
          </w:tcPr>
          <w:p>
            <w:pPr>
              <w:spacing w:line="240" w:lineRule="auto" w:before="0" w:after="0"/>
              <w:pStyle w:val="Compact"/>
            </w:pPr>
            <w:r>
              <w:rPr>
                <w:sz w:val="20"/>
                <w:szCs w:val="20"/>
              </w:rPr>
              <w:t xml:space="preserve">4548</w:t>
            </w:r>
          </w:p>
        </w:tc>
        <w:tc>
          <w:tcPr>
            <w:tcW w:w="0" w:type="auto"/>
          </w:tcPr>
          <w:p>
            <w:pPr>
              <w:spacing w:line="240" w:lineRule="auto" w:before="0" w:after="0"/>
              <w:pStyle w:val="Compact"/>
            </w:pPr>
            <w:r>
              <w:rPr>
                <w:sz w:val="20"/>
                <w:szCs w:val="20"/>
              </w:rPr>
              <w:t xml:space="preserve">4.31</w:t>
            </w:r>
          </w:p>
        </w:tc>
        <w:tc>
          <w:tcPr>
            <w:tcW w:w="0" w:type="auto"/>
          </w:tcPr>
          <w:p>
            <w:pPr>
              <w:spacing w:line="240" w:lineRule="auto" w:before="0" w:after="0"/>
              <w:pStyle w:val="Compact"/>
            </w:pPr>
            <w:r>
              <w:rPr>
                <w:sz w:val="20"/>
                <w:szCs w:val="20"/>
              </w:rPr>
              <w:t xml:space="preserve">GAO-25-107591 NASA Major-Project Assessment Jun 2025; BryceTech Start-Up Space 2026 [illustrative]; FRED TB3MS 2025Q2</w:t>
            </w:r>
          </w:p>
        </w:tc>
      </w:tr>
      <w:tr>
        <w:tc>
          <w:tcPr>
            <w:tcW w:w="0" w:type="auto"/>
          </w:tcPr>
          <w:p>
            <w:pPr>
              <w:spacing w:line="240" w:lineRule="auto" w:before="0" w:after="0"/>
              <w:pStyle w:val="Compact"/>
            </w:pPr>
            <w:r>
              <w:rPr>
                <w:sz w:val="20"/>
                <w:szCs w:val="20"/>
              </w:rPr>
              <w:t xml:space="preserve">2025Q3</w:t>
            </w:r>
          </w:p>
        </w:tc>
        <w:tc>
          <w:tcPr>
            <w:tcW w:w="0" w:type="auto"/>
          </w:tcPr>
          <w:p>
            <w:pPr>
              <w:spacing w:line="240" w:lineRule="auto" w:before="0" w:after="0"/>
              <w:pStyle w:val="Compact"/>
            </w:pPr>
            <w:r>
              <w:rPr>
                <w:sz w:val="20"/>
                <w:szCs w:val="20"/>
              </w:rPr>
              <w:t xml:space="preserve">4090</w:t>
            </w:r>
          </w:p>
        </w:tc>
        <w:tc>
          <w:tcPr>
            <w:tcW w:w="0" w:type="auto"/>
          </w:tcPr>
          <w:p>
            <w:pPr>
              <w:spacing w:line="240" w:lineRule="auto" w:before="0" w:after="0"/>
              <w:pStyle w:val="Compact"/>
            </w:pPr>
            <w:r>
              <w:rPr>
                <w:sz w:val="20"/>
                <w:szCs w:val="20"/>
              </w:rPr>
              <w:t xml:space="preserve">3906</w:t>
            </w:r>
          </w:p>
        </w:tc>
        <w:tc>
          <w:tcPr>
            <w:tcW w:w="0" w:type="auto"/>
          </w:tcPr>
          <w:p>
            <w:pPr>
              <w:spacing w:line="240" w:lineRule="auto" w:before="0" w:after="0"/>
              <w:pStyle w:val="Compact"/>
            </w:pPr>
            <w:r>
              <w:rPr>
                <w:sz w:val="20"/>
                <w:szCs w:val="20"/>
              </w:rPr>
              <w:t xml:space="preserve">3718</w:t>
            </w:r>
          </w:p>
        </w:tc>
        <w:tc>
          <w:tcPr>
            <w:tcW w:w="0" w:type="auto"/>
          </w:tcPr>
          <w:p>
            <w:pPr>
              <w:spacing w:line="240" w:lineRule="auto" w:before="0" w:after="0"/>
              <w:pStyle w:val="Compact"/>
            </w:pPr>
            <w:r>
              <w:rPr>
                <w:sz w:val="20"/>
                <w:szCs w:val="20"/>
              </w:rPr>
              <w:t xml:space="preserve">3962</w:t>
            </w:r>
          </w:p>
        </w:tc>
        <w:tc>
          <w:tcPr>
            <w:tcW w:w="0" w:type="auto"/>
          </w:tcPr>
          <w:p>
            <w:pPr>
              <w:spacing w:line="240" w:lineRule="auto" w:before="0" w:after="0"/>
              <w:pStyle w:val="Compact"/>
            </w:pPr>
            <w:r>
              <w:rPr>
                <w:sz w:val="20"/>
                <w:szCs w:val="20"/>
              </w:rPr>
              <w:t xml:space="preserve">4672</w:t>
            </w:r>
          </w:p>
        </w:tc>
        <w:tc>
          <w:tcPr>
            <w:tcW w:w="0" w:type="auto"/>
          </w:tcPr>
          <w:p>
            <w:pPr>
              <w:spacing w:line="240" w:lineRule="auto" w:before="0" w:after="0"/>
              <w:pStyle w:val="Compact"/>
            </w:pPr>
            <w:r>
              <w:rPr>
                <w:sz w:val="20"/>
                <w:szCs w:val="20"/>
              </w:rPr>
              <w:t xml:space="preserve">4.24</w:t>
            </w:r>
          </w:p>
        </w:tc>
        <w:tc>
          <w:tcPr>
            <w:tcW w:w="0" w:type="auto"/>
          </w:tcPr>
          <w:p>
            <w:pPr>
              <w:spacing w:line="240" w:lineRule="auto" w:before="0" w:after="0"/>
              <w:pStyle w:val="Compact"/>
            </w:pPr>
            <w:r>
              <w:rPr>
                <w:sz w:val="20"/>
                <w:szCs w:val="20"/>
              </w:rPr>
              <w:t xml:space="preserve">GAO-25-107591 NASA Major-Project Assessment Jun 2025; BryceTech Start-Up Space 2026 [illustrative]; FRED TB3MS 2025Q3</w:t>
            </w:r>
          </w:p>
        </w:tc>
      </w:tr>
      <w:tr>
        <w:tc>
          <w:tcPr>
            <w:tcW w:w="0" w:type="auto"/>
          </w:tcPr>
          <w:p>
            <w:pPr>
              <w:spacing w:line="240" w:lineRule="auto" w:before="0" w:after="0"/>
              <w:pStyle w:val="Compact"/>
            </w:pPr>
            <w:r>
              <w:rPr>
                <w:sz w:val="20"/>
                <w:szCs w:val="20"/>
              </w:rPr>
              <w:t xml:space="preserve">2025Q4</w:t>
            </w:r>
          </w:p>
        </w:tc>
        <w:tc>
          <w:tcPr>
            <w:tcW w:w="0" w:type="auto"/>
          </w:tcPr>
          <w:p>
            <w:pPr>
              <w:spacing w:line="240" w:lineRule="auto" w:before="0" w:after="0"/>
              <w:pStyle w:val="Compact"/>
            </w:pPr>
            <w:r>
              <w:rPr>
                <w:sz w:val="20"/>
                <w:szCs w:val="20"/>
              </w:rPr>
              <w:t xml:space="preserve">4272</w:t>
            </w:r>
          </w:p>
        </w:tc>
        <w:tc>
          <w:tcPr>
            <w:tcW w:w="0" w:type="auto"/>
          </w:tcPr>
          <w:p>
            <w:pPr>
              <w:spacing w:line="240" w:lineRule="auto" w:before="0" w:after="0"/>
              <w:pStyle w:val="Compact"/>
            </w:pPr>
            <w:r>
              <w:rPr>
                <w:sz w:val="20"/>
                <w:szCs w:val="20"/>
              </w:rPr>
              <w:t xml:space="preserve">4090</w:t>
            </w:r>
          </w:p>
        </w:tc>
        <w:tc>
          <w:tcPr>
            <w:tcW w:w="0" w:type="auto"/>
          </w:tcPr>
          <w:p>
            <w:pPr>
              <w:spacing w:line="240" w:lineRule="auto" w:before="0" w:after="0"/>
              <w:pStyle w:val="Compact"/>
            </w:pPr>
            <w:r>
              <w:rPr>
                <w:sz w:val="20"/>
                <w:szCs w:val="20"/>
              </w:rPr>
              <w:t xml:space="preserve">3906</w:t>
            </w:r>
          </w:p>
        </w:tc>
        <w:tc>
          <w:tcPr>
            <w:tcW w:w="0" w:type="auto"/>
          </w:tcPr>
          <w:p>
            <w:pPr>
              <w:spacing w:line="240" w:lineRule="auto" w:before="0" w:after="0"/>
              <w:pStyle w:val="Compact"/>
            </w:pPr>
            <w:r>
              <w:rPr>
                <w:sz w:val="20"/>
                <w:szCs w:val="20"/>
              </w:rPr>
              <w:t xml:space="preserve">4168</w:t>
            </w:r>
          </w:p>
        </w:tc>
        <w:tc>
          <w:tcPr>
            <w:tcW w:w="0" w:type="auto"/>
          </w:tcPr>
          <w:p>
            <w:pPr>
              <w:spacing w:line="240" w:lineRule="auto" w:before="0" w:after="0"/>
              <w:pStyle w:val="Compact"/>
            </w:pPr>
            <w:r>
              <w:rPr>
                <w:sz w:val="20"/>
                <w:szCs w:val="20"/>
              </w:rPr>
              <w:t xml:space="preserve">4791</w:t>
            </w:r>
          </w:p>
        </w:tc>
        <w:tc>
          <w:tcPr>
            <w:tcW w:w="0" w:type="auto"/>
          </w:tcPr>
          <w:p>
            <w:pPr>
              <w:spacing w:line="240" w:lineRule="auto" w:before="0" w:after="0"/>
              <w:pStyle w:val="Compact"/>
            </w:pPr>
            <w:r>
              <w:rPr>
                <w:sz w:val="20"/>
                <w:szCs w:val="20"/>
              </w:rPr>
              <w:t xml:space="preserve">4.16</w:t>
            </w:r>
          </w:p>
        </w:tc>
        <w:tc>
          <w:tcPr>
            <w:tcW w:w="0" w:type="auto"/>
          </w:tcPr>
          <w:p>
            <w:pPr>
              <w:spacing w:line="240" w:lineRule="auto" w:before="0" w:after="0"/>
              <w:pStyle w:val="Compact"/>
            </w:pPr>
            <w:r>
              <w:rPr>
                <w:sz w:val="20"/>
                <w:szCs w:val="20"/>
              </w:rPr>
              <w:t xml:space="preserve">NASA FY2026 Budget Request; BryceTech Start-Up Space 2026 [illustrative]; FRED TB3MS 2025Q4</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priv_capital_musd</w:t>
            </w:r>
          </w:p>
        </w:tc>
        <w:tc>
          <w:tcPr>
            <w:tcW w:w="0" w:type="auto"/>
          </w:tcPr>
          <w:p>
            <w:pPr>
              <w:spacing w:line="240" w:lineRule="auto" w:before="0" w:after="0"/>
              <w:pStyle w:val="Compact"/>
            </w:pPr>
            <w:r>
              <w:rPr>
                <w:sz w:val="20"/>
                <w:szCs w:val="20"/>
              </w:rPr>
              <w:t xml:space="preserve">Quarterly private capital flows into cislunar-tagged firms, millions USD</w:t>
            </w:r>
          </w:p>
        </w:tc>
        <w:tc>
          <w:tcPr>
            <w:tcW w:w="0" w:type="auto"/>
          </w:tcPr>
          <w:p>
            <w:pPr>
              <w:spacing w:line="240" w:lineRule="auto" w:before="0" w:after="0"/>
              <w:pStyle w:val="Compact"/>
            </w:pPr>
            <w:r>
              <w:rPr>
                <w:sz w:val="20"/>
                <w:szCs w:val="20"/>
              </w:rPr>
              <w:t xml:space="preserve">BryceTech Start-Up Space annual reports 2016 to 2026, lunar-tagged subset</w:t>
            </w:r>
          </w:p>
        </w:tc>
      </w:tr>
      <w:tr>
        <w:tc>
          <w:tcPr>
            <w:tcW w:w="0" w:type="auto"/>
          </w:tcPr>
          <w:p>
            <w:pPr>
              <w:spacing w:line="240" w:lineRule="auto" w:before="0" w:after="0"/>
              <w:pStyle w:val="Compact"/>
            </w:pPr>
            <w:r>
              <w:rPr>
                <w:sz w:val="20"/>
                <w:szCs w:val="20"/>
              </w:rPr>
              <w:t xml:space="preserve">gov_oblig_lag1_musd</w:t>
            </w:r>
          </w:p>
        </w:tc>
        <w:tc>
          <w:tcPr>
            <w:tcW w:w="0" w:type="auto"/>
          </w:tcPr>
          <w:p>
            <w:pPr>
              <w:spacing w:line="240" w:lineRule="auto" w:before="0" w:after="0"/>
              <w:pStyle w:val="Compact"/>
            </w:pPr>
            <w:r>
              <w:rPr>
                <w:sz w:val="20"/>
                <w:szCs w:val="20"/>
              </w:rPr>
              <w:t xml:space="preserve">NASA lunar program obligations lagged one quarter, millions USD</w:t>
            </w:r>
          </w:p>
        </w:tc>
        <w:tc>
          <w:tcPr>
            <w:tcW w:w="0" w:type="auto"/>
          </w:tcPr>
          <w:p>
            <w:pPr>
              <w:spacing w:line="240" w:lineRule="auto" w:before="0" w:after="0"/>
              <w:pStyle w:val="Compact"/>
            </w:pPr>
            <w:r>
              <w:rPr>
                <w:sz w:val="20"/>
                <w:szCs w:val="20"/>
              </w:rPr>
              <w:t xml:space="preserve">NASA Congressional Justifications FY2015 to FY2026; GAO-23-106021, GAO-24-106767, GAO-25-107591</w:t>
            </w:r>
          </w:p>
        </w:tc>
      </w:tr>
      <w:tr>
        <w:tc>
          <w:tcPr>
            <w:tcW w:w="0" w:type="auto"/>
          </w:tcPr>
          <w:p>
            <w:pPr>
              <w:spacing w:line="240" w:lineRule="auto" w:before="0" w:after="0"/>
              <w:pStyle w:val="Compact"/>
            </w:pPr>
            <w:r>
              <w:rPr>
                <w:sz w:val="20"/>
                <w:szCs w:val="20"/>
              </w:rPr>
              <w:t xml:space="preserve">gov_oblig_lag2_musd</w:t>
            </w:r>
          </w:p>
        </w:tc>
        <w:tc>
          <w:tcPr>
            <w:tcW w:w="0" w:type="auto"/>
          </w:tcPr>
          <w:p>
            <w:pPr>
              <w:spacing w:line="240" w:lineRule="auto" w:before="0" w:after="0"/>
              <w:pStyle w:val="Compact"/>
            </w:pPr>
            <w:r>
              <w:rPr>
                <w:sz w:val="20"/>
                <w:szCs w:val="20"/>
              </w:rPr>
              <w:t xml:space="preserve">NASA lunar program obligations lagged two quarters, millions USD</w:t>
            </w:r>
          </w:p>
        </w:tc>
        <w:tc>
          <w:tcPr>
            <w:tcW w:w="0" w:type="auto"/>
          </w:tcPr>
          <w:p>
            <w:pPr>
              <w:spacing w:line="240" w:lineRule="auto" w:before="0" w:after="0"/>
              <w:pStyle w:val="Compact"/>
            </w:pPr>
            <w:r>
              <w:rPr>
                <w:sz w:val="20"/>
                <w:szCs w:val="20"/>
              </w:rPr>
              <w:t xml:space="preserve">Same NASA budget and GAO sources, lagged two quarters</w:t>
            </w:r>
          </w:p>
        </w:tc>
      </w:tr>
      <w:tr>
        <w:tc>
          <w:tcPr>
            <w:tcW w:w="0" w:type="auto"/>
          </w:tcPr>
          <w:p>
            <w:pPr>
              <w:spacing w:line="240" w:lineRule="auto" w:before="0" w:after="0"/>
              <w:pStyle w:val="Compact"/>
            </w:pPr>
            <w:r>
              <w:rPr>
                <w:sz w:val="20"/>
                <w:szCs w:val="20"/>
              </w:rPr>
              <w:t xml:space="preserve">nonlunar_space_capital_musd</w:t>
            </w:r>
          </w:p>
        </w:tc>
        <w:tc>
          <w:tcPr>
            <w:tcW w:w="0" w:type="auto"/>
          </w:tcPr>
          <w:p>
            <w:pPr>
              <w:spacing w:line="240" w:lineRule="auto" w:before="0" w:after="0"/>
              <w:pStyle w:val="Compact"/>
            </w:pPr>
            <w:r>
              <w:rPr>
                <w:sz w:val="20"/>
                <w:szCs w:val="20"/>
              </w:rPr>
              <w:t xml:space="preserve">Aggregate non-lunar commercial space capital, millions USD</w:t>
            </w:r>
          </w:p>
        </w:tc>
        <w:tc>
          <w:tcPr>
            <w:tcW w:w="0" w:type="auto"/>
          </w:tcPr>
          <w:p>
            <w:pPr>
              <w:spacing w:line="240" w:lineRule="auto" w:before="0" w:after="0"/>
              <w:pStyle w:val="Compact"/>
            </w:pPr>
            <w:r>
              <w:rPr>
                <w:sz w:val="20"/>
                <w:szCs w:val="20"/>
              </w:rPr>
              <w:t xml:space="preserve">BryceTech Start-Up Space totals minus lunar-tagged subset</w:t>
            </w:r>
          </w:p>
        </w:tc>
      </w:tr>
      <w:tr>
        <w:tc>
          <w:tcPr>
            <w:tcW w:w="0" w:type="auto"/>
          </w:tcPr>
          <w:p>
            <w:pPr>
              <w:spacing w:line="240" w:lineRule="auto" w:before="0" w:after="0"/>
              <w:pStyle w:val="Compact"/>
            </w:pPr>
            <w:r>
              <w:rPr>
                <w:sz w:val="20"/>
                <w:szCs w:val="20"/>
              </w:rPr>
              <w:t xml:space="preserve">tbill_3m_pct</w:t>
            </w:r>
          </w:p>
        </w:tc>
        <w:tc>
          <w:tcPr>
            <w:tcW w:w="0" w:type="auto"/>
          </w:tcPr>
          <w:p>
            <w:pPr>
              <w:spacing w:line="240" w:lineRule="auto" w:before="0" w:after="0"/>
              <w:pStyle w:val="Compact"/>
            </w:pPr>
            <w:r>
              <w:rPr>
                <w:sz w:val="20"/>
                <w:szCs w:val="20"/>
              </w:rPr>
              <w:t xml:space="preserve">Three-month Treasury bill secondary market rate, percent</w:t>
            </w:r>
          </w:p>
        </w:tc>
        <w:tc>
          <w:tcPr>
            <w:tcW w:w="0" w:type="auto"/>
          </w:tcPr>
          <w:p>
            <w:pPr>
              <w:spacing w:line="240" w:lineRule="auto" w:before="0" w:after="0"/>
              <w:pStyle w:val="Compact"/>
            </w:pPr>
            <w:r>
              <w:rPr>
                <w:sz w:val="20"/>
                <w:szCs w:val="20"/>
              </w:rPr>
              <w:t xml:space="preserve">FRED series TB3MS quarterly average</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24.1067</w:t>
            </w:r>
          </w:p>
        </w:tc>
        <w:tc>
          <w:tcPr>
            <w:tcW w:w="0" w:type="auto"/>
          </w:tcPr>
          <w:p>
            <w:pPr>
              <w:spacing w:line="240" w:lineRule="auto" w:before="0" w:after="0"/>
              <w:pStyle w:val="Compact"/>
            </w:pPr>
            <w:r>
              <w:rPr>
                <w:sz w:val="20"/>
                <w:szCs w:val="20"/>
              </w:rPr>
              <w:t xml:space="preserve">8.53</w:t>
            </w:r>
          </w:p>
        </w:tc>
        <w:tc>
          <w:tcPr>
            <w:tcW w:w="0" w:type="auto"/>
          </w:tcPr>
          <w:p>
            <w:pPr>
              <w:spacing w:line="240" w:lineRule="auto" w:before="0" w:after="0"/>
              <w:pStyle w:val="Compact"/>
            </w:pPr>
            <w:r>
              <w:rPr>
                <w:sz w:val="20"/>
                <w:szCs w:val="20"/>
              </w:rPr>
              <w:t xml:space="preserve">2.8261</w:t>
            </w:r>
          </w:p>
        </w:tc>
        <w:tc>
          <w:tcPr>
            <w:tcW w:w="0" w:type="auto"/>
          </w:tcPr>
          <w:p>
            <w:pPr>
              <w:spacing w:line="240" w:lineRule="auto" w:before="0" w:after="0"/>
              <w:pStyle w:val="Compact"/>
            </w:pPr>
            <w:r>
              <w:rPr>
                <w:sz w:val="20"/>
                <w:szCs w:val="20"/>
              </w:rPr>
              <w:t xml:space="preserve">0.0047</w:t>
            </w:r>
          </w:p>
        </w:tc>
        <w:tc>
          <w:tcPr>
            <w:tcW w:w="0" w:type="auto"/>
          </w:tcPr>
          <w:p>
            <w:pPr>
              <w:spacing w:line="240" w:lineRule="auto" w:before="0" w:after="0"/>
              <w:pStyle w:val="Compact"/>
            </w:pPr>
            <w:r>
              <w:rPr>
                <w:sz w:val="20"/>
                <w:szCs w:val="20"/>
              </w:rPr>
              <w:t xml:space="preserve">[7.3883, 40.8252]</w:t>
            </w:r>
          </w:p>
        </w:tc>
      </w:tr>
      <w:tr>
        <w:tc>
          <w:tcPr>
            <w:tcW w:w="0" w:type="auto"/>
          </w:tcPr>
          <w:p>
            <w:pPr>
              <w:spacing w:line="240" w:lineRule="auto" w:before="0" w:after="0"/>
              <w:pStyle w:val="Compact"/>
            </w:pPr>
            <w:r>
              <w:rPr>
                <w:sz w:val="20"/>
                <w:szCs w:val="20"/>
              </w:rPr>
              <w:t xml:space="preserve">gov_oblig_lag1_musd</w:t>
            </w:r>
          </w:p>
        </w:tc>
        <w:tc>
          <w:tcPr>
            <w:tcW w:w="0" w:type="auto"/>
          </w:tcPr>
          <w:p>
            <w:pPr>
              <w:spacing w:line="240" w:lineRule="auto" w:before="0" w:after="0"/>
              <w:pStyle w:val="Compact"/>
            </w:pPr>
            <w:r>
              <w:rPr>
                <w:sz w:val="20"/>
                <w:szCs w:val="20"/>
              </w:rPr>
              <w:t xml:space="preserve">-0.1204</w:t>
            </w:r>
          </w:p>
        </w:tc>
        <w:tc>
          <w:tcPr>
            <w:tcW w:w="0" w:type="auto"/>
          </w:tcPr>
          <w:p>
            <w:pPr>
              <w:spacing w:line="240" w:lineRule="auto" w:before="0" w:after="0"/>
              <w:pStyle w:val="Compact"/>
            </w:pPr>
            <w:r>
              <w:rPr>
                <w:sz w:val="20"/>
                <w:szCs w:val="20"/>
              </w:rPr>
              <w:t xml:space="preserve">0.1129</w:t>
            </w:r>
          </w:p>
        </w:tc>
        <w:tc>
          <w:tcPr>
            <w:tcW w:w="0" w:type="auto"/>
          </w:tcPr>
          <w:p>
            <w:pPr>
              <w:spacing w:line="240" w:lineRule="auto" w:before="0" w:after="0"/>
              <w:pStyle w:val="Compact"/>
            </w:pPr>
            <w:r>
              <w:rPr>
                <w:sz w:val="20"/>
                <w:szCs w:val="20"/>
              </w:rPr>
              <w:t xml:space="preserve">-1.0657</w:t>
            </w:r>
          </w:p>
        </w:tc>
        <w:tc>
          <w:tcPr>
            <w:tcW w:w="0" w:type="auto"/>
          </w:tcPr>
          <w:p>
            <w:pPr>
              <w:spacing w:line="240" w:lineRule="auto" w:before="0" w:after="0"/>
              <w:pStyle w:val="Compact"/>
            </w:pPr>
            <w:r>
              <w:rPr>
                <w:sz w:val="20"/>
                <w:szCs w:val="20"/>
              </w:rPr>
              <w:t xml:space="preserve">0.2866</w:t>
            </w:r>
          </w:p>
        </w:tc>
        <w:tc>
          <w:tcPr>
            <w:tcW w:w="0" w:type="auto"/>
          </w:tcPr>
          <w:p>
            <w:pPr>
              <w:spacing w:line="240" w:lineRule="auto" w:before="0" w:after="0"/>
              <w:pStyle w:val="Compact"/>
            </w:pPr>
            <w:r>
              <w:rPr>
                <w:sz w:val="20"/>
                <w:szCs w:val="20"/>
              </w:rPr>
              <w:t xml:space="preserve">[-0.3417, 0.101]</w:t>
            </w:r>
          </w:p>
        </w:tc>
      </w:tr>
      <w:tr>
        <w:tc>
          <w:tcPr>
            <w:tcW w:w="0" w:type="auto"/>
          </w:tcPr>
          <w:p>
            <w:pPr>
              <w:spacing w:line="240" w:lineRule="auto" w:before="0" w:after="0"/>
              <w:pStyle w:val="Compact"/>
            </w:pPr>
            <w:r>
              <w:rPr>
                <w:sz w:val="20"/>
                <w:szCs w:val="20"/>
              </w:rPr>
              <w:t xml:space="preserve">gov_oblig_lag2_musd</w:t>
            </w:r>
          </w:p>
        </w:tc>
        <w:tc>
          <w:tcPr>
            <w:tcW w:w="0" w:type="auto"/>
          </w:tcPr>
          <w:p>
            <w:pPr>
              <w:spacing w:line="240" w:lineRule="auto" w:before="0" w:after="0"/>
              <w:pStyle w:val="Compact"/>
            </w:pPr>
            <w:r>
              <w:rPr>
                <w:sz w:val="20"/>
                <w:szCs w:val="20"/>
              </w:rPr>
              <w:t xml:space="preserve">1.2651</w:t>
            </w:r>
          </w:p>
        </w:tc>
        <w:tc>
          <w:tcPr>
            <w:tcW w:w="0" w:type="auto"/>
          </w:tcPr>
          <w:p>
            <w:pPr>
              <w:spacing w:line="240" w:lineRule="auto" w:before="0" w:after="0"/>
              <w:pStyle w:val="Compact"/>
            </w:pPr>
            <w:r>
              <w:rPr>
                <w:sz w:val="20"/>
                <w:szCs w:val="20"/>
              </w:rPr>
              <w:t xml:space="preserve">0.113</w:t>
            </w:r>
          </w:p>
        </w:tc>
        <w:tc>
          <w:tcPr>
            <w:tcW w:w="0" w:type="auto"/>
          </w:tcPr>
          <w:p>
            <w:pPr>
              <w:spacing w:line="240" w:lineRule="auto" w:before="0" w:after="0"/>
              <w:pStyle w:val="Compact"/>
            </w:pPr>
            <w:r>
              <w:rPr>
                <w:sz w:val="20"/>
                <w:szCs w:val="20"/>
              </w:rPr>
              <w:t xml:space="preserve">11.1942</w:t>
            </w:r>
          </w:p>
        </w:tc>
        <w:tc>
          <w:tcPr>
            <w:tcW w:w="0" w:type="auto"/>
          </w:tcPr>
          <w:p>
            <w:pPr>
              <w:spacing w:line="240" w:lineRule="auto" w:before="0" w:after="0"/>
              <w:pStyle w:val="Compact"/>
            </w:pPr>
            <w:r>
              <w:rPr>
                <w:sz w:val="20"/>
                <w:szCs w:val="20"/>
              </w:rPr>
              <w:t xml:space="preserve">4.351e-29</w:t>
            </w:r>
          </w:p>
        </w:tc>
        <w:tc>
          <w:tcPr>
            <w:tcW w:w="0" w:type="auto"/>
          </w:tcPr>
          <w:p>
            <w:pPr>
              <w:spacing w:line="240" w:lineRule="auto" w:before="0" w:after="0"/>
              <w:pStyle w:val="Compact"/>
            </w:pPr>
            <w:r>
              <w:rPr>
                <w:sz w:val="20"/>
                <w:szCs w:val="20"/>
              </w:rPr>
              <w:t xml:space="preserve">[1.0436, 1.4866]</w:t>
            </w:r>
          </w:p>
        </w:tc>
      </w:tr>
      <w:tr>
        <w:tc>
          <w:tcPr>
            <w:tcW w:w="0" w:type="auto"/>
          </w:tcPr>
          <w:p>
            <w:pPr>
              <w:spacing w:line="240" w:lineRule="auto" w:before="0" w:after="0"/>
              <w:pStyle w:val="Compact"/>
            </w:pPr>
            <w:r>
              <w:rPr>
                <w:sz w:val="20"/>
                <w:szCs w:val="20"/>
              </w:rPr>
              <w:t xml:space="preserve">nonlunar_space_capital_musd</w:t>
            </w:r>
          </w:p>
        </w:tc>
        <w:tc>
          <w:tcPr>
            <w:tcW w:w="0" w:type="auto"/>
          </w:tcPr>
          <w:p>
            <w:pPr>
              <w:spacing w:line="240" w:lineRule="auto" w:before="0" w:after="0"/>
              <w:pStyle w:val="Compact"/>
            </w:pPr>
            <w:r>
              <w:rPr>
                <w:sz w:val="20"/>
                <w:szCs w:val="20"/>
              </w:rPr>
              <w:t xml:space="preserve">-0.0827</w:t>
            </w:r>
          </w:p>
        </w:tc>
        <w:tc>
          <w:tcPr>
            <w:tcW w:w="0" w:type="auto"/>
          </w:tcPr>
          <w:p>
            <w:pPr>
              <w:spacing w:line="240" w:lineRule="auto" w:before="0" w:after="0"/>
              <w:pStyle w:val="Compact"/>
            </w:pPr>
            <w:r>
              <w:rPr>
                <w:sz w:val="20"/>
                <w:szCs w:val="20"/>
              </w:rPr>
              <w:t xml:space="preserve">0.0111</w:t>
            </w:r>
          </w:p>
        </w:tc>
        <w:tc>
          <w:tcPr>
            <w:tcW w:w="0" w:type="auto"/>
          </w:tcPr>
          <w:p>
            <w:pPr>
              <w:spacing w:line="240" w:lineRule="auto" w:before="0" w:after="0"/>
              <w:pStyle w:val="Compact"/>
            </w:pPr>
            <w:r>
              <w:rPr>
                <w:sz w:val="20"/>
                <w:szCs w:val="20"/>
              </w:rPr>
              <w:t xml:space="preserve">-7.4185</w:t>
            </w:r>
          </w:p>
        </w:tc>
        <w:tc>
          <w:tcPr>
            <w:tcW w:w="0" w:type="auto"/>
          </w:tcPr>
          <w:p>
            <w:pPr>
              <w:spacing w:line="240" w:lineRule="auto" w:before="0" w:after="0"/>
              <w:pStyle w:val="Compact"/>
            </w:pPr>
            <w:r>
              <w:rPr>
                <w:sz w:val="20"/>
                <w:szCs w:val="20"/>
              </w:rPr>
              <w:t xml:space="preserve">1.184e-13</w:t>
            </w:r>
          </w:p>
        </w:tc>
        <w:tc>
          <w:tcPr>
            <w:tcW w:w="0" w:type="auto"/>
          </w:tcPr>
          <w:p>
            <w:pPr>
              <w:spacing w:line="240" w:lineRule="auto" w:before="0" w:after="0"/>
              <w:pStyle w:val="Compact"/>
            </w:pPr>
            <w:r>
              <w:rPr>
                <w:sz w:val="20"/>
                <w:szCs w:val="20"/>
              </w:rPr>
              <w:t xml:space="preserve">[-0.1045, -0.0608]</w:t>
            </w:r>
          </w:p>
        </w:tc>
      </w:tr>
      <w:tr>
        <w:tc>
          <w:tcPr>
            <w:tcW w:w="0" w:type="auto"/>
          </w:tcPr>
          <w:p>
            <w:pPr>
              <w:spacing w:line="240" w:lineRule="auto" w:before="0" w:after="0"/>
              <w:pStyle w:val="Compact"/>
            </w:pPr>
            <w:r>
              <w:rPr>
                <w:sz w:val="20"/>
                <w:szCs w:val="20"/>
              </w:rPr>
              <w:t xml:space="preserve">tbill_3m_pct</w:t>
            </w:r>
          </w:p>
        </w:tc>
        <w:tc>
          <w:tcPr>
            <w:tcW w:w="0" w:type="auto"/>
          </w:tcPr>
          <w:p>
            <w:pPr>
              <w:spacing w:line="240" w:lineRule="auto" w:before="0" w:after="0"/>
              <w:pStyle w:val="Compact"/>
            </w:pPr>
            <w:r>
              <w:rPr>
                <w:sz w:val="20"/>
                <w:szCs w:val="20"/>
              </w:rPr>
              <w:t xml:space="preserve">20.859</w:t>
            </w:r>
          </w:p>
        </w:tc>
        <w:tc>
          <w:tcPr>
            <w:tcW w:w="0" w:type="auto"/>
          </w:tcPr>
          <w:p>
            <w:pPr>
              <w:spacing w:line="240" w:lineRule="auto" w:before="0" w:after="0"/>
              <w:pStyle w:val="Compact"/>
            </w:pPr>
            <w:r>
              <w:rPr>
                <w:sz w:val="20"/>
                <w:szCs w:val="20"/>
              </w:rPr>
              <w:t xml:space="preserve">3.1981</w:t>
            </w:r>
          </w:p>
        </w:tc>
        <w:tc>
          <w:tcPr>
            <w:tcW w:w="0" w:type="auto"/>
          </w:tcPr>
          <w:p>
            <w:pPr>
              <w:spacing w:line="240" w:lineRule="auto" w:before="0" w:after="0"/>
              <w:pStyle w:val="Compact"/>
            </w:pPr>
            <w:r>
              <w:rPr>
                <w:sz w:val="20"/>
                <w:szCs w:val="20"/>
              </w:rPr>
              <w:t xml:space="preserve">6.5224</w:t>
            </w:r>
          </w:p>
        </w:tc>
        <w:tc>
          <w:tcPr>
            <w:tcW w:w="0" w:type="auto"/>
          </w:tcPr>
          <w:p>
            <w:pPr>
              <w:spacing w:line="240" w:lineRule="auto" w:before="0" w:after="0"/>
              <w:pStyle w:val="Compact"/>
            </w:pPr>
            <w:r>
              <w:rPr>
                <w:sz w:val="20"/>
                <w:szCs w:val="20"/>
              </w:rPr>
              <w:t xml:space="preserve">6.921e-11</w:t>
            </w:r>
          </w:p>
        </w:tc>
        <w:tc>
          <w:tcPr>
            <w:tcW w:w="0" w:type="auto"/>
          </w:tcPr>
          <w:p>
            <w:pPr>
              <w:spacing w:line="240" w:lineRule="auto" w:before="0" w:after="0"/>
              <w:pStyle w:val="Compact"/>
            </w:pPr>
            <w:r>
              <w:rPr>
                <w:sz w:val="20"/>
                <w:szCs w:val="20"/>
              </w:rPr>
              <w:t xml:space="preserve">[14.5909, 27.1271]</w:t>
            </w:r>
          </w:p>
        </w:tc>
      </w:tr>
    </w:tbl>
    <w:p>
      <w:pPr>
        <w:pStyle w:val="BodyText"/>
      </w:pPr>
      <w:r>
        <w:t xml:space="preserve">Fit: N = 44 R2 = 0.9999 R2_adj = 0.9998 F = 376807.4589 F_p = 7.291e-89</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70" Target="https://doi.org/10.1016/j.actaastro.2021.06.017" TargetMode="External" /><Relationship Type="http://schemas.openxmlformats.org/officeDocument/2006/relationships/hyperlink" Id="rId68" Target="https://doi.org/10.64861/MVHC2799" TargetMode="External" /><Relationship Type="http://schemas.openxmlformats.org/officeDocument/2006/relationships/hyperlink" Id="rId73" Target="https://doi.org/10.64861/RBTM5104"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1016/j.actaastro.2021.06.017" TargetMode="External" /><Relationship Type="http://schemas.openxmlformats.org/officeDocument/2006/relationships/hyperlink" Id="rId68" Target="https://doi.org/10.64861/MVHC2799" TargetMode="External" /><Relationship Type="http://schemas.openxmlformats.org/officeDocument/2006/relationships/hyperlink" Id="rId73" Target="https://doi.org/10.64861/RBTM510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2026-06-27T13:09:55Z</dcterms:created>
  <dcterms:modified xsi:type="dcterms:W3CDTF">2026-06-27T13:09:55Z</dcterms:modified>
</cp:coreProperties>
</file>

<file path=docProps/custom.xml><?xml version="1.0" encoding="utf-8"?>
<Properties xmlns="http://schemas.openxmlformats.org/officeDocument/2006/custom-properties" xmlns:vt="http://schemas.openxmlformats.org/officeDocument/2006/docPropsVTypes"/>
</file>